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7566D" w:rsidRPr="00EB3A82" w14:paraId="4906184A" w14:textId="77777777">
        <w:trPr>
          <w:trHeight w:val="20"/>
          <w:jc w:val="center"/>
        </w:trPr>
        <w:tc>
          <w:tcPr>
            <w:tcW w:w="1186" w:type="pct"/>
          </w:tcPr>
          <w:p w14:paraId="4D7B3CD8" w14:textId="77777777" w:rsidR="0077566D" w:rsidRPr="00EB3A82" w:rsidRDefault="003562D7">
            <w:pPr>
              <w:pStyle w:val="BodyText"/>
              <w:ind w:left="90"/>
              <w:jc w:val="left"/>
              <w:rPr>
                <w:rFonts w:ascii="Arial" w:hAnsi="Arial" w:cs="Arial"/>
                <w:bCs/>
                <w:sz w:val="20"/>
                <w:szCs w:val="20"/>
                <w:lang w:val="en-GB" w:eastAsia="en-US"/>
              </w:rPr>
            </w:pPr>
            <w:r w:rsidRPr="00EB3A82">
              <w:rPr>
                <w:rFonts w:ascii="Arial" w:hAnsi="Arial" w:cs="Arial"/>
                <w:bCs/>
                <w:sz w:val="20"/>
                <w:szCs w:val="20"/>
                <w:lang w:val="en-GB" w:eastAsia="en-US"/>
              </w:rPr>
              <w:t>Journal Name:</w:t>
            </w:r>
          </w:p>
        </w:tc>
        <w:tc>
          <w:tcPr>
            <w:tcW w:w="3814" w:type="pct"/>
          </w:tcPr>
          <w:p w14:paraId="0BDA1937" w14:textId="77777777" w:rsidR="0077566D" w:rsidRPr="00EB3A82" w:rsidRDefault="003562D7">
            <w:pPr>
              <w:rPr>
                <w:rFonts w:ascii="Arial" w:hAnsi="Arial" w:cs="Arial"/>
                <w:b/>
                <w:bCs/>
                <w:color w:val="0000FF"/>
                <w:sz w:val="20"/>
                <w:szCs w:val="20"/>
                <w:lang w:val="en-GB"/>
              </w:rPr>
            </w:pPr>
            <w:hyperlink r:id="rId7" w:history="1">
              <w:r w:rsidRPr="00EB3A82">
                <w:rPr>
                  <w:rFonts w:ascii="Arial" w:hAnsi="Arial" w:cs="Arial"/>
                  <w:color w:val="0000FF"/>
                  <w:sz w:val="20"/>
                  <w:szCs w:val="20"/>
                  <w:u w:val="single"/>
                </w:rPr>
                <w:t>Journal of International Research in Medical and Pharmaceutical Sciences</w:t>
              </w:r>
            </w:hyperlink>
          </w:p>
        </w:tc>
      </w:tr>
      <w:tr w:rsidR="0077566D" w:rsidRPr="00EB3A82" w14:paraId="57B85425" w14:textId="77777777">
        <w:trPr>
          <w:trHeight w:val="20"/>
          <w:jc w:val="center"/>
        </w:trPr>
        <w:tc>
          <w:tcPr>
            <w:tcW w:w="1186" w:type="pct"/>
          </w:tcPr>
          <w:p w14:paraId="09DEA966" w14:textId="77777777" w:rsidR="0077566D" w:rsidRPr="00EB3A82" w:rsidRDefault="003562D7">
            <w:pPr>
              <w:pStyle w:val="BodyText"/>
              <w:ind w:left="90"/>
              <w:jc w:val="left"/>
              <w:rPr>
                <w:rFonts w:ascii="Arial" w:hAnsi="Arial" w:cs="Arial"/>
                <w:bCs/>
                <w:sz w:val="20"/>
                <w:szCs w:val="20"/>
                <w:lang w:val="en-GB" w:eastAsia="en-US"/>
              </w:rPr>
            </w:pPr>
            <w:r w:rsidRPr="00EB3A82">
              <w:rPr>
                <w:rFonts w:ascii="Arial" w:hAnsi="Arial" w:cs="Arial"/>
                <w:bCs/>
                <w:sz w:val="20"/>
                <w:szCs w:val="20"/>
                <w:lang w:val="en-GB" w:eastAsia="en-US"/>
              </w:rPr>
              <w:t>Manuscript Number:</w:t>
            </w:r>
          </w:p>
        </w:tc>
        <w:tc>
          <w:tcPr>
            <w:tcW w:w="3814" w:type="pct"/>
          </w:tcPr>
          <w:p w14:paraId="3E1571B7" w14:textId="77777777" w:rsidR="0077566D" w:rsidRPr="00EB3A82" w:rsidRDefault="004B1185">
            <w:pPr>
              <w:pStyle w:val="NormalWeb"/>
              <w:spacing w:before="0" w:beforeAutospacing="0" w:after="0" w:afterAutospacing="0"/>
              <w:rPr>
                <w:rFonts w:ascii="Arial" w:hAnsi="Arial" w:cs="Arial"/>
                <w:b/>
                <w:bCs/>
                <w:sz w:val="20"/>
                <w:szCs w:val="20"/>
                <w:lang w:val="en-GB"/>
              </w:rPr>
            </w:pPr>
            <w:r w:rsidRPr="00EB3A82">
              <w:rPr>
                <w:rFonts w:ascii="Arial" w:hAnsi="Arial" w:cs="Arial"/>
                <w:b/>
                <w:bCs/>
                <w:sz w:val="20"/>
                <w:szCs w:val="20"/>
                <w:lang w:val="en-GB"/>
              </w:rPr>
              <w:t>Ms_JIRMEPS_14933</w:t>
            </w:r>
          </w:p>
        </w:tc>
      </w:tr>
      <w:tr w:rsidR="0077566D" w:rsidRPr="00EB3A82" w14:paraId="36BC5E6F" w14:textId="77777777">
        <w:trPr>
          <w:trHeight w:val="20"/>
          <w:jc w:val="center"/>
        </w:trPr>
        <w:tc>
          <w:tcPr>
            <w:tcW w:w="1186" w:type="pct"/>
          </w:tcPr>
          <w:p w14:paraId="5580E10A" w14:textId="77777777" w:rsidR="0077566D" w:rsidRPr="00EB3A82" w:rsidRDefault="003562D7">
            <w:pPr>
              <w:pStyle w:val="BodyText"/>
              <w:ind w:left="90"/>
              <w:jc w:val="left"/>
              <w:rPr>
                <w:rFonts w:ascii="Arial" w:hAnsi="Arial" w:cs="Arial"/>
                <w:bCs/>
                <w:sz w:val="20"/>
                <w:szCs w:val="20"/>
                <w:lang w:val="en-GB" w:eastAsia="en-US"/>
              </w:rPr>
            </w:pPr>
            <w:r w:rsidRPr="00EB3A82">
              <w:rPr>
                <w:rFonts w:ascii="Arial" w:hAnsi="Arial" w:cs="Arial"/>
                <w:bCs/>
                <w:sz w:val="20"/>
                <w:szCs w:val="20"/>
                <w:lang w:val="en-GB" w:eastAsia="en-US"/>
              </w:rPr>
              <w:t xml:space="preserve">Title of the Manuscript: </w:t>
            </w:r>
          </w:p>
        </w:tc>
        <w:tc>
          <w:tcPr>
            <w:tcW w:w="3814" w:type="pct"/>
          </w:tcPr>
          <w:p w14:paraId="4C460F0E" w14:textId="77777777" w:rsidR="0077566D" w:rsidRPr="00EB3A82" w:rsidRDefault="004B1185">
            <w:pPr>
              <w:pStyle w:val="NormalWeb"/>
              <w:spacing w:before="0" w:beforeAutospacing="0" w:after="0" w:afterAutospacing="0"/>
              <w:rPr>
                <w:rFonts w:ascii="Arial" w:hAnsi="Arial" w:cs="Arial"/>
                <w:b/>
                <w:sz w:val="20"/>
                <w:szCs w:val="20"/>
                <w:lang w:val="en-GB"/>
              </w:rPr>
            </w:pPr>
            <w:r w:rsidRPr="00EB3A82">
              <w:rPr>
                <w:rFonts w:ascii="Arial" w:hAnsi="Arial" w:cs="Arial"/>
                <w:b/>
                <w:sz w:val="20"/>
                <w:szCs w:val="20"/>
                <w:lang w:val="en-GB"/>
              </w:rPr>
              <w:t>From Gut to Brain: The Neurohormonal Basis of Appetite Suppression and Gastric Emptying Delay by Semaglutide in Non-Diabetic Obesity</w:t>
            </w:r>
          </w:p>
        </w:tc>
      </w:tr>
      <w:tr w:rsidR="0077566D" w:rsidRPr="00EB3A82" w14:paraId="72749F28" w14:textId="77777777">
        <w:trPr>
          <w:trHeight w:val="20"/>
          <w:jc w:val="center"/>
        </w:trPr>
        <w:tc>
          <w:tcPr>
            <w:tcW w:w="1186" w:type="pct"/>
          </w:tcPr>
          <w:p w14:paraId="737F93B3" w14:textId="77777777" w:rsidR="0077566D" w:rsidRPr="00EB3A82" w:rsidRDefault="003562D7">
            <w:pPr>
              <w:pStyle w:val="BodyText"/>
              <w:ind w:left="90"/>
              <w:jc w:val="left"/>
              <w:rPr>
                <w:rFonts w:ascii="Arial" w:hAnsi="Arial" w:cs="Arial"/>
                <w:bCs/>
                <w:sz w:val="20"/>
                <w:szCs w:val="20"/>
                <w:lang w:val="en-GB" w:eastAsia="en-US"/>
              </w:rPr>
            </w:pPr>
            <w:r w:rsidRPr="00EB3A82">
              <w:rPr>
                <w:rFonts w:ascii="Arial" w:hAnsi="Arial" w:cs="Arial"/>
                <w:bCs/>
                <w:sz w:val="20"/>
                <w:szCs w:val="20"/>
                <w:lang w:val="en-GB" w:eastAsia="en-US"/>
              </w:rPr>
              <w:t>Type of the Article</w:t>
            </w:r>
          </w:p>
        </w:tc>
        <w:tc>
          <w:tcPr>
            <w:tcW w:w="3814" w:type="pct"/>
          </w:tcPr>
          <w:p w14:paraId="00522FE5" w14:textId="77777777" w:rsidR="0077566D" w:rsidRPr="00EB3A82" w:rsidRDefault="003562D7">
            <w:pPr>
              <w:pStyle w:val="NormalWeb"/>
              <w:spacing w:before="0" w:beforeAutospacing="0" w:after="0" w:afterAutospacing="0"/>
              <w:rPr>
                <w:rFonts w:ascii="Arial" w:hAnsi="Arial" w:cs="Arial"/>
                <w:b/>
                <w:sz w:val="20"/>
                <w:szCs w:val="20"/>
                <w:lang w:val="en-GB"/>
              </w:rPr>
            </w:pPr>
            <w:r w:rsidRPr="00EB3A82">
              <w:rPr>
                <w:rFonts w:ascii="Arial" w:hAnsi="Arial" w:cs="Arial"/>
                <w:b/>
                <w:sz w:val="20"/>
                <w:szCs w:val="20"/>
                <w:lang w:val="en-GB"/>
              </w:rPr>
              <w:t>REVIEW ARTICLE</w:t>
            </w:r>
          </w:p>
          <w:p w14:paraId="6C040D06" w14:textId="77777777" w:rsidR="0077566D" w:rsidRPr="00EB3A82" w:rsidRDefault="0077566D">
            <w:pPr>
              <w:pStyle w:val="NormalWeb"/>
              <w:spacing w:before="0" w:beforeAutospacing="0" w:after="0" w:afterAutospacing="0"/>
              <w:rPr>
                <w:rFonts w:ascii="Arial" w:hAnsi="Arial" w:cs="Arial"/>
                <w:b/>
                <w:sz w:val="20"/>
                <w:szCs w:val="20"/>
                <w:lang w:val="en-GB"/>
              </w:rPr>
            </w:pPr>
          </w:p>
        </w:tc>
      </w:tr>
    </w:tbl>
    <w:p w14:paraId="5F48478C" w14:textId="77777777" w:rsidR="0077566D" w:rsidRPr="00EB3A82" w:rsidRDefault="0077566D">
      <w:pPr>
        <w:jc w:val="both"/>
        <w:rPr>
          <w:rFonts w:ascii="Arial" w:eastAsia="MS Mincho" w:hAnsi="Arial" w:cs="Arial"/>
          <w:sz w:val="20"/>
          <w:szCs w:val="20"/>
          <w:lang w:val="en-GB" w:eastAsia="x-none"/>
        </w:rPr>
      </w:pPr>
    </w:p>
    <w:p w14:paraId="72EDB38D" w14:textId="77777777" w:rsidR="0077566D" w:rsidRPr="00EB3A82" w:rsidRDefault="003562D7">
      <w:pPr>
        <w:jc w:val="both"/>
        <w:rPr>
          <w:rFonts w:ascii="Arial" w:eastAsia="MS Mincho" w:hAnsi="Arial" w:cs="Arial"/>
          <w:b/>
          <w:sz w:val="20"/>
          <w:szCs w:val="20"/>
          <w:u w:val="single"/>
          <w:lang w:val="en-GB" w:eastAsia="x-none"/>
        </w:rPr>
      </w:pPr>
      <w:r w:rsidRPr="00EB3A82">
        <w:rPr>
          <w:rFonts w:ascii="Arial" w:eastAsia="MS Mincho" w:hAnsi="Arial" w:cs="Arial"/>
          <w:b/>
          <w:sz w:val="20"/>
          <w:szCs w:val="20"/>
          <w:highlight w:val="yellow"/>
          <w:u w:val="single"/>
          <w:lang w:val="en-GB" w:eastAsia="x-none"/>
        </w:rPr>
        <w:t>PART 1 (Importance of the manuscript)</w:t>
      </w:r>
    </w:p>
    <w:p w14:paraId="240E256E" w14:textId="77777777" w:rsidR="0077566D" w:rsidRPr="00EB3A82" w:rsidRDefault="0077566D">
      <w:pPr>
        <w:ind w:left="1440"/>
        <w:jc w:val="both"/>
        <w:rPr>
          <w:rFonts w:ascii="Arial" w:eastAsia="MS Mincho" w:hAnsi="Arial" w:cs="Arial"/>
          <w:bCs/>
          <w:sz w:val="20"/>
          <w:szCs w:val="20"/>
          <w:lang w:val="en-GB" w:eastAsia="x-none"/>
        </w:rPr>
      </w:pPr>
    </w:p>
    <w:p w14:paraId="4DBEB484" w14:textId="77777777" w:rsidR="0077566D" w:rsidRPr="00EB3A82" w:rsidRDefault="0077566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7566D" w:rsidRPr="00EB3A82" w14:paraId="1BD6C79F" w14:textId="77777777">
        <w:trPr>
          <w:trHeight w:val="20"/>
          <w:jc w:val="center"/>
        </w:trPr>
        <w:tc>
          <w:tcPr>
            <w:tcW w:w="1666" w:type="pct"/>
            <w:noWrap/>
          </w:tcPr>
          <w:p w14:paraId="282017B4" w14:textId="77777777" w:rsidR="0077566D" w:rsidRPr="00EB3A82" w:rsidRDefault="0077566D">
            <w:pPr>
              <w:outlineLvl w:val="1"/>
              <w:rPr>
                <w:rFonts w:ascii="Arial" w:eastAsia="MS Mincho" w:hAnsi="Arial" w:cs="Arial"/>
                <w:b/>
                <w:bCs/>
                <w:sz w:val="20"/>
                <w:szCs w:val="20"/>
                <w:lang w:val="en-GB"/>
              </w:rPr>
            </w:pPr>
          </w:p>
        </w:tc>
        <w:tc>
          <w:tcPr>
            <w:tcW w:w="1667" w:type="pct"/>
          </w:tcPr>
          <w:p w14:paraId="723A0F82" w14:textId="77777777" w:rsidR="0077566D" w:rsidRPr="00EB3A82" w:rsidRDefault="003562D7">
            <w:pPr>
              <w:outlineLvl w:val="1"/>
              <w:rPr>
                <w:rFonts w:ascii="Arial" w:eastAsia="MS Mincho" w:hAnsi="Arial" w:cs="Arial"/>
                <w:b/>
                <w:bCs/>
                <w:sz w:val="20"/>
                <w:szCs w:val="20"/>
                <w:lang w:val="en-GB"/>
              </w:rPr>
            </w:pPr>
            <w:r w:rsidRPr="00EB3A82">
              <w:rPr>
                <w:rFonts w:ascii="Arial" w:eastAsia="MS Mincho" w:hAnsi="Arial" w:cs="Arial"/>
                <w:b/>
                <w:bCs/>
                <w:sz w:val="20"/>
                <w:szCs w:val="20"/>
                <w:lang w:val="en-GB"/>
              </w:rPr>
              <w:t>Comments of the Reviewers</w:t>
            </w:r>
          </w:p>
        </w:tc>
        <w:tc>
          <w:tcPr>
            <w:tcW w:w="1667" w:type="pct"/>
          </w:tcPr>
          <w:p w14:paraId="3871D421" w14:textId="77777777" w:rsidR="0077566D" w:rsidRPr="00EB3A82" w:rsidRDefault="003562D7">
            <w:pPr>
              <w:spacing w:after="160" w:line="259" w:lineRule="auto"/>
              <w:rPr>
                <w:rFonts w:ascii="Arial" w:eastAsia="Calibri" w:hAnsi="Arial" w:cs="Arial"/>
                <w:kern w:val="2"/>
                <w:sz w:val="20"/>
                <w:szCs w:val="20"/>
                <w:lang w:val="en-GB"/>
              </w:rPr>
            </w:pPr>
            <w:r w:rsidRPr="00EB3A82">
              <w:rPr>
                <w:rFonts w:ascii="Arial" w:eastAsia="Calibri" w:hAnsi="Arial" w:cs="Arial"/>
                <w:b/>
                <w:kern w:val="2"/>
                <w:sz w:val="20"/>
                <w:szCs w:val="20"/>
                <w:lang w:val="en-GB"/>
              </w:rPr>
              <w:t>Author’s Feedback</w:t>
            </w:r>
            <w:r w:rsidRPr="00EB3A82">
              <w:rPr>
                <w:rFonts w:ascii="Arial" w:eastAsia="Calibri" w:hAnsi="Arial" w:cs="Arial"/>
                <w:kern w:val="2"/>
                <w:sz w:val="20"/>
                <w:szCs w:val="20"/>
                <w:lang w:val="en-GB"/>
              </w:rPr>
              <w:t xml:space="preserve"> </w:t>
            </w:r>
          </w:p>
          <w:p w14:paraId="01E3D108" w14:textId="77777777" w:rsidR="0077566D" w:rsidRPr="00EB3A82" w:rsidRDefault="0077566D">
            <w:pPr>
              <w:outlineLvl w:val="1"/>
              <w:rPr>
                <w:rFonts w:ascii="Arial" w:eastAsia="MS Mincho" w:hAnsi="Arial" w:cs="Arial"/>
                <w:bCs/>
                <w:sz w:val="20"/>
                <w:szCs w:val="20"/>
                <w:lang w:val="en-GB"/>
              </w:rPr>
            </w:pPr>
          </w:p>
        </w:tc>
      </w:tr>
      <w:tr w:rsidR="0077566D" w:rsidRPr="00EB3A82" w14:paraId="02E2C4AC" w14:textId="77777777">
        <w:trPr>
          <w:trHeight w:val="20"/>
          <w:jc w:val="center"/>
        </w:trPr>
        <w:tc>
          <w:tcPr>
            <w:tcW w:w="1666" w:type="pct"/>
            <w:noWrap/>
          </w:tcPr>
          <w:p w14:paraId="19B4DC95" w14:textId="77777777" w:rsidR="0077566D" w:rsidRPr="00EB3A82" w:rsidRDefault="003562D7">
            <w:pPr>
              <w:rPr>
                <w:rFonts w:ascii="Arial" w:hAnsi="Arial" w:cs="Arial"/>
                <w:bCs/>
                <w:sz w:val="20"/>
                <w:szCs w:val="20"/>
                <w:lang w:val="en-GB"/>
              </w:rPr>
            </w:pPr>
            <w:r w:rsidRPr="00EB3A82">
              <w:rPr>
                <w:rFonts w:ascii="Arial" w:hAnsi="Arial" w:cs="Arial"/>
                <w:b/>
                <w:bCs/>
                <w:sz w:val="20"/>
                <w:szCs w:val="20"/>
                <w:lang w:val="en-GB"/>
              </w:rPr>
              <w:t>Please write a few sentences regarding the importance of this manuscript for the scientific community.</w:t>
            </w:r>
            <w:r w:rsidRPr="00EB3A82">
              <w:rPr>
                <w:rFonts w:ascii="Arial" w:hAnsi="Arial" w:cs="Arial"/>
                <w:bCs/>
                <w:sz w:val="20"/>
                <w:szCs w:val="20"/>
                <w:lang w:val="en-GB"/>
              </w:rPr>
              <w:t xml:space="preserve"> A minimum of 3-4 sentences may be required for this part.</w:t>
            </w:r>
          </w:p>
          <w:p w14:paraId="4A7F04FD" w14:textId="77777777" w:rsidR="0077566D" w:rsidRPr="00EB3A82" w:rsidRDefault="0077566D">
            <w:pPr>
              <w:rPr>
                <w:rFonts w:ascii="Arial" w:eastAsia="MS Mincho" w:hAnsi="Arial" w:cs="Arial"/>
                <w:bCs/>
                <w:sz w:val="20"/>
                <w:szCs w:val="20"/>
                <w:lang w:val="en-GB"/>
              </w:rPr>
            </w:pPr>
          </w:p>
        </w:tc>
        <w:tc>
          <w:tcPr>
            <w:tcW w:w="1667" w:type="pct"/>
          </w:tcPr>
          <w:p w14:paraId="3CCF1865" w14:textId="2498B304" w:rsidR="00743B44" w:rsidRPr="00EB3A82" w:rsidRDefault="00743B44" w:rsidP="00743B44">
            <w:pPr>
              <w:rPr>
                <w:rFonts w:ascii="Arial" w:hAnsi="Arial" w:cs="Arial"/>
                <w:sz w:val="20"/>
                <w:szCs w:val="20"/>
              </w:rPr>
            </w:pPr>
            <w:r w:rsidRPr="00EB3A82">
              <w:rPr>
                <w:rFonts w:ascii="Arial" w:hAnsi="Arial" w:cs="Arial"/>
                <w:sz w:val="20"/>
                <w:szCs w:val="20"/>
              </w:rPr>
              <w:t>For the scientific community, this manuscript represents an updated and multidisciplinary synthesis of semaglutide mechanisms of action in the treatment of non-diabetic obesity. The study highlights the complex synergy between central effects on hypothalamic circuits (POMC/NPY neurons) and peripheral actions on gastric motility and vagal signaling.</w:t>
            </w:r>
          </w:p>
          <w:p w14:paraId="6E781633" w14:textId="77777777" w:rsidR="00743B44" w:rsidRPr="00EB3A82" w:rsidRDefault="00743B44" w:rsidP="00743B44">
            <w:pPr>
              <w:rPr>
                <w:rFonts w:ascii="Arial" w:hAnsi="Arial" w:cs="Arial"/>
                <w:sz w:val="20"/>
                <w:szCs w:val="20"/>
              </w:rPr>
            </w:pPr>
            <w:r w:rsidRPr="00EB3A82">
              <w:rPr>
                <w:rFonts w:ascii="Arial" w:hAnsi="Arial" w:cs="Arial"/>
                <w:sz w:val="20"/>
                <w:szCs w:val="20"/>
              </w:rPr>
              <w:t xml:space="preserve">In addition, by including recent data up to 2026, the article exposes crucial aspects such as the mitigation of gastric emptying during the titration phase, an essential information for improving clinical tolerance. </w:t>
            </w:r>
          </w:p>
          <w:p w14:paraId="08460FE4" w14:textId="11185B6D" w:rsidR="00616846" w:rsidRPr="00EB3A82" w:rsidRDefault="00743B44" w:rsidP="00743B44">
            <w:pPr>
              <w:rPr>
                <w:rFonts w:ascii="Arial" w:hAnsi="Arial" w:cs="Arial"/>
                <w:sz w:val="20"/>
                <w:szCs w:val="20"/>
              </w:rPr>
            </w:pPr>
            <w:r w:rsidRPr="00EB3A82">
              <w:rPr>
                <w:rFonts w:ascii="Arial" w:hAnsi="Arial" w:cs="Arial"/>
                <w:sz w:val="20"/>
                <w:szCs w:val="20"/>
              </w:rPr>
              <w:t>Finally, this review accurately identifies persistent grey areas, such as long-term neurobiological adaptations and the role of the microbiome, thus laying out a relevant roadmap for future research in obesity pharmacology.</w:t>
            </w:r>
          </w:p>
          <w:p w14:paraId="05EF34FB" w14:textId="77777777" w:rsidR="0077566D" w:rsidRPr="00EB3A82" w:rsidRDefault="0077566D">
            <w:pPr>
              <w:contextualSpacing/>
              <w:rPr>
                <w:rFonts w:ascii="Arial" w:hAnsi="Arial" w:cs="Arial"/>
                <w:b/>
                <w:bCs/>
                <w:sz w:val="20"/>
                <w:szCs w:val="20"/>
              </w:rPr>
            </w:pPr>
          </w:p>
        </w:tc>
        <w:tc>
          <w:tcPr>
            <w:tcW w:w="1667" w:type="pct"/>
          </w:tcPr>
          <w:p w14:paraId="44D03735" w14:textId="77777777" w:rsidR="0077566D" w:rsidRPr="00EB3A82" w:rsidRDefault="0077566D">
            <w:pPr>
              <w:outlineLvl w:val="1"/>
              <w:rPr>
                <w:rFonts w:ascii="Arial" w:eastAsia="MS Mincho" w:hAnsi="Arial" w:cs="Arial"/>
                <w:bCs/>
                <w:sz w:val="20"/>
                <w:szCs w:val="20"/>
              </w:rPr>
            </w:pPr>
          </w:p>
        </w:tc>
      </w:tr>
    </w:tbl>
    <w:p w14:paraId="1ACFF1CD" w14:textId="77777777" w:rsidR="0077566D" w:rsidRPr="00EB3A82" w:rsidRDefault="0077566D">
      <w:pPr>
        <w:rPr>
          <w:rFonts w:ascii="Arial" w:hAnsi="Arial" w:cs="Arial"/>
          <w:sz w:val="20"/>
          <w:szCs w:val="20"/>
        </w:rPr>
      </w:pPr>
    </w:p>
    <w:p w14:paraId="423B484F" w14:textId="77777777" w:rsidR="002B295A" w:rsidRPr="002B295A" w:rsidRDefault="002B295A" w:rsidP="002B295A">
      <w:pPr>
        <w:rPr>
          <w:rFonts w:ascii="Arial" w:eastAsia="MS Mincho" w:hAnsi="Arial" w:cs="Arial"/>
          <w:b/>
          <w:bCs/>
          <w:sz w:val="20"/>
          <w:szCs w:val="20"/>
          <w:highlight w:val="yellow"/>
          <w:u w:val="single"/>
          <w:lang w:val="en-GB"/>
        </w:rPr>
      </w:pPr>
      <w:r w:rsidRPr="002B295A">
        <w:rPr>
          <w:rFonts w:ascii="Arial" w:eastAsia="MS Mincho" w:hAnsi="Arial" w:cs="Arial"/>
          <w:b/>
          <w:bCs/>
          <w:sz w:val="20"/>
          <w:szCs w:val="20"/>
          <w:highlight w:val="yellow"/>
          <w:u w:val="single"/>
          <w:lang w:val="en-GB"/>
        </w:rPr>
        <w:t>PART 2.1 (Objective Evaluation)</w:t>
      </w:r>
    </w:p>
    <w:p w14:paraId="4DAE2C94" w14:textId="77777777" w:rsidR="0077566D" w:rsidRPr="00EB3A82" w:rsidRDefault="0077566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7566D" w:rsidRPr="00EB3A82" w14:paraId="5FE2C7A3" w14:textId="77777777">
        <w:trPr>
          <w:trHeight w:val="20"/>
          <w:jc w:val="center"/>
        </w:trPr>
        <w:tc>
          <w:tcPr>
            <w:tcW w:w="1666" w:type="pct"/>
            <w:noWrap/>
          </w:tcPr>
          <w:p w14:paraId="2DF0FE70" w14:textId="77777777" w:rsidR="0077566D" w:rsidRPr="00EB3A82" w:rsidRDefault="0077566D">
            <w:pPr>
              <w:outlineLvl w:val="1"/>
              <w:rPr>
                <w:rFonts w:ascii="Arial" w:eastAsia="MS Mincho" w:hAnsi="Arial" w:cs="Arial"/>
                <w:b/>
                <w:bCs/>
                <w:sz w:val="20"/>
                <w:szCs w:val="20"/>
                <w:lang w:val="en-GB"/>
              </w:rPr>
            </w:pPr>
          </w:p>
        </w:tc>
        <w:tc>
          <w:tcPr>
            <w:tcW w:w="1667" w:type="pct"/>
          </w:tcPr>
          <w:p w14:paraId="115DCBE8" w14:textId="77777777" w:rsidR="0077566D" w:rsidRPr="00EB3A82" w:rsidRDefault="003562D7">
            <w:pPr>
              <w:outlineLvl w:val="1"/>
              <w:rPr>
                <w:rFonts w:ascii="Arial" w:eastAsia="MS Mincho" w:hAnsi="Arial" w:cs="Arial"/>
                <w:b/>
                <w:bCs/>
                <w:sz w:val="20"/>
                <w:szCs w:val="20"/>
                <w:lang w:val="en-GB"/>
              </w:rPr>
            </w:pPr>
            <w:r w:rsidRPr="00EB3A82">
              <w:rPr>
                <w:rFonts w:ascii="Arial" w:eastAsia="MS Mincho" w:hAnsi="Arial" w:cs="Arial"/>
                <w:b/>
                <w:bCs/>
                <w:sz w:val="20"/>
                <w:szCs w:val="20"/>
                <w:lang w:val="en-GB"/>
              </w:rPr>
              <w:t>Rating of the Reviewers</w:t>
            </w:r>
          </w:p>
        </w:tc>
        <w:tc>
          <w:tcPr>
            <w:tcW w:w="1667" w:type="pct"/>
          </w:tcPr>
          <w:p w14:paraId="5664461E" w14:textId="77777777" w:rsidR="0077566D" w:rsidRPr="00EB3A82" w:rsidRDefault="003562D7">
            <w:pPr>
              <w:spacing w:after="160" w:line="259" w:lineRule="auto"/>
              <w:rPr>
                <w:rFonts w:ascii="Arial" w:hAnsi="Arial" w:cs="Arial"/>
                <w:b/>
                <w:sz w:val="20"/>
                <w:szCs w:val="20"/>
                <w:lang w:val="en-GB"/>
              </w:rPr>
            </w:pPr>
            <w:r w:rsidRPr="00EB3A82">
              <w:rPr>
                <w:rFonts w:ascii="Arial" w:eastAsia="Calibri" w:hAnsi="Arial" w:cs="Arial"/>
                <w:b/>
                <w:kern w:val="2"/>
                <w:sz w:val="20"/>
                <w:szCs w:val="20"/>
                <w:lang w:val="en-GB"/>
              </w:rPr>
              <w:t>Author’s Feedback</w:t>
            </w:r>
            <w:r w:rsidRPr="00EB3A82">
              <w:rPr>
                <w:rFonts w:ascii="Arial" w:eastAsia="Calibri" w:hAnsi="Arial" w:cs="Arial"/>
                <w:kern w:val="2"/>
                <w:sz w:val="20"/>
                <w:szCs w:val="20"/>
                <w:lang w:val="en-GB"/>
              </w:rPr>
              <w:t xml:space="preserve"> </w:t>
            </w:r>
          </w:p>
        </w:tc>
      </w:tr>
      <w:tr w:rsidR="0077566D" w:rsidRPr="00EB3A82" w14:paraId="6B9C028E" w14:textId="77777777">
        <w:trPr>
          <w:trHeight w:val="20"/>
          <w:jc w:val="center"/>
        </w:trPr>
        <w:tc>
          <w:tcPr>
            <w:tcW w:w="1666" w:type="pct"/>
            <w:noWrap/>
          </w:tcPr>
          <w:p w14:paraId="1A1190C8" w14:textId="77777777" w:rsidR="0077566D" w:rsidRPr="00EB3A82" w:rsidRDefault="003562D7">
            <w:pPr>
              <w:rPr>
                <w:rFonts w:ascii="Arial" w:hAnsi="Arial" w:cs="Arial"/>
                <w:b/>
                <w:bCs/>
                <w:sz w:val="20"/>
                <w:szCs w:val="20"/>
                <w:lang w:val="en-GB"/>
              </w:rPr>
            </w:pPr>
            <w:r w:rsidRPr="00EB3A82">
              <w:rPr>
                <w:rFonts w:ascii="Arial" w:hAnsi="Arial" w:cs="Arial"/>
                <w:b/>
                <w:bCs/>
                <w:sz w:val="20"/>
                <w:szCs w:val="20"/>
                <w:lang w:val="en-GB"/>
              </w:rPr>
              <w:t xml:space="preserve">1. Is the title clear and appropriate for the paper? </w:t>
            </w:r>
          </w:p>
          <w:p w14:paraId="2EEC16F5" w14:textId="77777777" w:rsidR="0077566D" w:rsidRPr="00EB3A82" w:rsidRDefault="003562D7">
            <w:pPr>
              <w:rPr>
                <w:rFonts w:ascii="Arial" w:hAnsi="Arial" w:cs="Arial"/>
                <w:color w:val="404040"/>
                <w:sz w:val="20"/>
                <w:szCs w:val="20"/>
                <w:shd w:val="clear" w:color="auto" w:fill="FFFFFF"/>
                <w:lang w:val="en-GB"/>
              </w:rPr>
            </w:pPr>
            <w:r w:rsidRPr="00EB3A82">
              <w:rPr>
                <w:rFonts w:ascii="Arial" w:hAnsi="Arial" w:cs="Arial"/>
                <w:color w:val="404040"/>
                <w:sz w:val="20"/>
                <w:szCs w:val="20"/>
                <w:shd w:val="clear" w:color="auto" w:fill="FFFFFF"/>
                <w:lang w:val="en-GB"/>
              </w:rPr>
              <w:t xml:space="preserve">Rating Scale: </w:t>
            </w:r>
          </w:p>
          <w:p w14:paraId="323987BA" w14:textId="77777777" w:rsidR="0077566D" w:rsidRPr="00EB3A82" w:rsidRDefault="003562D7">
            <w:pPr>
              <w:rPr>
                <w:rFonts w:ascii="Arial" w:hAnsi="Arial" w:cs="Arial"/>
                <w:sz w:val="20"/>
                <w:szCs w:val="20"/>
                <w:u w:val="single"/>
                <w:lang w:val="en-GB"/>
              </w:rPr>
            </w:pPr>
            <w:r w:rsidRPr="00EB3A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F90977" w14:textId="77777777" w:rsidR="00743B44" w:rsidRPr="00EB3A82" w:rsidRDefault="00743B44" w:rsidP="00743B44">
            <w:pPr>
              <w:ind w:left="50"/>
              <w:rPr>
                <w:rFonts w:ascii="Arial" w:hAnsi="Arial" w:cs="Arial"/>
                <w:sz w:val="20"/>
                <w:szCs w:val="20"/>
                <w:lang w:val="en-GB"/>
              </w:rPr>
            </w:pPr>
            <w:r w:rsidRPr="00EB3A82">
              <w:rPr>
                <w:rFonts w:ascii="Arial" w:hAnsi="Arial" w:cs="Arial"/>
                <w:sz w:val="20"/>
                <w:szCs w:val="20"/>
                <w:lang w:val="en-GB"/>
              </w:rPr>
              <w:t>The title accurately describes the physiological effects (appetite suppression and delayed gastric emptying) and the pharmacological agent (semaglutide) investigated.</w:t>
            </w:r>
          </w:p>
          <w:p w14:paraId="06ECF63F" w14:textId="77777777" w:rsidR="00743B44" w:rsidRPr="00EB3A82" w:rsidRDefault="00743B44" w:rsidP="00743B44">
            <w:pPr>
              <w:ind w:left="50"/>
              <w:rPr>
                <w:rFonts w:ascii="Arial" w:hAnsi="Arial" w:cs="Arial"/>
                <w:sz w:val="20"/>
                <w:szCs w:val="20"/>
                <w:lang w:val="en-GB"/>
              </w:rPr>
            </w:pPr>
            <w:r w:rsidRPr="00EB3A82">
              <w:rPr>
                <w:rFonts w:ascii="Arial" w:hAnsi="Arial" w:cs="Arial"/>
                <w:sz w:val="20"/>
                <w:szCs w:val="20"/>
                <w:lang w:val="en-GB"/>
              </w:rPr>
              <w:t>The clinical context of non-diabetic obesity is clearly defined by it, which is crucial because there are different mechanisms and indications for using semaglutide for diabetes management and weight loss.</w:t>
            </w:r>
          </w:p>
          <w:p w14:paraId="19733519" w14:textId="77777777" w:rsidR="0077566D" w:rsidRPr="00EB3A82" w:rsidRDefault="00743B44" w:rsidP="00743B44">
            <w:pPr>
              <w:ind w:left="50"/>
              <w:rPr>
                <w:rFonts w:ascii="Arial" w:hAnsi="Arial" w:cs="Arial"/>
                <w:sz w:val="20"/>
                <w:szCs w:val="20"/>
                <w:lang w:val="en-GB"/>
              </w:rPr>
            </w:pPr>
            <w:r w:rsidRPr="00EB3A82">
              <w:rPr>
                <w:rFonts w:ascii="Arial" w:hAnsi="Arial" w:cs="Arial"/>
                <w:sz w:val="20"/>
                <w:szCs w:val="20"/>
                <w:lang w:val="en-GB"/>
              </w:rPr>
              <w:t>The format's effectiveness in academic indexing makes it easy for researchers who work on the gut-brain axis or GLP-1 receptor agonists to locate the article.</w:t>
            </w:r>
          </w:p>
          <w:p w14:paraId="6418B26D" w14:textId="53666FE7" w:rsidR="00743B44" w:rsidRPr="00EB3A82" w:rsidRDefault="005250D9" w:rsidP="00743B44">
            <w:pPr>
              <w:ind w:left="360"/>
              <w:rPr>
                <w:rFonts w:ascii="Arial" w:hAnsi="Arial" w:cs="Arial"/>
                <w:b/>
                <w:bCs/>
                <w:sz w:val="20"/>
                <w:szCs w:val="20"/>
                <w:lang w:val="en-GB"/>
              </w:rPr>
            </w:pPr>
            <w:r w:rsidRPr="00EB3A82">
              <w:rPr>
                <w:rFonts w:ascii="Arial" w:hAnsi="Arial" w:cs="Arial"/>
                <w:sz w:val="20"/>
                <w:szCs w:val="20"/>
              </w:rPr>
              <w:t>Rating: 5 (Excellent)</w:t>
            </w:r>
          </w:p>
        </w:tc>
        <w:tc>
          <w:tcPr>
            <w:tcW w:w="1667" w:type="pct"/>
          </w:tcPr>
          <w:p w14:paraId="2281E0DB" w14:textId="77777777" w:rsidR="0077566D" w:rsidRPr="00EB3A82" w:rsidRDefault="0077566D">
            <w:pPr>
              <w:outlineLvl w:val="1"/>
              <w:rPr>
                <w:rFonts w:ascii="Arial" w:eastAsia="MS Mincho" w:hAnsi="Arial" w:cs="Arial"/>
                <w:bCs/>
                <w:sz w:val="20"/>
                <w:szCs w:val="20"/>
                <w:lang w:val="en-GB"/>
              </w:rPr>
            </w:pPr>
          </w:p>
        </w:tc>
      </w:tr>
      <w:tr w:rsidR="0077566D" w:rsidRPr="00EB3A82" w14:paraId="6FC07E71" w14:textId="77777777">
        <w:trPr>
          <w:trHeight w:val="20"/>
          <w:jc w:val="center"/>
        </w:trPr>
        <w:tc>
          <w:tcPr>
            <w:tcW w:w="1666" w:type="pct"/>
            <w:noWrap/>
          </w:tcPr>
          <w:p w14:paraId="5B1AE8FC" w14:textId="77777777" w:rsidR="0077566D" w:rsidRPr="00EB3A82" w:rsidRDefault="003562D7">
            <w:pPr>
              <w:outlineLvl w:val="1"/>
              <w:rPr>
                <w:rFonts w:ascii="Arial" w:eastAsia="MS Mincho" w:hAnsi="Arial" w:cs="Arial"/>
                <w:b/>
                <w:bCs/>
                <w:sz w:val="20"/>
                <w:szCs w:val="20"/>
                <w:lang w:val="en-GB"/>
              </w:rPr>
            </w:pPr>
            <w:r w:rsidRPr="00EB3A82">
              <w:rPr>
                <w:rFonts w:ascii="Arial" w:eastAsia="MS Mincho" w:hAnsi="Arial" w:cs="Arial"/>
                <w:b/>
                <w:bCs/>
                <w:sz w:val="20"/>
                <w:szCs w:val="20"/>
                <w:lang w:val="en-GB"/>
              </w:rPr>
              <w:t xml:space="preserve">2. Is the abstract of the article comprehensive? </w:t>
            </w:r>
          </w:p>
          <w:p w14:paraId="3268FEDD" w14:textId="77777777" w:rsidR="0077566D" w:rsidRPr="00EB3A82" w:rsidRDefault="003562D7">
            <w:pPr>
              <w:rPr>
                <w:rFonts w:ascii="Arial" w:hAnsi="Arial" w:cs="Arial"/>
                <w:color w:val="404040"/>
                <w:sz w:val="20"/>
                <w:szCs w:val="20"/>
                <w:shd w:val="clear" w:color="auto" w:fill="FFFFFF"/>
                <w:lang w:val="en-GB"/>
              </w:rPr>
            </w:pPr>
            <w:r w:rsidRPr="00EB3A82">
              <w:rPr>
                <w:rFonts w:ascii="Arial" w:hAnsi="Arial" w:cs="Arial"/>
                <w:color w:val="404040"/>
                <w:sz w:val="20"/>
                <w:szCs w:val="20"/>
                <w:shd w:val="clear" w:color="auto" w:fill="FFFFFF"/>
                <w:lang w:val="en-GB"/>
              </w:rPr>
              <w:t xml:space="preserve">Rating Scale: </w:t>
            </w:r>
          </w:p>
          <w:p w14:paraId="01062CAC" w14:textId="77777777" w:rsidR="0077566D" w:rsidRPr="00EB3A82" w:rsidRDefault="003562D7">
            <w:pPr>
              <w:rPr>
                <w:rFonts w:ascii="Arial" w:hAnsi="Arial" w:cs="Arial"/>
                <w:sz w:val="20"/>
                <w:szCs w:val="20"/>
                <w:lang w:val="en-GB"/>
              </w:rPr>
            </w:pPr>
            <w:r w:rsidRPr="00EB3A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D88BC5" w14:textId="64654018" w:rsidR="005250D9" w:rsidRPr="00EB3A82" w:rsidRDefault="005250D9" w:rsidP="005250D9">
            <w:pPr>
              <w:ind w:left="50"/>
              <w:rPr>
                <w:rFonts w:ascii="Arial" w:hAnsi="Arial" w:cs="Arial"/>
                <w:sz w:val="20"/>
                <w:szCs w:val="20"/>
                <w:lang w:val="en-GB"/>
              </w:rPr>
            </w:pPr>
            <w:r w:rsidRPr="00EB3A82">
              <w:rPr>
                <w:rFonts w:ascii="Arial" w:hAnsi="Arial" w:cs="Arial"/>
                <w:sz w:val="20"/>
                <w:szCs w:val="20"/>
                <w:lang w:val="en-GB"/>
              </w:rPr>
              <w:t>The abstract is very comprehensive and scrupulously adheres to the formal requirements of a high-impact narrative review. Its strength lies in the balance it strikes between pharmacological theory and clinical observation.</w:t>
            </w:r>
          </w:p>
          <w:p w14:paraId="7C76E765" w14:textId="77777777" w:rsidR="005250D9" w:rsidRPr="00EB3A82" w:rsidRDefault="005250D9" w:rsidP="005250D9">
            <w:pPr>
              <w:ind w:left="50"/>
              <w:rPr>
                <w:rFonts w:ascii="Arial" w:hAnsi="Arial" w:cs="Arial"/>
                <w:sz w:val="20"/>
                <w:szCs w:val="20"/>
                <w:lang w:val="en-GB"/>
              </w:rPr>
            </w:pPr>
            <w:r w:rsidRPr="00EB3A82">
              <w:rPr>
                <w:rFonts w:ascii="Arial" w:hAnsi="Arial" w:cs="Arial"/>
                <w:sz w:val="20"/>
                <w:szCs w:val="20"/>
                <w:lang w:val="en-GB"/>
              </w:rPr>
              <w:t>Regarding its structure, it follows the standard IMRaD format (Introduction, Methods, Results, and Discussion), essential for clarity and indexing in medical databases.</w:t>
            </w:r>
          </w:p>
          <w:p w14:paraId="5A3D8239" w14:textId="3550E36A" w:rsidR="0077566D" w:rsidRPr="00EB3A82" w:rsidRDefault="005250D9" w:rsidP="005250D9">
            <w:pPr>
              <w:ind w:left="50"/>
              <w:rPr>
                <w:rFonts w:ascii="Arial" w:hAnsi="Arial" w:cs="Arial"/>
                <w:sz w:val="20"/>
                <w:szCs w:val="20"/>
                <w:lang w:val="en-GB"/>
              </w:rPr>
            </w:pPr>
            <w:r w:rsidRPr="00EB3A82">
              <w:rPr>
                <w:rFonts w:ascii="Arial" w:hAnsi="Arial" w:cs="Arial"/>
                <w:sz w:val="20"/>
                <w:szCs w:val="20"/>
                <w:lang w:val="en-GB"/>
              </w:rPr>
              <w:t>From a methodological standpoint, and unlike many narrative manuscripts that omit research details, this abstract explicitly mentions the research period (2015–2026) and the specific databases used (PubMed, Scopus, Google Scholar). This significantly enhances the credibility of the "Results" section.</w:t>
            </w:r>
          </w:p>
          <w:p w14:paraId="28947A21" w14:textId="77777777" w:rsidR="005250D9" w:rsidRPr="00EB3A82" w:rsidRDefault="005250D9" w:rsidP="005250D9">
            <w:pPr>
              <w:ind w:left="360"/>
              <w:rPr>
                <w:rFonts w:ascii="Arial" w:hAnsi="Arial" w:cs="Arial"/>
                <w:b/>
                <w:bCs/>
                <w:sz w:val="20"/>
                <w:szCs w:val="20"/>
                <w:lang w:val="en-GB"/>
              </w:rPr>
            </w:pPr>
          </w:p>
          <w:p w14:paraId="04B9BBC6" w14:textId="77777777" w:rsidR="005250D9" w:rsidRPr="00EB3A82" w:rsidRDefault="005250D9" w:rsidP="005250D9">
            <w:pPr>
              <w:ind w:left="360"/>
              <w:rPr>
                <w:rFonts w:ascii="Arial" w:hAnsi="Arial" w:cs="Arial"/>
                <w:b/>
                <w:bCs/>
                <w:sz w:val="20"/>
                <w:szCs w:val="20"/>
                <w:lang w:val="en-GB"/>
              </w:rPr>
            </w:pPr>
            <w:r w:rsidRPr="00EB3A82">
              <w:rPr>
                <w:rFonts w:ascii="Arial" w:hAnsi="Arial" w:cs="Arial"/>
                <w:b/>
                <w:bCs/>
                <w:sz w:val="20"/>
                <w:szCs w:val="20"/>
                <w:lang w:val="en-GB"/>
              </w:rPr>
              <w:t>Rating: 5 (Excellent)</w:t>
            </w:r>
          </w:p>
          <w:p w14:paraId="64EC616E" w14:textId="7897FDEE" w:rsidR="005250D9" w:rsidRPr="00EB3A82" w:rsidRDefault="005250D9" w:rsidP="005250D9">
            <w:pPr>
              <w:ind w:left="360"/>
              <w:rPr>
                <w:rFonts w:ascii="Arial" w:hAnsi="Arial" w:cs="Arial"/>
                <w:b/>
                <w:bCs/>
                <w:sz w:val="20"/>
                <w:szCs w:val="20"/>
                <w:lang w:val="en-GB"/>
              </w:rPr>
            </w:pPr>
          </w:p>
        </w:tc>
        <w:tc>
          <w:tcPr>
            <w:tcW w:w="1667" w:type="pct"/>
          </w:tcPr>
          <w:p w14:paraId="5B629379" w14:textId="77777777" w:rsidR="0077566D" w:rsidRPr="00EB3A82" w:rsidRDefault="0077566D">
            <w:pPr>
              <w:outlineLvl w:val="1"/>
              <w:rPr>
                <w:rFonts w:ascii="Arial" w:eastAsia="MS Mincho" w:hAnsi="Arial" w:cs="Arial"/>
                <w:bCs/>
                <w:sz w:val="20"/>
                <w:szCs w:val="20"/>
                <w:lang w:val="en-GB"/>
              </w:rPr>
            </w:pPr>
          </w:p>
        </w:tc>
      </w:tr>
      <w:tr w:rsidR="0077566D" w:rsidRPr="00EB3A82" w14:paraId="39683E88" w14:textId="77777777" w:rsidTr="00F4493E">
        <w:trPr>
          <w:trHeight w:val="1880"/>
          <w:jc w:val="center"/>
        </w:trPr>
        <w:tc>
          <w:tcPr>
            <w:tcW w:w="1666" w:type="pct"/>
            <w:noWrap/>
          </w:tcPr>
          <w:p w14:paraId="46BFAE0F" w14:textId="77777777" w:rsidR="0077566D" w:rsidRPr="00EB3A82" w:rsidRDefault="003562D7">
            <w:pPr>
              <w:outlineLvl w:val="1"/>
              <w:rPr>
                <w:rFonts w:ascii="Arial" w:eastAsia="MS Mincho" w:hAnsi="Arial" w:cs="Arial"/>
                <w:b/>
                <w:bCs/>
                <w:sz w:val="20"/>
                <w:szCs w:val="20"/>
                <w:lang w:val="en-GB" w:eastAsia="x-none"/>
              </w:rPr>
            </w:pPr>
            <w:r w:rsidRPr="00EB3A82">
              <w:rPr>
                <w:rFonts w:ascii="Arial" w:eastAsia="MS Mincho" w:hAnsi="Arial" w:cs="Arial"/>
                <w:b/>
                <w:bCs/>
                <w:sz w:val="20"/>
                <w:szCs w:val="20"/>
                <w:lang w:val="en-GB" w:eastAsia="x-none"/>
              </w:rPr>
              <w:t>3. Are the keywords appropriate and useful?</w:t>
            </w:r>
          </w:p>
          <w:p w14:paraId="42855CC7" w14:textId="77777777" w:rsidR="0077566D" w:rsidRPr="00EB3A82" w:rsidRDefault="003562D7">
            <w:pPr>
              <w:rPr>
                <w:rFonts w:ascii="Arial" w:hAnsi="Arial" w:cs="Arial"/>
                <w:color w:val="404040"/>
                <w:sz w:val="20"/>
                <w:szCs w:val="20"/>
                <w:shd w:val="clear" w:color="auto" w:fill="FFFFFF"/>
                <w:lang w:val="en-GB"/>
              </w:rPr>
            </w:pPr>
            <w:r w:rsidRPr="00EB3A82">
              <w:rPr>
                <w:rFonts w:ascii="Arial" w:hAnsi="Arial" w:cs="Arial"/>
                <w:color w:val="404040"/>
                <w:sz w:val="20"/>
                <w:szCs w:val="20"/>
                <w:shd w:val="clear" w:color="auto" w:fill="FFFFFF"/>
                <w:lang w:val="en-GB"/>
              </w:rPr>
              <w:t xml:space="preserve">Rating Scale: </w:t>
            </w:r>
          </w:p>
          <w:p w14:paraId="11450447" w14:textId="77777777" w:rsidR="0077566D" w:rsidRPr="00EB3A82" w:rsidRDefault="003562D7">
            <w:pPr>
              <w:rPr>
                <w:rFonts w:ascii="Arial" w:hAnsi="Arial" w:cs="Arial"/>
                <w:sz w:val="20"/>
                <w:szCs w:val="20"/>
                <w:lang w:val="en-GB" w:eastAsia="x-none"/>
              </w:rPr>
            </w:pPr>
            <w:r w:rsidRPr="00EB3A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352CFE" w14:textId="77777777" w:rsidR="005250D9" w:rsidRPr="00EB3A82" w:rsidRDefault="005250D9" w:rsidP="005250D9">
            <w:pPr>
              <w:spacing w:before="100" w:beforeAutospacing="1" w:after="100" w:afterAutospacing="1"/>
              <w:rPr>
                <w:rFonts w:ascii="Arial" w:hAnsi="Arial" w:cs="Arial"/>
                <w:sz w:val="20"/>
                <w:szCs w:val="20"/>
                <w:lang w:eastAsia="fr-FR"/>
              </w:rPr>
            </w:pPr>
            <w:r w:rsidRPr="00EB3A82">
              <w:rPr>
                <w:rFonts w:ascii="Arial" w:hAnsi="Arial" w:cs="Arial"/>
                <w:sz w:val="20"/>
                <w:szCs w:val="20"/>
                <w:lang w:eastAsia="fr-FR"/>
              </w:rPr>
              <w:t>The selection of keywords is highly effective for both digital indexing and academic discoverability. They cover the full spectrum of the paper’s scope, from the specific molecule to the broad physiological systems involved.</w:t>
            </w:r>
          </w:p>
          <w:p w14:paraId="1FC1E44C" w14:textId="05A276C5" w:rsidR="0077566D" w:rsidRPr="00EB3A82" w:rsidRDefault="005250D9" w:rsidP="005250D9">
            <w:pPr>
              <w:ind w:left="360"/>
              <w:rPr>
                <w:rFonts w:ascii="Arial" w:hAnsi="Arial" w:cs="Arial"/>
                <w:b/>
                <w:bCs/>
                <w:sz w:val="20"/>
                <w:szCs w:val="20"/>
                <w:lang w:val="en-GB"/>
              </w:rPr>
            </w:pPr>
            <w:r w:rsidRPr="00EB3A82">
              <w:rPr>
                <w:rFonts w:ascii="Arial" w:hAnsi="Arial" w:cs="Arial"/>
                <w:b/>
                <w:bCs/>
                <w:sz w:val="20"/>
                <w:szCs w:val="20"/>
                <w:lang w:val="en-GB"/>
              </w:rPr>
              <w:t>Rating: 5 (Excellent)</w:t>
            </w:r>
          </w:p>
        </w:tc>
        <w:tc>
          <w:tcPr>
            <w:tcW w:w="1667" w:type="pct"/>
          </w:tcPr>
          <w:p w14:paraId="6C5FFC8B" w14:textId="77777777" w:rsidR="0077566D" w:rsidRPr="00EB3A82" w:rsidRDefault="0077566D">
            <w:pPr>
              <w:outlineLvl w:val="1"/>
              <w:rPr>
                <w:rFonts w:ascii="Arial" w:eastAsia="MS Mincho" w:hAnsi="Arial" w:cs="Arial"/>
                <w:bCs/>
                <w:sz w:val="20"/>
                <w:szCs w:val="20"/>
                <w:lang w:val="en-GB"/>
              </w:rPr>
            </w:pPr>
          </w:p>
        </w:tc>
      </w:tr>
      <w:tr w:rsidR="0077566D" w:rsidRPr="00EB3A82" w14:paraId="089D869C" w14:textId="77777777">
        <w:trPr>
          <w:trHeight w:val="20"/>
          <w:jc w:val="center"/>
        </w:trPr>
        <w:tc>
          <w:tcPr>
            <w:tcW w:w="1666" w:type="pct"/>
            <w:noWrap/>
          </w:tcPr>
          <w:p w14:paraId="6F33BFBF" w14:textId="77777777" w:rsidR="0077566D" w:rsidRPr="00EB3A82" w:rsidRDefault="003562D7">
            <w:pPr>
              <w:outlineLvl w:val="1"/>
              <w:rPr>
                <w:rFonts w:ascii="Arial" w:eastAsia="MS Mincho" w:hAnsi="Arial" w:cs="Arial"/>
                <w:b/>
                <w:bCs/>
                <w:sz w:val="20"/>
                <w:szCs w:val="20"/>
                <w:lang w:val="en-GB" w:eastAsia="x-none"/>
              </w:rPr>
            </w:pPr>
            <w:r w:rsidRPr="00EB3A82">
              <w:rPr>
                <w:rFonts w:ascii="Arial" w:eastAsia="MS Mincho" w:hAnsi="Arial" w:cs="Arial"/>
                <w:b/>
                <w:bCs/>
                <w:sz w:val="20"/>
                <w:szCs w:val="20"/>
                <w:lang w:val="en-GB" w:eastAsia="x-none"/>
              </w:rPr>
              <w:t>4. Is the background information of the paper sufficient and well organized?</w:t>
            </w:r>
          </w:p>
          <w:p w14:paraId="2F4FE225" w14:textId="77777777" w:rsidR="0077566D" w:rsidRPr="00EB3A82" w:rsidRDefault="003562D7">
            <w:pPr>
              <w:rPr>
                <w:rFonts w:ascii="Arial" w:hAnsi="Arial" w:cs="Arial"/>
                <w:color w:val="404040"/>
                <w:sz w:val="20"/>
                <w:szCs w:val="20"/>
                <w:shd w:val="clear" w:color="auto" w:fill="FFFFFF"/>
                <w:lang w:val="en-GB"/>
              </w:rPr>
            </w:pPr>
            <w:r w:rsidRPr="00EB3A82">
              <w:rPr>
                <w:rFonts w:ascii="Arial" w:hAnsi="Arial" w:cs="Arial"/>
                <w:color w:val="404040"/>
                <w:sz w:val="20"/>
                <w:szCs w:val="20"/>
                <w:shd w:val="clear" w:color="auto" w:fill="FFFFFF"/>
                <w:lang w:val="en-GB"/>
              </w:rPr>
              <w:t xml:space="preserve">Rating Scale: </w:t>
            </w:r>
          </w:p>
          <w:p w14:paraId="26A384AD" w14:textId="77777777" w:rsidR="0077566D" w:rsidRPr="00EB3A82" w:rsidRDefault="003562D7">
            <w:pPr>
              <w:rPr>
                <w:rFonts w:ascii="Arial" w:hAnsi="Arial" w:cs="Arial"/>
                <w:sz w:val="20"/>
                <w:szCs w:val="20"/>
                <w:lang w:val="en-GB" w:eastAsia="x-none"/>
              </w:rPr>
            </w:pPr>
            <w:r w:rsidRPr="00EB3A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0F3236" w14:textId="77777777" w:rsidR="00366A6B" w:rsidRPr="00EB3A82" w:rsidRDefault="00366A6B" w:rsidP="00366A6B">
            <w:pPr>
              <w:ind w:left="360"/>
              <w:rPr>
                <w:rFonts w:ascii="Arial" w:hAnsi="Arial" w:cs="Arial"/>
                <w:sz w:val="20"/>
                <w:szCs w:val="20"/>
                <w:lang w:val="en-GB"/>
              </w:rPr>
            </w:pPr>
          </w:p>
          <w:p w14:paraId="3B05FC70" w14:textId="77777777" w:rsidR="00366A6B" w:rsidRPr="00EB3A82" w:rsidRDefault="00366A6B" w:rsidP="00366A6B">
            <w:pPr>
              <w:rPr>
                <w:rFonts w:ascii="Arial" w:hAnsi="Arial" w:cs="Arial"/>
                <w:sz w:val="20"/>
                <w:szCs w:val="20"/>
                <w:lang w:val="en-GB"/>
              </w:rPr>
            </w:pPr>
            <w:r w:rsidRPr="00EB3A82">
              <w:rPr>
                <w:rFonts w:ascii="Arial" w:hAnsi="Arial" w:cs="Arial"/>
                <w:sz w:val="20"/>
                <w:szCs w:val="20"/>
                <w:lang w:val="en-GB"/>
              </w:rPr>
              <w:t xml:space="preserve">The introduction provides a solid foundation for the analysis, but a more in-depth development of the overall clinical context would be beneficial. It naturally transitions from the problem (obesity dysregulation) to the solution (semaglutide), then presents the specific areas investigated (hypothalamic circuits, peripheral hormones, and intestinal motility), and effectively sets the stage for the five mechanistic areas analyzed in the </w:t>
            </w:r>
            <w:r w:rsidRPr="00EB3A82">
              <w:rPr>
                <w:rFonts w:ascii="Arial" w:hAnsi="Arial" w:cs="Arial"/>
                <w:sz w:val="20"/>
                <w:szCs w:val="20"/>
                <w:lang w:val="en-GB"/>
              </w:rPr>
              <w:lastRenderedPageBreak/>
              <w:t>results.</w:t>
            </w:r>
          </w:p>
          <w:p w14:paraId="6FB21EB7" w14:textId="77777777" w:rsidR="00366A6B" w:rsidRPr="00EB3A82" w:rsidRDefault="00366A6B" w:rsidP="00366A6B">
            <w:pPr>
              <w:ind w:left="360"/>
              <w:rPr>
                <w:rFonts w:ascii="Arial" w:hAnsi="Arial" w:cs="Arial"/>
                <w:sz w:val="20"/>
                <w:szCs w:val="20"/>
                <w:lang w:val="en-GB"/>
              </w:rPr>
            </w:pPr>
          </w:p>
          <w:p w14:paraId="359982F2" w14:textId="77777777" w:rsidR="0077566D" w:rsidRPr="00EB3A82" w:rsidRDefault="00366A6B" w:rsidP="00366A6B">
            <w:pPr>
              <w:rPr>
                <w:rFonts w:ascii="Arial" w:hAnsi="Arial" w:cs="Arial"/>
                <w:sz w:val="20"/>
                <w:szCs w:val="20"/>
                <w:lang w:val="en-GB"/>
              </w:rPr>
            </w:pPr>
            <w:r w:rsidRPr="00EB3A82">
              <w:rPr>
                <w:rFonts w:ascii="Arial" w:hAnsi="Arial" w:cs="Arial"/>
                <w:sz w:val="20"/>
                <w:szCs w:val="20"/>
                <w:lang w:val="en-GB"/>
              </w:rPr>
              <w:t>Finally, to achieve the maximum score (5/5), the "Background" section could have briefly mentioned the evolution of GLP-1 receptor agonists. A brief historical overview explaining how semaglutide represents a major advance over its predecessors would strengthen the rationale for this narrative review.</w:t>
            </w:r>
          </w:p>
          <w:p w14:paraId="2EB0BA36" w14:textId="77777777" w:rsidR="00366A6B" w:rsidRPr="00EB3A82" w:rsidRDefault="00366A6B" w:rsidP="00366A6B">
            <w:pPr>
              <w:rPr>
                <w:rFonts w:ascii="Arial" w:hAnsi="Arial" w:cs="Arial"/>
                <w:sz w:val="20"/>
                <w:szCs w:val="20"/>
                <w:lang w:val="en-GB"/>
              </w:rPr>
            </w:pPr>
          </w:p>
          <w:p w14:paraId="4CE4639C" w14:textId="77777777" w:rsidR="00366A6B" w:rsidRPr="00EB3A82" w:rsidRDefault="00366A6B" w:rsidP="00366A6B">
            <w:pPr>
              <w:ind w:left="360"/>
              <w:rPr>
                <w:rFonts w:ascii="Arial" w:hAnsi="Arial" w:cs="Arial"/>
                <w:b/>
                <w:bCs/>
                <w:sz w:val="20"/>
                <w:szCs w:val="20"/>
                <w:lang w:val="en-GB"/>
              </w:rPr>
            </w:pPr>
            <w:r w:rsidRPr="00EB3A82">
              <w:rPr>
                <w:rFonts w:ascii="Arial" w:hAnsi="Arial" w:cs="Arial"/>
                <w:b/>
                <w:bCs/>
                <w:sz w:val="20"/>
                <w:szCs w:val="20"/>
                <w:lang w:val="en-GB"/>
              </w:rPr>
              <w:t>Rating: 4 (Good)</w:t>
            </w:r>
          </w:p>
          <w:p w14:paraId="6A25B584" w14:textId="1F513E01" w:rsidR="00366A6B" w:rsidRPr="00EB3A82" w:rsidRDefault="00366A6B" w:rsidP="00366A6B">
            <w:pPr>
              <w:rPr>
                <w:rFonts w:ascii="Arial" w:hAnsi="Arial" w:cs="Arial"/>
                <w:sz w:val="20"/>
                <w:szCs w:val="20"/>
                <w:lang w:val="en-GB"/>
              </w:rPr>
            </w:pPr>
          </w:p>
        </w:tc>
        <w:tc>
          <w:tcPr>
            <w:tcW w:w="1667" w:type="pct"/>
          </w:tcPr>
          <w:p w14:paraId="43B16C88" w14:textId="5C4BE75F" w:rsidR="0077566D" w:rsidRPr="00EB3A82" w:rsidRDefault="00162FED">
            <w:pPr>
              <w:outlineLvl w:val="1"/>
              <w:rPr>
                <w:rFonts w:ascii="Arial" w:eastAsia="MS Mincho" w:hAnsi="Arial" w:cs="Arial"/>
                <w:bCs/>
                <w:sz w:val="20"/>
                <w:szCs w:val="20"/>
                <w:lang w:val="en-GB"/>
              </w:rPr>
            </w:pPr>
            <w:r w:rsidRPr="00EB3A82">
              <w:rPr>
                <w:rFonts w:ascii="Arial" w:eastAsia="MS Mincho" w:hAnsi="Arial" w:cs="Arial"/>
                <w:bCs/>
                <w:sz w:val="20"/>
                <w:szCs w:val="20"/>
                <w:lang w:val="en-GB"/>
              </w:rPr>
              <w:lastRenderedPageBreak/>
              <w:t xml:space="preserve"> </w:t>
            </w:r>
          </w:p>
        </w:tc>
      </w:tr>
      <w:tr w:rsidR="0077566D" w:rsidRPr="00EB3A82" w14:paraId="2B6FBD10" w14:textId="77777777">
        <w:trPr>
          <w:trHeight w:val="20"/>
          <w:jc w:val="center"/>
        </w:trPr>
        <w:tc>
          <w:tcPr>
            <w:tcW w:w="1666" w:type="pct"/>
            <w:noWrap/>
          </w:tcPr>
          <w:p w14:paraId="1E41C30D" w14:textId="77777777" w:rsidR="0077566D" w:rsidRPr="00EB3A82" w:rsidRDefault="003562D7">
            <w:pPr>
              <w:outlineLvl w:val="1"/>
              <w:rPr>
                <w:rFonts w:ascii="Arial" w:eastAsia="MS Mincho" w:hAnsi="Arial" w:cs="Arial"/>
                <w:b/>
                <w:bCs/>
                <w:sz w:val="20"/>
                <w:szCs w:val="20"/>
                <w:lang w:val="en-GB" w:eastAsia="x-none"/>
              </w:rPr>
            </w:pPr>
            <w:r w:rsidRPr="00EB3A82">
              <w:rPr>
                <w:rFonts w:ascii="Arial" w:eastAsia="MS Mincho" w:hAnsi="Arial" w:cs="Arial"/>
                <w:b/>
                <w:bCs/>
                <w:sz w:val="20"/>
                <w:szCs w:val="20"/>
                <w:lang w:val="en-GB" w:eastAsia="x-none"/>
              </w:rPr>
              <w:t>5. Are the objectives clearly stated?</w:t>
            </w:r>
          </w:p>
          <w:p w14:paraId="5BE47BEC" w14:textId="77777777" w:rsidR="0077566D" w:rsidRPr="00EB3A82" w:rsidRDefault="003562D7">
            <w:pPr>
              <w:rPr>
                <w:rFonts w:ascii="Arial" w:hAnsi="Arial" w:cs="Arial"/>
                <w:color w:val="404040"/>
                <w:sz w:val="20"/>
                <w:szCs w:val="20"/>
                <w:shd w:val="clear" w:color="auto" w:fill="FFFFFF"/>
                <w:lang w:val="en-GB"/>
              </w:rPr>
            </w:pPr>
            <w:r w:rsidRPr="00EB3A82">
              <w:rPr>
                <w:rFonts w:ascii="Arial" w:hAnsi="Arial" w:cs="Arial"/>
                <w:color w:val="404040"/>
                <w:sz w:val="20"/>
                <w:szCs w:val="20"/>
                <w:shd w:val="clear" w:color="auto" w:fill="FFFFFF"/>
                <w:lang w:val="en-GB"/>
              </w:rPr>
              <w:t xml:space="preserve">Rating Scale: </w:t>
            </w:r>
          </w:p>
          <w:p w14:paraId="67730165" w14:textId="77777777" w:rsidR="0077566D" w:rsidRPr="00EB3A82" w:rsidRDefault="003562D7">
            <w:pPr>
              <w:rPr>
                <w:rFonts w:ascii="Arial" w:hAnsi="Arial" w:cs="Arial"/>
                <w:sz w:val="20"/>
                <w:szCs w:val="20"/>
                <w:lang w:val="en-GB" w:eastAsia="x-none"/>
              </w:rPr>
            </w:pPr>
            <w:r w:rsidRPr="00EB3A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B22573" w14:textId="77777777" w:rsidR="00443B6C" w:rsidRPr="00EB3A82" w:rsidRDefault="00443B6C" w:rsidP="00443B6C">
            <w:pPr>
              <w:rPr>
                <w:rFonts w:ascii="Arial" w:hAnsi="Arial" w:cs="Arial"/>
                <w:sz w:val="20"/>
                <w:szCs w:val="20"/>
                <w:lang w:val="en-GB"/>
              </w:rPr>
            </w:pPr>
            <w:r w:rsidRPr="00EB3A82">
              <w:rPr>
                <w:rFonts w:ascii="Arial" w:hAnsi="Arial" w:cs="Arial"/>
                <w:sz w:val="20"/>
                <w:szCs w:val="20"/>
                <w:lang w:val="en-GB"/>
              </w:rPr>
              <w:t>The objectives are clearly implied and can be easily deduced from the structure of the abstract, though they are not presented as a formal "list of aims."</w:t>
            </w:r>
          </w:p>
          <w:p w14:paraId="795361C0" w14:textId="77777777" w:rsidR="00443B6C" w:rsidRPr="00EB3A82" w:rsidRDefault="00443B6C" w:rsidP="00443B6C">
            <w:pPr>
              <w:ind w:left="360"/>
              <w:rPr>
                <w:rFonts w:ascii="Arial" w:hAnsi="Arial" w:cs="Arial"/>
                <w:b/>
                <w:bCs/>
                <w:sz w:val="20"/>
                <w:szCs w:val="20"/>
                <w:lang w:val="en-GB"/>
              </w:rPr>
            </w:pPr>
          </w:p>
          <w:p w14:paraId="420978C7" w14:textId="0ED9ECB4" w:rsidR="0077566D" w:rsidRPr="00EB3A82" w:rsidRDefault="00443B6C" w:rsidP="00443B6C">
            <w:pPr>
              <w:ind w:left="360"/>
              <w:rPr>
                <w:rFonts w:ascii="Arial" w:hAnsi="Arial" w:cs="Arial"/>
                <w:b/>
                <w:bCs/>
                <w:sz w:val="20"/>
                <w:szCs w:val="20"/>
                <w:lang w:val="en-GB"/>
              </w:rPr>
            </w:pPr>
            <w:r w:rsidRPr="00EB3A82">
              <w:rPr>
                <w:rFonts w:ascii="Arial" w:hAnsi="Arial" w:cs="Arial"/>
                <w:b/>
                <w:bCs/>
                <w:sz w:val="20"/>
                <w:szCs w:val="20"/>
                <w:lang w:val="en-GB"/>
              </w:rPr>
              <w:t>Rating: 4 (Good)</w:t>
            </w:r>
          </w:p>
        </w:tc>
        <w:tc>
          <w:tcPr>
            <w:tcW w:w="1667" w:type="pct"/>
          </w:tcPr>
          <w:p w14:paraId="006B3227" w14:textId="77777777" w:rsidR="0077566D" w:rsidRPr="00EB3A82" w:rsidRDefault="0077566D">
            <w:pPr>
              <w:outlineLvl w:val="1"/>
              <w:rPr>
                <w:rFonts w:ascii="Arial" w:eastAsia="MS Mincho" w:hAnsi="Arial" w:cs="Arial"/>
                <w:bCs/>
                <w:sz w:val="20"/>
                <w:szCs w:val="20"/>
                <w:lang w:val="en-GB"/>
              </w:rPr>
            </w:pPr>
          </w:p>
        </w:tc>
      </w:tr>
      <w:tr w:rsidR="0077566D" w:rsidRPr="00EB3A82" w14:paraId="5C286FE4" w14:textId="77777777">
        <w:trPr>
          <w:trHeight w:val="20"/>
          <w:jc w:val="center"/>
        </w:trPr>
        <w:tc>
          <w:tcPr>
            <w:tcW w:w="1666" w:type="pct"/>
            <w:noWrap/>
          </w:tcPr>
          <w:p w14:paraId="78B4DFCF" w14:textId="77777777" w:rsidR="0077566D" w:rsidRPr="00EB3A82" w:rsidRDefault="003562D7">
            <w:pPr>
              <w:outlineLvl w:val="1"/>
              <w:rPr>
                <w:rFonts w:ascii="Arial" w:eastAsia="MS Mincho" w:hAnsi="Arial" w:cs="Arial"/>
                <w:b/>
                <w:bCs/>
                <w:sz w:val="20"/>
                <w:szCs w:val="20"/>
                <w:lang w:val="en-GB" w:eastAsia="x-none"/>
              </w:rPr>
            </w:pPr>
            <w:r w:rsidRPr="00EB3A82">
              <w:rPr>
                <w:rFonts w:ascii="Arial" w:eastAsia="MS Mincho" w:hAnsi="Arial" w:cs="Arial"/>
                <w:b/>
                <w:bCs/>
                <w:sz w:val="20"/>
                <w:szCs w:val="20"/>
                <w:lang w:val="en-GB" w:eastAsia="x-none"/>
              </w:rPr>
              <w:t>6. Is the literature review relevant?</w:t>
            </w:r>
          </w:p>
          <w:p w14:paraId="4DFAFB1A" w14:textId="77777777" w:rsidR="0077566D" w:rsidRPr="00EB3A82" w:rsidRDefault="003562D7">
            <w:pPr>
              <w:rPr>
                <w:rFonts w:ascii="Arial" w:hAnsi="Arial" w:cs="Arial"/>
                <w:color w:val="404040"/>
                <w:sz w:val="20"/>
                <w:szCs w:val="20"/>
                <w:shd w:val="clear" w:color="auto" w:fill="FFFFFF"/>
                <w:lang w:val="en-GB"/>
              </w:rPr>
            </w:pPr>
            <w:r w:rsidRPr="00EB3A82">
              <w:rPr>
                <w:rFonts w:ascii="Arial" w:hAnsi="Arial" w:cs="Arial"/>
                <w:color w:val="404040"/>
                <w:sz w:val="20"/>
                <w:szCs w:val="20"/>
                <w:shd w:val="clear" w:color="auto" w:fill="FFFFFF"/>
                <w:lang w:val="en-GB"/>
              </w:rPr>
              <w:t xml:space="preserve">Rating Scale: </w:t>
            </w:r>
          </w:p>
          <w:p w14:paraId="307FF015" w14:textId="77777777" w:rsidR="0077566D" w:rsidRPr="00EB3A82" w:rsidRDefault="003562D7">
            <w:pPr>
              <w:rPr>
                <w:rFonts w:ascii="Arial" w:hAnsi="Arial" w:cs="Arial"/>
                <w:sz w:val="20"/>
                <w:szCs w:val="20"/>
                <w:lang w:val="en-GB" w:eastAsia="x-none"/>
              </w:rPr>
            </w:pPr>
            <w:r w:rsidRPr="00EB3A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1AE393" w14:textId="77777777" w:rsidR="00E33161" w:rsidRPr="00EB3A82" w:rsidRDefault="00E33161" w:rsidP="00E33161">
            <w:pPr>
              <w:ind w:left="50"/>
              <w:rPr>
                <w:rFonts w:ascii="Arial" w:hAnsi="Arial" w:cs="Arial"/>
                <w:sz w:val="20"/>
                <w:szCs w:val="20"/>
                <w:lang w:val="en-GB"/>
              </w:rPr>
            </w:pPr>
            <w:r w:rsidRPr="00EB3A82">
              <w:rPr>
                <w:rFonts w:ascii="Arial" w:hAnsi="Arial" w:cs="Arial"/>
                <w:sz w:val="20"/>
                <w:szCs w:val="20"/>
                <w:lang w:val="en-GB"/>
              </w:rPr>
              <w:t>The relevance of the literature review is one of the major strengths of this manuscript for several reasons:</w:t>
            </w:r>
          </w:p>
          <w:p w14:paraId="6B995564" w14:textId="77777777" w:rsidR="00E33161" w:rsidRPr="00EB3A82" w:rsidRDefault="00E33161" w:rsidP="00E33161">
            <w:pPr>
              <w:ind w:left="50"/>
              <w:rPr>
                <w:rFonts w:ascii="Arial" w:hAnsi="Arial" w:cs="Arial"/>
                <w:sz w:val="20"/>
                <w:szCs w:val="20"/>
                <w:lang w:val="en-GB"/>
              </w:rPr>
            </w:pPr>
          </w:p>
          <w:p w14:paraId="746DD91B" w14:textId="77777777" w:rsidR="00E33161" w:rsidRPr="00EB3A82" w:rsidRDefault="00E33161" w:rsidP="00E33161">
            <w:pPr>
              <w:ind w:left="50"/>
              <w:rPr>
                <w:rFonts w:ascii="Arial" w:hAnsi="Arial" w:cs="Arial"/>
                <w:sz w:val="20"/>
                <w:szCs w:val="20"/>
                <w:lang w:val="en-GB"/>
              </w:rPr>
            </w:pPr>
            <w:r w:rsidRPr="00EB3A82">
              <w:rPr>
                <w:rFonts w:ascii="Arial" w:hAnsi="Arial" w:cs="Arial"/>
                <w:sz w:val="20"/>
                <w:szCs w:val="20"/>
                <w:lang w:val="en-GB"/>
              </w:rPr>
              <w:t>- The research period (2015 to 2026) is particularly relevant. Given that the major phase 3 trials (STEP program) and the subsequent global surge in GLP-1 receptor agonist research have taken place within the last five years, focusing on this period ensures that the data are state-of-the-art.</w:t>
            </w:r>
          </w:p>
          <w:p w14:paraId="352EE3B6" w14:textId="77777777" w:rsidR="00E33161" w:rsidRPr="00EB3A82" w:rsidRDefault="00E33161" w:rsidP="00E33161">
            <w:pPr>
              <w:ind w:left="50"/>
              <w:rPr>
                <w:rFonts w:ascii="Arial" w:hAnsi="Arial" w:cs="Arial"/>
                <w:sz w:val="20"/>
                <w:szCs w:val="20"/>
                <w:lang w:val="en-GB"/>
              </w:rPr>
            </w:pPr>
          </w:p>
          <w:p w14:paraId="62E27D2E" w14:textId="77777777" w:rsidR="00E33161" w:rsidRPr="00EB3A82" w:rsidRDefault="00E33161" w:rsidP="00E33161">
            <w:pPr>
              <w:ind w:left="50"/>
              <w:rPr>
                <w:rFonts w:ascii="Arial" w:hAnsi="Arial" w:cs="Arial"/>
                <w:sz w:val="20"/>
                <w:szCs w:val="20"/>
                <w:lang w:val="en-GB"/>
              </w:rPr>
            </w:pPr>
            <w:r w:rsidRPr="00EB3A82">
              <w:rPr>
                <w:rFonts w:ascii="Arial" w:hAnsi="Arial" w:cs="Arial"/>
                <w:sz w:val="20"/>
                <w:szCs w:val="20"/>
                <w:lang w:val="en-GB"/>
              </w:rPr>
              <w:t>- The search strategy specifically targets the intersection of neurobiology and gastroenterology. By organizing the evidence according to five specific mechanistic domains (e.g., arcuate nucleus signaling versus gastric motility), the review ensures that the included literature is directly relevant to the "Gut-to-Brain" thesis.</w:t>
            </w:r>
          </w:p>
          <w:p w14:paraId="25E9332A" w14:textId="77777777" w:rsidR="00E33161" w:rsidRPr="00EB3A82" w:rsidRDefault="00E33161" w:rsidP="00E33161">
            <w:pPr>
              <w:ind w:left="50"/>
              <w:rPr>
                <w:rFonts w:ascii="Arial" w:hAnsi="Arial" w:cs="Arial"/>
                <w:sz w:val="20"/>
                <w:szCs w:val="20"/>
                <w:lang w:val="en-GB"/>
              </w:rPr>
            </w:pPr>
          </w:p>
          <w:p w14:paraId="7E5CA9D8" w14:textId="77777777" w:rsidR="00E33161" w:rsidRPr="00EB3A82" w:rsidRDefault="00E33161" w:rsidP="00E33161">
            <w:pPr>
              <w:ind w:left="50"/>
              <w:rPr>
                <w:rFonts w:ascii="Arial" w:hAnsi="Arial" w:cs="Arial"/>
                <w:sz w:val="20"/>
                <w:szCs w:val="20"/>
                <w:lang w:val="en-GB"/>
              </w:rPr>
            </w:pPr>
            <w:r w:rsidRPr="00EB3A82">
              <w:rPr>
                <w:rFonts w:ascii="Arial" w:hAnsi="Arial" w:cs="Arial"/>
                <w:sz w:val="20"/>
                <w:szCs w:val="20"/>
                <w:lang w:val="en-GB"/>
              </w:rPr>
              <w:t>The use of PubMed (MEDLINE) and Scopus ensures that this review is based on high-impact, peer-reviewed evidence, while Google Scholar allows for the inclusion of grey literature or the most recent preprints, which are potentially essential in a constantly evolving field.</w:t>
            </w:r>
          </w:p>
          <w:p w14:paraId="43ECD0A2" w14:textId="77777777" w:rsidR="00E33161" w:rsidRPr="00EB3A82" w:rsidRDefault="00E33161" w:rsidP="00E33161">
            <w:pPr>
              <w:ind w:left="360"/>
              <w:rPr>
                <w:rFonts w:ascii="Arial" w:hAnsi="Arial" w:cs="Arial"/>
                <w:b/>
                <w:bCs/>
                <w:sz w:val="20"/>
                <w:szCs w:val="20"/>
                <w:lang w:val="en-GB"/>
              </w:rPr>
            </w:pPr>
          </w:p>
          <w:p w14:paraId="372A3517" w14:textId="6F0CB8C8" w:rsidR="0077566D" w:rsidRPr="00EB3A82" w:rsidRDefault="00E33161" w:rsidP="00E33161">
            <w:pPr>
              <w:ind w:left="360"/>
              <w:rPr>
                <w:rFonts w:ascii="Arial" w:hAnsi="Arial" w:cs="Arial"/>
                <w:b/>
                <w:bCs/>
                <w:sz w:val="20"/>
                <w:szCs w:val="20"/>
                <w:lang w:val="en-GB"/>
              </w:rPr>
            </w:pPr>
            <w:r w:rsidRPr="00EB3A82">
              <w:rPr>
                <w:rFonts w:ascii="Arial" w:hAnsi="Arial" w:cs="Arial"/>
                <w:b/>
                <w:bCs/>
                <w:sz w:val="20"/>
                <w:szCs w:val="20"/>
                <w:lang w:val="en-GB"/>
              </w:rPr>
              <w:t>Rating: 5 (Excellent)</w:t>
            </w:r>
          </w:p>
        </w:tc>
        <w:tc>
          <w:tcPr>
            <w:tcW w:w="1667" w:type="pct"/>
          </w:tcPr>
          <w:p w14:paraId="69437690" w14:textId="77777777" w:rsidR="0077566D" w:rsidRPr="00EB3A82" w:rsidRDefault="0077566D">
            <w:pPr>
              <w:outlineLvl w:val="1"/>
              <w:rPr>
                <w:rFonts w:ascii="Arial" w:eastAsia="MS Mincho" w:hAnsi="Arial" w:cs="Arial"/>
                <w:bCs/>
                <w:sz w:val="20"/>
                <w:szCs w:val="20"/>
                <w:lang w:val="en-GB"/>
              </w:rPr>
            </w:pPr>
          </w:p>
        </w:tc>
      </w:tr>
      <w:tr w:rsidR="0077566D" w:rsidRPr="00EB3A82" w14:paraId="51D59B9F" w14:textId="77777777">
        <w:trPr>
          <w:trHeight w:val="20"/>
          <w:jc w:val="center"/>
        </w:trPr>
        <w:tc>
          <w:tcPr>
            <w:tcW w:w="1666" w:type="pct"/>
            <w:noWrap/>
          </w:tcPr>
          <w:p w14:paraId="16596827" w14:textId="77777777" w:rsidR="0077566D" w:rsidRPr="00EB3A82" w:rsidRDefault="003562D7">
            <w:pPr>
              <w:outlineLvl w:val="1"/>
              <w:rPr>
                <w:rFonts w:ascii="Arial" w:eastAsia="MS Mincho" w:hAnsi="Arial" w:cs="Arial"/>
                <w:b/>
                <w:bCs/>
                <w:sz w:val="20"/>
                <w:szCs w:val="20"/>
                <w:lang w:val="en-GB" w:eastAsia="x-none"/>
              </w:rPr>
            </w:pPr>
            <w:r w:rsidRPr="00EB3A82">
              <w:rPr>
                <w:rFonts w:ascii="Arial" w:eastAsia="MS Mincho" w:hAnsi="Arial" w:cs="Arial"/>
                <w:b/>
                <w:bCs/>
                <w:sz w:val="20"/>
                <w:szCs w:val="20"/>
                <w:lang w:val="en-GB" w:eastAsia="x-none"/>
              </w:rPr>
              <w:t>7. Is the literature review recent?</w:t>
            </w:r>
          </w:p>
          <w:p w14:paraId="7EFD7056" w14:textId="77777777" w:rsidR="0077566D" w:rsidRPr="00EB3A82" w:rsidRDefault="003562D7">
            <w:pPr>
              <w:rPr>
                <w:rFonts w:ascii="Arial" w:hAnsi="Arial" w:cs="Arial"/>
                <w:color w:val="404040"/>
                <w:sz w:val="20"/>
                <w:szCs w:val="20"/>
                <w:shd w:val="clear" w:color="auto" w:fill="FFFFFF"/>
                <w:lang w:val="en-GB"/>
              </w:rPr>
            </w:pPr>
            <w:r w:rsidRPr="00EB3A82">
              <w:rPr>
                <w:rFonts w:ascii="Arial" w:hAnsi="Arial" w:cs="Arial"/>
                <w:color w:val="404040"/>
                <w:sz w:val="20"/>
                <w:szCs w:val="20"/>
                <w:shd w:val="clear" w:color="auto" w:fill="FFFFFF"/>
                <w:lang w:val="en-GB"/>
              </w:rPr>
              <w:t xml:space="preserve">Rating Scale: </w:t>
            </w:r>
          </w:p>
          <w:p w14:paraId="5BCBA114" w14:textId="77777777" w:rsidR="0077566D" w:rsidRPr="00EB3A82" w:rsidRDefault="003562D7">
            <w:pPr>
              <w:outlineLvl w:val="1"/>
              <w:rPr>
                <w:rFonts w:ascii="Arial" w:eastAsia="MS Mincho" w:hAnsi="Arial" w:cs="Arial"/>
                <w:b/>
                <w:bCs/>
                <w:sz w:val="20"/>
                <w:szCs w:val="20"/>
                <w:lang w:val="en-GB" w:eastAsia="x-none"/>
              </w:rPr>
            </w:pPr>
            <w:r w:rsidRPr="00EB3A82">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21F00197" w14:textId="77777777" w:rsidR="0077566D" w:rsidRPr="00EB3A82" w:rsidRDefault="0094214D" w:rsidP="0094214D">
            <w:pPr>
              <w:ind w:left="50"/>
              <w:rPr>
                <w:rFonts w:ascii="Arial" w:hAnsi="Arial" w:cs="Arial"/>
                <w:sz w:val="20"/>
                <w:szCs w:val="20"/>
                <w:lang w:val="en-GB"/>
              </w:rPr>
            </w:pPr>
            <w:r w:rsidRPr="00EB3A82">
              <w:rPr>
                <w:rFonts w:ascii="Arial" w:hAnsi="Arial" w:cs="Arial"/>
                <w:sz w:val="20"/>
                <w:szCs w:val="20"/>
                <w:lang w:val="en-GB"/>
              </w:rPr>
              <w:t>The literature search covers the period from 2015 to 2026. Including sources up to the current year ensures that the manuscript incorporates the very latest clinical trial data and mechanistic discoveries in a field that is evolving at an unprecedented pace.</w:t>
            </w:r>
          </w:p>
          <w:p w14:paraId="2DEF76A0" w14:textId="1254F99B" w:rsidR="0094214D" w:rsidRPr="00EB3A82" w:rsidRDefault="0094214D" w:rsidP="0094214D">
            <w:pPr>
              <w:ind w:left="333"/>
              <w:rPr>
                <w:rFonts w:ascii="Arial" w:hAnsi="Arial" w:cs="Arial"/>
                <w:sz w:val="20"/>
                <w:szCs w:val="20"/>
                <w:lang w:val="en-GB"/>
              </w:rPr>
            </w:pPr>
            <w:r w:rsidRPr="00EB3A82">
              <w:rPr>
                <w:rFonts w:ascii="Arial" w:hAnsi="Arial" w:cs="Arial"/>
                <w:b/>
                <w:bCs/>
                <w:sz w:val="20"/>
                <w:szCs w:val="20"/>
                <w:lang w:val="en-GB"/>
              </w:rPr>
              <w:t>Rating: 5 (Excellent)</w:t>
            </w:r>
          </w:p>
        </w:tc>
        <w:tc>
          <w:tcPr>
            <w:tcW w:w="1667" w:type="pct"/>
          </w:tcPr>
          <w:p w14:paraId="56A6A35A" w14:textId="77777777" w:rsidR="0077566D" w:rsidRPr="00EB3A82" w:rsidRDefault="0077566D">
            <w:pPr>
              <w:outlineLvl w:val="1"/>
              <w:rPr>
                <w:rFonts w:ascii="Arial" w:eastAsia="MS Mincho" w:hAnsi="Arial" w:cs="Arial"/>
                <w:bCs/>
                <w:sz w:val="20"/>
                <w:szCs w:val="20"/>
                <w:lang w:val="en-GB"/>
              </w:rPr>
            </w:pPr>
          </w:p>
        </w:tc>
      </w:tr>
      <w:tr w:rsidR="0077566D" w:rsidRPr="00EB3A82" w14:paraId="4789BFF6" w14:textId="77777777">
        <w:trPr>
          <w:trHeight w:val="20"/>
          <w:jc w:val="center"/>
        </w:trPr>
        <w:tc>
          <w:tcPr>
            <w:tcW w:w="1666" w:type="pct"/>
            <w:noWrap/>
          </w:tcPr>
          <w:p w14:paraId="0ABFFA22" w14:textId="77777777" w:rsidR="0077566D" w:rsidRPr="00EB3A82" w:rsidRDefault="003562D7">
            <w:pPr>
              <w:outlineLvl w:val="1"/>
              <w:rPr>
                <w:rFonts w:ascii="Arial" w:eastAsia="MS Mincho" w:hAnsi="Arial" w:cs="Arial"/>
                <w:b/>
                <w:bCs/>
                <w:sz w:val="20"/>
                <w:szCs w:val="20"/>
                <w:lang w:val="en-GB" w:eastAsia="x-none"/>
              </w:rPr>
            </w:pPr>
            <w:r w:rsidRPr="00EB3A82">
              <w:rPr>
                <w:rFonts w:ascii="Arial" w:eastAsia="MS Mincho" w:hAnsi="Arial" w:cs="Arial"/>
                <w:b/>
                <w:bCs/>
                <w:sz w:val="20"/>
                <w:szCs w:val="20"/>
                <w:lang w:val="en-GB" w:eastAsia="x-none"/>
              </w:rPr>
              <w:t xml:space="preserve">8. Is the literature search methodology explained properly? </w:t>
            </w:r>
          </w:p>
          <w:p w14:paraId="01EB95E4" w14:textId="77777777" w:rsidR="0077566D" w:rsidRPr="00EB3A82" w:rsidRDefault="003562D7">
            <w:pPr>
              <w:rPr>
                <w:rFonts w:ascii="Arial" w:hAnsi="Arial" w:cs="Arial"/>
                <w:color w:val="404040"/>
                <w:sz w:val="20"/>
                <w:szCs w:val="20"/>
                <w:shd w:val="clear" w:color="auto" w:fill="FFFFFF"/>
                <w:lang w:val="en-GB"/>
              </w:rPr>
            </w:pPr>
            <w:r w:rsidRPr="00EB3A82">
              <w:rPr>
                <w:rFonts w:ascii="Arial" w:hAnsi="Arial" w:cs="Arial"/>
                <w:color w:val="404040"/>
                <w:sz w:val="20"/>
                <w:szCs w:val="20"/>
                <w:shd w:val="clear" w:color="auto" w:fill="FFFFFF"/>
                <w:lang w:val="en-GB"/>
              </w:rPr>
              <w:t xml:space="preserve">Rating Scale: </w:t>
            </w:r>
          </w:p>
          <w:p w14:paraId="45E1ED65" w14:textId="77777777" w:rsidR="0077566D" w:rsidRPr="00EB3A82" w:rsidRDefault="003562D7">
            <w:pPr>
              <w:rPr>
                <w:rFonts w:ascii="Arial" w:hAnsi="Arial" w:cs="Arial"/>
                <w:sz w:val="20"/>
                <w:szCs w:val="20"/>
                <w:lang w:val="en-GB"/>
              </w:rPr>
            </w:pPr>
            <w:r w:rsidRPr="00EB3A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5D23EC" w14:textId="39BA9210" w:rsidR="0077566D" w:rsidRPr="00EB3A82" w:rsidRDefault="005B477A">
            <w:pPr>
              <w:ind w:left="360"/>
              <w:rPr>
                <w:rFonts w:ascii="Arial" w:hAnsi="Arial" w:cs="Arial"/>
                <w:b/>
                <w:bCs/>
                <w:sz w:val="20"/>
                <w:szCs w:val="20"/>
                <w:lang w:val="en-GB"/>
              </w:rPr>
            </w:pPr>
            <w:r w:rsidRPr="00EB3A82">
              <w:rPr>
                <w:rFonts w:ascii="Arial" w:hAnsi="Arial" w:cs="Arial"/>
                <w:b/>
                <w:bCs/>
                <w:sz w:val="20"/>
                <w:szCs w:val="20"/>
                <w:lang w:val="en-GB"/>
              </w:rPr>
              <w:t>Rating: 5 (Excellent)</w:t>
            </w:r>
          </w:p>
        </w:tc>
        <w:tc>
          <w:tcPr>
            <w:tcW w:w="1667" w:type="pct"/>
          </w:tcPr>
          <w:p w14:paraId="1B37D241" w14:textId="77777777" w:rsidR="0077566D" w:rsidRPr="00EB3A82" w:rsidRDefault="0077566D">
            <w:pPr>
              <w:outlineLvl w:val="1"/>
              <w:rPr>
                <w:rFonts w:ascii="Arial" w:eastAsia="MS Mincho" w:hAnsi="Arial" w:cs="Arial"/>
                <w:bCs/>
                <w:sz w:val="20"/>
                <w:szCs w:val="20"/>
                <w:lang w:val="en-GB"/>
              </w:rPr>
            </w:pPr>
          </w:p>
        </w:tc>
      </w:tr>
      <w:tr w:rsidR="0077566D" w:rsidRPr="00EB3A82" w14:paraId="5780C788" w14:textId="77777777">
        <w:trPr>
          <w:trHeight w:val="20"/>
          <w:jc w:val="center"/>
        </w:trPr>
        <w:tc>
          <w:tcPr>
            <w:tcW w:w="1666" w:type="pct"/>
            <w:noWrap/>
          </w:tcPr>
          <w:p w14:paraId="0A960AA0" w14:textId="77777777" w:rsidR="0077566D" w:rsidRPr="00EB3A82" w:rsidRDefault="003562D7">
            <w:pPr>
              <w:outlineLvl w:val="1"/>
              <w:rPr>
                <w:rFonts w:ascii="Arial" w:eastAsia="MS Mincho" w:hAnsi="Arial" w:cs="Arial"/>
                <w:b/>
                <w:bCs/>
                <w:sz w:val="20"/>
                <w:szCs w:val="20"/>
                <w:lang w:val="en-GB" w:eastAsia="x-none"/>
              </w:rPr>
            </w:pPr>
            <w:r w:rsidRPr="00EB3A82">
              <w:rPr>
                <w:rFonts w:ascii="Arial" w:eastAsia="MS Mincho" w:hAnsi="Arial" w:cs="Arial"/>
                <w:b/>
                <w:bCs/>
                <w:sz w:val="20"/>
                <w:szCs w:val="20"/>
                <w:lang w:val="en-GB" w:eastAsia="x-none"/>
              </w:rPr>
              <w:t>9. Is the Critical analysis of literature done?</w:t>
            </w:r>
          </w:p>
          <w:p w14:paraId="39224FD4" w14:textId="77777777" w:rsidR="0077566D" w:rsidRPr="00EB3A82" w:rsidRDefault="003562D7">
            <w:pPr>
              <w:rPr>
                <w:rFonts w:ascii="Arial" w:hAnsi="Arial" w:cs="Arial"/>
                <w:color w:val="404040"/>
                <w:sz w:val="20"/>
                <w:szCs w:val="20"/>
                <w:shd w:val="clear" w:color="auto" w:fill="FFFFFF"/>
                <w:lang w:val="en-GB"/>
              </w:rPr>
            </w:pPr>
            <w:r w:rsidRPr="00EB3A82">
              <w:rPr>
                <w:rFonts w:ascii="Arial" w:hAnsi="Arial" w:cs="Arial"/>
                <w:color w:val="404040"/>
                <w:sz w:val="20"/>
                <w:szCs w:val="20"/>
                <w:shd w:val="clear" w:color="auto" w:fill="FFFFFF"/>
                <w:lang w:val="en-GB"/>
              </w:rPr>
              <w:t xml:space="preserve">Rating Scale: </w:t>
            </w:r>
          </w:p>
          <w:p w14:paraId="745D383A" w14:textId="77777777" w:rsidR="0077566D" w:rsidRPr="00EB3A82" w:rsidRDefault="003562D7">
            <w:pPr>
              <w:rPr>
                <w:rFonts w:ascii="Arial" w:hAnsi="Arial" w:cs="Arial"/>
                <w:sz w:val="20"/>
                <w:szCs w:val="20"/>
                <w:lang w:val="en-GB" w:eastAsia="x-none"/>
              </w:rPr>
            </w:pPr>
            <w:r w:rsidRPr="00EB3A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42FC76" w14:textId="07D0DC63" w:rsidR="0077566D" w:rsidRPr="00EB3A82" w:rsidRDefault="005B477A">
            <w:pPr>
              <w:ind w:left="360"/>
              <w:rPr>
                <w:rFonts w:ascii="Arial" w:hAnsi="Arial" w:cs="Arial"/>
                <w:b/>
                <w:bCs/>
                <w:sz w:val="20"/>
                <w:szCs w:val="20"/>
                <w:lang w:val="en-GB"/>
              </w:rPr>
            </w:pPr>
            <w:r w:rsidRPr="00EB3A82">
              <w:rPr>
                <w:rFonts w:ascii="Arial" w:hAnsi="Arial" w:cs="Arial"/>
                <w:b/>
                <w:bCs/>
                <w:sz w:val="20"/>
                <w:szCs w:val="20"/>
                <w:lang w:val="en-GB"/>
              </w:rPr>
              <w:t>Rating: 5 (Excellent)</w:t>
            </w:r>
          </w:p>
        </w:tc>
        <w:tc>
          <w:tcPr>
            <w:tcW w:w="1667" w:type="pct"/>
          </w:tcPr>
          <w:p w14:paraId="1FDC0A38" w14:textId="77777777" w:rsidR="0077566D" w:rsidRPr="00EB3A82" w:rsidRDefault="0077566D">
            <w:pPr>
              <w:outlineLvl w:val="1"/>
              <w:rPr>
                <w:rFonts w:ascii="Arial" w:eastAsia="MS Mincho" w:hAnsi="Arial" w:cs="Arial"/>
                <w:bCs/>
                <w:sz w:val="20"/>
                <w:szCs w:val="20"/>
                <w:lang w:val="en-GB"/>
              </w:rPr>
            </w:pPr>
          </w:p>
        </w:tc>
      </w:tr>
      <w:tr w:rsidR="0077566D" w:rsidRPr="00EB3A82" w14:paraId="56D94E92" w14:textId="77777777">
        <w:trPr>
          <w:trHeight w:val="20"/>
          <w:jc w:val="center"/>
        </w:trPr>
        <w:tc>
          <w:tcPr>
            <w:tcW w:w="1666" w:type="pct"/>
            <w:noWrap/>
          </w:tcPr>
          <w:p w14:paraId="0273874C" w14:textId="77777777" w:rsidR="0077566D" w:rsidRPr="00EB3A82" w:rsidRDefault="003562D7">
            <w:pPr>
              <w:rPr>
                <w:rFonts w:ascii="Arial" w:hAnsi="Arial" w:cs="Arial"/>
                <w:b/>
                <w:sz w:val="20"/>
                <w:szCs w:val="20"/>
                <w:lang w:val="en-GB"/>
              </w:rPr>
            </w:pPr>
            <w:r w:rsidRPr="00EB3A82">
              <w:rPr>
                <w:rFonts w:ascii="Arial" w:hAnsi="Arial" w:cs="Arial"/>
                <w:b/>
                <w:sz w:val="20"/>
                <w:szCs w:val="20"/>
                <w:lang w:val="en-GB"/>
              </w:rPr>
              <w:t xml:space="preserve">10. Is </w:t>
            </w:r>
            <w:r w:rsidRPr="00EB3A82">
              <w:rPr>
                <w:rFonts w:ascii="Arial" w:hAnsi="Arial" w:cs="Arial"/>
                <w:sz w:val="20"/>
                <w:szCs w:val="20"/>
                <w:lang w:val="en-GB"/>
              </w:rPr>
              <w:t xml:space="preserve">Identification of research gaps/future directions done </w:t>
            </w:r>
            <w:r w:rsidRPr="00EB3A82">
              <w:rPr>
                <w:rFonts w:ascii="Arial" w:hAnsi="Arial" w:cs="Arial"/>
                <w:b/>
                <w:sz w:val="20"/>
                <w:szCs w:val="20"/>
                <w:lang w:val="en-GB"/>
              </w:rPr>
              <w:t>?</w:t>
            </w:r>
          </w:p>
          <w:p w14:paraId="251A2EC0" w14:textId="77777777" w:rsidR="0077566D" w:rsidRPr="00EB3A82" w:rsidRDefault="003562D7">
            <w:pPr>
              <w:rPr>
                <w:rFonts w:ascii="Arial" w:hAnsi="Arial" w:cs="Arial"/>
                <w:color w:val="404040"/>
                <w:sz w:val="20"/>
                <w:szCs w:val="20"/>
                <w:shd w:val="clear" w:color="auto" w:fill="FFFFFF"/>
                <w:lang w:val="en-GB"/>
              </w:rPr>
            </w:pPr>
            <w:r w:rsidRPr="00EB3A82">
              <w:rPr>
                <w:rFonts w:ascii="Arial" w:hAnsi="Arial" w:cs="Arial"/>
                <w:color w:val="404040"/>
                <w:sz w:val="20"/>
                <w:szCs w:val="20"/>
                <w:shd w:val="clear" w:color="auto" w:fill="FFFFFF"/>
                <w:lang w:val="en-GB"/>
              </w:rPr>
              <w:t xml:space="preserve">Rating Scale: </w:t>
            </w:r>
          </w:p>
          <w:p w14:paraId="788041CF" w14:textId="77777777" w:rsidR="0077566D" w:rsidRPr="00EB3A82" w:rsidRDefault="003562D7">
            <w:pPr>
              <w:rPr>
                <w:rFonts w:ascii="Arial" w:hAnsi="Arial" w:cs="Arial"/>
                <w:color w:val="404040"/>
                <w:sz w:val="20"/>
                <w:szCs w:val="20"/>
                <w:shd w:val="clear" w:color="auto" w:fill="FFFFFF"/>
                <w:lang w:val="en-GB"/>
              </w:rPr>
            </w:pPr>
            <w:r w:rsidRPr="00EB3A82">
              <w:rPr>
                <w:rFonts w:ascii="Arial" w:hAnsi="Arial" w:cs="Arial"/>
                <w:color w:val="404040"/>
                <w:sz w:val="20"/>
                <w:szCs w:val="20"/>
                <w:shd w:val="clear" w:color="auto" w:fill="FFFFFF"/>
                <w:lang w:val="en-GB"/>
              </w:rPr>
              <w:t>5 = Excellent 4 = Good 3 = Satisfactory 2 = Needs Improvement 1 = Poor N/A = Not Applicable</w:t>
            </w:r>
          </w:p>
          <w:p w14:paraId="6B698CAC" w14:textId="77777777" w:rsidR="0077566D" w:rsidRPr="00EB3A82" w:rsidRDefault="0077566D">
            <w:pPr>
              <w:rPr>
                <w:rFonts w:ascii="Arial" w:hAnsi="Arial" w:cs="Arial"/>
                <w:sz w:val="20"/>
                <w:szCs w:val="20"/>
                <w:lang w:val="en-GB"/>
              </w:rPr>
            </w:pPr>
          </w:p>
        </w:tc>
        <w:tc>
          <w:tcPr>
            <w:tcW w:w="1667" w:type="pct"/>
          </w:tcPr>
          <w:p w14:paraId="15659DF9" w14:textId="77777777" w:rsidR="0077566D" w:rsidRPr="00EB3A82" w:rsidRDefault="005B477A">
            <w:pPr>
              <w:contextualSpacing/>
              <w:rPr>
                <w:rFonts w:ascii="Arial" w:hAnsi="Arial" w:cs="Arial"/>
                <w:bCs/>
                <w:sz w:val="20"/>
                <w:szCs w:val="20"/>
                <w:lang w:val="en-GB"/>
              </w:rPr>
            </w:pPr>
            <w:r w:rsidRPr="00EB3A82">
              <w:rPr>
                <w:rFonts w:ascii="Arial" w:hAnsi="Arial" w:cs="Arial"/>
                <w:bCs/>
                <w:sz w:val="20"/>
                <w:szCs w:val="20"/>
                <w:lang w:val="en-GB"/>
              </w:rPr>
              <w:t>Yes, the identification of research gaps and future directions is a critical and well-executed component of this manuscript. The authors transition from demonstrating the drug's success to acknowledging the limitations of current scientific understanding.</w:t>
            </w:r>
          </w:p>
          <w:p w14:paraId="4B4680AB" w14:textId="616D113B" w:rsidR="005B477A" w:rsidRPr="00EB3A82" w:rsidRDefault="005B477A">
            <w:pPr>
              <w:contextualSpacing/>
              <w:rPr>
                <w:rFonts w:ascii="Arial" w:hAnsi="Arial" w:cs="Arial"/>
                <w:bCs/>
                <w:sz w:val="20"/>
                <w:szCs w:val="20"/>
                <w:lang w:val="en-GB"/>
              </w:rPr>
            </w:pPr>
            <w:r w:rsidRPr="00EB3A82">
              <w:rPr>
                <w:rFonts w:ascii="Arial" w:hAnsi="Arial" w:cs="Arial"/>
                <w:b/>
                <w:bCs/>
                <w:sz w:val="20"/>
                <w:szCs w:val="20"/>
                <w:lang w:val="en-GB"/>
              </w:rPr>
              <w:t>Rating: 4 (Good)</w:t>
            </w:r>
          </w:p>
        </w:tc>
        <w:tc>
          <w:tcPr>
            <w:tcW w:w="1667" w:type="pct"/>
          </w:tcPr>
          <w:p w14:paraId="6AC30665" w14:textId="77777777" w:rsidR="0077566D" w:rsidRPr="00EB3A82" w:rsidRDefault="0077566D">
            <w:pPr>
              <w:outlineLvl w:val="1"/>
              <w:rPr>
                <w:rFonts w:ascii="Arial" w:eastAsia="MS Mincho" w:hAnsi="Arial" w:cs="Arial"/>
                <w:bCs/>
                <w:sz w:val="20"/>
                <w:szCs w:val="20"/>
                <w:lang w:val="en-GB"/>
              </w:rPr>
            </w:pPr>
          </w:p>
        </w:tc>
      </w:tr>
      <w:tr w:rsidR="0077566D" w:rsidRPr="00EB3A82" w14:paraId="428223B6" w14:textId="77777777">
        <w:trPr>
          <w:trHeight w:val="20"/>
          <w:jc w:val="center"/>
        </w:trPr>
        <w:tc>
          <w:tcPr>
            <w:tcW w:w="1666" w:type="pct"/>
            <w:noWrap/>
          </w:tcPr>
          <w:p w14:paraId="69A816DF" w14:textId="77777777" w:rsidR="0077566D" w:rsidRPr="00EB3A82" w:rsidRDefault="003562D7">
            <w:pPr>
              <w:rPr>
                <w:rFonts w:ascii="Arial" w:hAnsi="Arial" w:cs="Arial"/>
                <w:b/>
                <w:sz w:val="20"/>
                <w:szCs w:val="20"/>
                <w:lang w:val="en-GB"/>
              </w:rPr>
            </w:pPr>
            <w:r w:rsidRPr="00EB3A82">
              <w:rPr>
                <w:rFonts w:ascii="Arial" w:hAnsi="Arial" w:cs="Arial"/>
                <w:b/>
                <w:sz w:val="20"/>
                <w:szCs w:val="20"/>
                <w:lang w:val="en-GB"/>
              </w:rPr>
              <w:t>11. Are the conclusions logically arrived?</w:t>
            </w:r>
          </w:p>
          <w:p w14:paraId="70824F10" w14:textId="77777777" w:rsidR="0077566D" w:rsidRPr="00EB3A82" w:rsidRDefault="003562D7">
            <w:pPr>
              <w:rPr>
                <w:rFonts w:ascii="Arial" w:hAnsi="Arial" w:cs="Arial"/>
                <w:color w:val="404040"/>
                <w:sz w:val="20"/>
                <w:szCs w:val="20"/>
                <w:shd w:val="clear" w:color="auto" w:fill="FFFFFF"/>
                <w:lang w:val="en-GB"/>
              </w:rPr>
            </w:pPr>
            <w:r w:rsidRPr="00EB3A82">
              <w:rPr>
                <w:rFonts w:ascii="Arial" w:hAnsi="Arial" w:cs="Arial"/>
                <w:color w:val="404040"/>
                <w:sz w:val="20"/>
                <w:szCs w:val="20"/>
                <w:shd w:val="clear" w:color="auto" w:fill="FFFFFF"/>
                <w:lang w:val="en-GB"/>
              </w:rPr>
              <w:t xml:space="preserve">Rating Scale: </w:t>
            </w:r>
          </w:p>
          <w:p w14:paraId="522001C9" w14:textId="77777777" w:rsidR="0077566D" w:rsidRPr="00EB3A82" w:rsidRDefault="003562D7">
            <w:pPr>
              <w:rPr>
                <w:rFonts w:ascii="Arial" w:hAnsi="Arial" w:cs="Arial"/>
                <w:sz w:val="20"/>
                <w:szCs w:val="20"/>
                <w:lang w:val="en-GB"/>
              </w:rPr>
            </w:pPr>
            <w:r w:rsidRPr="00EB3A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F1684B" w14:textId="0C13B7C7" w:rsidR="0077566D" w:rsidRPr="00EB3A82" w:rsidRDefault="00FB189E">
            <w:pPr>
              <w:contextualSpacing/>
              <w:rPr>
                <w:rFonts w:ascii="Arial" w:hAnsi="Arial" w:cs="Arial"/>
                <w:bCs/>
                <w:sz w:val="20"/>
                <w:szCs w:val="20"/>
                <w:lang w:val="en-GB"/>
              </w:rPr>
            </w:pPr>
            <w:r w:rsidRPr="00EB3A82">
              <w:rPr>
                <w:rFonts w:ascii="Arial" w:hAnsi="Arial" w:cs="Arial"/>
                <w:b/>
                <w:bCs/>
                <w:sz w:val="20"/>
                <w:szCs w:val="20"/>
                <w:lang w:val="en-GB"/>
              </w:rPr>
              <w:t>Rating: 4 (Good)</w:t>
            </w:r>
          </w:p>
        </w:tc>
        <w:tc>
          <w:tcPr>
            <w:tcW w:w="1667" w:type="pct"/>
          </w:tcPr>
          <w:p w14:paraId="383ACAC8" w14:textId="77777777" w:rsidR="0077566D" w:rsidRPr="00EB3A82" w:rsidRDefault="0077566D">
            <w:pPr>
              <w:outlineLvl w:val="1"/>
              <w:rPr>
                <w:rFonts w:ascii="Arial" w:eastAsia="MS Mincho" w:hAnsi="Arial" w:cs="Arial"/>
                <w:bCs/>
                <w:sz w:val="20"/>
                <w:szCs w:val="20"/>
                <w:lang w:val="en-GB"/>
              </w:rPr>
            </w:pPr>
          </w:p>
        </w:tc>
      </w:tr>
      <w:tr w:rsidR="0077566D" w:rsidRPr="00EB3A82" w14:paraId="3D04360D" w14:textId="77777777">
        <w:trPr>
          <w:trHeight w:val="20"/>
          <w:jc w:val="center"/>
        </w:trPr>
        <w:tc>
          <w:tcPr>
            <w:tcW w:w="1666" w:type="pct"/>
            <w:noWrap/>
          </w:tcPr>
          <w:p w14:paraId="15A0DAC8" w14:textId="77777777" w:rsidR="0077566D" w:rsidRPr="00EB3A82" w:rsidRDefault="003562D7">
            <w:pPr>
              <w:rPr>
                <w:rFonts w:ascii="Arial" w:hAnsi="Arial" w:cs="Arial"/>
                <w:b/>
                <w:sz w:val="20"/>
                <w:szCs w:val="20"/>
                <w:lang w:val="en-GB"/>
              </w:rPr>
            </w:pPr>
            <w:r w:rsidRPr="00EB3A82">
              <w:rPr>
                <w:rFonts w:ascii="Arial" w:hAnsi="Arial" w:cs="Arial"/>
                <w:b/>
                <w:sz w:val="20"/>
                <w:szCs w:val="20"/>
                <w:lang w:val="en-GB"/>
              </w:rPr>
              <w:t>12. Are the limitations of the paper discussed?</w:t>
            </w:r>
          </w:p>
          <w:p w14:paraId="56F5E014" w14:textId="77777777" w:rsidR="0077566D" w:rsidRPr="00EB3A82" w:rsidRDefault="003562D7">
            <w:pPr>
              <w:rPr>
                <w:rFonts w:ascii="Arial" w:hAnsi="Arial" w:cs="Arial"/>
                <w:color w:val="404040"/>
                <w:sz w:val="20"/>
                <w:szCs w:val="20"/>
                <w:shd w:val="clear" w:color="auto" w:fill="FFFFFF"/>
                <w:lang w:val="en-GB"/>
              </w:rPr>
            </w:pPr>
            <w:r w:rsidRPr="00EB3A82">
              <w:rPr>
                <w:rFonts w:ascii="Arial" w:hAnsi="Arial" w:cs="Arial"/>
                <w:color w:val="404040"/>
                <w:sz w:val="20"/>
                <w:szCs w:val="20"/>
                <w:shd w:val="clear" w:color="auto" w:fill="FFFFFF"/>
                <w:lang w:val="en-GB"/>
              </w:rPr>
              <w:t xml:space="preserve">Rating Scale: </w:t>
            </w:r>
          </w:p>
          <w:p w14:paraId="31A24CAA" w14:textId="77777777" w:rsidR="0077566D" w:rsidRPr="00EB3A82" w:rsidRDefault="003562D7">
            <w:pPr>
              <w:rPr>
                <w:rFonts w:ascii="Arial" w:hAnsi="Arial" w:cs="Arial"/>
                <w:sz w:val="20"/>
                <w:szCs w:val="20"/>
                <w:lang w:val="en-GB"/>
              </w:rPr>
            </w:pPr>
            <w:r w:rsidRPr="00EB3A8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63D0BA" w14:textId="5E77000E" w:rsidR="0077566D" w:rsidRPr="00EB3A82" w:rsidRDefault="00FB189E">
            <w:pPr>
              <w:contextualSpacing/>
              <w:rPr>
                <w:rFonts w:ascii="Arial" w:hAnsi="Arial" w:cs="Arial"/>
                <w:bCs/>
                <w:sz w:val="20"/>
                <w:szCs w:val="20"/>
                <w:lang w:val="en-GB"/>
              </w:rPr>
            </w:pPr>
            <w:r w:rsidRPr="00EB3A82">
              <w:rPr>
                <w:rFonts w:ascii="Arial" w:hAnsi="Arial" w:cs="Arial"/>
                <w:b/>
                <w:bCs/>
                <w:sz w:val="20"/>
                <w:szCs w:val="20"/>
                <w:lang w:val="en-GB"/>
              </w:rPr>
              <w:t>Rating: 4 (Good)</w:t>
            </w:r>
          </w:p>
        </w:tc>
        <w:tc>
          <w:tcPr>
            <w:tcW w:w="1667" w:type="pct"/>
          </w:tcPr>
          <w:p w14:paraId="224B478A" w14:textId="77777777" w:rsidR="0077566D" w:rsidRPr="00EB3A82" w:rsidRDefault="0077566D">
            <w:pPr>
              <w:outlineLvl w:val="1"/>
              <w:rPr>
                <w:rFonts w:ascii="Arial" w:eastAsia="MS Mincho" w:hAnsi="Arial" w:cs="Arial"/>
                <w:bCs/>
                <w:sz w:val="20"/>
                <w:szCs w:val="20"/>
                <w:lang w:val="en-GB"/>
              </w:rPr>
            </w:pPr>
          </w:p>
        </w:tc>
      </w:tr>
      <w:tr w:rsidR="0077566D" w:rsidRPr="00EB3A82" w14:paraId="55A220F5" w14:textId="77777777">
        <w:trPr>
          <w:trHeight w:val="20"/>
          <w:jc w:val="center"/>
        </w:trPr>
        <w:tc>
          <w:tcPr>
            <w:tcW w:w="1666" w:type="pct"/>
            <w:noWrap/>
          </w:tcPr>
          <w:p w14:paraId="659A5E0C" w14:textId="77777777" w:rsidR="0077566D" w:rsidRPr="00EB3A82" w:rsidRDefault="003562D7">
            <w:pPr>
              <w:rPr>
                <w:rFonts w:ascii="Arial" w:hAnsi="Arial" w:cs="Arial"/>
                <w:b/>
                <w:sz w:val="20"/>
                <w:szCs w:val="20"/>
                <w:lang w:val="en-GB"/>
              </w:rPr>
            </w:pPr>
            <w:r w:rsidRPr="00EB3A82">
              <w:rPr>
                <w:rFonts w:ascii="Arial" w:hAnsi="Arial" w:cs="Arial"/>
                <w:b/>
                <w:sz w:val="20"/>
                <w:szCs w:val="20"/>
                <w:lang w:val="en-GB"/>
              </w:rPr>
              <w:t xml:space="preserve">13. What is the </w:t>
            </w:r>
            <w:r w:rsidRPr="00EB3A82">
              <w:rPr>
                <w:rFonts w:ascii="Arial" w:hAnsi="Arial" w:cs="Arial"/>
                <w:sz w:val="20"/>
                <w:szCs w:val="20"/>
                <w:lang w:val="en-GB"/>
              </w:rPr>
              <w:t>Quality of references (i.e. from peer reviewed authentic sources)</w:t>
            </w:r>
          </w:p>
          <w:p w14:paraId="6E16DD94" w14:textId="77777777" w:rsidR="0077566D" w:rsidRPr="00EB3A82" w:rsidRDefault="003562D7">
            <w:pPr>
              <w:rPr>
                <w:rFonts w:ascii="Arial" w:hAnsi="Arial" w:cs="Arial"/>
                <w:color w:val="404040"/>
                <w:sz w:val="20"/>
                <w:szCs w:val="20"/>
                <w:shd w:val="clear" w:color="auto" w:fill="FFFFFF"/>
                <w:lang w:val="en-GB"/>
              </w:rPr>
            </w:pPr>
            <w:r w:rsidRPr="00EB3A82">
              <w:rPr>
                <w:rFonts w:ascii="Arial" w:hAnsi="Arial" w:cs="Arial"/>
                <w:color w:val="404040"/>
                <w:sz w:val="20"/>
                <w:szCs w:val="20"/>
                <w:shd w:val="clear" w:color="auto" w:fill="FFFFFF"/>
                <w:lang w:val="en-GB"/>
              </w:rPr>
              <w:t xml:space="preserve">Rating Scale: </w:t>
            </w:r>
          </w:p>
          <w:p w14:paraId="7E3F7431" w14:textId="77777777" w:rsidR="0077566D" w:rsidRPr="00EB3A82" w:rsidRDefault="003562D7">
            <w:pPr>
              <w:rPr>
                <w:rFonts w:ascii="Arial" w:hAnsi="Arial" w:cs="Arial"/>
                <w:color w:val="404040"/>
                <w:sz w:val="20"/>
                <w:szCs w:val="20"/>
                <w:shd w:val="clear" w:color="auto" w:fill="FFFFFF"/>
                <w:lang w:val="en-GB"/>
              </w:rPr>
            </w:pPr>
            <w:r w:rsidRPr="00EB3A82">
              <w:rPr>
                <w:rFonts w:ascii="Arial" w:hAnsi="Arial" w:cs="Arial"/>
                <w:color w:val="404040"/>
                <w:sz w:val="20"/>
                <w:szCs w:val="20"/>
                <w:shd w:val="clear" w:color="auto" w:fill="FFFFFF"/>
                <w:lang w:val="en-GB"/>
              </w:rPr>
              <w:t xml:space="preserve">5 = Excellent 4 = Good 3 = Satisfactory 2 = Needs Improvement 1 = Poor </w:t>
            </w:r>
          </w:p>
          <w:p w14:paraId="63597EB3" w14:textId="77777777" w:rsidR="0077566D" w:rsidRPr="00EB3A82" w:rsidRDefault="003562D7">
            <w:pPr>
              <w:rPr>
                <w:rFonts w:ascii="Arial" w:hAnsi="Arial" w:cs="Arial"/>
                <w:sz w:val="20"/>
                <w:szCs w:val="20"/>
                <w:lang w:val="en-GB"/>
              </w:rPr>
            </w:pPr>
            <w:r w:rsidRPr="00EB3A82">
              <w:rPr>
                <w:rFonts w:ascii="Arial" w:hAnsi="Arial" w:cs="Arial"/>
                <w:color w:val="404040"/>
                <w:sz w:val="20"/>
                <w:szCs w:val="20"/>
                <w:shd w:val="clear" w:color="auto" w:fill="FFFFFF"/>
                <w:lang w:val="en-GB"/>
              </w:rPr>
              <w:lastRenderedPageBreak/>
              <w:t>N/A = Not Applicable</w:t>
            </w:r>
          </w:p>
        </w:tc>
        <w:tc>
          <w:tcPr>
            <w:tcW w:w="1667" w:type="pct"/>
          </w:tcPr>
          <w:p w14:paraId="7B5E7F73" w14:textId="164A0416" w:rsidR="0077566D" w:rsidRPr="00EB3A82" w:rsidRDefault="00FB189E">
            <w:pPr>
              <w:contextualSpacing/>
              <w:rPr>
                <w:rFonts w:ascii="Arial" w:hAnsi="Arial" w:cs="Arial"/>
                <w:bCs/>
                <w:sz w:val="20"/>
                <w:szCs w:val="20"/>
                <w:lang w:val="en-GB"/>
              </w:rPr>
            </w:pPr>
            <w:r w:rsidRPr="00EB3A82">
              <w:rPr>
                <w:rFonts w:ascii="Arial" w:hAnsi="Arial" w:cs="Arial"/>
                <w:b/>
                <w:bCs/>
                <w:sz w:val="20"/>
                <w:szCs w:val="20"/>
                <w:lang w:val="en-GB"/>
              </w:rPr>
              <w:lastRenderedPageBreak/>
              <w:t>Rating: 4 (Good)</w:t>
            </w:r>
          </w:p>
        </w:tc>
        <w:tc>
          <w:tcPr>
            <w:tcW w:w="1667" w:type="pct"/>
          </w:tcPr>
          <w:p w14:paraId="734C6A97" w14:textId="77777777" w:rsidR="0077566D" w:rsidRPr="00EB3A82" w:rsidRDefault="0077566D">
            <w:pPr>
              <w:outlineLvl w:val="1"/>
              <w:rPr>
                <w:rFonts w:ascii="Arial" w:eastAsia="MS Mincho" w:hAnsi="Arial" w:cs="Arial"/>
                <w:bCs/>
                <w:sz w:val="20"/>
                <w:szCs w:val="20"/>
                <w:lang w:val="en-GB"/>
              </w:rPr>
            </w:pPr>
          </w:p>
        </w:tc>
      </w:tr>
      <w:tr w:rsidR="0077566D" w:rsidRPr="00EB3A82" w14:paraId="1CEC8519" w14:textId="77777777">
        <w:trPr>
          <w:trHeight w:val="20"/>
          <w:jc w:val="center"/>
        </w:trPr>
        <w:tc>
          <w:tcPr>
            <w:tcW w:w="1666" w:type="pct"/>
            <w:noWrap/>
          </w:tcPr>
          <w:p w14:paraId="47D74BD1" w14:textId="77777777" w:rsidR="0077566D" w:rsidRPr="00EB3A82" w:rsidRDefault="003562D7">
            <w:pPr>
              <w:rPr>
                <w:rFonts w:ascii="Arial" w:hAnsi="Arial" w:cs="Arial"/>
                <w:b/>
                <w:sz w:val="20"/>
                <w:szCs w:val="20"/>
                <w:lang w:val="en-GB"/>
              </w:rPr>
            </w:pPr>
            <w:r w:rsidRPr="00EB3A82">
              <w:rPr>
                <w:rFonts w:ascii="Arial" w:hAnsi="Arial" w:cs="Arial"/>
                <w:b/>
                <w:sz w:val="20"/>
                <w:szCs w:val="20"/>
                <w:lang w:val="en-GB"/>
              </w:rPr>
              <w:t>14. Is the manuscript written in clear and understandable language?</w:t>
            </w:r>
          </w:p>
          <w:p w14:paraId="29847196" w14:textId="77777777" w:rsidR="0077566D" w:rsidRPr="00EB3A82" w:rsidRDefault="003562D7">
            <w:pPr>
              <w:rPr>
                <w:rFonts w:ascii="Arial" w:hAnsi="Arial" w:cs="Arial"/>
                <w:color w:val="404040"/>
                <w:sz w:val="20"/>
                <w:szCs w:val="20"/>
                <w:shd w:val="clear" w:color="auto" w:fill="FFFFFF"/>
                <w:lang w:val="en-GB"/>
              </w:rPr>
            </w:pPr>
            <w:r w:rsidRPr="00EB3A82">
              <w:rPr>
                <w:rFonts w:ascii="Arial" w:hAnsi="Arial" w:cs="Arial"/>
                <w:color w:val="404040"/>
                <w:sz w:val="20"/>
                <w:szCs w:val="20"/>
                <w:shd w:val="clear" w:color="auto" w:fill="FFFFFF"/>
                <w:lang w:val="en-GB"/>
              </w:rPr>
              <w:t xml:space="preserve">Rating Scale: </w:t>
            </w:r>
          </w:p>
          <w:p w14:paraId="5906471B" w14:textId="77777777" w:rsidR="0077566D" w:rsidRPr="00EB3A82" w:rsidRDefault="003562D7">
            <w:pPr>
              <w:rPr>
                <w:rFonts w:ascii="Arial" w:hAnsi="Arial" w:cs="Arial"/>
                <w:color w:val="404040"/>
                <w:sz w:val="20"/>
                <w:szCs w:val="20"/>
                <w:shd w:val="clear" w:color="auto" w:fill="FFFFFF"/>
                <w:lang w:val="en-GB"/>
              </w:rPr>
            </w:pPr>
            <w:r w:rsidRPr="00EB3A82">
              <w:rPr>
                <w:rFonts w:ascii="Arial" w:hAnsi="Arial" w:cs="Arial"/>
                <w:color w:val="404040"/>
                <w:sz w:val="20"/>
                <w:szCs w:val="20"/>
                <w:shd w:val="clear" w:color="auto" w:fill="FFFFFF"/>
                <w:lang w:val="en-GB"/>
              </w:rPr>
              <w:t xml:space="preserve">5 = Excellent 4 = Good 3 = Satisfactory 2 = Needs Improvement 1 = Poor </w:t>
            </w:r>
          </w:p>
          <w:p w14:paraId="60E2B8D0" w14:textId="77777777" w:rsidR="0077566D" w:rsidRPr="00EB3A82" w:rsidRDefault="003562D7">
            <w:pPr>
              <w:rPr>
                <w:rFonts w:ascii="Arial" w:hAnsi="Arial" w:cs="Arial"/>
                <w:sz w:val="20"/>
                <w:szCs w:val="20"/>
                <w:lang w:val="en-GB"/>
              </w:rPr>
            </w:pPr>
            <w:r w:rsidRPr="00EB3A82">
              <w:rPr>
                <w:rFonts w:ascii="Arial" w:hAnsi="Arial" w:cs="Arial"/>
                <w:color w:val="404040"/>
                <w:sz w:val="20"/>
                <w:szCs w:val="20"/>
                <w:shd w:val="clear" w:color="auto" w:fill="FFFFFF"/>
                <w:lang w:val="en-GB"/>
              </w:rPr>
              <w:t>N/A = Not Applicable</w:t>
            </w:r>
          </w:p>
        </w:tc>
        <w:tc>
          <w:tcPr>
            <w:tcW w:w="1667" w:type="pct"/>
          </w:tcPr>
          <w:p w14:paraId="72787149" w14:textId="77777777" w:rsidR="0077566D" w:rsidRPr="00EB3A82" w:rsidRDefault="00FB189E" w:rsidP="00FB189E">
            <w:pPr>
              <w:contextualSpacing/>
              <w:rPr>
                <w:rFonts w:ascii="Arial" w:hAnsi="Arial" w:cs="Arial"/>
                <w:bCs/>
                <w:sz w:val="20"/>
                <w:szCs w:val="20"/>
                <w:lang w:val="en-GB"/>
              </w:rPr>
            </w:pPr>
            <w:r w:rsidRPr="00EB3A82">
              <w:rPr>
                <w:rFonts w:ascii="Arial" w:hAnsi="Arial" w:cs="Arial"/>
                <w:bCs/>
                <w:sz w:val="20"/>
                <w:szCs w:val="20"/>
                <w:lang w:val="en-GB"/>
              </w:rPr>
              <w:t>The manuscript is written with exceptional clarity, utilizing precise scientific terminology while maintaining a logical flow that makes complex neurobiological concepts accessible to a professional audience.</w:t>
            </w:r>
          </w:p>
          <w:p w14:paraId="03457C43" w14:textId="77777777" w:rsidR="00FB189E" w:rsidRPr="00EB3A82" w:rsidRDefault="00FB189E" w:rsidP="00FB189E">
            <w:pPr>
              <w:contextualSpacing/>
              <w:rPr>
                <w:rFonts w:ascii="Arial" w:hAnsi="Arial" w:cs="Arial"/>
                <w:bCs/>
                <w:sz w:val="20"/>
                <w:szCs w:val="20"/>
                <w:lang w:val="en-GB"/>
              </w:rPr>
            </w:pPr>
          </w:p>
          <w:p w14:paraId="74D8F3E1" w14:textId="1BBCD7C1" w:rsidR="00FB189E" w:rsidRPr="00EB3A82" w:rsidRDefault="00FB189E" w:rsidP="00FB189E">
            <w:pPr>
              <w:contextualSpacing/>
              <w:rPr>
                <w:rFonts w:ascii="Arial" w:hAnsi="Arial" w:cs="Arial"/>
                <w:b/>
                <w:sz w:val="20"/>
                <w:szCs w:val="20"/>
                <w:lang w:val="en-GB"/>
              </w:rPr>
            </w:pPr>
            <w:r w:rsidRPr="00EB3A82">
              <w:rPr>
                <w:rFonts w:ascii="Arial" w:hAnsi="Arial" w:cs="Arial"/>
                <w:b/>
                <w:sz w:val="20"/>
                <w:szCs w:val="20"/>
                <w:lang w:val="en-GB"/>
              </w:rPr>
              <w:t>Rating: 5 (Excellent)</w:t>
            </w:r>
          </w:p>
        </w:tc>
        <w:tc>
          <w:tcPr>
            <w:tcW w:w="1667" w:type="pct"/>
          </w:tcPr>
          <w:p w14:paraId="4210E34B" w14:textId="77777777" w:rsidR="0077566D" w:rsidRPr="00EB3A82" w:rsidRDefault="0077566D">
            <w:pPr>
              <w:outlineLvl w:val="1"/>
              <w:rPr>
                <w:rFonts w:ascii="Arial" w:eastAsia="MS Mincho" w:hAnsi="Arial" w:cs="Arial"/>
                <w:bCs/>
                <w:sz w:val="20"/>
                <w:szCs w:val="20"/>
                <w:lang w:val="en-GB"/>
              </w:rPr>
            </w:pPr>
          </w:p>
        </w:tc>
      </w:tr>
    </w:tbl>
    <w:p w14:paraId="6FDEB744" w14:textId="77777777" w:rsidR="0077566D" w:rsidRPr="00EB3A82" w:rsidRDefault="0077566D">
      <w:pPr>
        <w:jc w:val="both"/>
        <w:rPr>
          <w:rFonts w:ascii="Arial" w:eastAsia="MS Mincho" w:hAnsi="Arial" w:cs="Arial"/>
          <w:b/>
          <w:bCs/>
          <w:sz w:val="20"/>
          <w:szCs w:val="20"/>
          <w:u w:val="single"/>
          <w:lang w:val="en-GB" w:eastAsia="x-none"/>
        </w:rPr>
      </w:pPr>
    </w:p>
    <w:p w14:paraId="4E2999B3" w14:textId="77777777" w:rsidR="0077566D" w:rsidRPr="00EB3A82" w:rsidRDefault="003562D7">
      <w:pPr>
        <w:outlineLvl w:val="1"/>
        <w:rPr>
          <w:rFonts w:ascii="Arial" w:eastAsia="MS Mincho" w:hAnsi="Arial" w:cs="Arial"/>
          <w:b/>
          <w:bCs/>
          <w:sz w:val="20"/>
          <w:szCs w:val="20"/>
          <w:u w:val="single"/>
          <w:lang w:val="en-GB"/>
        </w:rPr>
      </w:pPr>
      <w:r w:rsidRPr="00EB3A82">
        <w:rPr>
          <w:rFonts w:ascii="Arial" w:eastAsia="MS Mincho" w:hAnsi="Arial" w:cs="Arial"/>
          <w:b/>
          <w:bCs/>
          <w:sz w:val="20"/>
          <w:szCs w:val="20"/>
          <w:highlight w:val="yellow"/>
          <w:u w:val="single"/>
          <w:lang w:val="en-GB"/>
        </w:rPr>
        <w:t>PART 2.2 (Subjective Evaluation)</w:t>
      </w:r>
    </w:p>
    <w:p w14:paraId="2CFA3461" w14:textId="77777777" w:rsidR="0077566D" w:rsidRPr="00EB3A82" w:rsidRDefault="0077566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7566D" w:rsidRPr="00EB3A82" w14:paraId="7B86BB1F" w14:textId="77777777">
        <w:trPr>
          <w:trHeight w:val="20"/>
          <w:jc w:val="center"/>
        </w:trPr>
        <w:tc>
          <w:tcPr>
            <w:tcW w:w="1666" w:type="pct"/>
            <w:noWrap/>
          </w:tcPr>
          <w:p w14:paraId="15B84A9A" w14:textId="77777777" w:rsidR="0077566D" w:rsidRPr="00EB3A82" w:rsidRDefault="0077566D">
            <w:pPr>
              <w:outlineLvl w:val="1"/>
              <w:rPr>
                <w:rFonts w:ascii="Arial" w:eastAsia="MS Mincho" w:hAnsi="Arial" w:cs="Arial"/>
                <w:b/>
                <w:bCs/>
                <w:sz w:val="20"/>
                <w:szCs w:val="20"/>
                <w:lang w:val="en-GB"/>
              </w:rPr>
            </w:pPr>
          </w:p>
        </w:tc>
        <w:tc>
          <w:tcPr>
            <w:tcW w:w="1667" w:type="pct"/>
          </w:tcPr>
          <w:p w14:paraId="5A12B5DC" w14:textId="77777777" w:rsidR="0077566D" w:rsidRPr="00EB3A82" w:rsidRDefault="003562D7">
            <w:pPr>
              <w:outlineLvl w:val="1"/>
              <w:rPr>
                <w:rFonts w:ascii="Arial" w:eastAsia="MS Mincho" w:hAnsi="Arial" w:cs="Arial"/>
                <w:b/>
                <w:bCs/>
                <w:sz w:val="20"/>
                <w:szCs w:val="20"/>
                <w:lang w:val="en-GB"/>
              </w:rPr>
            </w:pPr>
            <w:r w:rsidRPr="00EB3A82">
              <w:rPr>
                <w:rFonts w:ascii="Arial" w:eastAsia="MS Mincho" w:hAnsi="Arial" w:cs="Arial"/>
                <w:b/>
                <w:bCs/>
                <w:sz w:val="20"/>
                <w:szCs w:val="20"/>
                <w:lang w:val="en-GB"/>
              </w:rPr>
              <w:t>Reviewer’s comment</w:t>
            </w:r>
          </w:p>
          <w:p w14:paraId="1AD79071" w14:textId="77777777" w:rsidR="0077566D" w:rsidRPr="00EB3A82" w:rsidRDefault="0077566D">
            <w:pPr>
              <w:rPr>
                <w:rFonts w:ascii="Arial" w:hAnsi="Arial" w:cs="Arial"/>
                <w:sz w:val="20"/>
                <w:szCs w:val="20"/>
                <w:lang w:val="en-GB"/>
              </w:rPr>
            </w:pPr>
          </w:p>
        </w:tc>
        <w:tc>
          <w:tcPr>
            <w:tcW w:w="1667" w:type="pct"/>
          </w:tcPr>
          <w:p w14:paraId="5ACCF885" w14:textId="77777777" w:rsidR="0077566D" w:rsidRPr="00EB3A82" w:rsidRDefault="003562D7">
            <w:pPr>
              <w:spacing w:after="160" w:line="259" w:lineRule="auto"/>
              <w:rPr>
                <w:rFonts w:ascii="Arial" w:eastAsia="Calibri" w:hAnsi="Arial" w:cs="Arial"/>
                <w:kern w:val="2"/>
                <w:sz w:val="20"/>
                <w:szCs w:val="20"/>
                <w:lang w:val="en-IN"/>
              </w:rPr>
            </w:pPr>
            <w:r w:rsidRPr="00EB3A82">
              <w:rPr>
                <w:rFonts w:ascii="Arial" w:eastAsia="Calibri" w:hAnsi="Arial" w:cs="Arial"/>
                <w:b/>
                <w:kern w:val="2"/>
                <w:sz w:val="20"/>
                <w:szCs w:val="20"/>
                <w:lang w:val="en-IN"/>
              </w:rPr>
              <w:t>Author’s Feedback</w:t>
            </w:r>
            <w:r w:rsidRPr="00EB3A82">
              <w:rPr>
                <w:rFonts w:ascii="Arial" w:eastAsia="Calibri" w:hAnsi="Arial" w:cs="Arial"/>
                <w:kern w:val="2"/>
                <w:sz w:val="20"/>
                <w:szCs w:val="20"/>
                <w:lang w:val="en-IN"/>
              </w:rPr>
              <w:t xml:space="preserve"> (It is mandatory that authors should write his/her feedback here)</w:t>
            </w:r>
          </w:p>
          <w:p w14:paraId="0466EC5F" w14:textId="77777777" w:rsidR="0077566D" w:rsidRPr="00EB3A82" w:rsidRDefault="0077566D">
            <w:pPr>
              <w:outlineLvl w:val="1"/>
              <w:rPr>
                <w:rFonts w:ascii="Arial" w:eastAsia="MS Mincho" w:hAnsi="Arial" w:cs="Arial"/>
                <w:bCs/>
                <w:sz w:val="20"/>
                <w:szCs w:val="20"/>
                <w:lang w:val="en-GB"/>
              </w:rPr>
            </w:pPr>
          </w:p>
        </w:tc>
      </w:tr>
      <w:tr w:rsidR="0077566D" w:rsidRPr="00EB3A82" w14:paraId="3FD4535B" w14:textId="77777777">
        <w:trPr>
          <w:trHeight w:val="20"/>
          <w:jc w:val="center"/>
        </w:trPr>
        <w:tc>
          <w:tcPr>
            <w:tcW w:w="1666" w:type="pct"/>
            <w:noWrap/>
          </w:tcPr>
          <w:p w14:paraId="7AC58074" w14:textId="77777777" w:rsidR="0077566D" w:rsidRPr="00EB3A82" w:rsidRDefault="003562D7">
            <w:pPr>
              <w:rPr>
                <w:rFonts w:ascii="Arial" w:hAnsi="Arial" w:cs="Arial"/>
                <w:b/>
                <w:bCs/>
                <w:sz w:val="20"/>
                <w:szCs w:val="20"/>
                <w:lang w:val="en-GB"/>
              </w:rPr>
            </w:pPr>
            <w:r w:rsidRPr="00EB3A82">
              <w:rPr>
                <w:rFonts w:ascii="Arial" w:hAnsi="Arial" w:cs="Arial"/>
                <w:b/>
                <w:bCs/>
                <w:sz w:val="20"/>
                <w:szCs w:val="20"/>
                <w:lang w:val="en-GB"/>
              </w:rPr>
              <w:t>Is the title of the article suitable?</w:t>
            </w:r>
          </w:p>
          <w:p w14:paraId="05DDED70" w14:textId="77777777" w:rsidR="0077566D" w:rsidRPr="00EB3A82" w:rsidRDefault="0077566D">
            <w:pPr>
              <w:rPr>
                <w:rFonts w:ascii="Arial" w:hAnsi="Arial" w:cs="Arial"/>
                <w:bCs/>
                <w:sz w:val="20"/>
                <w:szCs w:val="20"/>
                <w:lang w:val="en-GB"/>
              </w:rPr>
            </w:pPr>
          </w:p>
          <w:p w14:paraId="2DEA8894" w14:textId="77777777" w:rsidR="0077566D" w:rsidRPr="00EB3A82" w:rsidRDefault="003562D7">
            <w:pPr>
              <w:rPr>
                <w:rFonts w:ascii="Arial" w:hAnsi="Arial" w:cs="Arial"/>
                <w:sz w:val="20"/>
                <w:szCs w:val="20"/>
                <w:u w:val="single"/>
                <w:lang w:val="en-GB"/>
              </w:rPr>
            </w:pPr>
            <w:r w:rsidRPr="00EB3A82">
              <w:rPr>
                <w:rFonts w:ascii="Arial" w:hAnsi="Arial" w:cs="Arial"/>
                <w:bCs/>
                <w:sz w:val="20"/>
                <w:szCs w:val="20"/>
                <w:lang w:val="en-GB"/>
              </w:rPr>
              <w:t>If your answer is NO, please provide a brief, clear suggestion for improvement.</w:t>
            </w:r>
          </w:p>
        </w:tc>
        <w:tc>
          <w:tcPr>
            <w:tcW w:w="1667" w:type="pct"/>
          </w:tcPr>
          <w:p w14:paraId="450C8B63" w14:textId="77777777" w:rsidR="00347131" w:rsidRPr="00EB3A82" w:rsidRDefault="00347131" w:rsidP="00347131">
            <w:pPr>
              <w:ind w:left="360"/>
              <w:rPr>
                <w:rFonts w:ascii="Arial" w:hAnsi="Arial" w:cs="Arial"/>
                <w:b/>
                <w:bCs/>
                <w:sz w:val="20"/>
                <w:szCs w:val="20"/>
                <w:lang w:val="en-GB"/>
              </w:rPr>
            </w:pPr>
            <w:r w:rsidRPr="00EB3A82">
              <w:rPr>
                <w:rFonts w:ascii="Arial" w:hAnsi="Arial" w:cs="Arial"/>
                <w:b/>
                <w:bCs/>
                <w:sz w:val="20"/>
                <w:szCs w:val="20"/>
                <w:lang w:val="en-GB"/>
              </w:rPr>
              <w:t>Yes, the article title is appropriate.</w:t>
            </w:r>
          </w:p>
          <w:p w14:paraId="198653A9" w14:textId="6E68F431" w:rsidR="0077566D" w:rsidRPr="00EB3A82" w:rsidRDefault="0077566D" w:rsidP="00347131">
            <w:pPr>
              <w:ind w:left="360"/>
              <w:rPr>
                <w:rFonts w:ascii="Arial" w:hAnsi="Arial" w:cs="Arial"/>
                <w:b/>
                <w:bCs/>
                <w:sz w:val="20"/>
                <w:szCs w:val="20"/>
                <w:lang w:val="en-GB"/>
              </w:rPr>
            </w:pPr>
          </w:p>
        </w:tc>
        <w:tc>
          <w:tcPr>
            <w:tcW w:w="1667" w:type="pct"/>
          </w:tcPr>
          <w:p w14:paraId="51442F38" w14:textId="77777777" w:rsidR="0077566D" w:rsidRPr="00EB3A82" w:rsidRDefault="0077566D">
            <w:pPr>
              <w:outlineLvl w:val="1"/>
              <w:rPr>
                <w:rFonts w:ascii="Arial" w:eastAsia="MS Mincho" w:hAnsi="Arial" w:cs="Arial"/>
                <w:bCs/>
                <w:sz w:val="20"/>
                <w:szCs w:val="20"/>
                <w:lang w:val="en-GB"/>
              </w:rPr>
            </w:pPr>
          </w:p>
        </w:tc>
      </w:tr>
      <w:tr w:rsidR="0077566D" w:rsidRPr="00EB3A82" w14:paraId="7C49EA50" w14:textId="77777777">
        <w:trPr>
          <w:trHeight w:val="20"/>
          <w:jc w:val="center"/>
        </w:trPr>
        <w:tc>
          <w:tcPr>
            <w:tcW w:w="1666" w:type="pct"/>
            <w:noWrap/>
          </w:tcPr>
          <w:p w14:paraId="4F8EA5FF" w14:textId="77777777" w:rsidR="0077566D" w:rsidRPr="00EB3A82" w:rsidRDefault="003562D7">
            <w:pPr>
              <w:outlineLvl w:val="1"/>
              <w:rPr>
                <w:rFonts w:ascii="Arial" w:eastAsia="MS Mincho" w:hAnsi="Arial" w:cs="Arial"/>
                <w:b/>
                <w:bCs/>
                <w:sz w:val="20"/>
                <w:szCs w:val="20"/>
                <w:lang w:val="en-GB"/>
              </w:rPr>
            </w:pPr>
            <w:r w:rsidRPr="00EB3A82">
              <w:rPr>
                <w:rFonts w:ascii="Arial" w:eastAsia="MS Mincho" w:hAnsi="Arial" w:cs="Arial"/>
                <w:b/>
                <w:bCs/>
                <w:sz w:val="20"/>
                <w:szCs w:val="20"/>
                <w:lang w:val="en-GB"/>
              </w:rPr>
              <w:t xml:space="preserve">Is the abstract of the article comprehensive? </w:t>
            </w:r>
          </w:p>
          <w:p w14:paraId="2E82FC9B" w14:textId="77777777" w:rsidR="0077566D" w:rsidRPr="00EB3A82" w:rsidRDefault="0077566D">
            <w:pPr>
              <w:rPr>
                <w:rFonts w:ascii="Arial" w:hAnsi="Arial" w:cs="Arial"/>
                <w:bCs/>
                <w:sz w:val="20"/>
                <w:szCs w:val="20"/>
                <w:lang w:val="en-GB"/>
              </w:rPr>
            </w:pPr>
          </w:p>
          <w:p w14:paraId="72219F65" w14:textId="77777777" w:rsidR="0077566D" w:rsidRPr="00EB3A82" w:rsidRDefault="003562D7">
            <w:pPr>
              <w:rPr>
                <w:rFonts w:ascii="Arial" w:hAnsi="Arial" w:cs="Arial"/>
                <w:sz w:val="20"/>
                <w:szCs w:val="20"/>
                <w:lang w:val="en-GB"/>
              </w:rPr>
            </w:pPr>
            <w:r w:rsidRPr="00EB3A82">
              <w:rPr>
                <w:rFonts w:ascii="Arial" w:hAnsi="Arial" w:cs="Arial"/>
                <w:bCs/>
                <w:sz w:val="20"/>
                <w:szCs w:val="20"/>
                <w:lang w:val="en-GB"/>
              </w:rPr>
              <w:t>If your answer is NO, please provide a brief, clear suggestion for improvement.</w:t>
            </w:r>
          </w:p>
        </w:tc>
        <w:tc>
          <w:tcPr>
            <w:tcW w:w="1667" w:type="pct"/>
          </w:tcPr>
          <w:p w14:paraId="4B6D0119" w14:textId="00CDBE49" w:rsidR="00347131" w:rsidRPr="00EB3A82" w:rsidRDefault="00347131" w:rsidP="00347131">
            <w:pPr>
              <w:ind w:left="360"/>
              <w:rPr>
                <w:rFonts w:ascii="Arial" w:hAnsi="Arial" w:cs="Arial"/>
                <w:b/>
                <w:bCs/>
                <w:sz w:val="20"/>
                <w:szCs w:val="20"/>
                <w:lang w:val="en-GB"/>
              </w:rPr>
            </w:pPr>
            <w:r w:rsidRPr="00EB3A82">
              <w:rPr>
                <w:rFonts w:ascii="Arial" w:hAnsi="Arial" w:cs="Arial"/>
                <w:b/>
                <w:bCs/>
                <w:sz w:val="20"/>
                <w:szCs w:val="20"/>
                <w:lang w:val="en-GB"/>
              </w:rPr>
              <w:t xml:space="preserve">Yes; the article abstract is </w:t>
            </w:r>
            <w:r w:rsidRPr="00EB3A82">
              <w:rPr>
                <w:rFonts w:ascii="Arial" w:eastAsia="MS Mincho" w:hAnsi="Arial" w:cs="Arial"/>
                <w:b/>
                <w:bCs/>
                <w:sz w:val="20"/>
                <w:szCs w:val="20"/>
                <w:lang w:val="en-GB"/>
              </w:rPr>
              <w:t>comprehensive</w:t>
            </w:r>
            <w:r w:rsidRPr="00EB3A82">
              <w:rPr>
                <w:rFonts w:ascii="Arial" w:hAnsi="Arial" w:cs="Arial"/>
                <w:b/>
                <w:bCs/>
                <w:sz w:val="20"/>
                <w:szCs w:val="20"/>
                <w:lang w:val="en-GB"/>
              </w:rPr>
              <w:t>.</w:t>
            </w:r>
          </w:p>
          <w:p w14:paraId="0EECE4C6" w14:textId="2F85C0A9" w:rsidR="0077566D" w:rsidRPr="00EB3A82" w:rsidRDefault="0077566D" w:rsidP="00347131">
            <w:pPr>
              <w:ind w:left="360"/>
              <w:rPr>
                <w:rFonts w:ascii="Arial" w:hAnsi="Arial" w:cs="Arial"/>
                <w:b/>
                <w:bCs/>
                <w:sz w:val="20"/>
                <w:szCs w:val="20"/>
                <w:lang w:val="en-GB"/>
              </w:rPr>
            </w:pPr>
          </w:p>
        </w:tc>
        <w:tc>
          <w:tcPr>
            <w:tcW w:w="1667" w:type="pct"/>
          </w:tcPr>
          <w:p w14:paraId="311135CE" w14:textId="77777777" w:rsidR="0077566D" w:rsidRPr="00EB3A82" w:rsidRDefault="0077566D">
            <w:pPr>
              <w:outlineLvl w:val="1"/>
              <w:rPr>
                <w:rFonts w:ascii="Arial" w:eastAsia="MS Mincho" w:hAnsi="Arial" w:cs="Arial"/>
                <w:bCs/>
                <w:sz w:val="20"/>
                <w:szCs w:val="20"/>
                <w:lang w:val="en-GB"/>
              </w:rPr>
            </w:pPr>
          </w:p>
        </w:tc>
      </w:tr>
      <w:tr w:rsidR="0077566D" w:rsidRPr="00EB3A82" w14:paraId="6B31E28B" w14:textId="77777777">
        <w:trPr>
          <w:trHeight w:val="20"/>
          <w:jc w:val="center"/>
        </w:trPr>
        <w:tc>
          <w:tcPr>
            <w:tcW w:w="1666" w:type="pct"/>
            <w:noWrap/>
          </w:tcPr>
          <w:p w14:paraId="3AAEEE08" w14:textId="77777777" w:rsidR="0077566D" w:rsidRPr="00EB3A82" w:rsidRDefault="003562D7">
            <w:pPr>
              <w:outlineLvl w:val="1"/>
              <w:rPr>
                <w:rFonts w:ascii="Arial" w:eastAsia="MS Mincho" w:hAnsi="Arial" w:cs="Arial"/>
                <w:bCs/>
                <w:sz w:val="20"/>
                <w:szCs w:val="20"/>
                <w:lang w:val="en-GB"/>
              </w:rPr>
            </w:pPr>
            <w:r w:rsidRPr="00EB3A82">
              <w:rPr>
                <w:rFonts w:ascii="Arial" w:eastAsia="MS Mincho" w:hAnsi="Arial" w:cs="Arial"/>
                <w:b/>
                <w:bCs/>
                <w:sz w:val="20"/>
                <w:szCs w:val="20"/>
                <w:lang w:val="en-GB"/>
              </w:rPr>
              <w:t xml:space="preserve">Is the manuscript scientifically correct? </w:t>
            </w:r>
            <w:r w:rsidRPr="00EB3A82">
              <w:rPr>
                <w:rFonts w:ascii="Arial" w:eastAsia="MS Mincho" w:hAnsi="Arial" w:cs="Arial"/>
                <w:b/>
                <w:bCs/>
                <w:sz w:val="20"/>
                <w:szCs w:val="20"/>
                <w:lang w:val="en-GB"/>
              </w:rPr>
              <w:br/>
            </w:r>
          </w:p>
          <w:p w14:paraId="63EE8331" w14:textId="77777777" w:rsidR="0077566D" w:rsidRPr="00EB3A82" w:rsidRDefault="003562D7">
            <w:pPr>
              <w:rPr>
                <w:rFonts w:ascii="Arial" w:hAnsi="Arial" w:cs="Arial"/>
                <w:b/>
                <w:sz w:val="20"/>
                <w:szCs w:val="20"/>
                <w:lang w:val="en-GB"/>
              </w:rPr>
            </w:pPr>
            <w:r w:rsidRPr="00EB3A82">
              <w:rPr>
                <w:rFonts w:ascii="Arial" w:hAnsi="Arial" w:cs="Arial"/>
                <w:bCs/>
                <w:sz w:val="20"/>
                <w:szCs w:val="20"/>
                <w:lang w:val="en-GB"/>
              </w:rPr>
              <w:t>If your answer is NO, please provide a brief, clear suggestion for improvement.</w:t>
            </w:r>
          </w:p>
        </w:tc>
        <w:tc>
          <w:tcPr>
            <w:tcW w:w="1667" w:type="pct"/>
          </w:tcPr>
          <w:p w14:paraId="332B72D5" w14:textId="0FE64B3B" w:rsidR="00347131" w:rsidRPr="00EB3A82" w:rsidRDefault="00347131" w:rsidP="00347131">
            <w:pPr>
              <w:outlineLvl w:val="1"/>
              <w:rPr>
                <w:rFonts w:ascii="Arial" w:eastAsia="MS Mincho" w:hAnsi="Arial" w:cs="Arial"/>
                <w:b/>
                <w:bCs/>
                <w:sz w:val="20"/>
                <w:szCs w:val="20"/>
                <w:lang w:val="en-GB"/>
              </w:rPr>
            </w:pPr>
            <w:r w:rsidRPr="00EB3A82">
              <w:rPr>
                <w:rFonts w:ascii="Arial" w:hAnsi="Arial" w:cs="Arial"/>
                <w:b/>
                <w:bCs/>
                <w:sz w:val="20"/>
                <w:szCs w:val="20"/>
                <w:lang w:val="en-GB"/>
              </w:rPr>
              <w:t xml:space="preserve">       </w:t>
            </w:r>
            <w:r w:rsidRPr="00EB3A82">
              <w:rPr>
                <w:rFonts w:ascii="Arial" w:eastAsia="MS Mincho" w:hAnsi="Arial" w:cs="Arial"/>
                <w:b/>
                <w:bCs/>
                <w:sz w:val="20"/>
                <w:szCs w:val="20"/>
                <w:lang w:val="en-GB"/>
              </w:rPr>
              <w:t>Yes, the manuscript is scientifically sound.</w:t>
            </w:r>
          </w:p>
          <w:p w14:paraId="502BEA48" w14:textId="6D53AF3D" w:rsidR="0077566D" w:rsidRPr="00EB3A82" w:rsidRDefault="0077566D" w:rsidP="00347131">
            <w:pPr>
              <w:contextualSpacing/>
              <w:rPr>
                <w:rFonts w:ascii="Arial" w:hAnsi="Arial" w:cs="Arial"/>
                <w:bCs/>
                <w:sz w:val="20"/>
                <w:szCs w:val="20"/>
                <w:lang w:val="en-GB"/>
              </w:rPr>
            </w:pPr>
          </w:p>
        </w:tc>
        <w:tc>
          <w:tcPr>
            <w:tcW w:w="1667" w:type="pct"/>
          </w:tcPr>
          <w:p w14:paraId="6EFBFBE8" w14:textId="77777777" w:rsidR="00347131" w:rsidRPr="00EB3A82" w:rsidRDefault="00347131" w:rsidP="00347131">
            <w:pPr>
              <w:outlineLvl w:val="1"/>
              <w:rPr>
                <w:rFonts w:ascii="Arial" w:eastAsia="MS Mincho" w:hAnsi="Arial" w:cs="Arial"/>
                <w:b/>
                <w:bCs/>
                <w:sz w:val="20"/>
                <w:szCs w:val="20"/>
                <w:lang w:val="en-GB"/>
              </w:rPr>
            </w:pPr>
          </w:p>
          <w:p w14:paraId="3FC7B32F" w14:textId="10E0E0B1" w:rsidR="0077566D" w:rsidRPr="00EB3A82" w:rsidRDefault="0077566D" w:rsidP="00347131">
            <w:pPr>
              <w:outlineLvl w:val="1"/>
              <w:rPr>
                <w:rFonts w:ascii="Arial" w:eastAsia="MS Mincho" w:hAnsi="Arial" w:cs="Arial"/>
                <w:bCs/>
                <w:sz w:val="20"/>
                <w:szCs w:val="20"/>
                <w:lang w:val="en-GB"/>
              </w:rPr>
            </w:pPr>
          </w:p>
        </w:tc>
      </w:tr>
      <w:tr w:rsidR="0077566D" w:rsidRPr="00EB3A82" w14:paraId="2CBE865D" w14:textId="77777777">
        <w:trPr>
          <w:trHeight w:val="20"/>
          <w:jc w:val="center"/>
        </w:trPr>
        <w:tc>
          <w:tcPr>
            <w:tcW w:w="1666" w:type="pct"/>
            <w:noWrap/>
          </w:tcPr>
          <w:p w14:paraId="73CCF1D8" w14:textId="77777777" w:rsidR="0077566D" w:rsidRPr="00EB3A82" w:rsidRDefault="003562D7">
            <w:pPr>
              <w:rPr>
                <w:rFonts w:ascii="Arial" w:hAnsi="Arial" w:cs="Arial"/>
                <w:b/>
                <w:bCs/>
                <w:sz w:val="20"/>
                <w:szCs w:val="20"/>
                <w:lang w:val="en-GB"/>
              </w:rPr>
            </w:pPr>
            <w:r w:rsidRPr="00EB3A82">
              <w:rPr>
                <w:rFonts w:ascii="Arial" w:hAnsi="Arial" w:cs="Arial"/>
                <w:b/>
                <w:bCs/>
                <w:sz w:val="20"/>
                <w:szCs w:val="20"/>
                <w:lang w:val="en-GB"/>
              </w:rPr>
              <w:t xml:space="preserve">Are the references sufficient and recent? </w:t>
            </w:r>
          </w:p>
          <w:p w14:paraId="1866D558" w14:textId="77777777" w:rsidR="0077566D" w:rsidRPr="00EB3A82" w:rsidRDefault="0077566D">
            <w:pPr>
              <w:rPr>
                <w:rFonts w:ascii="Arial" w:hAnsi="Arial" w:cs="Arial"/>
                <w:bCs/>
                <w:sz w:val="20"/>
                <w:szCs w:val="20"/>
                <w:lang w:val="en-GB"/>
              </w:rPr>
            </w:pPr>
          </w:p>
          <w:p w14:paraId="3C135DC5" w14:textId="77777777" w:rsidR="0077566D" w:rsidRPr="00EB3A82" w:rsidRDefault="003562D7">
            <w:pPr>
              <w:rPr>
                <w:rFonts w:ascii="Arial" w:hAnsi="Arial" w:cs="Arial"/>
                <w:b/>
                <w:bCs/>
                <w:sz w:val="20"/>
                <w:szCs w:val="20"/>
                <w:lang w:val="en-GB"/>
              </w:rPr>
            </w:pPr>
            <w:r w:rsidRPr="00EB3A82">
              <w:rPr>
                <w:rFonts w:ascii="Arial" w:hAnsi="Arial" w:cs="Arial"/>
                <w:bCs/>
                <w:sz w:val="20"/>
                <w:szCs w:val="20"/>
                <w:lang w:val="en-GB"/>
              </w:rPr>
              <w:t>If your answer is NO, please provide clear suggestion for improvement.</w:t>
            </w:r>
          </w:p>
        </w:tc>
        <w:tc>
          <w:tcPr>
            <w:tcW w:w="1667" w:type="pct"/>
          </w:tcPr>
          <w:p w14:paraId="3E76B2F1" w14:textId="77777777" w:rsidR="00347131" w:rsidRPr="00EB3A82" w:rsidRDefault="00347131" w:rsidP="00347131">
            <w:pPr>
              <w:ind w:left="360"/>
              <w:rPr>
                <w:rFonts w:ascii="Arial" w:hAnsi="Arial" w:cs="Arial"/>
                <w:b/>
                <w:bCs/>
                <w:sz w:val="20"/>
                <w:szCs w:val="20"/>
                <w:lang w:val="en-GB"/>
              </w:rPr>
            </w:pPr>
            <w:r w:rsidRPr="00EB3A82">
              <w:rPr>
                <w:rFonts w:ascii="Arial" w:hAnsi="Arial" w:cs="Arial"/>
                <w:b/>
                <w:bCs/>
                <w:sz w:val="20"/>
                <w:szCs w:val="20"/>
                <w:lang w:val="en-GB"/>
              </w:rPr>
              <w:t>Yes, the references are sufficient and recent.</w:t>
            </w:r>
          </w:p>
          <w:p w14:paraId="6ABBA416" w14:textId="77777777" w:rsidR="00347131" w:rsidRPr="00EB3A82" w:rsidRDefault="00347131" w:rsidP="00347131">
            <w:pPr>
              <w:ind w:left="360"/>
              <w:rPr>
                <w:rFonts w:ascii="Arial" w:hAnsi="Arial" w:cs="Arial"/>
                <w:b/>
                <w:bCs/>
                <w:sz w:val="20"/>
                <w:szCs w:val="20"/>
                <w:lang w:val="en-GB"/>
              </w:rPr>
            </w:pPr>
          </w:p>
          <w:p w14:paraId="4E012F60" w14:textId="00106F9A" w:rsidR="0077566D" w:rsidRPr="00EB3A82" w:rsidRDefault="0077566D" w:rsidP="00347131">
            <w:pPr>
              <w:contextualSpacing/>
              <w:rPr>
                <w:rFonts w:ascii="Arial" w:hAnsi="Arial" w:cs="Arial"/>
                <w:bCs/>
                <w:sz w:val="20"/>
                <w:szCs w:val="20"/>
                <w:lang w:val="en-GB"/>
              </w:rPr>
            </w:pPr>
          </w:p>
        </w:tc>
        <w:tc>
          <w:tcPr>
            <w:tcW w:w="1667" w:type="pct"/>
          </w:tcPr>
          <w:p w14:paraId="1E83436E" w14:textId="77777777" w:rsidR="0077566D" w:rsidRPr="00EB3A82" w:rsidRDefault="0077566D">
            <w:pPr>
              <w:outlineLvl w:val="1"/>
              <w:rPr>
                <w:rFonts w:ascii="Arial" w:eastAsia="MS Mincho" w:hAnsi="Arial" w:cs="Arial"/>
                <w:bCs/>
                <w:sz w:val="20"/>
                <w:szCs w:val="20"/>
                <w:lang w:val="en-GB"/>
              </w:rPr>
            </w:pPr>
          </w:p>
        </w:tc>
      </w:tr>
      <w:tr w:rsidR="0077566D" w:rsidRPr="00EB3A82" w14:paraId="07DEEB25" w14:textId="77777777">
        <w:trPr>
          <w:trHeight w:val="20"/>
          <w:jc w:val="center"/>
        </w:trPr>
        <w:tc>
          <w:tcPr>
            <w:tcW w:w="1666" w:type="pct"/>
            <w:noWrap/>
          </w:tcPr>
          <w:p w14:paraId="2435687E" w14:textId="77777777" w:rsidR="0077566D" w:rsidRPr="00EB3A82" w:rsidRDefault="003562D7">
            <w:pPr>
              <w:rPr>
                <w:rFonts w:ascii="Arial" w:hAnsi="Arial" w:cs="Arial"/>
                <w:b/>
                <w:bCs/>
                <w:sz w:val="20"/>
                <w:szCs w:val="20"/>
                <w:lang w:val="en-GB"/>
              </w:rPr>
            </w:pPr>
            <w:r w:rsidRPr="00EB3A82">
              <w:rPr>
                <w:rFonts w:ascii="Arial" w:hAnsi="Arial" w:cs="Arial"/>
                <w:b/>
                <w:bCs/>
                <w:sz w:val="20"/>
                <w:szCs w:val="20"/>
                <w:lang w:val="en-GB"/>
              </w:rPr>
              <w:t>Are there ethical issues in this manuscript?</w:t>
            </w:r>
          </w:p>
          <w:p w14:paraId="2FF660EC" w14:textId="77777777" w:rsidR="0077566D" w:rsidRPr="00EB3A82" w:rsidRDefault="003562D7">
            <w:pPr>
              <w:rPr>
                <w:rFonts w:ascii="Arial" w:hAnsi="Arial" w:cs="Arial"/>
                <w:bCs/>
                <w:sz w:val="20"/>
                <w:szCs w:val="20"/>
                <w:lang w:val="en-GB"/>
              </w:rPr>
            </w:pPr>
            <w:r w:rsidRPr="00EB3A82">
              <w:rPr>
                <w:rFonts w:ascii="Arial" w:hAnsi="Arial" w:cs="Arial"/>
                <w:bCs/>
                <w:sz w:val="20"/>
                <w:szCs w:val="20"/>
                <w:lang w:val="en-GB"/>
              </w:rPr>
              <w:t>(YES or NO)</w:t>
            </w:r>
          </w:p>
          <w:p w14:paraId="19F10B96" w14:textId="77777777" w:rsidR="0077566D" w:rsidRPr="00EB3A82" w:rsidRDefault="0077566D">
            <w:pPr>
              <w:rPr>
                <w:rFonts w:ascii="Arial" w:hAnsi="Arial" w:cs="Arial"/>
                <w:bCs/>
                <w:sz w:val="20"/>
                <w:szCs w:val="20"/>
                <w:lang w:val="en-GB"/>
              </w:rPr>
            </w:pPr>
          </w:p>
          <w:p w14:paraId="4F5648C4" w14:textId="77777777" w:rsidR="0077566D" w:rsidRPr="00EB3A82" w:rsidRDefault="003562D7">
            <w:pPr>
              <w:rPr>
                <w:rFonts w:ascii="Arial" w:hAnsi="Arial" w:cs="Arial"/>
                <w:bCs/>
                <w:sz w:val="20"/>
                <w:szCs w:val="20"/>
                <w:lang w:val="en-GB"/>
              </w:rPr>
            </w:pPr>
            <w:r w:rsidRPr="00EB3A82">
              <w:rPr>
                <w:rFonts w:ascii="Arial" w:hAnsi="Arial" w:cs="Arial"/>
                <w:bCs/>
                <w:sz w:val="20"/>
                <w:szCs w:val="20"/>
                <w:lang w:val="en-GB"/>
              </w:rPr>
              <w:t>(If yes, kindly please write down the ethical issues here in details)</w:t>
            </w:r>
          </w:p>
          <w:p w14:paraId="3C3267C9" w14:textId="77777777" w:rsidR="0077566D" w:rsidRPr="00EB3A82" w:rsidRDefault="0077566D">
            <w:pPr>
              <w:rPr>
                <w:rFonts w:ascii="Arial" w:hAnsi="Arial" w:cs="Arial"/>
                <w:b/>
                <w:bCs/>
                <w:sz w:val="20"/>
                <w:szCs w:val="20"/>
                <w:lang w:val="en-GB"/>
              </w:rPr>
            </w:pPr>
          </w:p>
        </w:tc>
        <w:tc>
          <w:tcPr>
            <w:tcW w:w="1667" w:type="pct"/>
          </w:tcPr>
          <w:p w14:paraId="74C46907" w14:textId="3874E202" w:rsidR="0077566D" w:rsidRPr="00EB3A82" w:rsidRDefault="00347131" w:rsidP="00347131">
            <w:pPr>
              <w:contextualSpacing/>
              <w:rPr>
                <w:rFonts w:ascii="Arial" w:hAnsi="Arial" w:cs="Arial"/>
                <w:bCs/>
                <w:sz w:val="20"/>
                <w:szCs w:val="20"/>
                <w:lang w:val="en-GB"/>
              </w:rPr>
            </w:pPr>
            <w:r w:rsidRPr="00EB3A82">
              <w:rPr>
                <w:rFonts w:ascii="Arial" w:hAnsi="Arial" w:cs="Arial"/>
                <w:b/>
                <w:bCs/>
                <w:sz w:val="20"/>
                <w:szCs w:val="20"/>
                <w:lang w:val="en-GB"/>
              </w:rPr>
              <w:t xml:space="preserve">        No</w:t>
            </w:r>
          </w:p>
        </w:tc>
        <w:tc>
          <w:tcPr>
            <w:tcW w:w="1667" w:type="pct"/>
          </w:tcPr>
          <w:p w14:paraId="2DFE17AC" w14:textId="77777777" w:rsidR="0077566D" w:rsidRPr="00EB3A82" w:rsidRDefault="0077566D">
            <w:pPr>
              <w:outlineLvl w:val="1"/>
              <w:rPr>
                <w:rFonts w:ascii="Arial" w:eastAsia="MS Mincho" w:hAnsi="Arial" w:cs="Arial"/>
                <w:bCs/>
                <w:sz w:val="20"/>
                <w:szCs w:val="20"/>
                <w:lang w:val="en-GB"/>
              </w:rPr>
            </w:pPr>
          </w:p>
        </w:tc>
      </w:tr>
    </w:tbl>
    <w:p w14:paraId="407530B0" w14:textId="77777777" w:rsidR="00063068" w:rsidRPr="00EB3A82" w:rsidRDefault="00063068" w:rsidP="00063068">
      <w:pPr>
        <w:rPr>
          <w:rFonts w:ascii="Arial" w:hAnsi="Arial" w:cs="Arial"/>
          <w:b/>
          <w:sz w:val="20"/>
          <w:szCs w:val="20"/>
          <w:u w:val="single"/>
        </w:rPr>
      </w:pPr>
      <w:r w:rsidRPr="00EB3A82">
        <w:rPr>
          <w:rFonts w:ascii="Arial" w:hAnsi="Arial" w:cs="Arial"/>
          <w:b/>
          <w:sz w:val="20"/>
          <w:szCs w:val="20"/>
          <w:u w:val="single"/>
        </w:rPr>
        <w:t>Reviewer details:</w:t>
      </w:r>
    </w:p>
    <w:p w14:paraId="6AD99B17" w14:textId="77777777" w:rsidR="00063068" w:rsidRPr="00EB3A82" w:rsidRDefault="00063068" w:rsidP="00063068">
      <w:pPr>
        <w:rPr>
          <w:rFonts w:ascii="Arial" w:hAnsi="Arial" w:cs="Arial"/>
          <w:sz w:val="20"/>
          <w:szCs w:val="20"/>
        </w:rPr>
      </w:pPr>
    </w:p>
    <w:p w14:paraId="391FA250" w14:textId="77777777" w:rsidR="00063068" w:rsidRPr="00EB3A82" w:rsidRDefault="00063068" w:rsidP="00063068">
      <w:pPr>
        <w:rPr>
          <w:rFonts w:ascii="Arial" w:hAnsi="Arial" w:cs="Arial"/>
          <w:sz w:val="20"/>
          <w:szCs w:val="20"/>
        </w:rPr>
      </w:pPr>
      <w:r w:rsidRPr="00EB3A82">
        <w:rPr>
          <w:rFonts w:ascii="Arial" w:hAnsi="Arial" w:cs="Arial"/>
          <w:color w:val="000000"/>
          <w:sz w:val="20"/>
          <w:szCs w:val="20"/>
        </w:rPr>
        <w:t>Hamid KESMAT, University Ibn Tofail, Morocco</w:t>
      </w:r>
    </w:p>
    <w:p w14:paraId="6E862428" w14:textId="77777777" w:rsidR="0077566D" w:rsidRPr="00EB3A82" w:rsidRDefault="0077566D" w:rsidP="00283224">
      <w:pPr>
        <w:rPr>
          <w:rFonts w:ascii="Arial" w:hAnsi="Arial" w:cs="Arial"/>
          <w:b/>
          <w:bCs/>
          <w:sz w:val="20"/>
          <w:szCs w:val="20"/>
          <w:u w:val="single"/>
          <w:lang w:val="en-GB"/>
        </w:rPr>
      </w:pPr>
    </w:p>
    <w:sectPr w:rsidR="0077566D" w:rsidRPr="00EB3A8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E196" w14:textId="77777777" w:rsidR="005D4A12" w:rsidRDefault="005D4A12">
      <w:r>
        <w:separator/>
      </w:r>
    </w:p>
  </w:endnote>
  <w:endnote w:type="continuationSeparator" w:id="0">
    <w:p w14:paraId="40C4561F" w14:textId="77777777" w:rsidR="005D4A12" w:rsidRDefault="005D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500F" w14:textId="77777777" w:rsidR="0077566D" w:rsidRDefault="003562D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75C9023F" w14:textId="77777777" w:rsidR="0077566D" w:rsidRDefault="0077566D">
    <w:pPr>
      <w:pStyle w:val="Footer"/>
      <w:jc w:val="right"/>
    </w:pPr>
  </w:p>
  <w:p w14:paraId="3B6830EF" w14:textId="77777777" w:rsidR="0077566D" w:rsidRDefault="0077566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98445" w14:textId="77777777" w:rsidR="005D4A12" w:rsidRDefault="005D4A12">
      <w:r>
        <w:separator/>
      </w:r>
    </w:p>
  </w:footnote>
  <w:footnote w:type="continuationSeparator" w:id="0">
    <w:p w14:paraId="6582B88C" w14:textId="77777777" w:rsidR="005D4A12" w:rsidRDefault="005D4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2F31" w14:textId="77777777" w:rsidR="0077566D" w:rsidRDefault="0077566D">
    <w:pPr>
      <w:spacing w:before="100" w:beforeAutospacing="1" w:after="100" w:afterAutospacing="1"/>
      <w:jc w:val="center"/>
      <w:rPr>
        <w:rFonts w:ascii="Arial" w:hAnsi="Arial" w:cs="Arial"/>
        <w:b/>
        <w:bCs/>
        <w:color w:val="003399"/>
        <w:szCs w:val="20"/>
        <w:u w:val="single"/>
        <w:lang w:val="en-GB"/>
      </w:rPr>
    </w:pPr>
  </w:p>
  <w:p w14:paraId="0569562D" w14:textId="77777777" w:rsidR="0077566D" w:rsidRDefault="003562D7">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7564619">
    <w:abstractNumId w:val="4"/>
  </w:num>
  <w:num w:numId="2" w16cid:durableId="434445295">
    <w:abstractNumId w:val="8"/>
  </w:num>
  <w:num w:numId="3" w16cid:durableId="2006542932">
    <w:abstractNumId w:val="7"/>
  </w:num>
  <w:num w:numId="4" w16cid:durableId="1988975463">
    <w:abstractNumId w:val="9"/>
  </w:num>
  <w:num w:numId="5" w16cid:durableId="1522743809">
    <w:abstractNumId w:val="6"/>
  </w:num>
  <w:num w:numId="6" w16cid:durableId="219677748">
    <w:abstractNumId w:val="0"/>
  </w:num>
  <w:num w:numId="7" w16cid:durableId="1538932689">
    <w:abstractNumId w:val="3"/>
  </w:num>
  <w:num w:numId="8" w16cid:durableId="1330712363">
    <w:abstractNumId w:val="11"/>
  </w:num>
  <w:num w:numId="9" w16cid:durableId="1096244435">
    <w:abstractNumId w:val="10"/>
  </w:num>
  <w:num w:numId="10" w16cid:durableId="2057121848">
    <w:abstractNumId w:val="2"/>
  </w:num>
  <w:num w:numId="11" w16cid:durableId="1791826375">
    <w:abstractNumId w:val="1"/>
  </w:num>
  <w:num w:numId="12" w16cid:durableId="1314022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566D"/>
    <w:rsid w:val="00053314"/>
    <w:rsid w:val="00063068"/>
    <w:rsid w:val="00071A3C"/>
    <w:rsid w:val="000C3055"/>
    <w:rsid w:val="000C5685"/>
    <w:rsid w:val="00101F34"/>
    <w:rsid w:val="00162FED"/>
    <w:rsid w:val="00283224"/>
    <w:rsid w:val="002B295A"/>
    <w:rsid w:val="002F7C69"/>
    <w:rsid w:val="003276E3"/>
    <w:rsid w:val="00347131"/>
    <w:rsid w:val="003562D7"/>
    <w:rsid w:val="00357D24"/>
    <w:rsid w:val="00366A6B"/>
    <w:rsid w:val="003860D1"/>
    <w:rsid w:val="00443B6C"/>
    <w:rsid w:val="00460648"/>
    <w:rsid w:val="004B1185"/>
    <w:rsid w:val="00501E27"/>
    <w:rsid w:val="005250D9"/>
    <w:rsid w:val="005B477A"/>
    <w:rsid w:val="005D4A12"/>
    <w:rsid w:val="00616846"/>
    <w:rsid w:val="00680DD9"/>
    <w:rsid w:val="00743B44"/>
    <w:rsid w:val="0077566D"/>
    <w:rsid w:val="007768DA"/>
    <w:rsid w:val="00880D71"/>
    <w:rsid w:val="0094214D"/>
    <w:rsid w:val="00A62C5A"/>
    <w:rsid w:val="00A84CFB"/>
    <w:rsid w:val="00B030BA"/>
    <w:rsid w:val="00B042C8"/>
    <w:rsid w:val="00C03564"/>
    <w:rsid w:val="00C1741A"/>
    <w:rsid w:val="00C60AD1"/>
    <w:rsid w:val="00DA04CE"/>
    <w:rsid w:val="00E33161"/>
    <w:rsid w:val="00EB3A82"/>
    <w:rsid w:val="00ED4FB1"/>
    <w:rsid w:val="00F177E5"/>
    <w:rsid w:val="00F4493E"/>
    <w:rsid w:val="00F76935"/>
    <w:rsid w:val="00FB189E"/>
    <w:rsid w:val="00FB3F1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3AC76"/>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5250D9"/>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link w:val="Heading3"/>
    <w:uiPriority w:val="9"/>
    <w:semiHidden/>
    <w:rsid w:val="005250D9"/>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4916021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irmep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1622</TotalTime>
  <Pages>3</Pages>
  <Words>1372</Words>
  <Characters>7822</Characters>
  <Application>Microsoft Office Word</Application>
  <DocSecurity>0</DocSecurity>
  <Lines>65</Lines>
  <Paragraphs>18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9176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58</cp:revision>
  <cp:lastPrinted>2026-05-09T16:29:00Z</cp:lastPrinted>
  <dcterms:created xsi:type="dcterms:W3CDTF">2026-03-24T06:32:00Z</dcterms:created>
  <dcterms:modified xsi:type="dcterms:W3CDTF">2026-05-26T10:59:00Z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