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E9DFE" w14:textId="77777777" w:rsidR="00A02272" w:rsidRPr="00A02272" w:rsidRDefault="00A02272" w:rsidP="00A02272">
      <w:pPr>
        <w:pStyle w:val="Title"/>
        <w:jc w:val="both"/>
        <w:rPr>
          <w:rFonts w:ascii="Arial" w:hAnsi="Arial" w:cs="Arial"/>
          <w:bCs/>
          <w:i/>
          <w:iCs/>
          <w:u w:val="single"/>
        </w:rPr>
      </w:pPr>
      <w:r w:rsidRPr="00A02272">
        <w:rPr>
          <w:rFonts w:ascii="Arial" w:hAnsi="Arial" w:cs="Arial"/>
          <w:bCs/>
          <w:i/>
          <w:iCs/>
          <w:u w:val="single"/>
        </w:rPr>
        <w:t>Original Research Article</w:t>
      </w:r>
    </w:p>
    <w:p w14:paraId="403A8E7C" w14:textId="77777777" w:rsidR="00754C9A" w:rsidRDefault="00754C9A" w:rsidP="00441B6F">
      <w:pPr>
        <w:pStyle w:val="Title"/>
        <w:spacing w:after="0"/>
        <w:jc w:val="both"/>
        <w:rPr>
          <w:rFonts w:ascii="Arial" w:hAnsi="Arial" w:cs="Arial"/>
        </w:rPr>
      </w:pPr>
    </w:p>
    <w:p w14:paraId="217906FC" w14:textId="34A44C11" w:rsidR="00163BC4" w:rsidRPr="00163BC4" w:rsidRDefault="002A09C7" w:rsidP="000A6CDC">
      <w:pPr>
        <w:pStyle w:val="Author"/>
        <w:spacing w:line="240" w:lineRule="auto"/>
        <w:jc w:val="left"/>
        <w:rPr>
          <w:rFonts w:ascii="Arial" w:hAnsi="Arial" w:cs="Arial"/>
          <w:bCs/>
          <w:iCs/>
          <w:kern w:val="28"/>
          <w:sz w:val="36"/>
        </w:rPr>
      </w:pPr>
      <w:r w:rsidRPr="002A09C7">
        <w:rPr>
          <w:rFonts w:ascii="Arial" w:hAnsi="Arial" w:cs="Arial"/>
          <w:bCs/>
          <w:iCs/>
          <w:kern w:val="28"/>
          <w:sz w:val="36"/>
        </w:rPr>
        <w:t xml:space="preserve">Dynamics of Financial Performance and Market Valuation Amid Geopolitical Sentiment: A Conceptual Framework of Boycott and Substitution Effects </w:t>
      </w:r>
      <w:r>
        <w:rPr>
          <w:rFonts w:ascii="Arial" w:hAnsi="Arial" w:cs="Arial"/>
          <w:bCs/>
          <w:iCs/>
          <w:kern w:val="28"/>
          <w:sz w:val="36"/>
        </w:rPr>
        <w:t>in Indonesia</w:t>
      </w:r>
    </w:p>
    <w:p w14:paraId="3B0DC684" w14:textId="77777777" w:rsidR="00A258C3" w:rsidRPr="00790ADA" w:rsidRDefault="00A258C3" w:rsidP="00441B6F">
      <w:pPr>
        <w:pStyle w:val="Author"/>
        <w:spacing w:line="240" w:lineRule="auto"/>
        <w:jc w:val="both"/>
        <w:rPr>
          <w:rFonts w:ascii="Arial" w:hAnsi="Arial" w:cs="Arial"/>
          <w:sz w:val="36"/>
        </w:rPr>
      </w:pPr>
    </w:p>
    <w:p w14:paraId="65B2973D" w14:textId="3A528E55" w:rsidR="003B15DE" w:rsidRPr="0083216F" w:rsidRDefault="003B15DE" w:rsidP="003B15DE">
      <w:pPr>
        <w:pStyle w:val="Affiliation"/>
        <w:spacing w:after="0" w:line="240" w:lineRule="auto"/>
        <w:rPr>
          <w:rFonts w:ascii="Arial" w:hAnsi="Arial" w:cs="Arial"/>
          <w:i/>
        </w:rPr>
      </w:pPr>
      <w:r>
        <w:rPr>
          <w:rFonts w:ascii="Arial" w:hAnsi="Arial" w:cs="Arial"/>
          <w:i/>
        </w:rPr>
        <w:t xml:space="preserve"> </w:t>
      </w:r>
    </w:p>
    <w:p w14:paraId="73968ADF" w14:textId="77777777" w:rsidR="00790ADA" w:rsidRDefault="00790ADA" w:rsidP="00441B6F">
      <w:pPr>
        <w:pStyle w:val="Affiliation"/>
        <w:spacing w:after="0" w:line="240" w:lineRule="auto"/>
        <w:jc w:val="both"/>
        <w:rPr>
          <w:rFonts w:ascii="Arial" w:hAnsi="Arial" w:cs="Arial"/>
        </w:rPr>
      </w:pPr>
    </w:p>
    <w:p w14:paraId="715A8186" w14:textId="77777777" w:rsidR="002C57D2" w:rsidRPr="00FB3A86" w:rsidRDefault="002C57D2" w:rsidP="00441B6F">
      <w:pPr>
        <w:pStyle w:val="Affiliation"/>
        <w:spacing w:after="0" w:line="240" w:lineRule="auto"/>
        <w:jc w:val="both"/>
        <w:rPr>
          <w:rFonts w:ascii="Arial" w:hAnsi="Arial" w:cs="Arial"/>
        </w:rPr>
      </w:pPr>
    </w:p>
    <w:p w14:paraId="3827DCE7" w14:textId="4BFDADB6" w:rsidR="00B01FCD" w:rsidRPr="00FB3A86" w:rsidRDefault="00B30B79" w:rsidP="00441B6F">
      <w:pPr>
        <w:pStyle w:val="Copyright"/>
        <w:spacing w:after="0" w:line="240" w:lineRule="auto"/>
        <w:jc w:val="both"/>
        <w:rPr>
          <w:rFonts w:ascii="Arial" w:hAnsi="Arial" w:cs="Arial"/>
        </w:rPr>
        <w:sectPr w:rsidR="00B01FCD" w:rsidRPr="00FB3A86" w:rsidSect="00C333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F1D7C8D" wp14:editId="0375745C">
                <wp:extent cx="5303520" cy="635"/>
                <wp:effectExtent l="17145" t="13335" r="13335" b="14605"/>
                <wp:docPr id="15906027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B106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6C52610F" w14:textId="75F660F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625F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4301426" w14:textId="77777777" w:rsidTr="001E44FE">
        <w:tc>
          <w:tcPr>
            <w:tcW w:w="9576" w:type="dxa"/>
            <w:shd w:val="clear" w:color="auto" w:fill="F2F2F2"/>
          </w:tcPr>
          <w:p w14:paraId="36BE78E1" w14:textId="5302A9FE" w:rsidR="00505F06" w:rsidRPr="00BA1B01" w:rsidRDefault="002A09C7" w:rsidP="002A09C7">
            <w:pPr>
              <w:pStyle w:val="Body"/>
              <w:spacing w:after="0"/>
              <w:rPr>
                <w:rFonts w:ascii="Arial" w:eastAsia="Calibri" w:hAnsi="Arial" w:cs="Arial"/>
                <w:szCs w:val="22"/>
              </w:rPr>
            </w:pPr>
            <w:r w:rsidRPr="002A09C7">
              <w:rPr>
                <w:rFonts w:ascii="Arial" w:eastAsia="Calibri" w:hAnsi="Arial" w:cs="Arial"/>
                <w:b/>
                <w:bCs/>
                <w:szCs w:val="22"/>
              </w:rPr>
              <w:t>Aims:</w:t>
            </w:r>
            <w:r>
              <w:rPr>
                <w:rFonts w:ascii="Arial" w:eastAsia="Calibri" w:hAnsi="Arial" w:cs="Arial"/>
                <w:szCs w:val="22"/>
              </w:rPr>
              <w:t xml:space="preserve"> </w:t>
            </w:r>
            <w:r w:rsidRPr="002A09C7">
              <w:rPr>
                <w:rFonts w:ascii="Arial" w:eastAsia="Calibri" w:hAnsi="Arial" w:cs="Arial"/>
                <w:szCs w:val="22"/>
              </w:rPr>
              <w:t>This conceptual article aims to examine how geopolitical sentiment, evolving into systemic risk, affects financial performance and market valuation dynamics of firms listed on the Indonesia Stock Exchange (IDX), particularly through boycott and substitution effects.</w:t>
            </w:r>
            <w:r>
              <w:rPr>
                <w:rFonts w:ascii="Arial" w:eastAsia="Calibri" w:hAnsi="Arial" w:cs="Arial"/>
                <w:szCs w:val="22"/>
              </w:rPr>
              <w:t xml:space="preserve"> </w:t>
            </w:r>
            <w:r w:rsidRPr="002A09C7">
              <w:rPr>
                <w:rFonts w:ascii="Arial" w:eastAsia="Calibri" w:hAnsi="Arial" w:cs="Arial"/>
                <w:b/>
                <w:bCs/>
                <w:szCs w:val="22"/>
              </w:rPr>
              <w:t>Study design:</w:t>
            </w:r>
            <w:r>
              <w:rPr>
                <w:rFonts w:ascii="Arial" w:eastAsia="Calibri" w:hAnsi="Arial" w:cs="Arial"/>
                <w:szCs w:val="22"/>
              </w:rPr>
              <w:t xml:space="preserve"> </w:t>
            </w:r>
            <w:r w:rsidRPr="002A09C7">
              <w:rPr>
                <w:rFonts w:ascii="Arial" w:eastAsia="Calibri" w:hAnsi="Arial" w:cs="Arial"/>
                <w:szCs w:val="22"/>
              </w:rPr>
              <w:t>The study adopts a conceptual research design by developing a theoretical framework grounded in Signaling Theory and Stakeholder Theory to explain asymmetric impacts between multinational (affiliated) and local (substitution) firms.</w:t>
            </w:r>
            <w:r w:rsidR="0037374C">
              <w:rPr>
                <w:rFonts w:ascii="Arial" w:eastAsia="Calibri" w:hAnsi="Arial" w:cs="Arial"/>
                <w:szCs w:val="22"/>
              </w:rPr>
              <w:t xml:space="preserve"> </w:t>
            </w:r>
            <w:r w:rsidR="0037374C">
              <w:rPr>
                <w:rFonts w:ascii="Arial" w:eastAsia="Calibri" w:hAnsi="Arial" w:cs="Arial"/>
                <w:color w:val="EE0000"/>
                <w:szCs w:val="22"/>
              </w:rPr>
              <w:t xml:space="preserve">Sampling Design? </w:t>
            </w:r>
            <w:r>
              <w:rPr>
                <w:rFonts w:ascii="Arial" w:eastAsia="Calibri" w:hAnsi="Arial" w:cs="Arial"/>
                <w:szCs w:val="22"/>
              </w:rPr>
              <w:t xml:space="preserve"> </w:t>
            </w:r>
            <w:r w:rsidRPr="002A09C7">
              <w:rPr>
                <w:rFonts w:ascii="Arial" w:eastAsia="Calibri" w:hAnsi="Arial" w:cs="Arial"/>
                <w:b/>
                <w:bCs/>
                <w:szCs w:val="22"/>
              </w:rPr>
              <w:t>Place and Duration of Study:</w:t>
            </w:r>
            <w:r>
              <w:rPr>
                <w:rFonts w:ascii="Arial" w:eastAsia="Calibri" w:hAnsi="Arial" w:cs="Arial"/>
                <w:szCs w:val="22"/>
              </w:rPr>
              <w:t xml:space="preserve"> </w:t>
            </w:r>
            <w:r w:rsidRPr="002A09C7">
              <w:rPr>
                <w:rFonts w:ascii="Arial" w:eastAsia="Calibri" w:hAnsi="Arial" w:cs="Arial"/>
                <w:szCs w:val="22"/>
              </w:rPr>
              <w:t>The study focuses on the Indonesia Stock Exchange (IDX) context, using recent geopolitical developments as the underlying phenomenon; it is conceptual in nature and not limited to a specific time frame.</w:t>
            </w:r>
            <w:r>
              <w:rPr>
                <w:rFonts w:ascii="Arial" w:eastAsia="Calibri" w:hAnsi="Arial" w:cs="Arial"/>
                <w:szCs w:val="22"/>
              </w:rPr>
              <w:t xml:space="preserve"> </w:t>
            </w:r>
            <w:r w:rsidRPr="002A09C7">
              <w:rPr>
                <w:rFonts w:ascii="Arial" w:eastAsia="Calibri" w:hAnsi="Arial" w:cs="Arial"/>
                <w:b/>
                <w:bCs/>
                <w:szCs w:val="22"/>
              </w:rPr>
              <w:t>Methodology:</w:t>
            </w:r>
            <w:r>
              <w:rPr>
                <w:rFonts w:ascii="Arial" w:eastAsia="Calibri" w:hAnsi="Arial" w:cs="Arial"/>
                <w:szCs w:val="22"/>
              </w:rPr>
              <w:t xml:space="preserve"> </w:t>
            </w:r>
            <w:r w:rsidRPr="002A09C7">
              <w:rPr>
                <w:rFonts w:ascii="Arial" w:eastAsia="Calibri" w:hAnsi="Arial" w:cs="Arial"/>
                <w:szCs w:val="22"/>
              </w:rPr>
              <w:t>This study employs a qualitative conceptual approach by reviewing relevant literature and integrating theoretical perspectives to construct a comprehensive model. The framework identifies key financial indicators, including Total Asset Turnover (TATO), Cash Ratio, Debt to Equity Ratio (DER), and Price to Book Value (PBV), as channels through which geopolitical sentiment is transmitted.</w:t>
            </w:r>
            <w:r>
              <w:rPr>
                <w:rFonts w:ascii="Arial" w:eastAsia="Calibri" w:hAnsi="Arial" w:cs="Arial"/>
                <w:szCs w:val="22"/>
              </w:rPr>
              <w:t xml:space="preserve"> </w:t>
            </w:r>
            <w:r w:rsidRPr="002A09C7">
              <w:rPr>
                <w:rFonts w:ascii="Arial" w:eastAsia="Calibri" w:hAnsi="Arial" w:cs="Arial"/>
                <w:b/>
                <w:bCs/>
                <w:szCs w:val="22"/>
              </w:rPr>
              <w:t>Results:</w:t>
            </w:r>
            <w:r>
              <w:rPr>
                <w:rFonts w:ascii="Arial" w:eastAsia="Calibri" w:hAnsi="Arial" w:cs="Arial"/>
                <w:szCs w:val="22"/>
              </w:rPr>
              <w:t xml:space="preserve"> </w:t>
            </w:r>
            <w:r w:rsidRPr="002A09C7">
              <w:rPr>
                <w:rFonts w:ascii="Arial" w:eastAsia="Calibri" w:hAnsi="Arial" w:cs="Arial"/>
                <w:szCs w:val="22"/>
              </w:rPr>
              <w:t>The study proposes that boycott sentiment exerts asymmetric effects. Affiliated firms are negatively impacted through declining asset efficiency, reduced liquidity, increased solvency risk, and lower market valuation. In contrast, substitution firms benefit from spillover consumption effects, which strengthen their financial fundamentals and enhance market valuation.</w:t>
            </w:r>
            <w:r>
              <w:rPr>
                <w:rFonts w:ascii="Arial" w:eastAsia="Calibri" w:hAnsi="Arial" w:cs="Arial"/>
                <w:szCs w:val="22"/>
              </w:rPr>
              <w:t xml:space="preserve"> </w:t>
            </w:r>
            <w:r w:rsidRPr="000A6CDC">
              <w:rPr>
                <w:rFonts w:ascii="Arial" w:eastAsia="Calibri" w:hAnsi="Arial" w:cs="Arial"/>
                <w:b/>
                <w:bCs/>
                <w:color w:val="FF0000"/>
                <w:szCs w:val="22"/>
              </w:rPr>
              <w:t>Co</w:t>
            </w:r>
            <w:r w:rsidR="000A6CDC" w:rsidRPr="000A6CDC">
              <w:rPr>
                <w:rFonts w:ascii="Arial" w:eastAsia="Calibri" w:hAnsi="Arial" w:cs="Arial"/>
                <w:b/>
                <w:bCs/>
                <w:color w:val="FF0000"/>
                <w:szCs w:val="22"/>
              </w:rPr>
              <w:t>ntributions</w:t>
            </w:r>
            <w:r w:rsidRPr="002A09C7">
              <w:rPr>
                <w:rFonts w:ascii="Arial" w:eastAsia="Calibri" w:hAnsi="Arial" w:cs="Arial"/>
                <w:b/>
                <w:bCs/>
                <w:szCs w:val="22"/>
              </w:rPr>
              <w:t>:</w:t>
            </w:r>
            <w:r>
              <w:rPr>
                <w:rFonts w:ascii="Arial" w:eastAsia="Calibri" w:hAnsi="Arial" w:cs="Arial"/>
                <w:szCs w:val="22"/>
              </w:rPr>
              <w:t xml:space="preserve"> </w:t>
            </w:r>
            <w:r w:rsidRPr="002A09C7">
              <w:rPr>
                <w:rFonts w:ascii="Arial" w:eastAsia="Calibri" w:hAnsi="Arial" w:cs="Arial"/>
                <w:szCs w:val="22"/>
              </w:rPr>
              <w:t>The study concludes that geopolitical sentiment functions as a critical external risk factor influencing firm performance and valuation. It highlights managerial implications such as the importance of liquidity stress testing and cautious expansion strategies, while also recommending investors consider geopolitical risk as a screening indicator. The proposed conceptual model provides a foundation for future empirical quantitative research</w:t>
            </w:r>
            <w:r>
              <w:rPr>
                <w:rFonts w:ascii="Arial" w:eastAsia="Calibri" w:hAnsi="Arial" w:cs="Arial"/>
                <w:szCs w:val="22"/>
              </w:rPr>
              <w:t>.</w:t>
            </w:r>
          </w:p>
        </w:tc>
      </w:tr>
    </w:tbl>
    <w:p w14:paraId="0381C96E" w14:textId="77777777" w:rsidR="00636EB2" w:rsidRDefault="00636EB2" w:rsidP="00441B6F">
      <w:pPr>
        <w:pStyle w:val="Body"/>
        <w:spacing w:after="0"/>
        <w:rPr>
          <w:rFonts w:ascii="Arial" w:hAnsi="Arial" w:cs="Arial"/>
          <w:i/>
        </w:rPr>
      </w:pPr>
    </w:p>
    <w:p w14:paraId="25192959" w14:textId="356EC6B8" w:rsidR="00A24E7E" w:rsidRDefault="00A24E7E" w:rsidP="00441B6F">
      <w:pPr>
        <w:pStyle w:val="Body"/>
        <w:spacing w:after="0"/>
        <w:rPr>
          <w:rFonts w:ascii="Arial" w:hAnsi="Arial" w:cs="Arial"/>
          <w:i/>
        </w:rPr>
      </w:pPr>
      <w:r>
        <w:rPr>
          <w:rFonts w:ascii="Arial" w:hAnsi="Arial" w:cs="Arial"/>
          <w:i/>
        </w:rPr>
        <w:t xml:space="preserve">Keywords: </w:t>
      </w:r>
      <w:r w:rsidR="002A09C7" w:rsidRPr="002A09C7">
        <w:rPr>
          <w:rFonts w:ascii="Arial" w:hAnsi="Arial" w:cs="Arial"/>
          <w:i/>
        </w:rPr>
        <w:t>Geopolitical Boycott, Financial Performance, Market Valuation, Substitution Firms, Systemic Risk</w:t>
      </w:r>
    </w:p>
    <w:p w14:paraId="51541180" w14:textId="77777777" w:rsidR="00790ADA" w:rsidRDefault="00790ADA" w:rsidP="00441B6F">
      <w:pPr>
        <w:pStyle w:val="Body"/>
        <w:spacing w:after="0"/>
        <w:rPr>
          <w:rFonts w:ascii="Arial" w:hAnsi="Arial" w:cs="Arial"/>
          <w:i/>
        </w:rPr>
      </w:pPr>
    </w:p>
    <w:p w14:paraId="6F20120C" w14:textId="390922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6144A8" w14:textId="77777777" w:rsidR="00790ADA" w:rsidRPr="00FB3A86" w:rsidRDefault="00790ADA" w:rsidP="00441B6F">
      <w:pPr>
        <w:pStyle w:val="AbstHead"/>
        <w:spacing w:after="0"/>
        <w:jc w:val="both"/>
        <w:rPr>
          <w:rFonts w:ascii="Arial" w:hAnsi="Arial" w:cs="Arial"/>
        </w:rPr>
      </w:pPr>
    </w:p>
    <w:p w14:paraId="6E4F8A26" w14:textId="77777777" w:rsidR="002A09C7" w:rsidRPr="002A09C7" w:rsidRDefault="002A09C7" w:rsidP="002A09C7">
      <w:pPr>
        <w:pStyle w:val="Body"/>
        <w:rPr>
          <w:rFonts w:ascii="Arial" w:hAnsi="Arial" w:cs="Arial"/>
        </w:rPr>
      </w:pPr>
      <w:r w:rsidRPr="002A09C7">
        <w:rPr>
          <w:rFonts w:ascii="Arial" w:hAnsi="Arial" w:cs="Arial"/>
        </w:rPr>
        <w:t xml:space="preserve">The contemporary global economic landscape has undergone a notable shift, revealing that geopolitical conflicts are no longer confined to political arenas; they now represent a significant systemic risk that impacts the stability of domestic capital markets. Empirical research </w:t>
      </w:r>
      <w:r w:rsidRPr="002A09C7">
        <w:rPr>
          <w:rFonts w:ascii="Arial" w:hAnsi="Arial" w:cs="Arial"/>
        </w:rPr>
        <w:lastRenderedPageBreak/>
        <w:t xml:space="preserve">increasingly demonstrates that rising geopolitical tensions, exemplified by events in the Middle East, can lead to adverse sentiment that transcends national borders, disrupting stock market activities (Caldara &amp; </w:t>
      </w:r>
      <w:proofErr w:type="spellStart"/>
      <w:r w:rsidRPr="002A09C7">
        <w:rPr>
          <w:rFonts w:ascii="Arial" w:hAnsi="Arial" w:cs="Arial"/>
        </w:rPr>
        <w:t>Iacoviello</w:t>
      </w:r>
      <w:proofErr w:type="spellEnd"/>
      <w:r w:rsidRPr="002A09C7">
        <w:rPr>
          <w:rFonts w:ascii="Arial" w:hAnsi="Arial" w:cs="Arial"/>
        </w:rPr>
        <w:t xml:space="preserve">, 2022; </w:t>
      </w:r>
      <w:proofErr w:type="spellStart"/>
      <w:r w:rsidRPr="002A09C7">
        <w:rPr>
          <w:rFonts w:ascii="Arial" w:hAnsi="Arial" w:cs="Arial"/>
        </w:rPr>
        <w:t>Fiorillo</w:t>
      </w:r>
      <w:proofErr w:type="spellEnd"/>
      <w:r w:rsidRPr="002A09C7">
        <w:rPr>
          <w:rFonts w:ascii="Arial" w:hAnsi="Arial" w:cs="Arial"/>
        </w:rPr>
        <w:t xml:space="preserve"> et al., 2023). This scenario creates heightened uncertainty, compelling investors to reconfigure their portfolios and resulting in significant volatility in stock prices (Gong et al., 2024; Rahman &amp; Li, 2024). Moreover, boycott movements influenced by geopolitical sentiments have evolved beyond mere ethical considerations in marketing or consumer behavior. They have become instruments of economic pressure that directly affect capital flows and the sustainability prospects of publicly traded companies (</w:t>
      </w:r>
      <w:proofErr w:type="spellStart"/>
      <w:r w:rsidRPr="002A09C7">
        <w:rPr>
          <w:rFonts w:ascii="Arial" w:hAnsi="Arial" w:cs="Arial"/>
        </w:rPr>
        <w:t>Saputra</w:t>
      </w:r>
      <w:proofErr w:type="spellEnd"/>
      <w:r w:rsidRPr="002A09C7">
        <w:rPr>
          <w:rFonts w:ascii="Arial" w:hAnsi="Arial" w:cs="Arial"/>
        </w:rPr>
        <w:t xml:space="preserve"> et al., 2023; </w:t>
      </w:r>
      <w:proofErr w:type="spellStart"/>
      <w:r w:rsidRPr="002A09C7">
        <w:rPr>
          <w:rFonts w:ascii="Arial" w:hAnsi="Arial" w:cs="Arial"/>
        </w:rPr>
        <w:t>Yilmazk</w:t>
      </w:r>
      <w:proofErr w:type="spellEnd"/>
      <w:r w:rsidRPr="002A09C7">
        <w:rPr>
          <w:rFonts w:ascii="Arial" w:hAnsi="Arial" w:cs="Arial"/>
        </w:rPr>
        <w:t>, 2024).</w:t>
      </w:r>
    </w:p>
    <w:p w14:paraId="7F910563" w14:textId="77777777" w:rsidR="002A09C7" w:rsidRPr="002A09C7" w:rsidRDefault="002A09C7" w:rsidP="002A09C7">
      <w:pPr>
        <w:pStyle w:val="Body"/>
        <w:rPr>
          <w:rFonts w:ascii="Arial" w:hAnsi="Arial" w:cs="Arial"/>
        </w:rPr>
      </w:pPr>
      <w:r w:rsidRPr="002A09C7">
        <w:rPr>
          <w:rFonts w:ascii="Arial" w:hAnsi="Arial" w:cs="Arial"/>
        </w:rPr>
        <w:t>In Indonesia, the influence of geopolitical sentiment has been evident through a widespread social movement spurred by a fatwa issued by the Indonesian Ulema Council (MUI), which calls for the prohibition of support for military aggression. This fatwa serves as a powerful catalyst, transforming public sentiment into a nationwide economic boycott against specific products (</w:t>
      </w:r>
      <w:proofErr w:type="spellStart"/>
      <w:r w:rsidRPr="002A09C7">
        <w:rPr>
          <w:rFonts w:ascii="Arial" w:hAnsi="Arial" w:cs="Arial"/>
        </w:rPr>
        <w:t>Avianuari</w:t>
      </w:r>
      <w:proofErr w:type="spellEnd"/>
      <w:r w:rsidRPr="002A09C7">
        <w:rPr>
          <w:rFonts w:ascii="Arial" w:hAnsi="Arial" w:cs="Arial"/>
        </w:rPr>
        <w:t xml:space="preserve"> &amp; </w:t>
      </w:r>
      <w:proofErr w:type="spellStart"/>
      <w:r w:rsidRPr="002A09C7">
        <w:rPr>
          <w:rFonts w:ascii="Arial" w:hAnsi="Arial" w:cs="Arial"/>
        </w:rPr>
        <w:t>Hendranastiti</w:t>
      </w:r>
      <w:proofErr w:type="spellEnd"/>
      <w:r w:rsidRPr="002A09C7">
        <w:rPr>
          <w:rFonts w:ascii="Arial" w:hAnsi="Arial" w:cs="Arial"/>
        </w:rPr>
        <w:t xml:space="preserve">, 2024; </w:t>
      </w:r>
      <w:proofErr w:type="spellStart"/>
      <w:r w:rsidRPr="002A09C7">
        <w:rPr>
          <w:rFonts w:ascii="Arial" w:hAnsi="Arial" w:cs="Arial"/>
        </w:rPr>
        <w:t>Isalman</w:t>
      </w:r>
      <w:proofErr w:type="spellEnd"/>
      <w:r w:rsidRPr="002A09C7">
        <w:rPr>
          <w:rFonts w:ascii="Arial" w:hAnsi="Arial" w:cs="Arial"/>
        </w:rPr>
        <w:t xml:space="preserve"> et al., 2025). As a result, this social sentiment has generated significant polarization within the Indonesia Stock Exchange (IDX), especially affecting firms in the Consumer Goods and Fast-Moving Consumer Goods (FMCG) sectors, as well as the Food and Beverage (F&amp;B) industry (Hasyim &amp; </w:t>
      </w:r>
      <w:proofErr w:type="spellStart"/>
      <w:r w:rsidRPr="002A09C7">
        <w:rPr>
          <w:rFonts w:ascii="Arial" w:hAnsi="Arial" w:cs="Arial"/>
        </w:rPr>
        <w:t>Sukardi</w:t>
      </w:r>
      <w:proofErr w:type="spellEnd"/>
      <w:r w:rsidRPr="002A09C7">
        <w:rPr>
          <w:rFonts w:ascii="Arial" w:hAnsi="Arial" w:cs="Arial"/>
        </w:rPr>
        <w:t xml:space="preserve">, 2025; </w:t>
      </w:r>
      <w:proofErr w:type="spellStart"/>
      <w:r w:rsidRPr="002A09C7">
        <w:rPr>
          <w:rFonts w:ascii="Arial" w:hAnsi="Arial" w:cs="Arial"/>
        </w:rPr>
        <w:t>Siregar</w:t>
      </w:r>
      <w:proofErr w:type="spellEnd"/>
      <w:r w:rsidRPr="002A09C7">
        <w:rPr>
          <w:rFonts w:ascii="Arial" w:hAnsi="Arial" w:cs="Arial"/>
        </w:rPr>
        <w:t xml:space="preserve"> et al., 2025). Consequently, the market is compelled to react swiftly to non-financial information, where public pressure can instantly harm corporate reputations and shift investor behavior from accumulation to large-scale sell-offs (</w:t>
      </w:r>
      <w:proofErr w:type="spellStart"/>
      <w:r w:rsidRPr="002A09C7">
        <w:rPr>
          <w:rFonts w:ascii="Arial" w:hAnsi="Arial" w:cs="Arial"/>
        </w:rPr>
        <w:t>Fadzilah</w:t>
      </w:r>
      <w:proofErr w:type="spellEnd"/>
      <w:r w:rsidRPr="002A09C7">
        <w:rPr>
          <w:rFonts w:ascii="Arial" w:hAnsi="Arial" w:cs="Arial"/>
        </w:rPr>
        <w:t xml:space="preserve"> et al., 2024; Hartono &amp; </w:t>
      </w:r>
      <w:proofErr w:type="spellStart"/>
      <w:r w:rsidRPr="002A09C7">
        <w:rPr>
          <w:rFonts w:ascii="Arial" w:hAnsi="Arial" w:cs="Arial"/>
        </w:rPr>
        <w:t>Harsono</w:t>
      </w:r>
      <w:proofErr w:type="spellEnd"/>
      <w:r w:rsidRPr="002A09C7">
        <w:rPr>
          <w:rFonts w:ascii="Arial" w:hAnsi="Arial" w:cs="Arial"/>
        </w:rPr>
        <w:t>, 2025).</w:t>
      </w:r>
    </w:p>
    <w:p w14:paraId="0B84A2BB" w14:textId="77777777" w:rsidR="002A09C7" w:rsidRPr="002A09C7" w:rsidRDefault="002A09C7" w:rsidP="002A09C7">
      <w:pPr>
        <w:pStyle w:val="Body"/>
        <w:rPr>
          <w:rFonts w:ascii="Arial" w:hAnsi="Arial" w:cs="Arial"/>
        </w:rPr>
      </w:pPr>
      <w:r w:rsidRPr="002A09C7">
        <w:rPr>
          <w:rFonts w:ascii="Arial" w:hAnsi="Arial" w:cs="Arial"/>
        </w:rPr>
        <w:t>The boycott movement driven by geopolitical considerations generates highly asymmetric effects on capital market firms. Multinational corporations linked to the conflicting parties face significant operational challenges, leading to sharp declines in sales, cash flow disruptions, and panic among investors, which in turn triggers large stock sell-offs (</w:t>
      </w:r>
      <w:proofErr w:type="spellStart"/>
      <w:r w:rsidRPr="002A09C7">
        <w:rPr>
          <w:rFonts w:ascii="Arial" w:hAnsi="Arial" w:cs="Arial"/>
        </w:rPr>
        <w:t>Ayuntari</w:t>
      </w:r>
      <w:proofErr w:type="spellEnd"/>
      <w:r w:rsidRPr="002A09C7">
        <w:rPr>
          <w:rFonts w:ascii="Arial" w:hAnsi="Arial" w:cs="Arial"/>
        </w:rPr>
        <w:t xml:space="preserve"> &amp; Putri, 2026; </w:t>
      </w:r>
      <w:proofErr w:type="spellStart"/>
      <w:r w:rsidRPr="002A09C7">
        <w:rPr>
          <w:rFonts w:ascii="Arial" w:hAnsi="Arial" w:cs="Arial"/>
        </w:rPr>
        <w:t>Rajagukguk</w:t>
      </w:r>
      <w:proofErr w:type="spellEnd"/>
      <w:r w:rsidRPr="002A09C7">
        <w:rPr>
          <w:rFonts w:ascii="Arial" w:hAnsi="Arial" w:cs="Arial"/>
        </w:rPr>
        <w:t>, 2024). Conversely, local firms producing substitute goods often experience unexpected gains, as the sudden shift in consumer preferences substantially increases their revenues (Ali et al., 2025; Anisa et al., 2025). This shift in capital allocation illustrates how social sentiment can swiftly transfer shareholder value from targeted companies to alternative ones within a short timeframe in the stock market (</w:t>
      </w:r>
      <w:proofErr w:type="spellStart"/>
      <w:r w:rsidRPr="002A09C7">
        <w:rPr>
          <w:rFonts w:ascii="Arial" w:hAnsi="Arial" w:cs="Arial"/>
        </w:rPr>
        <w:t>Alqatan</w:t>
      </w:r>
      <w:proofErr w:type="spellEnd"/>
      <w:r w:rsidRPr="002A09C7">
        <w:rPr>
          <w:rFonts w:ascii="Arial" w:hAnsi="Arial" w:cs="Arial"/>
        </w:rPr>
        <w:t>, 2025; King &amp; Soule, 2007).</w:t>
      </w:r>
    </w:p>
    <w:p w14:paraId="5C009373" w14:textId="77777777" w:rsidR="002A09C7" w:rsidRPr="002A09C7" w:rsidRDefault="002A09C7" w:rsidP="002A09C7">
      <w:pPr>
        <w:pStyle w:val="Body"/>
        <w:rPr>
          <w:rFonts w:ascii="Arial" w:hAnsi="Arial" w:cs="Arial"/>
        </w:rPr>
      </w:pPr>
      <w:r w:rsidRPr="002A09C7">
        <w:rPr>
          <w:rFonts w:ascii="Arial" w:hAnsi="Arial" w:cs="Arial"/>
        </w:rPr>
        <w:t>A review of existing literature reveals that research on consumer boycotts, particularly in the context of geopolitical conflicts, predominantly focuses on marketing and consumer behavior perspectives. These studies primarily analyze psychological factors like purchase intentions, motivations for boycott participation, ethnocentric animosity, and their impact on brand image in retail markets (Abdul-Talib &amp; Adnan, 2017; Ali, 2021). While these studies effectively explain shifts in individual consumer preferences, they often overlook broader implications at the corporate level, especially concerning firm value (</w:t>
      </w:r>
      <w:proofErr w:type="spellStart"/>
      <w:r w:rsidRPr="002A09C7">
        <w:rPr>
          <w:rFonts w:ascii="Arial" w:hAnsi="Arial" w:cs="Arial"/>
        </w:rPr>
        <w:t>Afego</w:t>
      </w:r>
      <w:proofErr w:type="spellEnd"/>
      <w:r w:rsidRPr="002A09C7">
        <w:rPr>
          <w:rFonts w:ascii="Arial" w:hAnsi="Arial" w:cs="Arial"/>
        </w:rPr>
        <w:t xml:space="preserve"> &amp; </w:t>
      </w:r>
      <w:proofErr w:type="spellStart"/>
      <w:r w:rsidRPr="002A09C7">
        <w:rPr>
          <w:rFonts w:ascii="Arial" w:hAnsi="Arial" w:cs="Arial"/>
        </w:rPr>
        <w:t>Alagidede</w:t>
      </w:r>
      <w:proofErr w:type="spellEnd"/>
      <w:r w:rsidRPr="002A09C7">
        <w:rPr>
          <w:rFonts w:ascii="Arial" w:hAnsi="Arial" w:cs="Arial"/>
        </w:rPr>
        <w:t xml:space="preserve">, 2021; Villagra et al., 2021). Additionally, studies utilizing event methodologies typically focus on short-term stock price reactions without investigating the underlying structural damage to fundamental financial metrics (Brown &amp; Warner, 1985; </w:t>
      </w:r>
      <w:proofErr w:type="spellStart"/>
      <w:r w:rsidRPr="002A09C7">
        <w:rPr>
          <w:rFonts w:ascii="Arial" w:hAnsi="Arial" w:cs="Arial"/>
        </w:rPr>
        <w:t>Sorescu</w:t>
      </w:r>
      <w:proofErr w:type="spellEnd"/>
      <w:r w:rsidRPr="002A09C7">
        <w:rPr>
          <w:rFonts w:ascii="Arial" w:hAnsi="Arial" w:cs="Arial"/>
        </w:rPr>
        <w:t xml:space="preserve"> et al., 2017).</w:t>
      </w:r>
    </w:p>
    <w:p w14:paraId="14258BF4" w14:textId="7502DD1F" w:rsidR="00B01FCD" w:rsidRDefault="002A09C7" w:rsidP="002A09C7">
      <w:pPr>
        <w:pStyle w:val="Body"/>
        <w:rPr>
          <w:rFonts w:ascii="Arial" w:hAnsi="Arial" w:cs="Arial"/>
        </w:rPr>
      </w:pPr>
      <w:r w:rsidRPr="002A09C7">
        <w:rPr>
          <w:rFonts w:ascii="Arial" w:hAnsi="Arial" w:cs="Arial"/>
        </w:rPr>
        <w:t>Given these gaps, this study seeks to address a significant need in the field of strategic financial management. There is currently a lack of a comprehensive conceptual framework that delineates the "transmission mechanism" through which consumer market boycott actions lead to sequential changes in corporate fundamental metrics (</w:t>
      </w:r>
      <w:proofErr w:type="spellStart"/>
      <w:r w:rsidRPr="002A09C7">
        <w:rPr>
          <w:rFonts w:ascii="Arial" w:hAnsi="Arial" w:cs="Arial"/>
        </w:rPr>
        <w:t>Darsono</w:t>
      </w:r>
      <w:proofErr w:type="spellEnd"/>
      <w:r w:rsidRPr="002A09C7">
        <w:rPr>
          <w:rFonts w:ascii="Arial" w:hAnsi="Arial" w:cs="Arial"/>
        </w:rPr>
        <w:t xml:space="preserve"> et al., 2024; </w:t>
      </w:r>
      <w:proofErr w:type="spellStart"/>
      <w:r w:rsidRPr="002A09C7">
        <w:rPr>
          <w:rFonts w:ascii="Arial" w:hAnsi="Arial" w:cs="Arial"/>
        </w:rPr>
        <w:t>Fama</w:t>
      </w:r>
      <w:proofErr w:type="spellEnd"/>
      <w:r w:rsidRPr="002A09C7">
        <w:rPr>
          <w:rFonts w:ascii="Arial" w:hAnsi="Arial" w:cs="Arial"/>
        </w:rPr>
        <w:t xml:space="preserve">, 1970). Theoretical research that integrates social sentiment with asset efficiency deterioration (Total Asset Turnover/TATO), liquidity erosion (Cash Ratio), and rising solvency risk (Debt to Equity Ratio/DER) remains scarce (Luong et al., 2025; Yahya et al., 2026). Thus, a new conceptual model is necessary to connect these operational shocks with the deconstruction of market valuation (Price to Book Value/PBV), allowing for a more comprehensive </w:t>
      </w:r>
      <w:r w:rsidRPr="002A09C7">
        <w:rPr>
          <w:rFonts w:ascii="Arial" w:hAnsi="Arial" w:cs="Arial"/>
        </w:rPr>
        <w:lastRenderedPageBreak/>
        <w:t>assessment of the impact of boycotts—not merely as a loss of market share, but as a significant threat to long-term financial sustainability (Shu et al., 2026).</w:t>
      </w:r>
      <w:r>
        <w:rPr>
          <w:rFonts w:ascii="Arial" w:hAnsi="Arial" w:cs="Arial"/>
        </w:rPr>
        <w:t xml:space="preserve"> </w:t>
      </w:r>
      <w:r w:rsidRPr="002A09C7">
        <w:rPr>
          <w:rFonts w:ascii="Arial" w:hAnsi="Arial" w:cs="Arial"/>
        </w:rPr>
        <w:t xml:space="preserve">In light of this urgency and the identified research gap, this conceptual paper aims to construct a robust theoretical model that elucidates the dynamics of financial ratios and market performance, specifically focusing on how geopolitical sentiment and consumer boycotts influence corporate financial health. </w:t>
      </w:r>
    </w:p>
    <w:p w14:paraId="4FAC1D74" w14:textId="7736D3F7" w:rsidR="000A6CDC" w:rsidRPr="000A6CDC" w:rsidRDefault="000A6CDC" w:rsidP="000A6CDC">
      <w:pPr>
        <w:pStyle w:val="Body"/>
        <w:numPr>
          <w:ilvl w:val="1"/>
          <w:numId w:val="31"/>
        </w:numPr>
        <w:rPr>
          <w:rFonts w:ascii="Arial" w:hAnsi="Arial" w:cs="Arial"/>
          <w:color w:val="FF0000"/>
        </w:rPr>
      </w:pPr>
      <w:r w:rsidRPr="000A6CDC">
        <w:rPr>
          <w:rFonts w:ascii="Arial" w:hAnsi="Arial" w:cs="Arial"/>
          <w:color w:val="FF0000"/>
        </w:rPr>
        <w:t>The Objectives of study</w:t>
      </w:r>
    </w:p>
    <w:p w14:paraId="6A4BC0F8" w14:textId="1D5699C7" w:rsidR="000A6CDC" w:rsidRPr="000A6CDC" w:rsidRDefault="000A6CDC" w:rsidP="000A6CDC">
      <w:pPr>
        <w:pStyle w:val="Body"/>
        <w:numPr>
          <w:ilvl w:val="1"/>
          <w:numId w:val="31"/>
        </w:numPr>
        <w:rPr>
          <w:rFonts w:ascii="Arial" w:hAnsi="Arial" w:cs="Arial"/>
          <w:color w:val="FF0000"/>
        </w:rPr>
      </w:pPr>
      <w:r w:rsidRPr="000A6CDC">
        <w:rPr>
          <w:rFonts w:ascii="Arial" w:hAnsi="Arial" w:cs="Arial"/>
          <w:color w:val="FF0000"/>
        </w:rPr>
        <w:t xml:space="preserve">The </w:t>
      </w:r>
      <w:r>
        <w:rPr>
          <w:rFonts w:ascii="Arial" w:hAnsi="Arial" w:cs="Arial"/>
          <w:color w:val="FF0000"/>
        </w:rPr>
        <w:t>G</w:t>
      </w:r>
      <w:r w:rsidRPr="000A6CDC">
        <w:rPr>
          <w:rFonts w:ascii="Arial" w:hAnsi="Arial" w:cs="Arial"/>
          <w:color w:val="FF0000"/>
        </w:rPr>
        <w:t xml:space="preserve">eneral of </w:t>
      </w:r>
      <w:r>
        <w:rPr>
          <w:rFonts w:ascii="Arial" w:hAnsi="Arial" w:cs="Arial"/>
          <w:color w:val="FF0000"/>
        </w:rPr>
        <w:t>R</w:t>
      </w:r>
      <w:r w:rsidRPr="000A6CDC">
        <w:rPr>
          <w:rFonts w:ascii="Arial" w:hAnsi="Arial" w:cs="Arial"/>
          <w:color w:val="FF0000"/>
        </w:rPr>
        <w:t xml:space="preserve">esearch </w:t>
      </w:r>
      <w:r>
        <w:rPr>
          <w:rFonts w:ascii="Arial" w:hAnsi="Arial" w:cs="Arial"/>
          <w:color w:val="FF0000"/>
        </w:rPr>
        <w:t>O</w:t>
      </w:r>
      <w:r w:rsidRPr="000A6CDC">
        <w:rPr>
          <w:rFonts w:ascii="Arial" w:hAnsi="Arial" w:cs="Arial"/>
          <w:color w:val="FF0000"/>
        </w:rPr>
        <w:t>bjective</w:t>
      </w:r>
    </w:p>
    <w:p w14:paraId="2B4B2E87" w14:textId="3B8BEC08" w:rsidR="000A6CDC" w:rsidRPr="000A6CDC" w:rsidRDefault="000A6CDC" w:rsidP="000A6CDC">
      <w:pPr>
        <w:pStyle w:val="Body"/>
        <w:numPr>
          <w:ilvl w:val="1"/>
          <w:numId w:val="31"/>
        </w:numPr>
        <w:rPr>
          <w:rFonts w:ascii="Arial" w:hAnsi="Arial" w:cs="Arial"/>
          <w:color w:val="FF0000"/>
        </w:rPr>
      </w:pPr>
      <w:r w:rsidRPr="000A6CDC">
        <w:rPr>
          <w:rFonts w:ascii="Arial" w:hAnsi="Arial" w:cs="Arial"/>
          <w:color w:val="FF0000"/>
        </w:rPr>
        <w:t xml:space="preserve">The </w:t>
      </w:r>
      <w:r>
        <w:rPr>
          <w:rFonts w:ascii="Arial" w:hAnsi="Arial" w:cs="Arial"/>
          <w:color w:val="FF0000"/>
        </w:rPr>
        <w:t>S</w:t>
      </w:r>
      <w:r w:rsidRPr="000A6CDC">
        <w:rPr>
          <w:rFonts w:ascii="Arial" w:hAnsi="Arial" w:cs="Arial"/>
          <w:color w:val="FF0000"/>
        </w:rPr>
        <w:t xml:space="preserve">pecific of </w:t>
      </w:r>
      <w:r>
        <w:rPr>
          <w:rFonts w:ascii="Arial" w:hAnsi="Arial" w:cs="Arial"/>
          <w:color w:val="FF0000"/>
        </w:rPr>
        <w:t>R</w:t>
      </w:r>
      <w:r w:rsidRPr="000A6CDC">
        <w:rPr>
          <w:rFonts w:ascii="Arial" w:hAnsi="Arial" w:cs="Arial"/>
          <w:color w:val="FF0000"/>
        </w:rPr>
        <w:t xml:space="preserve">esearch </w:t>
      </w:r>
      <w:r>
        <w:rPr>
          <w:rFonts w:ascii="Arial" w:hAnsi="Arial" w:cs="Arial"/>
          <w:color w:val="FF0000"/>
        </w:rPr>
        <w:t>O</w:t>
      </w:r>
      <w:r w:rsidRPr="000A6CDC">
        <w:rPr>
          <w:rFonts w:ascii="Arial" w:hAnsi="Arial" w:cs="Arial"/>
          <w:color w:val="FF0000"/>
        </w:rPr>
        <w:t>bjectives</w:t>
      </w:r>
    </w:p>
    <w:p w14:paraId="74DA5653" w14:textId="27CDB16E" w:rsidR="000A6CDC" w:rsidRDefault="000A6CDC" w:rsidP="000A6CDC">
      <w:pPr>
        <w:pStyle w:val="Body"/>
        <w:numPr>
          <w:ilvl w:val="1"/>
          <w:numId w:val="31"/>
        </w:numPr>
        <w:rPr>
          <w:rFonts w:ascii="Arial" w:hAnsi="Arial" w:cs="Arial"/>
          <w:color w:val="FF0000"/>
        </w:rPr>
      </w:pPr>
      <w:r w:rsidRPr="000A6CDC">
        <w:rPr>
          <w:rFonts w:ascii="Arial" w:hAnsi="Arial" w:cs="Arial"/>
          <w:color w:val="FF0000"/>
        </w:rPr>
        <w:t xml:space="preserve">The Research of Conceptual </w:t>
      </w:r>
      <w:r>
        <w:rPr>
          <w:rFonts w:ascii="Arial" w:hAnsi="Arial" w:cs="Arial"/>
          <w:color w:val="FF0000"/>
        </w:rPr>
        <w:t>F</w:t>
      </w:r>
      <w:r w:rsidRPr="000A6CDC">
        <w:rPr>
          <w:rFonts w:ascii="Arial" w:hAnsi="Arial" w:cs="Arial"/>
          <w:color w:val="FF0000"/>
        </w:rPr>
        <w:t>ramework</w:t>
      </w:r>
    </w:p>
    <w:p w14:paraId="6A24100D" w14:textId="77777777" w:rsidR="00060834" w:rsidRPr="00FB2F17" w:rsidRDefault="00060834" w:rsidP="00060834">
      <w:pPr>
        <w:pStyle w:val="Head1"/>
        <w:jc w:val="both"/>
        <w:rPr>
          <w:b w:val="0"/>
          <w:caps w:val="0"/>
          <w:sz w:val="20"/>
        </w:rPr>
      </w:pPr>
      <w:r w:rsidRPr="00FB2F17">
        <w:rPr>
          <w:b w:val="0"/>
          <w:caps w:val="0"/>
          <w:sz w:val="20"/>
        </w:rPr>
        <w:t xml:space="preserve">This study utilizes a qualitative conceptual research design aimed at developing a comprehensive theoretical framework to elucidate the transmission mechanism through which geopolitical boycott sentiment affects corporate financial performance and market valuation. Instead of relying on primary data collection or statistical testing, the study adopts an extensive literature review approach that synthesizes prior empirical and theoretical research related to geopolitical risk, consumer boycott behavior, financial ratios, and capital market reactions. The analysis integrates two primary theoretical perspectives—Signaling Theory and Stakeholder Theory—to formulate logical propositions that describe the causal relationships between boycott sentiment and key financial indicators, including Total Asset Turnover (TATO), Cash Ratio, Debt to Equity Ratio (DER), and Price to Book Value (PBV). </w:t>
      </w:r>
    </w:p>
    <w:p w14:paraId="0488AA6D" w14:textId="77777777" w:rsidR="00060834" w:rsidRDefault="00060834" w:rsidP="00060834">
      <w:pPr>
        <w:pStyle w:val="Head1"/>
        <w:spacing w:after="0"/>
        <w:jc w:val="both"/>
        <w:rPr>
          <w:b w:val="0"/>
          <w:caps w:val="0"/>
          <w:sz w:val="20"/>
        </w:rPr>
      </w:pPr>
      <w:r w:rsidRPr="00FB2F17">
        <w:rPr>
          <w:b w:val="0"/>
          <w:caps w:val="0"/>
          <w:sz w:val="20"/>
        </w:rPr>
        <w:t>The conceptual model is developed through a systematic process of identifying research gaps, mapping theoretical linkages, and formulating directional hypotheses that reflect the asymmetric impacts between affiliated multinational firms and local substitute firms. This approach allows the study to offer a structured and holistic explanation of how external social and geopolitical pressures can lead to internal financial disruptions, ultimately influencing market valuation. The result of this methodology is a set of theoretically grounded propositions that can be empirically tested in future quantitative studies, particularly through panel data regression on firms listed on the Indonesia Stock Exchange (IDX).</w:t>
      </w:r>
    </w:p>
    <w:p w14:paraId="3B306A57" w14:textId="77777777" w:rsidR="00060834" w:rsidRPr="000A6CDC" w:rsidRDefault="00060834" w:rsidP="00060834">
      <w:pPr>
        <w:pStyle w:val="Body"/>
        <w:rPr>
          <w:rFonts w:ascii="Arial" w:hAnsi="Arial" w:cs="Arial"/>
          <w:color w:val="FF0000"/>
        </w:rPr>
      </w:pPr>
    </w:p>
    <w:p w14:paraId="0D7261AE" w14:textId="33D6138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81A1777" w14:textId="77777777" w:rsidR="00790ADA" w:rsidRPr="0037374C" w:rsidRDefault="00790ADA" w:rsidP="00441B6F">
      <w:pPr>
        <w:pStyle w:val="AbstHead"/>
        <w:spacing w:after="0"/>
        <w:jc w:val="both"/>
        <w:rPr>
          <w:rFonts w:ascii="Arial" w:hAnsi="Arial" w:cs="Arial"/>
          <w:color w:val="EE0000"/>
        </w:rPr>
      </w:pPr>
    </w:p>
    <w:p w14:paraId="6C00AF76" w14:textId="7BAB08ED" w:rsidR="002A09C7" w:rsidRPr="0037374C" w:rsidRDefault="002A09C7" w:rsidP="002A09C7">
      <w:pPr>
        <w:pStyle w:val="Body"/>
        <w:rPr>
          <w:rFonts w:ascii="Arial" w:hAnsi="Arial" w:cs="Arial"/>
          <w:b/>
          <w:bCs/>
          <w:color w:val="EE0000"/>
        </w:rPr>
      </w:pPr>
      <w:r w:rsidRPr="0037374C">
        <w:rPr>
          <w:rFonts w:ascii="Arial" w:hAnsi="Arial" w:cs="Arial"/>
          <w:b/>
          <w:bCs/>
          <w:color w:val="EE0000"/>
        </w:rPr>
        <w:t>2.1</w:t>
      </w:r>
      <w:r w:rsidR="0037374C" w:rsidRPr="0037374C">
        <w:rPr>
          <w:rFonts w:ascii="Arial" w:hAnsi="Arial" w:cs="Arial"/>
          <w:b/>
          <w:bCs/>
          <w:color w:val="EE0000"/>
        </w:rPr>
        <w:t xml:space="preserve"> The Research Design</w:t>
      </w:r>
      <w:r w:rsidRPr="0037374C">
        <w:rPr>
          <w:rFonts w:ascii="Arial" w:hAnsi="Arial" w:cs="Arial"/>
          <w:b/>
          <w:bCs/>
          <w:color w:val="EE0000"/>
        </w:rPr>
        <w:t xml:space="preserve"> </w:t>
      </w:r>
      <w:r w:rsidR="0037374C" w:rsidRPr="0037374C">
        <w:rPr>
          <w:rFonts w:ascii="Arial" w:hAnsi="Arial" w:cs="Arial"/>
          <w:b/>
          <w:bCs/>
          <w:color w:val="EE0000"/>
        </w:rPr>
        <w:t xml:space="preserve">- </w:t>
      </w:r>
      <w:r w:rsidRPr="0037374C">
        <w:rPr>
          <w:rFonts w:ascii="Arial" w:hAnsi="Arial" w:cs="Arial"/>
          <w:b/>
          <w:bCs/>
          <w:color w:val="EE0000"/>
        </w:rPr>
        <w:t>Grand Theories</w:t>
      </w:r>
    </w:p>
    <w:p w14:paraId="0092A9D9" w14:textId="16586A3C" w:rsidR="00D9395A" w:rsidRDefault="00D9395A" w:rsidP="002A09C7">
      <w:pPr>
        <w:pStyle w:val="Body"/>
        <w:rPr>
          <w:rFonts w:ascii="Arial" w:hAnsi="Arial" w:cs="Arial"/>
        </w:rPr>
      </w:pPr>
      <w:r w:rsidRPr="00D9395A">
        <w:rPr>
          <w:rFonts w:ascii="Arial" w:hAnsi="Arial" w:cs="Arial"/>
        </w:rPr>
        <w:t>Signaling Theory posits that information circulating in the market directly influences investors’ decisions, particularly during periods of heightened geopolitical sentiment. In such conditions, multinational firms labeled as “affiliated” may quickly emit negative signals that damage corporate reputation and weaken investor expectations of future profitability, thereby triggering massive sell-offs and significantly reducing market valuation, especially Price to Book Value (PBV) (</w:t>
      </w:r>
      <w:proofErr w:type="spellStart"/>
      <w:r w:rsidRPr="00D9395A">
        <w:rPr>
          <w:rFonts w:ascii="Arial" w:hAnsi="Arial" w:cs="Arial"/>
        </w:rPr>
        <w:t>Afego</w:t>
      </w:r>
      <w:proofErr w:type="spellEnd"/>
      <w:r w:rsidRPr="00D9395A">
        <w:rPr>
          <w:rFonts w:ascii="Arial" w:hAnsi="Arial" w:cs="Arial"/>
        </w:rPr>
        <w:t xml:space="preserve"> &amp; </w:t>
      </w:r>
      <w:proofErr w:type="spellStart"/>
      <w:r w:rsidRPr="00D9395A">
        <w:rPr>
          <w:rFonts w:ascii="Arial" w:hAnsi="Arial" w:cs="Arial"/>
        </w:rPr>
        <w:t>Alagidede</w:t>
      </w:r>
      <w:proofErr w:type="spellEnd"/>
      <w:r w:rsidRPr="00D9395A">
        <w:rPr>
          <w:rFonts w:ascii="Arial" w:hAnsi="Arial" w:cs="Arial"/>
        </w:rPr>
        <w:t xml:space="preserve">, 2021; </w:t>
      </w:r>
      <w:proofErr w:type="spellStart"/>
      <w:r w:rsidRPr="00D9395A">
        <w:rPr>
          <w:rFonts w:ascii="Arial" w:hAnsi="Arial" w:cs="Arial"/>
        </w:rPr>
        <w:t>Fadzilah</w:t>
      </w:r>
      <w:proofErr w:type="spellEnd"/>
      <w:r w:rsidRPr="00D9395A">
        <w:rPr>
          <w:rFonts w:ascii="Arial" w:hAnsi="Arial" w:cs="Arial"/>
        </w:rPr>
        <w:t xml:space="preserve"> et al., 2024; </w:t>
      </w:r>
      <w:proofErr w:type="spellStart"/>
      <w:r w:rsidRPr="00D9395A">
        <w:rPr>
          <w:rFonts w:ascii="Arial" w:hAnsi="Arial" w:cs="Arial"/>
        </w:rPr>
        <w:t>Fama</w:t>
      </w:r>
      <w:proofErr w:type="spellEnd"/>
      <w:r w:rsidRPr="00D9395A">
        <w:rPr>
          <w:rFonts w:ascii="Arial" w:hAnsi="Arial" w:cs="Arial"/>
        </w:rPr>
        <w:t xml:space="preserve">, 1970; </w:t>
      </w:r>
      <w:proofErr w:type="spellStart"/>
      <w:r w:rsidRPr="00D9395A">
        <w:rPr>
          <w:rFonts w:ascii="Arial" w:hAnsi="Arial" w:cs="Arial"/>
        </w:rPr>
        <w:t>Siregar</w:t>
      </w:r>
      <w:proofErr w:type="spellEnd"/>
      <w:r w:rsidRPr="00D9395A">
        <w:rPr>
          <w:rFonts w:ascii="Arial" w:hAnsi="Arial" w:cs="Arial"/>
        </w:rPr>
        <w:t xml:space="preserve"> et al., 2025). Conversely, firms perceived as “local” or “substitution” generate positive signals that attract capital inflows and increase PBV beyond intrinsic value (Ali et al., 2025; Anisa et al., 2025). Complementing this, Stakeholder Theory emphasizes that corporate survival depends on relationships with stakeholders, where consumers and boycott activists can become dominant forces capable of disrupting operations (King &amp; Soule, 2007; Villagra et al., 2021). Their collective actions reduce asset turnover (TATO) and liquidity (Cash Ratio), demonstrating how </w:t>
      </w:r>
      <w:r w:rsidRPr="00D9395A">
        <w:rPr>
          <w:rFonts w:ascii="Arial" w:hAnsi="Arial" w:cs="Arial"/>
        </w:rPr>
        <w:lastRenderedPageBreak/>
        <w:t xml:space="preserve">neglecting stakeholder values can lead to systemic financial deterioration (Abdul-Talib &amp; Adnan, 2017; </w:t>
      </w:r>
      <w:proofErr w:type="spellStart"/>
      <w:r w:rsidRPr="00D9395A">
        <w:rPr>
          <w:rFonts w:ascii="Arial" w:hAnsi="Arial" w:cs="Arial"/>
        </w:rPr>
        <w:t>Isalman</w:t>
      </w:r>
      <w:proofErr w:type="spellEnd"/>
      <w:r w:rsidRPr="00D9395A">
        <w:rPr>
          <w:rFonts w:ascii="Arial" w:hAnsi="Arial" w:cs="Arial"/>
        </w:rPr>
        <w:t xml:space="preserve"> et al., 2025; Ali, 2021; </w:t>
      </w:r>
      <w:proofErr w:type="spellStart"/>
      <w:r w:rsidRPr="00D9395A">
        <w:rPr>
          <w:rFonts w:ascii="Arial" w:hAnsi="Arial" w:cs="Arial"/>
        </w:rPr>
        <w:t>Alqatan</w:t>
      </w:r>
      <w:proofErr w:type="spellEnd"/>
      <w:r w:rsidRPr="00D9395A">
        <w:rPr>
          <w:rFonts w:ascii="Arial" w:hAnsi="Arial" w:cs="Arial"/>
        </w:rPr>
        <w:t>, 2025).</w:t>
      </w:r>
    </w:p>
    <w:p w14:paraId="333B799B" w14:textId="77777777" w:rsidR="002A09C7" w:rsidRPr="00D9395A" w:rsidRDefault="002A09C7" w:rsidP="002A09C7">
      <w:pPr>
        <w:pStyle w:val="Body"/>
        <w:rPr>
          <w:rFonts w:ascii="Arial" w:hAnsi="Arial" w:cs="Arial"/>
          <w:b/>
          <w:bCs/>
        </w:rPr>
      </w:pPr>
      <w:r w:rsidRPr="00D9395A">
        <w:rPr>
          <w:rFonts w:ascii="Arial" w:hAnsi="Arial" w:cs="Arial"/>
          <w:b/>
          <w:bCs/>
        </w:rPr>
        <w:t>2.2 Dynamics of Financial Fundamentals During a Reputational Crisis</w:t>
      </w:r>
    </w:p>
    <w:p w14:paraId="11A0726B" w14:textId="01BE6F5A" w:rsidR="00D9395A" w:rsidRDefault="00D9395A" w:rsidP="002A09C7">
      <w:pPr>
        <w:pStyle w:val="Body"/>
        <w:rPr>
          <w:rFonts w:ascii="Arial" w:hAnsi="Arial" w:cs="Arial"/>
        </w:rPr>
      </w:pPr>
      <w:r w:rsidRPr="00D9395A">
        <w:rPr>
          <w:rFonts w:ascii="Arial" w:hAnsi="Arial" w:cs="Arial"/>
        </w:rPr>
        <w:t>The dynamics of financial fundamentals during reputational crises indicate that geopolitical sentiment can significantly disrupt three core pillars of corporate performance in a sequential manner. First, from a liquidity perspective, the Cash Ratio becomes exceedingly sensitive to widespread consumer boycotts, as the abrupt cessation of purchasing activity swiftly depletes the cash reserves of affected firms (</w:t>
      </w:r>
      <w:proofErr w:type="spellStart"/>
      <w:r w:rsidRPr="00D9395A">
        <w:rPr>
          <w:rFonts w:ascii="Arial" w:hAnsi="Arial" w:cs="Arial"/>
        </w:rPr>
        <w:t>Ayuntari</w:t>
      </w:r>
      <w:proofErr w:type="spellEnd"/>
      <w:r w:rsidRPr="00D9395A">
        <w:rPr>
          <w:rFonts w:ascii="Arial" w:hAnsi="Arial" w:cs="Arial"/>
        </w:rPr>
        <w:t xml:space="preserve"> &amp; Putri, 2026; </w:t>
      </w:r>
      <w:proofErr w:type="spellStart"/>
      <w:r w:rsidRPr="00D9395A">
        <w:rPr>
          <w:rFonts w:ascii="Arial" w:hAnsi="Arial" w:cs="Arial"/>
        </w:rPr>
        <w:t>Rajagukguk</w:t>
      </w:r>
      <w:proofErr w:type="spellEnd"/>
      <w:r w:rsidRPr="00D9395A">
        <w:rPr>
          <w:rFonts w:ascii="Arial" w:hAnsi="Arial" w:cs="Arial"/>
        </w:rPr>
        <w:t xml:space="preserve">, 2024). Second, from a capital structure standpoint, companies may encounter "forced leverage," manifested in a notable increase in the Debt to Equity Ratio (DER). This situation arises because fixed operational costs continue to escalate while revenue streams stagnate, compelling companies to depend more on external financing (Hartono &amp; </w:t>
      </w:r>
      <w:proofErr w:type="spellStart"/>
      <w:r w:rsidRPr="00D9395A">
        <w:rPr>
          <w:rFonts w:ascii="Arial" w:hAnsi="Arial" w:cs="Arial"/>
        </w:rPr>
        <w:t>Harsono</w:t>
      </w:r>
      <w:proofErr w:type="spellEnd"/>
      <w:r w:rsidRPr="00D9395A">
        <w:rPr>
          <w:rFonts w:ascii="Arial" w:hAnsi="Arial" w:cs="Arial"/>
        </w:rPr>
        <w:t xml:space="preserve">, 2025; Hasyim &amp; </w:t>
      </w:r>
      <w:proofErr w:type="spellStart"/>
      <w:r w:rsidRPr="00D9395A">
        <w:rPr>
          <w:rFonts w:ascii="Arial" w:hAnsi="Arial" w:cs="Arial"/>
        </w:rPr>
        <w:t>Sukardi</w:t>
      </w:r>
      <w:proofErr w:type="spellEnd"/>
      <w:r w:rsidRPr="00D9395A">
        <w:rPr>
          <w:rFonts w:ascii="Arial" w:hAnsi="Arial" w:cs="Arial"/>
        </w:rPr>
        <w:t>, 2025). Lastly, from an operational perspective, Total Asset Turnover (TATO) experiences a sharp decline due to bottleneck effects, as excessive inventory accumulates uncontrollably in warehouses due to severe disruptions in supply chains caused by negative public sentiment (</w:t>
      </w:r>
      <w:proofErr w:type="spellStart"/>
      <w:r w:rsidRPr="00D9395A">
        <w:rPr>
          <w:rFonts w:ascii="Arial" w:hAnsi="Arial" w:cs="Arial"/>
        </w:rPr>
        <w:t>Avianuari</w:t>
      </w:r>
      <w:proofErr w:type="spellEnd"/>
      <w:r w:rsidRPr="00D9395A">
        <w:rPr>
          <w:rFonts w:ascii="Arial" w:hAnsi="Arial" w:cs="Arial"/>
        </w:rPr>
        <w:t xml:space="preserve"> &amp; </w:t>
      </w:r>
      <w:proofErr w:type="spellStart"/>
      <w:r w:rsidRPr="00D9395A">
        <w:rPr>
          <w:rFonts w:ascii="Arial" w:hAnsi="Arial" w:cs="Arial"/>
        </w:rPr>
        <w:t>Hendranastiti</w:t>
      </w:r>
      <w:proofErr w:type="spellEnd"/>
      <w:r w:rsidRPr="00D9395A">
        <w:rPr>
          <w:rFonts w:ascii="Arial" w:hAnsi="Arial" w:cs="Arial"/>
        </w:rPr>
        <w:t xml:space="preserve">, 2024; </w:t>
      </w:r>
      <w:proofErr w:type="spellStart"/>
      <w:r w:rsidRPr="00D9395A">
        <w:rPr>
          <w:rFonts w:ascii="Arial" w:hAnsi="Arial" w:cs="Arial"/>
        </w:rPr>
        <w:t>Siregar</w:t>
      </w:r>
      <w:proofErr w:type="spellEnd"/>
      <w:r w:rsidRPr="00D9395A">
        <w:rPr>
          <w:rFonts w:ascii="Arial" w:hAnsi="Arial" w:cs="Arial"/>
        </w:rPr>
        <w:t xml:space="preserve"> et al., 2025).</w:t>
      </w:r>
    </w:p>
    <w:p w14:paraId="5D42D0C2" w14:textId="77777777" w:rsidR="007E0621" w:rsidRDefault="002A09C7" w:rsidP="00776CC3">
      <w:pPr>
        <w:pStyle w:val="Body"/>
        <w:rPr>
          <w:rFonts w:ascii="Arial" w:hAnsi="Arial" w:cs="Arial"/>
          <w:b/>
          <w:bCs/>
        </w:rPr>
      </w:pPr>
      <w:r w:rsidRPr="00DF0AB8">
        <w:rPr>
          <w:rFonts w:ascii="Arial" w:hAnsi="Arial" w:cs="Arial"/>
          <w:b/>
          <w:bCs/>
        </w:rPr>
        <w:t xml:space="preserve">2.3 </w:t>
      </w:r>
      <w:r w:rsidR="007E0621" w:rsidRPr="007E0621">
        <w:rPr>
          <w:rFonts w:ascii="Arial" w:hAnsi="Arial" w:cs="Arial"/>
          <w:b/>
          <w:bCs/>
        </w:rPr>
        <w:t>Mechanism of Boycott Sentiment Transmission on Asset Efficiency</w:t>
      </w:r>
    </w:p>
    <w:p w14:paraId="1E7A5C26" w14:textId="2B06C876" w:rsidR="00C50848" w:rsidRPr="00C50848" w:rsidRDefault="00C50848" w:rsidP="00776CC3">
      <w:pPr>
        <w:pStyle w:val="Body"/>
        <w:rPr>
          <w:rFonts w:ascii="Arial" w:hAnsi="Arial" w:cs="Arial"/>
        </w:rPr>
      </w:pPr>
      <w:r w:rsidRPr="00C50848">
        <w:rPr>
          <w:rFonts w:ascii="Arial" w:hAnsi="Arial" w:cs="Arial"/>
        </w:rPr>
        <w:t>Mass consumer boycotts driven by geopolitical sentiments create a significant ripple effect on the operational cycles of multinational companies. Concurrent rejections of products result in a surplus of inventory in warehouses and distribution centers, impairing the conversion of goods into cash flow and disrupting operational effectiveness (</w:t>
      </w:r>
      <w:proofErr w:type="spellStart"/>
      <w:r w:rsidRPr="00C50848">
        <w:rPr>
          <w:rFonts w:ascii="Arial" w:hAnsi="Arial" w:cs="Arial"/>
        </w:rPr>
        <w:t>Isalman</w:t>
      </w:r>
      <w:proofErr w:type="spellEnd"/>
      <w:r w:rsidRPr="00C50848">
        <w:rPr>
          <w:rFonts w:ascii="Arial" w:hAnsi="Arial" w:cs="Arial"/>
        </w:rPr>
        <w:t xml:space="preserve"> et al., 2025; </w:t>
      </w:r>
      <w:proofErr w:type="spellStart"/>
      <w:r w:rsidRPr="00C50848">
        <w:rPr>
          <w:rFonts w:ascii="Arial" w:hAnsi="Arial" w:cs="Arial"/>
        </w:rPr>
        <w:t>Siregar</w:t>
      </w:r>
      <w:proofErr w:type="spellEnd"/>
      <w:r w:rsidRPr="00C50848">
        <w:rPr>
          <w:rFonts w:ascii="Arial" w:hAnsi="Arial" w:cs="Arial"/>
        </w:rPr>
        <w:t xml:space="preserve"> et al., 2025;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Hasyim &amp; </w:t>
      </w:r>
      <w:proofErr w:type="spellStart"/>
      <w:r w:rsidRPr="00C50848">
        <w:rPr>
          <w:rFonts w:ascii="Arial" w:hAnsi="Arial" w:cs="Arial"/>
        </w:rPr>
        <w:t>Sukardi</w:t>
      </w:r>
      <w:proofErr w:type="spellEnd"/>
      <w:r w:rsidRPr="00C50848">
        <w:rPr>
          <w:rFonts w:ascii="Arial" w:hAnsi="Arial" w:cs="Arial"/>
        </w:rPr>
        <w:t xml:space="preserve">, 2025). Distribution delays further hinder the movement of products, diminishing demand satisfaction and overall company performance (Abdul-Talib &amp; Adnan, 2017; Ali, 2021). Consequently, Total Asset Turnover (TATO) experiences a sharp decline, as production capacity fails to align with stagnant sales (Hartono &amp; </w:t>
      </w:r>
      <w:proofErr w:type="spellStart"/>
      <w:r w:rsidRPr="00C50848">
        <w:rPr>
          <w:rFonts w:ascii="Arial" w:hAnsi="Arial" w:cs="Arial"/>
        </w:rPr>
        <w:t>Harsono</w:t>
      </w:r>
      <w:proofErr w:type="spellEnd"/>
      <w:r w:rsidRPr="00C50848">
        <w:rPr>
          <w:rFonts w:ascii="Arial" w:hAnsi="Arial" w:cs="Arial"/>
        </w:rPr>
        <w:t xml:space="preserve">, 2025; </w:t>
      </w:r>
      <w:proofErr w:type="spellStart"/>
      <w:r w:rsidRPr="00C50848">
        <w:rPr>
          <w:rFonts w:ascii="Arial" w:hAnsi="Arial" w:cs="Arial"/>
        </w:rPr>
        <w:t>Saputra</w:t>
      </w:r>
      <w:proofErr w:type="spellEnd"/>
      <w:r w:rsidRPr="00C50848">
        <w:rPr>
          <w:rFonts w:ascii="Arial" w:hAnsi="Arial" w:cs="Arial"/>
        </w:rPr>
        <w:t xml:space="preserve"> et al., 2023). In contrast, firms that offer substitutes benefit from shifts in consumption, leading to rapid sales increases and optimal asset utilization, which significantly enhances TATO (Ali et al., 2025; Anisa et al., 2025; Luong et al., 2025; </w:t>
      </w:r>
      <w:proofErr w:type="spellStart"/>
      <w:r w:rsidRPr="00C50848">
        <w:rPr>
          <w:rFonts w:ascii="Arial" w:hAnsi="Arial" w:cs="Arial"/>
        </w:rPr>
        <w:t>Siregar</w:t>
      </w:r>
      <w:proofErr w:type="spellEnd"/>
      <w:r w:rsidRPr="00C50848">
        <w:rPr>
          <w:rFonts w:ascii="Arial" w:hAnsi="Arial" w:cs="Arial"/>
        </w:rPr>
        <w:t xml:space="preserve"> et al., 2025).</w:t>
      </w:r>
    </w:p>
    <w:p w14:paraId="2B6AB06A" w14:textId="0E3F3706" w:rsidR="007E0621" w:rsidRDefault="007E0621" w:rsidP="00776CC3">
      <w:pPr>
        <w:pStyle w:val="Body"/>
        <w:rPr>
          <w:rFonts w:ascii="Arial" w:hAnsi="Arial" w:cs="Arial"/>
          <w:b/>
          <w:bCs/>
        </w:rPr>
      </w:pPr>
      <w:r>
        <w:rPr>
          <w:rFonts w:ascii="Arial" w:hAnsi="Arial" w:cs="Arial"/>
          <w:b/>
          <w:bCs/>
        </w:rPr>
        <w:t xml:space="preserve">2.4 </w:t>
      </w:r>
      <w:r w:rsidRPr="007E0621">
        <w:rPr>
          <w:rFonts w:ascii="Arial" w:hAnsi="Arial" w:cs="Arial"/>
          <w:b/>
          <w:bCs/>
        </w:rPr>
        <w:t>Liquidity Resilience Dynamics</w:t>
      </w:r>
    </w:p>
    <w:p w14:paraId="4D67444C" w14:textId="5A93A5DE" w:rsidR="00C50848" w:rsidRPr="00C50848" w:rsidRDefault="00C50848" w:rsidP="00776CC3">
      <w:pPr>
        <w:pStyle w:val="Body"/>
        <w:rPr>
          <w:rFonts w:ascii="Arial" w:hAnsi="Arial" w:cs="Arial"/>
        </w:rPr>
      </w:pPr>
      <w:r w:rsidRPr="00C50848">
        <w:rPr>
          <w:rFonts w:ascii="Arial" w:hAnsi="Arial" w:cs="Arial"/>
        </w:rPr>
        <w:t>A decrease in asset turnover directly impacts cash inflows for companies facing boycotts, leading to significant liquidity challenges. Associated firms encounter an abrupt stop in retail sales while continuing to incur fixed operational expenses, resulting in persistent cash flow deficits (</w:t>
      </w:r>
      <w:proofErr w:type="spellStart"/>
      <w:r w:rsidRPr="00C50848">
        <w:rPr>
          <w:rFonts w:ascii="Arial" w:hAnsi="Arial" w:cs="Arial"/>
        </w:rPr>
        <w:t>Ayuntari</w:t>
      </w:r>
      <w:proofErr w:type="spellEnd"/>
      <w:r w:rsidRPr="00C50848">
        <w:rPr>
          <w:rFonts w:ascii="Arial" w:hAnsi="Arial" w:cs="Arial"/>
        </w:rPr>
        <w:t xml:space="preserve"> &amp; Putri, 2026; </w:t>
      </w:r>
      <w:proofErr w:type="spellStart"/>
      <w:r w:rsidRPr="00C50848">
        <w:rPr>
          <w:rFonts w:ascii="Arial" w:hAnsi="Arial" w:cs="Arial"/>
        </w:rPr>
        <w:t>Rajagukguk</w:t>
      </w:r>
      <w:proofErr w:type="spellEnd"/>
      <w:r w:rsidRPr="00C50848">
        <w:rPr>
          <w:rFonts w:ascii="Arial" w:hAnsi="Arial" w:cs="Arial"/>
        </w:rPr>
        <w:t xml:space="preserve">, 2024; Caldara &amp; </w:t>
      </w:r>
      <w:proofErr w:type="spellStart"/>
      <w:r w:rsidRPr="00C50848">
        <w:rPr>
          <w:rFonts w:ascii="Arial" w:hAnsi="Arial" w:cs="Arial"/>
        </w:rPr>
        <w:t>Iacoviello</w:t>
      </w:r>
      <w:proofErr w:type="spellEnd"/>
      <w:r w:rsidRPr="00C50848">
        <w:rPr>
          <w:rFonts w:ascii="Arial" w:hAnsi="Arial" w:cs="Arial"/>
        </w:rPr>
        <w:t xml:space="preserve">, 2022; </w:t>
      </w:r>
      <w:proofErr w:type="spellStart"/>
      <w:r w:rsidRPr="00C50848">
        <w:rPr>
          <w:rFonts w:ascii="Arial" w:hAnsi="Arial" w:cs="Arial"/>
        </w:rPr>
        <w:t>Fiorillo</w:t>
      </w:r>
      <w:proofErr w:type="spellEnd"/>
      <w:r w:rsidRPr="00C50848">
        <w:rPr>
          <w:rFonts w:ascii="Arial" w:hAnsi="Arial" w:cs="Arial"/>
        </w:rPr>
        <w:t xml:space="preserve"> et al., 2023). This disparity compels businesses to tap into their internal cash reserves, severely undermining their liquidity positions, as indicated by declining Cash Ratios (Hartono &amp; </w:t>
      </w:r>
      <w:proofErr w:type="spellStart"/>
      <w:r w:rsidRPr="00C50848">
        <w:rPr>
          <w:rFonts w:ascii="Arial" w:hAnsi="Arial" w:cs="Arial"/>
        </w:rPr>
        <w:t>Harsono</w:t>
      </w:r>
      <w:proofErr w:type="spellEnd"/>
      <w:r w:rsidRPr="00C50848">
        <w:rPr>
          <w:rFonts w:ascii="Arial" w:hAnsi="Arial" w:cs="Arial"/>
        </w:rPr>
        <w:t xml:space="preserve">, 2025; Hasyim &amp; </w:t>
      </w:r>
      <w:proofErr w:type="spellStart"/>
      <w:r w:rsidRPr="00C50848">
        <w:rPr>
          <w:rFonts w:ascii="Arial" w:hAnsi="Arial" w:cs="Arial"/>
        </w:rPr>
        <w:t>Sukardi</w:t>
      </w:r>
      <w:proofErr w:type="spellEnd"/>
      <w:r w:rsidRPr="00C50848">
        <w:rPr>
          <w:rFonts w:ascii="Arial" w:hAnsi="Arial" w:cs="Arial"/>
        </w:rPr>
        <w:t xml:space="preserve">, 2025;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w:t>
      </w:r>
      <w:proofErr w:type="spellStart"/>
      <w:r w:rsidRPr="00C50848">
        <w:rPr>
          <w:rFonts w:ascii="Arial" w:hAnsi="Arial" w:cs="Arial"/>
        </w:rPr>
        <w:t>Saputra</w:t>
      </w:r>
      <w:proofErr w:type="spellEnd"/>
      <w:r w:rsidRPr="00C50848">
        <w:rPr>
          <w:rFonts w:ascii="Arial" w:hAnsi="Arial" w:cs="Arial"/>
        </w:rPr>
        <w:t xml:space="preserve"> et al., 2023). In contrast, substitution firms see an increase in cash inflows driven by heightened demand, thereby bolstering liquidity without the need for extra marketing expenses (</w:t>
      </w:r>
      <w:proofErr w:type="spellStart"/>
      <w:r w:rsidRPr="00C50848">
        <w:rPr>
          <w:rFonts w:ascii="Arial" w:hAnsi="Arial" w:cs="Arial"/>
        </w:rPr>
        <w:t>Fadzilah</w:t>
      </w:r>
      <w:proofErr w:type="spellEnd"/>
      <w:r w:rsidRPr="00C50848">
        <w:rPr>
          <w:rFonts w:ascii="Arial" w:hAnsi="Arial" w:cs="Arial"/>
        </w:rPr>
        <w:t xml:space="preserve"> et al., 2024; </w:t>
      </w:r>
      <w:proofErr w:type="spellStart"/>
      <w:r w:rsidRPr="00C50848">
        <w:rPr>
          <w:rFonts w:ascii="Arial" w:hAnsi="Arial" w:cs="Arial"/>
        </w:rPr>
        <w:t>Siregar</w:t>
      </w:r>
      <w:proofErr w:type="spellEnd"/>
      <w:r w:rsidRPr="00C50848">
        <w:rPr>
          <w:rFonts w:ascii="Arial" w:hAnsi="Arial" w:cs="Arial"/>
        </w:rPr>
        <w:t xml:space="preserve"> et al., 2025). This cash accumulation improves financial flexibility and significantly enhances the Cash Ratio (Ali et al., 2025; </w:t>
      </w:r>
      <w:proofErr w:type="spellStart"/>
      <w:r w:rsidRPr="00C50848">
        <w:rPr>
          <w:rFonts w:ascii="Arial" w:hAnsi="Arial" w:cs="Arial"/>
        </w:rPr>
        <w:t>Alqatan</w:t>
      </w:r>
      <w:proofErr w:type="spellEnd"/>
      <w:r w:rsidRPr="00C50848">
        <w:rPr>
          <w:rFonts w:ascii="Arial" w:hAnsi="Arial" w:cs="Arial"/>
        </w:rPr>
        <w:t>, 2025; Anisa et al., 2025; Luong et al., 2025).</w:t>
      </w:r>
    </w:p>
    <w:p w14:paraId="3172E24A" w14:textId="2A6AC6DC" w:rsidR="007E0621" w:rsidRDefault="007E0621" w:rsidP="00776CC3">
      <w:pPr>
        <w:pStyle w:val="Body"/>
        <w:rPr>
          <w:rFonts w:ascii="Arial" w:hAnsi="Arial" w:cs="Arial"/>
          <w:b/>
          <w:bCs/>
        </w:rPr>
      </w:pPr>
      <w:r>
        <w:rPr>
          <w:rFonts w:ascii="Arial" w:hAnsi="Arial" w:cs="Arial"/>
          <w:b/>
          <w:bCs/>
        </w:rPr>
        <w:t xml:space="preserve">2.5 </w:t>
      </w:r>
      <w:r w:rsidRPr="007E0621">
        <w:rPr>
          <w:rFonts w:ascii="Arial" w:hAnsi="Arial" w:cs="Arial"/>
          <w:b/>
          <w:bCs/>
        </w:rPr>
        <w:t>Forced Restructuring and Solvency Burden</w:t>
      </w:r>
    </w:p>
    <w:p w14:paraId="41F7F1BD" w14:textId="05ACF09F" w:rsidR="00C50848" w:rsidRPr="00C50848" w:rsidRDefault="00C50848" w:rsidP="00776CC3">
      <w:pPr>
        <w:pStyle w:val="Body"/>
        <w:rPr>
          <w:rFonts w:ascii="Arial" w:hAnsi="Arial" w:cs="Arial"/>
        </w:rPr>
      </w:pPr>
      <w:r w:rsidRPr="00C50848">
        <w:rPr>
          <w:rFonts w:ascii="Arial" w:hAnsi="Arial" w:cs="Arial"/>
        </w:rPr>
        <w:t xml:space="preserve">Extended periods of cash flow shortages compel affiliated companies to turn to external financing, resulting in a decline in their capital structure. As their internal resources wane, </w:t>
      </w:r>
      <w:r w:rsidRPr="00C50848">
        <w:rPr>
          <w:rFonts w:ascii="Arial" w:hAnsi="Arial" w:cs="Arial"/>
        </w:rPr>
        <w:lastRenderedPageBreak/>
        <w:t xml:space="preserve">companies grow more reliant on short-term loans or debt instruments to maintain operations, increasing their financial risk (Hartono &amp; </w:t>
      </w:r>
      <w:proofErr w:type="spellStart"/>
      <w:r w:rsidRPr="00C50848">
        <w:rPr>
          <w:rFonts w:ascii="Arial" w:hAnsi="Arial" w:cs="Arial"/>
        </w:rPr>
        <w:t>Harsono</w:t>
      </w:r>
      <w:proofErr w:type="spellEnd"/>
      <w:r w:rsidRPr="00C50848">
        <w:rPr>
          <w:rFonts w:ascii="Arial" w:hAnsi="Arial" w:cs="Arial"/>
        </w:rPr>
        <w:t xml:space="preserve">, 2025; Hasyim &amp; </w:t>
      </w:r>
      <w:proofErr w:type="spellStart"/>
      <w:r w:rsidRPr="00C50848">
        <w:rPr>
          <w:rFonts w:ascii="Arial" w:hAnsi="Arial" w:cs="Arial"/>
        </w:rPr>
        <w:t>Sukardi</w:t>
      </w:r>
      <w:proofErr w:type="spellEnd"/>
      <w:r w:rsidRPr="00C50848">
        <w:rPr>
          <w:rFonts w:ascii="Arial" w:hAnsi="Arial" w:cs="Arial"/>
        </w:rPr>
        <w:t xml:space="preserve">, 2025; </w:t>
      </w:r>
      <w:proofErr w:type="spellStart"/>
      <w:r w:rsidRPr="00C50848">
        <w:rPr>
          <w:rFonts w:ascii="Arial" w:hAnsi="Arial" w:cs="Arial"/>
        </w:rPr>
        <w:t>Fiorillo</w:t>
      </w:r>
      <w:proofErr w:type="spellEnd"/>
      <w:r w:rsidRPr="00C50848">
        <w:rPr>
          <w:rFonts w:ascii="Arial" w:hAnsi="Arial" w:cs="Arial"/>
        </w:rPr>
        <w:t xml:space="preserve"> et al., 2023; </w:t>
      </w:r>
      <w:proofErr w:type="spellStart"/>
      <w:r w:rsidRPr="00C50848">
        <w:rPr>
          <w:rFonts w:ascii="Arial" w:hAnsi="Arial" w:cs="Arial"/>
        </w:rPr>
        <w:t>Saputra</w:t>
      </w:r>
      <w:proofErr w:type="spellEnd"/>
      <w:r w:rsidRPr="00C50848">
        <w:rPr>
          <w:rFonts w:ascii="Arial" w:hAnsi="Arial" w:cs="Arial"/>
        </w:rPr>
        <w:t xml:space="preserve"> et al., 2023). This urgent funding raises interest obligations and significantly lifts the Debt to Equity Ratio (DER), indicating worsening solvency conditions (</w:t>
      </w:r>
      <w:proofErr w:type="spellStart"/>
      <w:r w:rsidRPr="00C50848">
        <w:rPr>
          <w:rFonts w:ascii="Arial" w:hAnsi="Arial" w:cs="Arial"/>
        </w:rPr>
        <w:t>Ayuntari</w:t>
      </w:r>
      <w:proofErr w:type="spellEnd"/>
      <w:r w:rsidRPr="00C50848">
        <w:rPr>
          <w:rFonts w:ascii="Arial" w:hAnsi="Arial" w:cs="Arial"/>
        </w:rPr>
        <w:t xml:space="preserve"> &amp; Putri, 2026; </w:t>
      </w:r>
      <w:proofErr w:type="spellStart"/>
      <w:r w:rsidRPr="00C50848">
        <w:rPr>
          <w:rFonts w:ascii="Arial" w:hAnsi="Arial" w:cs="Arial"/>
        </w:rPr>
        <w:t>Rajagukguk</w:t>
      </w:r>
      <w:proofErr w:type="spellEnd"/>
      <w:r w:rsidRPr="00C50848">
        <w:rPr>
          <w:rFonts w:ascii="Arial" w:hAnsi="Arial" w:cs="Arial"/>
        </w:rPr>
        <w:t xml:space="preserve">, 2024;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w:t>
      </w:r>
      <w:proofErr w:type="spellStart"/>
      <w:r w:rsidRPr="00C50848">
        <w:rPr>
          <w:rFonts w:ascii="Arial" w:hAnsi="Arial" w:cs="Arial"/>
        </w:rPr>
        <w:t>Siregar</w:t>
      </w:r>
      <w:proofErr w:type="spellEnd"/>
      <w:r w:rsidRPr="00C50848">
        <w:rPr>
          <w:rFonts w:ascii="Arial" w:hAnsi="Arial" w:cs="Arial"/>
        </w:rPr>
        <w:t xml:space="preserve"> et al., 2025). Conversely, substitution firms experience profit increases, enabling them to build up retained earnings and enhance their equity positions (Anisa et al., 2025; </w:t>
      </w:r>
      <w:proofErr w:type="spellStart"/>
      <w:r w:rsidRPr="00C50848">
        <w:rPr>
          <w:rFonts w:ascii="Arial" w:hAnsi="Arial" w:cs="Arial"/>
        </w:rPr>
        <w:t>Ayuntari</w:t>
      </w:r>
      <w:proofErr w:type="spellEnd"/>
      <w:r w:rsidRPr="00C50848">
        <w:rPr>
          <w:rFonts w:ascii="Arial" w:hAnsi="Arial" w:cs="Arial"/>
        </w:rPr>
        <w:t xml:space="preserve"> &amp; Putri, 2026). This bolstered financial capacity allows for debt reduction, which in turn decreases the DER and improves financial stability (Luong et al., 2025; </w:t>
      </w:r>
      <w:proofErr w:type="spellStart"/>
      <w:r w:rsidRPr="00C50848">
        <w:rPr>
          <w:rFonts w:ascii="Arial" w:hAnsi="Arial" w:cs="Arial"/>
        </w:rPr>
        <w:t>Rajagukguk</w:t>
      </w:r>
      <w:proofErr w:type="spellEnd"/>
      <w:r w:rsidRPr="00C50848">
        <w:rPr>
          <w:rFonts w:ascii="Arial" w:hAnsi="Arial" w:cs="Arial"/>
        </w:rPr>
        <w:t xml:space="preserve">, 2024; </w:t>
      </w:r>
      <w:proofErr w:type="spellStart"/>
      <w:r w:rsidRPr="00C50848">
        <w:rPr>
          <w:rFonts w:ascii="Arial" w:hAnsi="Arial" w:cs="Arial"/>
        </w:rPr>
        <w:t>Fiorillo</w:t>
      </w:r>
      <w:proofErr w:type="spellEnd"/>
      <w:r w:rsidRPr="00C50848">
        <w:rPr>
          <w:rFonts w:ascii="Arial" w:hAnsi="Arial" w:cs="Arial"/>
        </w:rPr>
        <w:t xml:space="preserve"> et al., 2023; Gong et al., 2024).</w:t>
      </w:r>
    </w:p>
    <w:p w14:paraId="688EF566" w14:textId="1D46459D" w:rsidR="007E0621" w:rsidRDefault="007E0621" w:rsidP="00776CC3">
      <w:pPr>
        <w:pStyle w:val="Body"/>
        <w:rPr>
          <w:rFonts w:ascii="Arial" w:hAnsi="Arial" w:cs="Arial"/>
          <w:b/>
          <w:bCs/>
        </w:rPr>
      </w:pPr>
      <w:r>
        <w:rPr>
          <w:rFonts w:ascii="Arial" w:hAnsi="Arial" w:cs="Arial"/>
          <w:b/>
          <w:bCs/>
        </w:rPr>
        <w:t xml:space="preserve">2.6 </w:t>
      </w:r>
      <w:r w:rsidRPr="007E0621">
        <w:rPr>
          <w:rFonts w:ascii="Arial" w:hAnsi="Arial" w:cs="Arial"/>
          <w:b/>
          <w:bCs/>
        </w:rPr>
        <w:t>Capital Market Response and Valuation Deconstruction</w:t>
      </w:r>
    </w:p>
    <w:p w14:paraId="537A5DDC" w14:textId="6B7D4166" w:rsidR="00C50848" w:rsidRDefault="00C50848" w:rsidP="00776CC3">
      <w:pPr>
        <w:pStyle w:val="Body"/>
        <w:rPr>
          <w:rFonts w:ascii="Arial" w:hAnsi="Arial" w:cs="Arial"/>
        </w:rPr>
      </w:pPr>
      <w:r w:rsidRPr="00C50848">
        <w:rPr>
          <w:rFonts w:ascii="Arial" w:hAnsi="Arial" w:cs="Arial"/>
        </w:rPr>
        <w:t>Responses in capital markets demonstrate the interplay between worsening economic fundamentals and negative public perceptions. Investors on the Indonesia Stock Exchange are highly responsive to geopolitical and ESG-related concerns, often viewing ties to conflicts as a potential long-term business threat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Gong et al., 2024; Rahman &amp; Li, 2024; </w:t>
      </w:r>
      <w:proofErr w:type="spellStart"/>
      <w:r w:rsidRPr="00C50848">
        <w:rPr>
          <w:rFonts w:ascii="Arial" w:hAnsi="Arial" w:cs="Arial"/>
        </w:rPr>
        <w:t>Yilmazk</w:t>
      </w:r>
      <w:proofErr w:type="spellEnd"/>
      <w:r w:rsidRPr="00C50848">
        <w:rPr>
          <w:rFonts w:ascii="Arial" w:hAnsi="Arial" w:cs="Arial"/>
        </w:rPr>
        <w:t xml:space="preserve">, 2024). The combined impacts of falling Total Asset Turnover (TATO), diminished liquidity, and increasing Debt to Equity Ratio (DER) result in a significant drop in investor trust, leading to widespread sell-offs (Brown &amp; Warner, 1985; </w:t>
      </w:r>
      <w:proofErr w:type="spellStart"/>
      <w:r w:rsidRPr="00C50848">
        <w:rPr>
          <w:rFonts w:ascii="Arial" w:hAnsi="Arial" w:cs="Arial"/>
        </w:rPr>
        <w:t>Sorescu</w:t>
      </w:r>
      <w:proofErr w:type="spellEnd"/>
      <w:r w:rsidRPr="00C50848">
        <w:rPr>
          <w:rFonts w:ascii="Arial" w:hAnsi="Arial" w:cs="Arial"/>
        </w:rPr>
        <w:t xml:space="preserve"> et al., 2017). This selling pressure pushes stock prices below their intrinsic values, thereby greatly reducing the Price to Book Value (PBV) (</w:t>
      </w:r>
      <w:proofErr w:type="spellStart"/>
      <w:r w:rsidRPr="00C50848">
        <w:rPr>
          <w:rFonts w:ascii="Arial" w:hAnsi="Arial" w:cs="Arial"/>
        </w:rPr>
        <w:t>Darsono</w:t>
      </w:r>
      <w:proofErr w:type="spellEnd"/>
      <w:r w:rsidRPr="00C50848">
        <w:rPr>
          <w:rFonts w:ascii="Arial" w:hAnsi="Arial" w:cs="Arial"/>
        </w:rPr>
        <w:t xml:space="preserve"> et al., 2024; </w:t>
      </w:r>
      <w:proofErr w:type="spellStart"/>
      <w:r w:rsidRPr="00C50848">
        <w:rPr>
          <w:rFonts w:ascii="Arial" w:hAnsi="Arial" w:cs="Arial"/>
        </w:rPr>
        <w:t>Siregar</w:t>
      </w:r>
      <w:proofErr w:type="spellEnd"/>
      <w:r w:rsidRPr="00C50848">
        <w:rPr>
          <w:rFonts w:ascii="Arial" w:hAnsi="Arial" w:cs="Arial"/>
        </w:rPr>
        <w:t xml:space="preserve"> et al., 2025; </w:t>
      </w:r>
      <w:proofErr w:type="spellStart"/>
      <w:r w:rsidRPr="00C50848">
        <w:rPr>
          <w:rFonts w:ascii="Arial" w:hAnsi="Arial" w:cs="Arial"/>
        </w:rPr>
        <w:t>Fama</w:t>
      </w:r>
      <w:proofErr w:type="spellEnd"/>
      <w:r w:rsidRPr="00C50848">
        <w:rPr>
          <w:rFonts w:ascii="Arial" w:hAnsi="Arial" w:cs="Arial"/>
        </w:rPr>
        <w:t>, 1970). In contrast, firms that are seen as substitutes garner strong interest from investors due to anticipated growth, resulting in stock price increases and higher PBV (Ali et al., 2025; Luong et al., 2025; Shu et al., 2026; Anisa et al., 2025).</w:t>
      </w:r>
    </w:p>
    <w:p w14:paraId="74ED50C1" w14:textId="4FE6A788" w:rsidR="003A589F" w:rsidRPr="003A589F" w:rsidRDefault="003A589F" w:rsidP="00776CC3">
      <w:pPr>
        <w:pStyle w:val="Body"/>
        <w:rPr>
          <w:rFonts w:ascii="Arial" w:hAnsi="Arial" w:cs="Arial"/>
          <w:b/>
          <w:bCs/>
          <w:color w:val="EE0000"/>
        </w:rPr>
      </w:pPr>
      <w:r w:rsidRPr="003A589F">
        <w:rPr>
          <w:rFonts w:ascii="Arial" w:hAnsi="Arial" w:cs="Arial"/>
          <w:b/>
          <w:bCs/>
          <w:color w:val="EE0000"/>
        </w:rPr>
        <w:t>2.7. Sampling Design of study</w:t>
      </w:r>
    </w:p>
    <w:p w14:paraId="150377D9" w14:textId="77777777" w:rsidR="00B70F60" w:rsidRDefault="00B70F60" w:rsidP="00FB2F17">
      <w:pPr>
        <w:pStyle w:val="Head1"/>
        <w:spacing w:after="0"/>
        <w:jc w:val="both"/>
        <w:rPr>
          <w:b w:val="0"/>
          <w:caps w:val="0"/>
          <w:sz w:val="20"/>
        </w:rPr>
      </w:pPr>
    </w:p>
    <w:p w14:paraId="45387685" w14:textId="3B9BAAAE" w:rsidR="00902823" w:rsidRDefault="00000F8F" w:rsidP="00B70F60">
      <w:pPr>
        <w:pStyle w:val="AbstHead"/>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227A209" w14:textId="77777777" w:rsidR="00790ADA" w:rsidRPr="00FB3A86" w:rsidRDefault="00790ADA" w:rsidP="00441B6F">
      <w:pPr>
        <w:pStyle w:val="Head1"/>
        <w:spacing w:after="0"/>
        <w:jc w:val="both"/>
        <w:rPr>
          <w:rFonts w:ascii="Arial" w:hAnsi="Arial" w:cs="Arial"/>
        </w:rPr>
      </w:pPr>
    </w:p>
    <w:p w14:paraId="6BD22604" w14:textId="13BF32B6" w:rsidR="00776CC3" w:rsidRPr="007C7D35" w:rsidRDefault="00776CC3" w:rsidP="00776CC3">
      <w:pPr>
        <w:pStyle w:val="Body"/>
        <w:rPr>
          <w:rFonts w:ascii="Arial" w:hAnsi="Arial" w:cs="Arial"/>
          <w:b/>
          <w:sz w:val="22"/>
        </w:rPr>
      </w:pPr>
      <w:r w:rsidRPr="007C7D35">
        <w:rPr>
          <w:rFonts w:ascii="Arial" w:hAnsi="Arial" w:cs="Arial"/>
          <w:b/>
          <w:sz w:val="22"/>
        </w:rPr>
        <w:t>3.1 Conceptual Model</w:t>
      </w:r>
    </w:p>
    <w:p w14:paraId="6B0E33B2" w14:textId="7A5B9FE5" w:rsidR="007C7D35" w:rsidRDefault="007C7D35" w:rsidP="00776CC3">
      <w:pPr>
        <w:pStyle w:val="Body"/>
        <w:rPr>
          <w:rFonts w:ascii="Arial" w:hAnsi="Arial" w:cs="Arial"/>
        </w:rPr>
      </w:pPr>
      <w:r w:rsidRPr="007C7D35">
        <w:rPr>
          <w:rFonts w:ascii="Arial" w:hAnsi="Arial" w:cs="Arial"/>
        </w:rPr>
        <w:t xml:space="preserve">Figure 1 below illustrates how </w:t>
      </w:r>
      <w:r w:rsidRPr="0091218A">
        <w:rPr>
          <w:rFonts w:ascii="Arial" w:hAnsi="Arial" w:cs="Arial"/>
          <w:i/>
          <w:iCs/>
          <w:color w:val="EE0000"/>
        </w:rPr>
        <w:t>“Geopolitical Boycott Sentiment”</w:t>
      </w:r>
      <w:r w:rsidRPr="0091218A">
        <w:rPr>
          <w:rFonts w:ascii="Arial" w:hAnsi="Arial" w:cs="Arial"/>
          <w:color w:val="EE0000"/>
        </w:rPr>
        <w:t xml:space="preserve"> </w:t>
      </w:r>
      <w:r w:rsidRPr="007C7D35">
        <w:rPr>
          <w:rFonts w:ascii="Arial" w:hAnsi="Arial" w:cs="Arial"/>
        </w:rPr>
        <w:t xml:space="preserve">serves as the primary catalyst that bifurcates market movements into two distinct pathways. The first pathway, depicted in red, underscores the detrimental effects on </w:t>
      </w:r>
      <w:r w:rsidRPr="0091218A">
        <w:rPr>
          <w:rFonts w:ascii="Arial" w:hAnsi="Arial" w:cs="Arial"/>
          <w:i/>
          <w:iCs/>
          <w:color w:val="EE0000"/>
        </w:rPr>
        <w:t>“Affiliated Firms,”</w:t>
      </w:r>
      <w:r w:rsidRPr="0091218A">
        <w:rPr>
          <w:rFonts w:ascii="Arial" w:hAnsi="Arial" w:cs="Arial"/>
          <w:color w:val="EE0000"/>
        </w:rPr>
        <w:t xml:space="preserve"> </w:t>
      </w:r>
      <w:r w:rsidRPr="007C7D35">
        <w:rPr>
          <w:rFonts w:ascii="Arial" w:hAnsi="Arial" w:cs="Arial"/>
        </w:rPr>
        <w:t xml:space="preserve">which sequentially lead to a decline in asset efficiency (TATO), a depletion of liquidity (Cash Ratio), and an increased solvency burden (DER). This chain of events ultimately results in a deterioration of market performance (PBV). Conversely, the second pathway, represented in blue, highlights the positive impact on </w:t>
      </w:r>
      <w:r w:rsidRPr="0091218A">
        <w:rPr>
          <w:rFonts w:ascii="Arial" w:hAnsi="Arial" w:cs="Arial"/>
          <w:i/>
          <w:iCs/>
          <w:color w:val="EE0000"/>
        </w:rPr>
        <w:t>“Substitution Firms.”</w:t>
      </w:r>
      <w:r w:rsidRPr="0091218A">
        <w:rPr>
          <w:rFonts w:ascii="Arial" w:hAnsi="Arial" w:cs="Arial"/>
          <w:color w:val="EE0000"/>
        </w:rPr>
        <w:t xml:space="preserve"> </w:t>
      </w:r>
      <w:r w:rsidRPr="007C7D35">
        <w:rPr>
          <w:rFonts w:ascii="Arial" w:hAnsi="Arial" w:cs="Arial"/>
        </w:rPr>
        <w:t>Here, increased consumption drives higher TATO, enhances the Cash Ratio, and eases the debt structure (resulting in a decrease in DER), collectively leading to a notable appreciation in the firm's market valuation (PBV) from the perspective of investors.</w:t>
      </w:r>
    </w:p>
    <w:p w14:paraId="7AD624FB" w14:textId="6351024A" w:rsidR="007C7D35" w:rsidRPr="006162C8" w:rsidRDefault="00D9395A" w:rsidP="00D9395A">
      <w:pPr>
        <w:pStyle w:val="Body"/>
        <w:jc w:val="center"/>
        <w:rPr>
          <w:rFonts w:ascii="Arial" w:hAnsi="Arial" w:cs="Arial"/>
          <w:color w:val="EE0000"/>
        </w:rPr>
      </w:pPr>
      <w:r>
        <w:rPr>
          <w:rFonts w:ascii="Arial" w:hAnsi="Arial" w:cs="Arial"/>
          <w:noProof/>
        </w:rPr>
        <w:lastRenderedPageBreak/>
        <w:drawing>
          <wp:inline distT="0" distB="0" distL="0" distR="0" wp14:anchorId="592AF0DF" wp14:editId="05D9C71C">
            <wp:extent cx="5212080" cy="2735580"/>
            <wp:effectExtent l="0" t="0" r="0" b="0"/>
            <wp:docPr id="986372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72715" name="Picture 9863727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735580"/>
                    </a:xfrm>
                    <a:prstGeom prst="rect">
                      <a:avLst/>
                    </a:prstGeom>
                  </pic:spPr>
                </pic:pic>
              </a:graphicData>
            </a:graphic>
          </wp:inline>
        </w:drawing>
      </w:r>
      <w:r w:rsidR="0091218A" w:rsidRPr="006162C8">
        <w:rPr>
          <w:rFonts w:ascii="Arial" w:hAnsi="Arial" w:cs="Arial"/>
          <w:color w:val="EE0000"/>
        </w:rPr>
        <w:t xml:space="preserve">Figure </w:t>
      </w:r>
      <w:proofErr w:type="gramStart"/>
      <w:r w:rsidR="0091218A" w:rsidRPr="006162C8">
        <w:rPr>
          <w:rFonts w:ascii="Arial" w:hAnsi="Arial" w:cs="Arial"/>
          <w:color w:val="EE0000"/>
        </w:rPr>
        <w:t>1 :</w:t>
      </w:r>
      <w:proofErr w:type="gramEnd"/>
      <w:r w:rsidR="006162C8" w:rsidRPr="006162C8">
        <w:rPr>
          <w:rFonts w:ascii="Arial" w:hAnsi="Arial" w:cs="Arial"/>
          <w:i/>
          <w:iCs/>
          <w:color w:val="EE0000"/>
        </w:rPr>
        <w:t xml:space="preserve"> </w:t>
      </w:r>
      <w:r w:rsidR="006162C8" w:rsidRPr="0091218A">
        <w:rPr>
          <w:rFonts w:ascii="Arial" w:hAnsi="Arial" w:cs="Arial"/>
          <w:i/>
          <w:iCs/>
          <w:color w:val="EE0000"/>
        </w:rPr>
        <w:t>Geopolitical Boycott Sentiment</w:t>
      </w:r>
    </w:p>
    <w:p w14:paraId="5E98E7F4" w14:textId="333F2420" w:rsidR="0091218A" w:rsidRPr="006162C8" w:rsidRDefault="0091218A" w:rsidP="0091218A">
      <w:pPr>
        <w:pStyle w:val="Body"/>
        <w:jc w:val="left"/>
        <w:rPr>
          <w:rFonts w:ascii="Arial" w:hAnsi="Arial" w:cs="Arial"/>
          <w:color w:val="EE0000"/>
        </w:rPr>
      </w:pPr>
      <w:r w:rsidRPr="006162C8">
        <w:rPr>
          <w:rFonts w:ascii="Arial" w:hAnsi="Arial" w:cs="Arial"/>
          <w:color w:val="EE0000"/>
        </w:rPr>
        <w:t>Source:</w:t>
      </w:r>
    </w:p>
    <w:p w14:paraId="52EAA9F6" w14:textId="557BCB3E" w:rsidR="0091218A" w:rsidRPr="006162C8" w:rsidRDefault="00E719D0" w:rsidP="00E719D0">
      <w:pPr>
        <w:pStyle w:val="Body"/>
        <w:rPr>
          <w:rFonts w:ascii="Arial" w:hAnsi="Arial" w:cs="Arial"/>
          <w:color w:val="EE0000"/>
        </w:rPr>
      </w:pPr>
      <w:r>
        <w:rPr>
          <w:rFonts w:ascii="Arial" w:hAnsi="Arial" w:cs="Arial"/>
          <w:color w:val="EE0000"/>
        </w:rPr>
        <w:t xml:space="preserve">Any research finding in this study of other </w:t>
      </w:r>
      <w:proofErr w:type="spellStart"/>
      <w:r>
        <w:rPr>
          <w:rFonts w:ascii="Arial" w:hAnsi="Arial" w:cs="Arial"/>
          <w:color w:val="EE0000"/>
        </w:rPr>
        <w:t>reseachers</w:t>
      </w:r>
      <w:proofErr w:type="spellEnd"/>
      <w:r>
        <w:rPr>
          <w:rFonts w:ascii="Arial" w:hAnsi="Arial" w:cs="Arial"/>
          <w:color w:val="EE0000"/>
        </w:rPr>
        <w:t xml:space="preserve">/scholars to support the discussion or evidences on this paper…. </w:t>
      </w:r>
    </w:p>
    <w:p w14:paraId="4229A640" w14:textId="6E48B053" w:rsidR="00776CC3" w:rsidRDefault="00776CC3" w:rsidP="00776CC3">
      <w:pPr>
        <w:pStyle w:val="Body"/>
        <w:rPr>
          <w:rFonts w:ascii="Arial" w:hAnsi="Arial" w:cs="Arial"/>
          <w:b/>
          <w:sz w:val="22"/>
        </w:rPr>
      </w:pPr>
      <w:r w:rsidRPr="007C7D35">
        <w:rPr>
          <w:rFonts w:ascii="Arial" w:hAnsi="Arial" w:cs="Arial"/>
          <w:b/>
          <w:sz w:val="22"/>
        </w:rPr>
        <w:t>3.2 Managerial Implications</w:t>
      </w:r>
    </w:p>
    <w:p w14:paraId="0A751CD4" w14:textId="77777777" w:rsidR="00060834" w:rsidRDefault="00D9395A" w:rsidP="00D9395A">
      <w:pPr>
        <w:pStyle w:val="Body"/>
        <w:rPr>
          <w:rFonts w:ascii="Arial" w:hAnsi="Arial" w:cs="Arial"/>
          <w:bCs/>
        </w:rPr>
      </w:pPr>
      <w:r w:rsidRPr="00CB510E">
        <w:rPr>
          <w:rFonts w:ascii="Arial" w:hAnsi="Arial" w:cs="Arial"/>
          <w:bCs/>
        </w:rPr>
        <w:t xml:space="preserve">Management at firms listed on the Indonesia Stock Exchange (IDX) must thoroughly address the reputational crisis by combining financial restructuring with strategic public communication. </w:t>
      </w:r>
    </w:p>
    <w:p w14:paraId="42A7601B" w14:textId="72D23A0B" w:rsidR="00D9395A" w:rsidRPr="005D22DF" w:rsidRDefault="00D9395A" w:rsidP="00D9395A">
      <w:pPr>
        <w:pStyle w:val="Body"/>
        <w:rPr>
          <w:rFonts w:ascii="Arial" w:hAnsi="Arial" w:cs="Arial"/>
          <w:bCs/>
          <w:color w:val="EE0000"/>
        </w:rPr>
      </w:pPr>
      <w:r w:rsidRPr="00060834">
        <w:rPr>
          <w:rFonts w:ascii="Arial" w:hAnsi="Arial" w:cs="Arial"/>
          <w:bCs/>
          <w:color w:val="EE0000"/>
        </w:rPr>
        <w:t>Firstly</w:t>
      </w:r>
      <w:r w:rsidRPr="00CB510E">
        <w:rPr>
          <w:rFonts w:ascii="Arial" w:hAnsi="Arial" w:cs="Arial"/>
          <w:bCs/>
        </w:rPr>
        <w:t>, companies should carry out stress testing on the Cash Ratio to confirm the availability of operational funds amidst the risk of decreasing cash inflows, while also enhancing inventory management efficiency to sustain stable asset turnover (TATO) (</w:t>
      </w:r>
      <w:proofErr w:type="spellStart"/>
      <w:r w:rsidRPr="00CB510E">
        <w:rPr>
          <w:rFonts w:ascii="Arial" w:hAnsi="Arial" w:cs="Arial"/>
          <w:bCs/>
        </w:rPr>
        <w:t>Ayuntari</w:t>
      </w:r>
      <w:proofErr w:type="spellEnd"/>
      <w:r w:rsidRPr="00CB510E">
        <w:rPr>
          <w:rFonts w:ascii="Arial" w:hAnsi="Arial" w:cs="Arial"/>
          <w:bCs/>
        </w:rPr>
        <w:t xml:space="preserve"> &amp; Putri, 2026; </w:t>
      </w:r>
      <w:proofErr w:type="spellStart"/>
      <w:r w:rsidRPr="00CB510E">
        <w:rPr>
          <w:rFonts w:ascii="Arial" w:hAnsi="Arial" w:cs="Arial"/>
          <w:bCs/>
        </w:rPr>
        <w:t>Rajagukguk</w:t>
      </w:r>
      <w:proofErr w:type="spellEnd"/>
      <w:r w:rsidRPr="00CB510E">
        <w:rPr>
          <w:rFonts w:ascii="Arial" w:hAnsi="Arial" w:cs="Arial"/>
          <w:bCs/>
        </w:rPr>
        <w:t>, 2024). Uncontrolled inventory buildup will exacerbate fundamental deterioration; therefore, management should be prepared to temporarily lengthen production cycles (</w:t>
      </w:r>
      <w:proofErr w:type="spellStart"/>
      <w:r w:rsidRPr="00CB510E">
        <w:rPr>
          <w:rFonts w:ascii="Arial" w:hAnsi="Arial" w:cs="Arial"/>
          <w:bCs/>
        </w:rPr>
        <w:t>Avianuari</w:t>
      </w:r>
      <w:proofErr w:type="spellEnd"/>
      <w:r w:rsidRPr="00CB510E">
        <w:rPr>
          <w:rFonts w:ascii="Arial" w:hAnsi="Arial" w:cs="Arial"/>
          <w:bCs/>
        </w:rPr>
        <w:t xml:space="preserve"> &amp; </w:t>
      </w:r>
      <w:proofErr w:type="spellStart"/>
      <w:r w:rsidRPr="00CB510E">
        <w:rPr>
          <w:rFonts w:ascii="Arial" w:hAnsi="Arial" w:cs="Arial"/>
          <w:bCs/>
        </w:rPr>
        <w:t>Hendranastiti</w:t>
      </w:r>
      <w:proofErr w:type="spellEnd"/>
      <w:r w:rsidRPr="00CB510E">
        <w:rPr>
          <w:rFonts w:ascii="Arial" w:hAnsi="Arial" w:cs="Arial"/>
          <w:bCs/>
        </w:rPr>
        <w:t xml:space="preserve">, 2024; </w:t>
      </w:r>
      <w:proofErr w:type="spellStart"/>
      <w:r w:rsidRPr="00CB510E">
        <w:rPr>
          <w:rFonts w:ascii="Arial" w:hAnsi="Arial" w:cs="Arial"/>
          <w:bCs/>
        </w:rPr>
        <w:t>Darsono</w:t>
      </w:r>
      <w:proofErr w:type="spellEnd"/>
      <w:r w:rsidRPr="00CB510E">
        <w:rPr>
          <w:rFonts w:ascii="Arial" w:hAnsi="Arial" w:cs="Arial"/>
          <w:bCs/>
        </w:rPr>
        <w:t xml:space="preserve"> et al., 2024). Concurrently, management needs to swiftly implement well-considered public relations strategies to reduce reputational damage. Companies must provide clear and official explanations to counter claims of geopolitical affiliation to gradually regain consumer trust (</w:t>
      </w:r>
      <w:proofErr w:type="spellStart"/>
      <w:r w:rsidRPr="00CB510E">
        <w:rPr>
          <w:rFonts w:ascii="Arial" w:hAnsi="Arial" w:cs="Arial"/>
          <w:bCs/>
        </w:rPr>
        <w:t>Alqatan</w:t>
      </w:r>
      <w:proofErr w:type="spellEnd"/>
      <w:r w:rsidRPr="00CB510E">
        <w:rPr>
          <w:rFonts w:ascii="Arial" w:hAnsi="Arial" w:cs="Arial"/>
          <w:bCs/>
        </w:rPr>
        <w:t xml:space="preserve">, 2025; </w:t>
      </w:r>
      <w:proofErr w:type="spellStart"/>
      <w:r w:rsidRPr="00CB510E">
        <w:rPr>
          <w:rFonts w:ascii="Arial" w:hAnsi="Arial" w:cs="Arial"/>
          <w:bCs/>
        </w:rPr>
        <w:t>Fadzilah</w:t>
      </w:r>
      <w:proofErr w:type="spellEnd"/>
      <w:r w:rsidRPr="00CB510E">
        <w:rPr>
          <w:rFonts w:ascii="Arial" w:hAnsi="Arial" w:cs="Arial"/>
          <w:bCs/>
        </w:rPr>
        <w:t xml:space="preserve"> et al., 2024). Neglecting to pursue such strategic communication measures will lead to a continuous decline in public perception, undermining the firm’s intrinsic value and heightening selling pressure from investors in the stock market (Ali, 2021; King &amp; Soule, 2007).</w:t>
      </w:r>
      <w:r w:rsidR="005D22DF">
        <w:rPr>
          <w:rFonts w:ascii="Arial" w:hAnsi="Arial" w:cs="Arial"/>
          <w:bCs/>
        </w:rPr>
        <w:t xml:space="preserve"> </w:t>
      </w:r>
      <w:r w:rsidR="005D22DF">
        <w:rPr>
          <w:rFonts w:ascii="Arial" w:hAnsi="Arial" w:cs="Arial"/>
          <w:bCs/>
          <w:color w:val="EE0000"/>
        </w:rPr>
        <w:t>– any data analysis finding of study to support this statement?</w:t>
      </w:r>
    </w:p>
    <w:p w14:paraId="41A06B62" w14:textId="58FA1373" w:rsidR="00D9395A" w:rsidRPr="005D22DF" w:rsidRDefault="00D9395A" w:rsidP="00D9395A">
      <w:pPr>
        <w:pStyle w:val="Body"/>
        <w:rPr>
          <w:rFonts w:ascii="Arial" w:hAnsi="Arial" w:cs="Arial"/>
          <w:bCs/>
          <w:color w:val="EE0000"/>
        </w:rPr>
      </w:pPr>
      <w:r w:rsidRPr="00060834">
        <w:rPr>
          <w:rFonts w:ascii="Arial" w:hAnsi="Arial" w:cs="Arial"/>
          <w:bCs/>
          <w:color w:val="EE0000"/>
        </w:rPr>
        <w:t xml:space="preserve">Conversely, </w:t>
      </w:r>
      <w:r w:rsidRPr="00CB510E">
        <w:rPr>
          <w:rFonts w:ascii="Arial" w:hAnsi="Arial" w:cs="Arial"/>
          <w:bCs/>
        </w:rPr>
        <w:t>management of local substitution firms listed on the IDX must handle the unexpected rise in revenue with caution to prevent succumbing to short-term growth excitement. Even though firms may be experiencing unanticipated profits, executives must acknowledge that the geopolitical factors driving the boycott are likely to be fleeting (Ali et al., 2025; Anisa et al., 2025).</w:t>
      </w:r>
      <w:r w:rsidRPr="00060834">
        <w:rPr>
          <w:rFonts w:ascii="Arial" w:hAnsi="Arial" w:cs="Arial"/>
          <w:bCs/>
          <w:color w:val="EE0000"/>
        </w:rPr>
        <w:t xml:space="preserve"> Specifically</w:t>
      </w:r>
      <w:r w:rsidRPr="00CB510E">
        <w:rPr>
          <w:rFonts w:ascii="Arial" w:hAnsi="Arial" w:cs="Arial"/>
          <w:bCs/>
        </w:rPr>
        <w:t>, substitution firms should avoid incurring excessive debt when planning factory expansion projects or increasing production capabilities (</w:t>
      </w:r>
      <w:proofErr w:type="spellStart"/>
      <w:r w:rsidRPr="00CB510E">
        <w:rPr>
          <w:rFonts w:ascii="Arial" w:hAnsi="Arial" w:cs="Arial"/>
          <w:bCs/>
        </w:rPr>
        <w:t>Fiorillo</w:t>
      </w:r>
      <w:proofErr w:type="spellEnd"/>
      <w:r w:rsidRPr="00CB510E">
        <w:rPr>
          <w:rFonts w:ascii="Arial" w:hAnsi="Arial" w:cs="Arial"/>
          <w:bCs/>
        </w:rPr>
        <w:t xml:space="preserve"> et al., 2023; Luong et al., 2025). Management ought to refrain from hastily acquiring large loans from banks, as a resolution to the conflict and a return of consumers to multinational products could </w:t>
      </w:r>
      <w:r w:rsidRPr="00CB510E">
        <w:rPr>
          <w:rFonts w:ascii="Arial" w:hAnsi="Arial" w:cs="Arial"/>
          <w:bCs/>
        </w:rPr>
        <w:lastRenderedPageBreak/>
        <w:t xml:space="preserve">leave local firms with an unsustainably high Debt to Equity Ratio (DER) in the future (Hartono &amp; </w:t>
      </w:r>
      <w:proofErr w:type="spellStart"/>
      <w:r w:rsidRPr="00CB510E">
        <w:rPr>
          <w:rFonts w:ascii="Arial" w:hAnsi="Arial" w:cs="Arial"/>
          <w:bCs/>
        </w:rPr>
        <w:t>Harsono</w:t>
      </w:r>
      <w:proofErr w:type="spellEnd"/>
      <w:r w:rsidRPr="00CB510E">
        <w:rPr>
          <w:rFonts w:ascii="Arial" w:hAnsi="Arial" w:cs="Arial"/>
          <w:bCs/>
        </w:rPr>
        <w:t xml:space="preserve">, 2025; </w:t>
      </w:r>
      <w:proofErr w:type="spellStart"/>
      <w:r w:rsidRPr="00CB510E">
        <w:rPr>
          <w:rFonts w:ascii="Arial" w:hAnsi="Arial" w:cs="Arial"/>
          <w:bCs/>
        </w:rPr>
        <w:t>Saputra</w:t>
      </w:r>
      <w:proofErr w:type="spellEnd"/>
      <w:r w:rsidRPr="00CB510E">
        <w:rPr>
          <w:rFonts w:ascii="Arial" w:hAnsi="Arial" w:cs="Arial"/>
          <w:bCs/>
        </w:rPr>
        <w:t xml:space="preserve"> et al., 2023). Thus, funding for operational expansion should primarily rely on internal cash reserves or retained earnings to ensure long-term financial stability (Hasyim &amp; </w:t>
      </w:r>
      <w:proofErr w:type="spellStart"/>
      <w:r w:rsidRPr="00CB510E">
        <w:rPr>
          <w:rFonts w:ascii="Arial" w:hAnsi="Arial" w:cs="Arial"/>
          <w:bCs/>
        </w:rPr>
        <w:t>Sukardi</w:t>
      </w:r>
      <w:proofErr w:type="spellEnd"/>
      <w:r w:rsidRPr="00CB510E">
        <w:rPr>
          <w:rFonts w:ascii="Arial" w:hAnsi="Arial" w:cs="Arial"/>
          <w:bCs/>
        </w:rPr>
        <w:t>, 2025; Yahya et al., 2026).</w:t>
      </w:r>
      <w:r w:rsidR="005D22DF">
        <w:rPr>
          <w:rFonts w:ascii="Arial" w:hAnsi="Arial" w:cs="Arial"/>
          <w:bCs/>
        </w:rPr>
        <w:t xml:space="preserve"> -</w:t>
      </w:r>
      <w:r w:rsidR="005D22DF">
        <w:rPr>
          <w:rFonts w:ascii="Arial" w:hAnsi="Arial" w:cs="Arial"/>
          <w:bCs/>
          <w:color w:val="EE0000"/>
        </w:rPr>
        <w:t>any data analysis finding of study to support this statement?</w:t>
      </w:r>
    </w:p>
    <w:p w14:paraId="5856B423" w14:textId="660B296E" w:rsidR="00E053D0" w:rsidRDefault="00776CC3" w:rsidP="00776CC3">
      <w:pPr>
        <w:pStyle w:val="Body"/>
        <w:rPr>
          <w:rFonts w:ascii="Arial" w:hAnsi="Arial" w:cs="Arial"/>
          <w:b/>
          <w:sz w:val="22"/>
        </w:rPr>
      </w:pPr>
      <w:r w:rsidRPr="007C7D35">
        <w:rPr>
          <w:rFonts w:ascii="Arial" w:hAnsi="Arial" w:cs="Arial"/>
          <w:b/>
          <w:sz w:val="22"/>
        </w:rPr>
        <w:t>3.3 Implications for Capital Market Investors</w:t>
      </w:r>
    </w:p>
    <w:p w14:paraId="4DBB4E5F" w14:textId="7EEC470F" w:rsidR="005D22DF" w:rsidRPr="005D22DF" w:rsidRDefault="00D9395A" w:rsidP="005D22DF">
      <w:pPr>
        <w:pStyle w:val="Body"/>
        <w:rPr>
          <w:rFonts w:ascii="Arial" w:hAnsi="Arial" w:cs="Arial"/>
          <w:bCs/>
          <w:color w:val="EE0000"/>
        </w:rPr>
      </w:pPr>
      <w:r w:rsidRPr="00060834">
        <w:rPr>
          <w:rFonts w:ascii="Arial" w:hAnsi="Arial" w:cs="Arial"/>
          <w:bCs/>
        </w:rPr>
        <w:t xml:space="preserve">For capital market participants on the Indonesia Stock Exchange (IDX), this conceptual model offers a strong tactical foundation for responding to stock price fluctuations during periods of crisis. Both retail and institutional investors are strongly encouraged to incorporate geopolitical sentiment and the intensity of social boycott movements as key screening indicators in portfolio adjustment or periodic portfolio rebalancing (Gong et al., 2024; Rahman &amp; Li, 2024). By closely monitoring geopolitical risk indices, investors can identify potential shifts in capital flows from one industry sector to competing sectors within the stock market (Caldara &amp; </w:t>
      </w:r>
      <w:proofErr w:type="spellStart"/>
      <w:r w:rsidRPr="00060834">
        <w:rPr>
          <w:rFonts w:ascii="Arial" w:hAnsi="Arial" w:cs="Arial"/>
          <w:bCs/>
        </w:rPr>
        <w:t>Iacoviello</w:t>
      </w:r>
      <w:proofErr w:type="spellEnd"/>
      <w:r w:rsidRPr="00060834">
        <w:rPr>
          <w:rFonts w:ascii="Arial" w:hAnsi="Arial" w:cs="Arial"/>
          <w:bCs/>
        </w:rPr>
        <w:t xml:space="preserve">, 2022; </w:t>
      </w:r>
      <w:proofErr w:type="spellStart"/>
      <w:r w:rsidRPr="00060834">
        <w:rPr>
          <w:rFonts w:ascii="Arial" w:hAnsi="Arial" w:cs="Arial"/>
          <w:bCs/>
        </w:rPr>
        <w:t>Yilmazk</w:t>
      </w:r>
      <w:proofErr w:type="spellEnd"/>
      <w:r w:rsidRPr="00060834">
        <w:rPr>
          <w:rFonts w:ascii="Arial" w:hAnsi="Arial" w:cs="Arial"/>
          <w:bCs/>
        </w:rPr>
        <w:t>, 2024). The integration of social sentiment variables into fundamental analysis enables stock traders to anticipate declines in corporate financial performance well before firms release their official quarterly financial statements (</w:t>
      </w:r>
      <w:proofErr w:type="spellStart"/>
      <w:r w:rsidRPr="00060834">
        <w:rPr>
          <w:rFonts w:ascii="Arial" w:hAnsi="Arial" w:cs="Arial"/>
          <w:bCs/>
        </w:rPr>
        <w:t>Fama</w:t>
      </w:r>
      <w:proofErr w:type="spellEnd"/>
      <w:r w:rsidRPr="00060834">
        <w:rPr>
          <w:rFonts w:ascii="Arial" w:hAnsi="Arial" w:cs="Arial"/>
          <w:bCs/>
        </w:rPr>
        <w:t xml:space="preserve">, 1970; </w:t>
      </w:r>
      <w:proofErr w:type="spellStart"/>
      <w:r w:rsidRPr="00060834">
        <w:rPr>
          <w:rFonts w:ascii="Arial" w:hAnsi="Arial" w:cs="Arial"/>
          <w:bCs/>
        </w:rPr>
        <w:t>Sorescu</w:t>
      </w:r>
      <w:proofErr w:type="spellEnd"/>
      <w:r w:rsidRPr="00060834">
        <w:rPr>
          <w:rFonts w:ascii="Arial" w:hAnsi="Arial" w:cs="Arial"/>
          <w:bCs/>
        </w:rPr>
        <w:t xml:space="preserve"> et al., 2017). As a result, investment decisions become more structured and informed, rather than relying solely on speculative behavior.</w:t>
      </w:r>
      <w:r w:rsidR="005D22DF" w:rsidRPr="005D22DF">
        <w:rPr>
          <w:rFonts w:ascii="Arial" w:hAnsi="Arial" w:cs="Arial"/>
          <w:bCs/>
        </w:rPr>
        <w:t xml:space="preserve"> </w:t>
      </w:r>
      <w:r w:rsidR="005D22DF">
        <w:rPr>
          <w:rFonts w:ascii="Arial" w:hAnsi="Arial" w:cs="Arial"/>
          <w:bCs/>
        </w:rPr>
        <w:t>-</w:t>
      </w:r>
      <w:r w:rsidR="005D22DF">
        <w:rPr>
          <w:rFonts w:ascii="Arial" w:hAnsi="Arial" w:cs="Arial"/>
          <w:bCs/>
          <w:color w:val="EE0000"/>
        </w:rPr>
        <w:t>any data analysis finding of study to support this statement?</w:t>
      </w:r>
    </w:p>
    <w:p w14:paraId="496EFDB0" w14:textId="28EA65A7" w:rsidR="005D22DF" w:rsidRPr="005D22DF" w:rsidRDefault="00D9395A" w:rsidP="005D22DF">
      <w:pPr>
        <w:pStyle w:val="Body"/>
        <w:rPr>
          <w:rFonts w:ascii="Arial" w:hAnsi="Arial" w:cs="Arial"/>
          <w:bCs/>
          <w:color w:val="EE0000"/>
        </w:rPr>
      </w:pPr>
      <w:r w:rsidRPr="00060834">
        <w:rPr>
          <w:rFonts w:ascii="Arial" w:hAnsi="Arial" w:cs="Arial"/>
          <w:bCs/>
        </w:rPr>
        <w:t>The practical implementation of this analytical framework requires investors to exercise strict discipline in determining the timing of profit-taking (take profit) and loss limitation (cut loss). When the stock prices of local substitution firms increase excessively beyond their book value, investors are strongly advised to execute partial profit-taking strategies to secure gains before the boycott sentiment gradually subsides (Shu et al., 2026). Conversely, if the stocks of affiliated multinational firms begin to show signs of declining trends due to massive consumer rejection, investors must be willing to take decisive cut-loss actions or shift to a wait-and-see position (</w:t>
      </w:r>
      <w:proofErr w:type="spellStart"/>
      <w:r w:rsidRPr="00060834">
        <w:rPr>
          <w:rFonts w:ascii="Arial" w:hAnsi="Arial" w:cs="Arial"/>
          <w:bCs/>
        </w:rPr>
        <w:t>Avianuari</w:t>
      </w:r>
      <w:proofErr w:type="spellEnd"/>
      <w:r w:rsidRPr="00060834">
        <w:rPr>
          <w:rFonts w:ascii="Arial" w:hAnsi="Arial" w:cs="Arial"/>
          <w:bCs/>
        </w:rPr>
        <w:t xml:space="preserve"> &amp; </w:t>
      </w:r>
      <w:proofErr w:type="spellStart"/>
      <w:r w:rsidRPr="00060834">
        <w:rPr>
          <w:rFonts w:ascii="Arial" w:hAnsi="Arial" w:cs="Arial"/>
          <w:bCs/>
        </w:rPr>
        <w:t>Hendranastiti</w:t>
      </w:r>
      <w:proofErr w:type="spellEnd"/>
      <w:r w:rsidRPr="00060834">
        <w:rPr>
          <w:rFonts w:ascii="Arial" w:hAnsi="Arial" w:cs="Arial"/>
          <w:bCs/>
        </w:rPr>
        <w:t>, 2024; Brown &amp; Warner, 1985). This structured asset reallocation strategy aims to preserve investment capital and prevent significant losses resulting from declining liquidity ratios and potential financial distress among these global corporations (</w:t>
      </w:r>
      <w:proofErr w:type="spellStart"/>
      <w:r w:rsidRPr="00060834">
        <w:rPr>
          <w:rFonts w:ascii="Arial" w:hAnsi="Arial" w:cs="Arial"/>
          <w:bCs/>
        </w:rPr>
        <w:t>Darsono</w:t>
      </w:r>
      <w:proofErr w:type="spellEnd"/>
      <w:r w:rsidRPr="00060834">
        <w:rPr>
          <w:rFonts w:ascii="Arial" w:hAnsi="Arial" w:cs="Arial"/>
          <w:bCs/>
        </w:rPr>
        <w:t xml:space="preserve"> et al., 2024; </w:t>
      </w:r>
      <w:proofErr w:type="spellStart"/>
      <w:r w:rsidRPr="00060834">
        <w:rPr>
          <w:rFonts w:ascii="Arial" w:hAnsi="Arial" w:cs="Arial"/>
          <w:bCs/>
        </w:rPr>
        <w:t>Siregar</w:t>
      </w:r>
      <w:proofErr w:type="spellEnd"/>
      <w:r w:rsidRPr="00060834">
        <w:rPr>
          <w:rFonts w:ascii="Arial" w:hAnsi="Arial" w:cs="Arial"/>
          <w:bCs/>
        </w:rPr>
        <w:t xml:space="preserve"> et al., 2025).</w:t>
      </w:r>
      <w:r w:rsidR="005D22DF" w:rsidRPr="005D22DF">
        <w:rPr>
          <w:rFonts w:ascii="Arial" w:hAnsi="Arial" w:cs="Arial"/>
          <w:bCs/>
        </w:rPr>
        <w:t xml:space="preserve"> </w:t>
      </w:r>
      <w:r w:rsidR="005D22DF">
        <w:rPr>
          <w:rFonts w:ascii="Arial" w:hAnsi="Arial" w:cs="Arial"/>
          <w:bCs/>
        </w:rPr>
        <w:t>-</w:t>
      </w:r>
      <w:r w:rsidR="005D22DF">
        <w:rPr>
          <w:rFonts w:ascii="Arial" w:hAnsi="Arial" w:cs="Arial"/>
          <w:bCs/>
          <w:color w:val="EE0000"/>
        </w:rPr>
        <w:t>any data analysis finding of study to support this statement?</w:t>
      </w:r>
    </w:p>
    <w:p w14:paraId="619247D4" w14:textId="420730DD" w:rsidR="00D9395A" w:rsidRPr="00060834" w:rsidRDefault="00D9395A" w:rsidP="00D9395A">
      <w:pPr>
        <w:pStyle w:val="Body"/>
        <w:rPr>
          <w:rFonts w:ascii="Arial" w:hAnsi="Arial" w:cs="Arial"/>
          <w:bCs/>
        </w:rPr>
      </w:pPr>
    </w:p>
    <w:p w14:paraId="4E2A6381" w14:textId="77777777" w:rsidR="00B01FCD" w:rsidRPr="00060834" w:rsidRDefault="00000F8F" w:rsidP="00441B6F">
      <w:pPr>
        <w:pStyle w:val="ConcHead"/>
        <w:spacing w:after="0"/>
        <w:jc w:val="both"/>
        <w:rPr>
          <w:rFonts w:ascii="Arial" w:hAnsi="Arial" w:cs="Arial"/>
          <w:sz w:val="20"/>
        </w:rPr>
      </w:pPr>
      <w:r w:rsidRPr="00060834">
        <w:rPr>
          <w:rFonts w:ascii="Arial" w:hAnsi="Arial" w:cs="Arial"/>
          <w:sz w:val="20"/>
        </w:rPr>
        <w:t xml:space="preserve">4. </w:t>
      </w:r>
      <w:r w:rsidR="00B01FCD" w:rsidRPr="00060834">
        <w:rPr>
          <w:rFonts w:ascii="Arial" w:hAnsi="Arial" w:cs="Arial"/>
          <w:sz w:val="20"/>
        </w:rPr>
        <w:t>Conclusion</w:t>
      </w:r>
    </w:p>
    <w:p w14:paraId="4B3823D4" w14:textId="77777777" w:rsidR="00790ADA" w:rsidRPr="00060834" w:rsidRDefault="00790ADA" w:rsidP="00441B6F">
      <w:pPr>
        <w:pStyle w:val="ConcHead"/>
        <w:spacing w:after="0"/>
        <w:jc w:val="both"/>
        <w:rPr>
          <w:rFonts w:ascii="Arial" w:hAnsi="Arial" w:cs="Arial"/>
          <w:sz w:val="20"/>
        </w:rPr>
      </w:pPr>
    </w:p>
    <w:p w14:paraId="7EC409BE" w14:textId="02DF74C9" w:rsidR="003139F5" w:rsidRPr="003139F5" w:rsidRDefault="003139F5" w:rsidP="00776CC3">
      <w:pPr>
        <w:pStyle w:val="Body"/>
        <w:rPr>
          <w:rFonts w:ascii="Arial" w:hAnsi="Arial" w:cs="Arial"/>
          <w:color w:val="EE0000"/>
        </w:rPr>
      </w:pPr>
      <w:r w:rsidRPr="003139F5">
        <w:rPr>
          <w:rFonts w:ascii="Arial" w:hAnsi="Arial" w:cs="Arial"/>
          <w:color w:val="EE0000"/>
        </w:rPr>
        <w:t xml:space="preserve">The statement of conclusion must be aligned with research objectives and research findings from other </w:t>
      </w:r>
      <w:proofErr w:type="spellStart"/>
      <w:r w:rsidRPr="003139F5">
        <w:rPr>
          <w:rFonts w:ascii="Arial" w:hAnsi="Arial" w:cs="Arial"/>
          <w:color w:val="EE0000"/>
        </w:rPr>
        <w:t>reseachers</w:t>
      </w:r>
      <w:proofErr w:type="spellEnd"/>
      <w:r w:rsidRPr="003139F5">
        <w:rPr>
          <w:rFonts w:ascii="Arial" w:hAnsi="Arial" w:cs="Arial"/>
          <w:color w:val="EE0000"/>
        </w:rPr>
        <w:t>/scholars…</w:t>
      </w:r>
    </w:p>
    <w:p w14:paraId="519006C1" w14:textId="0649B2DF" w:rsidR="003139F5" w:rsidRPr="005D22DF" w:rsidRDefault="00776CC3" w:rsidP="003139F5">
      <w:pPr>
        <w:pStyle w:val="Body"/>
        <w:rPr>
          <w:rFonts w:ascii="Arial" w:hAnsi="Arial" w:cs="Arial"/>
          <w:bCs/>
          <w:color w:val="EE0000"/>
        </w:rPr>
      </w:pPr>
      <w:r w:rsidRPr="00060834">
        <w:rPr>
          <w:rFonts w:ascii="Arial" w:hAnsi="Arial" w:cs="Arial"/>
        </w:rPr>
        <w:t>Boycott movements driven by geopolitical sentiment have become influential forces that can trigger significant changes in the capital market financial system. Theoretical frameworks suggest that these sentiments lead to asymmetric effects that result in the transfer of economic wealth—measured through indicators like asset turnover efficiency (TATO), liquidity availability (Cash Ratio), capital structure stability (DER), and shifts in market valuation (PBV)—from multinational corporations to local companies that produce substitute goods. This phenomenon highlights the reality that geopolitical risks pose serious threats to business sustainability while simultaneously creating unforeseen profit opportunities for competing local firms on the Indonesia Stock Exchange (IDX).</w:t>
      </w:r>
      <w:r w:rsidR="003139F5" w:rsidRPr="003139F5">
        <w:rPr>
          <w:rFonts w:ascii="Arial" w:hAnsi="Arial" w:cs="Arial"/>
          <w:bCs/>
        </w:rPr>
        <w:t xml:space="preserve"> </w:t>
      </w:r>
      <w:r w:rsidR="003139F5">
        <w:rPr>
          <w:rFonts w:ascii="Arial" w:hAnsi="Arial" w:cs="Arial"/>
          <w:bCs/>
        </w:rPr>
        <w:t>-</w:t>
      </w:r>
      <w:r w:rsidR="003139F5">
        <w:rPr>
          <w:rFonts w:ascii="Arial" w:hAnsi="Arial" w:cs="Arial"/>
          <w:bCs/>
          <w:color w:val="EE0000"/>
        </w:rPr>
        <w:t>any data analysis finding of study to support this statement?</w:t>
      </w:r>
    </w:p>
    <w:p w14:paraId="3D1D9740" w14:textId="4DBA4938" w:rsidR="00776CC3" w:rsidRPr="003139F5" w:rsidRDefault="003139F5" w:rsidP="00776CC3">
      <w:pPr>
        <w:pStyle w:val="Body"/>
        <w:rPr>
          <w:rFonts w:ascii="Arial" w:hAnsi="Arial" w:cs="Arial"/>
          <w:b/>
          <w:bCs/>
          <w:color w:val="EE0000"/>
        </w:rPr>
      </w:pPr>
      <w:r w:rsidRPr="003139F5">
        <w:rPr>
          <w:rFonts w:ascii="Arial" w:hAnsi="Arial" w:cs="Arial"/>
          <w:b/>
          <w:bCs/>
          <w:color w:val="EE0000"/>
        </w:rPr>
        <w:lastRenderedPageBreak/>
        <w:t>5. RECOMMENDATIONS</w:t>
      </w:r>
    </w:p>
    <w:p w14:paraId="207244E0" w14:textId="4F797F06" w:rsidR="003139F5" w:rsidRPr="003139F5" w:rsidRDefault="003139F5" w:rsidP="00776CC3">
      <w:pPr>
        <w:pStyle w:val="Body"/>
        <w:rPr>
          <w:rFonts w:ascii="Arial" w:hAnsi="Arial" w:cs="Arial"/>
          <w:color w:val="EE0000"/>
        </w:rPr>
      </w:pPr>
      <w:r w:rsidRPr="003139F5">
        <w:rPr>
          <w:rFonts w:ascii="Arial" w:hAnsi="Arial" w:cs="Arial"/>
          <w:color w:val="EE0000"/>
        </w:rPr>
        <w:t>5.1. Recommendations to the study</w:t>
      </w:r>
    </w:p>
    <w:p w14:paraId="6641A19D" w14:textId="27B02AAC" w:rsidR="003139F5" w:rsidRPr="003139F5" w:rsidRDefault="003139F5" w:rsidP="00776CC3">
      <w:pPr>
        <w:pStyle w:val="Body"/>
        <w:rPr>
          <w:rFonts w:ascii="Arial" w:hAnsi="Arial" w:cs="Arial"/>
          <w:color w:val="EE0000"/>
        </w:rPr>
      </w:pPr>
      <w:r w:rsidRPr="003139F5">
        <w:rPr>
          <w:rFonts w:ascii="Arial" w:hAnsi="Arial" w:cs="Arial"/>
          <w:color w:val="EE0000"/>
        </w:rPr>
        <w:t>Considering that this study is primarily conceptual, it is essential to empirically validate the proposed theoretical model and its associated propositions</w:t>
      </w:r>
      <w:r>
        <w:rPr>
          <w:rFonts w:ascii="Arial" w:hAnsi="Arial" w:cs="Arial"/>
          <w:color w:val="EE0000"/>
        </w:rPr>
        <w:t>….</w:t>
      </w:r>
    </w:p>
    <w:p w14:paraId="54801F4E" w14:textId="44781701" w:rsidR="003139F5" w:rsidRPr="003139F5" w:rsidRDefault="003139F5" w:rsidP="00776CC3">
      <w:pPr>
        <w:pStyle w:val="Body"/>
        <w:rPr>
          <w:rFonts w:ascii="Arial" w:hAnsi="Arial" w:cs="Arial"/>
          <w:color w:val="EE0000"/>
        </w:rPr>
      </w:pPr>
      <w:r w:rsidRPr="003139F5">
        <w:rPr>
          <w:rFonts w:ascii="Arial" w:hAnsi="Arial" w:cs="Arial"/>
          <w:color w:val="EE0000"/>
        </w:rPr>
        <w:t>5.2. Recommendations to the future researchers</w:t>
      </w:r>
    </w:p>
    <w:p w14:paraId="43C35F4C" w14:textId="5513470B" w:rsidR="00B01FCD" w:rsidRPr="003139F5" w:rsidRDefault="003139F5" w:rsidP="00776CC3">
      <w:pPr>
        <w:pStyle w:val="Body"/>
        <w:spacing w:after="0"/>
        <w:rPr>
          <w:rFonts w:ascii="Arial" w:hAnsi="Arial" w:cs="Arial"/>
          <w:color w:val="EE0000"/>
        </w:rPr>
      </w:pPr>
      <w:r w:rsidRPr="003139F5">
        <w:rPr>
          <w:rFonts w:ascii="Arial" w:hAnsi="Arial" w:cs="Arial"/>
          <w:color w:val="EE0000"/>
        </w:rPr>
        <w:t>The f</w:t>
      </w:r>
      <w:r w:rsidR="00776CC3" w:rsidRPr="003139F5">
        <w:rPr>
          <w:rFonts w:ascii="Arial" w:hAnsi="Arial" w:cs="Arial"/>
          <w:color w:val="EE0000"/>
        </w:rPr>
        <w:t>uture research is encouraged to utilize quantitative methods, specifically panel data regression techniques, to test the framework's validity. Researchers may focus on analyzing the financial statements of firms listed on the IDX, particularly within sectors that are closely linked to retail consumers, such as Consumer Non-Cyclicals. It is advisable for future studies to observe a timeframe from the third quarter of 2023 to the fourth quarter of 2024 to accurately capture performance variations before, during, and after peaks in geopolitical conflict. This empirical validation is expected to enhance the financial management literature and provide a robust basis for comprehensive academic research.</w:t>
      </w:r>
    </w:p>
    <w:p w14:paraId="392BB3F0" w14:textId="77777777" w:rsidR="00790ADA" w:rsidRPr="00FB3A86" w:rsidRDefault="00790ADA" w:rsidP="00441B6F">
      <w:pPr>
        <w:pStyle w:val="Body"/>
        <w:spacing w:after="0"/>
        <w:rPr>
          <w:rFonts w:ascii="Arial" w:hAnsi="Arial" w:cs="Arial"/>
        </w:rPr>
      </w:pPr>
    </w:p>
    <w:p w14:paraId="2BB32E2C" w14:textId="77777777" w:rsidR="002B685A" w:rsidRDefault="002B685A" w:rsidP="00441B6F">
      <w:pPr>
        <w:pStyle w:val="ReferHead"/>
        <w:spacing w:after="0"/>
        <w:jc w:val="both"/>
        <w:rPr>
          <w:rFonts w:ascii="Arial" w:hAnsi="Arial" w:cs="Arial"/>
          <w:b w:val="0"/>
          <w:caps w:val="0"/>
          <w:sz w:val="20"/>
        </w:rPr>
      </w:pPr>
    </w:p>
    <w:p w14:paraId="0EB8D76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2CFE9B" w14:textId="77777777" w:rsidR="00790ADA" w:rsidRPr="00FB3A86" w:rsidRDefault="00790ADA" w:rsidP="00441B6F">
      <w:pPr>
        <w:pStyle w:val="ReferHead"/>
        <w:spacing w:after="0"/>
        <w:jc w:val="both"/>
        <w:rPr>
          <w:rFonts w:ascii="Arial" w:hAnsi="Arial" w:cs="Arial"/>
        </w:rPr>
      </w:pPr>
    </w:p>
    <w:p w14:paraId="01E202D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fldChar w:fldCharType="begin"/>
      </w:r>
      <w:r w:rsidRPr="009C665C">
        <w:rPr>
          <w:rFonts w:ascii="Arial" w:hAnsi="Arial" w:cs="Arial"/>
          <w:lang w:val="en-ID"/>
        </w:rPr>
        <w:instrText xml:space="preserve"> ADDIN ZOTERO_BIBL {"uncited":[],"omitted":[],"custom":[]} CSL_BIBLIOGRAPHY </w:instrText>
      </w:r>
      <w:r w:rsidRPr="009C665C">
        <w:rPr>
          <w:rFonts w:ascii="Arial" w:hAnsi="Arial" w:cs="Arial"/>
          <w:lang w:val="en-ID"/>
        </w:rPr>
        <w:fldChar w:fldCharType="separate"/>
      </w:r>
      <w:r w:rsidRPr="009C665C">
        <w:rPr>
          <w:rFonts w:ascii="Arial" w:hAnsi="Arial" w:cs="Arial"/>
          <w:lang w:val="en-ID"/>
        </w:rPr>
        <w:t xml:space="preserve">Abdul-Talib, A. N., &amp; Adnan, M. M. (2017). Determinants of consumer’s willingness to boycott surrogate products. </w:t>
      </w:r>
      <w:r w:rsidRPr="009C665C">
        <w:rPr>
          <w:rFonts w:ascii="Arial" w:hAnsi="Arial" w:cs="Arial"/>
          <w:i/>
          <w:iCs/>
          <w:lang w:val="en-ID"/>
        </w:rPr>
        <w:t>Journal of Islamic Marketing</w:t>
      </w:r>
      <w:r w:rsidRPr="009C665C">
        <w:rPr>
          <w:rFonts w:ascii="Arial" w:hAnsi="Arial" w:cs="Arial"/>
          <w:lang w:val="en-ID"/>
        </w:rPr>
        <w:t xml:space="preserve">, </w:t>
      </w:r>
      <w:r w:rsidRPr="009C665C">
        <w:rPr>
          <w:rFonts w:ascii="Arial" w:hAnsi="Arial" w:cs="Arial"/>
          <w:i/>
          <w:iCs/>
          <w:lang w:val="en-ID"/>
        </w:rPr>
        <w:t>8</w:t>
      </w:r>
      <w:r w:rsidRPr="009C665C">
        <w:rPr>
          <w:rFonts w:ascii="Arial" w:hAnsi="Arial" w:cs="Arial"/>
          <w:lang w:val="en-ID"/>
        </w:rPr>
        <w:t>(4), 606–622. https://doi.org/10.1108/jima-08-2015-0065</w:t>
      </w:r>
    </w:p>
    <w:p w14:paraId="5692E76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Afego, P. N., &amp; Alagidede, I. P. (2021). What does corporate social advocacy signal? Evidence from boycott participation decisions. </w:t>
      </w:r>
      <w:r w:rsidRPr="009C665C">
        <w:rPr>
          <w:rFonts w:ascii="Arial" w:hAnsi="Arial" w:cs="Arial"/>
          <w:i/>
          <w:iCs/>
          <w:lang w:val="en-ID"/>
        </w:rPr>
        <w:t>Journal of Capital Markets Studies</w:t>
      </w:r>
      <w:r w:rsidRPr="009C665C">
        <w:rPr>
          <w:rFonts w:ascii="Arial" w:hAnsi="Arial" w:cs="Arial"/>
          <w:lang w:val="en-ID"/>
        </w:rPr>
        <w:t xml:space="preserve">, </w:t>
      </w:r>
      <w:r w:rsidRPr="009C665C">
        <w:rPr>
          <w:rFonts w:ascii="Arial" w:hAnsi="Arial" w:cs="Arial"/>
          <w:i/>
          <w:iCs/>
          <w:lang w:val="en-ID"/>
        </w:rPr>
        <w:t>5</w:t>
      </w:r>
      <w:r w:rsidRPr="009C665C">
        <w:rPr>
          <w:rFonts w:ascii="Arial" w:hAnsi="Arial" w:cs="Arial"/>
          <w:lang w:val="en-ID"/>
        </w:rPr>
        <w:t>(1), 49–68. https://doi.org/10.1108/JCMS-10-2020-0040</w:t>
      </w:r>
    </w:p>
    <w:p w14:paraId="5CC49F0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Ali, B. J. (2021). Impact of consumer animosity, boycott participation, boycott motivation, and product judgment on purchase readiness or aversion of Kurdish consumers in Iraq. </w:t>
      </w:r>
      <w:r w:rsidRPr="009C665C">
        <w:rPr>
          <w:rFonts w:ascii="Arial" w:hAnsi="Arial" w:cs="Arial"/>
          <w:i/>
          <w:iCs/>
          <w:lang w:val="en-ID"/>
        </w:rPr>
        <w:t>Journal of Consumer Affairs</w:t>
      </w:r>
      <w:r w:rsidRPr="009C665C">
        <w:rPr>
          <w:rFonts w:ascii="Arial" w:hAnsi="Arial" w:cs="Arial"/>
          <w:lang w:val="en-ID"/>
        </w:rPr>
        <w:t xml:space="preserve">, </w:t>
      </w:r>
      <w:r w:rsidRPr="009C665C">
        <w:rPr>
          <w:rFonts w:ascii="Arial" w:hAnsi="Arial" w:cs="Arial"/>
          <w:i/>
          <w:iCs/>
          <w:lang w:val="en-ID"/>
        </w:rPr>
        <w:t>55</w:t>
      </w:r>
      <w:r w:rsidRPr="009C665C">
        <w:rPr>
          <w:rFonts w:ascii="Arial" w:hAnsi="Arial" w:cs="Arial"/>
          <w:lang w:val="en-ID"/>
        </w:rPr>
        <w:t>(2), 504–523. https://doi.org/10.1111/joca.12350</w:t>
      </w:r>
    </w:p>
    <w:p w14:paraId="7E15D85C"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Ali, I., Ahmad, Z., &amp; colleagues. (2025). Impact of global boycotts on Israeli goods: Evidence from Islamic and non-Islamic countries using an event study approach. </w:t>
      </w:r>
      <w:r w:rsidRPr="009C665C">
        <w:rPr>
          <w:rFonts w:ascii="Arial" w:hAnsi="Arial" w:cs="Arial"/>
          <w:i/>
          <w:iCs/>
          <w:lang w:val="en-ID"/>
        </w:rPr>
        <w:t>Asian Economic and Financial Review</w:t>
      </w:r>
      <w:r w:rsidRPr="009C665C">
        <w:rPr>
          <w:rFonts w:ascii="Arial" w:hAnsi="Arial" w:cs="Arial"/>
          <w:lang w:val="en-ID"/>
        </w:rPr>
        <w:t xml:space="preserve">, </w:t>
      </w:r>
      <w:r w:rsidRPr="009C665C">
        <w:rPr>
          <w:rFonts w:ascii="Arial" w:hAnsi="Arial" w:cs="Arial"/>
          <w:i/>
          <w:iCs/>
          <w:lang w:val="en-ID"/>
        </w:rPr>
        <w:t>15</w:t>
      </w:r>
      <w:r w:rsidRPr="009C665C">
        <w:rPr>
          <w:rFonts w:ascii="Arial" w:hAnsi="Arial" w:cs="Arial"/>
          <w:lang w:val="en-ID"/>
        </w:rPr>
        <w:t>(7), 755–770. https://doi.org/10.55493/5002.v15i7.5491</w:t>
      </w:r>
    </w:p>
    <w:p w14:paraId="271A3530"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Alqatan, A. (2025). Corporate responses to boycott movements: Impact on accounting and financial performance in the Middle East. </w:t>
      </w:r>
      <w:r w:rsidRPr="009C665C">
        <w:rPr>
          <w:rFonts w:ascii="Arial" w:hAnsi="Arial" w:cs="Arial"/>
          <w:i/>
          <w:iCs/>
          <w:lang w:val="en-ID"/>
        </w:rPr>
        <w:t>International Journal of Islamic and Middle Eastern Finance and Management</w:t>
      </w:r>
      <w:r w:rsidRPr="009C665C">
        <w:rPr>
          <w:rFonts w:ascii="Arial" w:hAnsi="Arial" w:cs="Arial"/>
          <w:lang w:val="en-ID"/>
        </w:rPr>
        <w:t xml:space="preserve">, </w:t>
      </w:r>
      <w:r w:rsidRPr="009C665C">
        <w:rPr>
          <w:rFonts w:ascii="Arial" w:hAnsi="Arial" w:cs="Arial"/>
          <w:i/>
          <w:iCs/>
          <w:lang w:val="en-ID"/>
        </w:rPr>
        <w:t>18</w:t>
      </w:r>
      <w:r w:rsidRPr="009C665C">
        <w:rPr>
          <w:rFonts w:ascii="Arial" w:hAnsi="Arial" w:cs="Arial"/>
          <w:lang w:val="en-ID"/>
        </w:rPr>
        <w:t>(2), 360–380. https://doi.org/10.1108/IMEFM-06-2024-0316</w:t>
      </w:r>
    </w:p>
    <w:p w14:paraId="33773E57"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Anisa, W., Nursetiana, H., &amp; Yudha Pratama, V. (2025). Analysis of international boycott on stock performance and value of manufacturing companies on the IDX. </w:t>
      </w:r>
      <w:r w:rsidRPr="009C665C">
        <w:rPr>
          <w:rFonts w:ascii="Arial" w:hAnsi="Arial" w:cs="Arial"/>
          <w:i/>
          <w:iCs/>
          <w:lang w:val="en-ID"/>
        </w:rPr>
        <w:t>Berkala Akuntansi Dan Keuangan Indonesia</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(1), 74–92. https://doi.org/10.20473/baki.v10i1.67085</w:t>
      </w:r>
    </w:p>
    <w:p w14:paraId="009F698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Avianuari, F., &amp; Hendranastiti, N. D. (2024). The influence of boycott threats on abnormal returns and trading volume: Evidence from the Israel–Palestine conflict. </w:t>
      </w:r>
      <w:r w:rsidRPr="009C665C">
        <w:rPr>
          <w:rFonts w:ascii="Arial" w:hAnsi="Arial" w:cs="Arial"/>
          <w:i/>
          <w:iCs/>
          <w:lang w:val="en-ID"/>
        </w:rPr>
        <w:t>Dinasti International Journal of Education Management and Social Science</w:t>
      </w:r>
      <w:r w:rsidRPr="009C665C">
        <w:rPr>
          <w:rFonts w:ascii="Arial" w:hAnsi="Arial" w:cs="Arial"/>
          <w:lang w:val="en-ID"/>
        </w:rPr>
        <w:t xml:space="preserve">, </w:t>
      </w:r>
      <w:r w:rsidRPr="009C665C">
        <w:rPr>
          <w:rFonts w:ascii="Arial" w:hAnsi="Arial" w:cs="Arial"/>
          <w:i/>
          <w:iCs/>
          <w:lang w:val="en-ID"/>
        </w:rPr>
        <w:t>6</w:t>
      </w:r>
      <w:r w:rsidRPr="009C665C">
        <w:rPr>
          <w:rFonts w:ascii="Arial" w:hAnsi="Arial" w:cs="Arial"/>
          <w:lang w:val="en-ID"/>
        </w:rPr>
        <w:t>(2), 3679. https://doi.org/10.38035/dijemss.v6i2.3679</w:t>
      </w:r>
    </w:p>
    <w:p w14:paraId="7E9FEBF4"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lastRenderedPageBreak/>
        <w:t xml:space="preserve">Ayuntari, C. G., &amp; Putri, A. R. (2026). </w:t>
      </w:r>
      <w:r w:rsidRPr="009C665C">
        <w:rPr>
          <w:rFonts w:ascii="Arial" w:hAnsi="Arial" w:cs="Arial"/>
          <w:i/>
          <w:iCs/>
          <w:lang w:val="en-ID"/>
        </w:rPr>
        <w:t>Unilever’s financial footprint: A before and during analysis of the boycott’s impact</w:t>
      </w:r>
      <w:r w:rsidRPr="009C665C">
        <w:rPr>
          <w:rFonts w:ascii="Arial" w:hAnsi="Arial" w:cs="Arial"/>
          <w:lang w:val="en-ID"/>
        </w:rPr>
        <w:t xml:space="preserve">. </w:t>
      </w:r>
      <w:r w:rsidRPr="009C665C">
        <w:rPr>
          <w:rFonts w:ascii="Arial" w:hAnsi="Arial" w:cs="Arial"/>
          <w:i/>
          <w:iCs/>
          <w:lang w:val="en-ID"/>
        </w:rPr>
        <w:t>4</w:t>
      </w:r>
      <w:r w:rsidRPr="009C665C">
        <w:rPr>
          <w:rFonts w:ascii="Arial" w:hAnsi="Arial" w:cs="Arial"/>
          <w:lang w:val="en-ID"/>
        </w:rPr>
        <w:t>, 472–482. https://journal.uii.ac.id/inCAF/article/view/47373</w:t>
      </w:r>
    </w:p>
    <w:p w14:paraId="582BEB4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Brown, S. J., &amp; Warner, J. B. (1985). Using daily stock returns: The case of event studies. </w:t>
      </w:r>
      <w:r w:rsidRPr="009C665C">
        <w:rPr>
          <w:rFonts w:ascii="Arial" w:hAnsi="Arial" w:cs="Arial"/>
          <w:i/>
          <w:iCs/>
          <w:lang w:val="en-ID"/>
        </w:rPr>
        <w:t>Journal of Financial Economics</w:t>
      </w:r>
      <w:r w:rsidRPr="009C665C">
        <w:rPr>
          <w:rFonts w:ascii="Arial" w:hAnsi="Arial" w:cs="Arial"/>
          <w:lang w:val="en-ID"/>
        </w:rPr>
        <w:t xml:space="preserve">, </w:t>
      </w:r>
      <w:r w:rsidRPr="009C665C">
        <w:rPr>
          <w:rFonts w:ascii="Arial" w:hAnsi="Arial" w:cs="Arial"/>
          <w:i/>
          <w:iCs/>
          <w:lang w:val="en-ID"/>
        </w:rPr>
        <w:t>14</w:t>
      </w:r>
      <w:r w:rsidRPr="009C665C">
        <w:rPr>
          <w:rFonts w:ascii="Arial" w:hAnsi="Arial" w:cs="Arial"/>
          <w:lang w:val="en-ID"/>
        </w:rPr>
        <w:t>(1), 3–31. https://doi.org/10.1016/0304-405X(85)90042-X</w:t>
      </w:r>
    </w:p>
    <w:p w14:paraId="27EDB69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Caldara, D., &amp; Iacoviello, M. (2022). Measuring geopolitical risk. </w:t>
      </w:r>
      <w:r w:rsidRPr="009C665C">
        <w:rPr>
          <w:rFonts w:ascii="Arial" w:hAnsi="Arial" w:cs="Arial"/>
          <w:i/>
          <w:iCs/>
          <w:lang w:val="en-ID"/>
        </w:rPr>
        <w:t>American Economic Review</w:t>
      </w:r>
      <w:r w:rsidRPr="009C665C">
        <w:rPr>
          <w:rFonts w:ascii="Arial" w:hAnsi="Arial" w:cs="Arial"/>
          <w:lang w:val="en-ID"/>
        </w:rPr>
        <w:t xml:space="preserve">, </w:t>
      </w:r>
      <w:r w:rsidRPr="009C665C">
        <w:rPr>
          <w:rFonts w:ascii="Arial" w:hAnsi="Arial" w:cs="Arial"/>
          <w:i/>
          <w:iCs/>
          <w:lang w:val="en-ID"/>
        </w:rPr>
        <w:t>112</w:t>
      </w:r>
      <w:r w:rsidRPr="009C665C">
        <w:rPr>
          <w:rFonts w:ascii="Arial" w:hAnsi="Arial" w:cs="Arial"/>
          <w:lang w:val="en-ID"/>
        </w:rPr>
        <w:t>(4), 1194–1225. https://doi.org/10.1257/aer.20191823</w:t>
      </w:r>
    </w:p>
    <w:p w14:paraId="6581C63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Darsono, S. N. A. C., Muttaqin, E. I., Rahmadani, R. A., &amp; Nguyen, T. T. H. (2024). Unveiling the nexus of consumer price index, economic policy uncertainty, geopolitical risks, and gold prices on Indonesian sustainable stock market performance. </w:t>
      </w:r>
      <w:r w:rsidRPr="009C665C">
        <w:rPr>
          <w:rFonts w:ascii="Arial" w:hAnsi="Arial" w:cs="Arial"/>
          <w:i/>
          <w:iCs/>
          <w:lang w:val="en-ID"/>
        </w:rPr>
        <w:t>International Journal of Economics and Financial Issues</w:t>
      </w:r>
      <w:r w:rsidRPr="009C665C">
        <w:rPr>
          <w:rFonts w:ascii="Arial" w:hAnsi="Arial" w:cs="Arial"/>
          <w:lang w:val="en-ID"/>
        </w:rPr>
        <w:t xml:space="preserve">, </w:t>
      </w:r>
      <w:r w:rsidRPr="009C665C">
        <w:rPr>
          <w:rFonts w:ascii="Arial" w:hAnsi="Arial" w:cs="Arial"/>
          <w:i/>
          <w:iCs/>
          <w:lang w:val="en-ID"/>
        </w:rPr>
        <w:t>14</w:t>
      </w:r>
      <w:r w:rsidRPr="009C665C">
        <w:rPr>
          <w:rFonts w:ascii="Arial" w:hAnsi="Arial" w:cs="Arial"/>
          <w:lang w:val="en-ID"/>
        </w:rPr>
        <w:t>(6), 128–135.</w:t>
      </w:r>
    </w:p>
    <w:p w14:paraId="3E9E419D"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Fadzilah, N. I., Yovita, L., Waluyo, D. E., &amp; Oktavia, V. (2024). Does the boycott affect Israel-affiliated companies in Indonesia? </w:t>
      </w:r>
      <w:r w:rsidRPr="009C665C">
        <w:rPr>
          <w:rFonts w:ascii="Arial" w:hAnsi="Arial" w:cs="Arial"/>
          <w:i/>
          <w:iCs/>
          <w:lang w:val="en-ID"/>
        </w:rPr>
        <w:t>Finance: International Journal of Management Finance</w:t>
      </w:r>
      <w:r w:rsidRPr="009C665C">
        <w:rPr>
          <w:rFonts w:ascii="Arial" w:hAnsi="Arial" w:cs="Arial"/>
          <w:lang w:val="en-ID"/>
        </w:rPr>
        <w:t xml:space="preserve">, </w:t>
      </w:r>
      <w:r w:rsidRPr="009C665C">
        <w:rPr>
          <w:rFonts w:ascii="Arial" w:hAnsi="Arial" w:cs="Arial"/>
          <w:i/>
          <w:iCs/>
          <w:lang w:val="en-ID"/>
        </w:rPr>
        <w:t>1</w:t>
      </w:r>
      <w:r w:rsidRPr="009C665C">
        <w:rPr>
          <w:rFonts w:ascii="Arial" w:hAnsi="Arial" w:cs="Arial"/>
          <w:lang w:val="en-ID"/>
        </w:rPr>
        <w:t>(4), 65–78. https://doi.org/10.62017/finance.v1i4.48</w:t>
      </w:r>
    </w:p>
    <w:p w14:paraId="5847F3C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Fama, E. F. (1970). Efficient capital markets: A review of theory and empirical work. </w:t>
      </w:r>
      <w:r w:rsidRPr="009C665C">
        <w:rPr>
          <w:rFonts w:ascii="Arial" w:hAnsi="Arial" w:cs="Arial"/>
          <w:i/>
          <w:iCs/>
          <w:lang w:val="en-ID"/>
        </w:rPr>
        <w:t>Journal of Finance</w:t>
      </w:r>
      <w:r w:rsidRPr="009C665C">
        <w:rPr>
          <w:rFonts w:ascii="Arial" w:hAnsi="Arial" w:cs="Arial"/>
          <w:lang w:val="en-ID"/>
        </w:rPr>
        <w:t xml:space="preserve">, </w:t>
      </w:r>
      <w:r w:rsidRPr="009C665C">
        <w:rPr>
          <w:rFonts w:ascii="Arial" w:hAnsi="Arial" w:cs="Arial"/>
          <w:i/>
          <w:iCs/>
          <w:lang w:val="en-ID"/>
        </w:rPr>
        <w:t>25</w:t>
      </w:r>
      <w:r w:rsidRPr="009C665C">
        <w:rPr>
          <w:rFonts w:ascii="Arial" w:hAnsi="Arial" w:cs="Arial"/>
          <w:lang w:val="en-ID"/>
        </w:rPr>
        <w:t>(2), 383–417. https://doi.org/10.2307/2325486</w:t>
      </w:r>
    </w:p>
    <w:p w14:paraId="5B5F3D8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Fiorillo, P., Meles, A., Pellegrino, L. R., &amp; Verdoliva, V. (2023). Geopolitical risk and stock liquidity. </w:t>
      </w:r>
      <w:r w:rsidRPr="009C665C">
        <w:rPr>
          <w:rFonts w:ascii="Arial" w:hAnsi="Arial" w:cs="Arial"/>
          <w:i/>
          <w:iCs/>
          <w:lang w:val="en-ID"/>
        </w:rPr>
        <w:t>Finance Research Letters</w:t>
      </w:r>
      <w:r w:rsidRPr="009C665C">
        <w:rPr>
          <w:rFonts w:ascii="Arial" w:hAnsi="Arial" w:cs="Arial"/>
          <w:lang w:val="en-ID"/>
        </w:rPr>
        <w:t xml:space="preserve">, </w:t>
      </w:r>
      <w:r w:rsidRPr="009C665C">
        <w:rPr>
          <w:rFonts w:ascii="Arial" w:hAnsi="Arial" w:cs="Arial"/>
          <w:i/>
          <w:iCs/>
          <w:lang w:val="en-ID"/>
        </w:rPr>
        <w:t>54</w:t>
      </w:r>
      <w:r w:rsidRPr="009C665C">
        <w:rPr>
          <w:rFonts w:ascii="Arial" w:hAnsi="Arial" w:cs="Arial"/>
          <w:lang w:val="en-ID"/>
        </w:rPr>
        <w:t>, 103687. https://doi.org/10.1016/j.frl.2023.103687</w:t>
      </w:r>
    </w:p>
    <w:p w14:paraId="6FC76A8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Gong, X.-L., Ning, H.-Y., &amp; Xiong, X. (2024). Research on the cross-contagion between international stock markets and geopolitical risks: The two-layer network perspective. </w:t>
      </w:r>
      <w:r w:rsidRPr="009C665C">
        <w:rPr>
          <w:rFonts w:ascii="Arial" w:hAnsi="Arial" w:cs="Arial"/>
          <w:i/>
          <w:iCs/>
          <w:lang w:val="en-ID"/>
        </w:rPr>
        <w:t>Financial Innovation</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 687. https://doi.org/10.1186/s40854-024-00687-3</w:t>
      </w:r>
    </w:p>
    <w:p w14:paraId="504DE59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Hartono, J. K., &amp; Harsono, R. D. B. (2025). </w:t>
      </w:r>
      <w:r w:rsidRPr="009C665C">
        <w:rPr>
          <w:rFonts w:ascii="Arial" w:hAnsi="Arial" w:cs="Arial"/>
          <w:i/>
          <w:iCs/>
          <w:lang w:val="en-ID"/>
        </w:rPr>
        <w:t>Stock price anomalies of products affected by boycotts: Geopolitics, pandemics, and fundamentals of Unilever Indonesia and Pakistan 2016–2024</w:t>
      </w:r>
      <w:r w:rsidRPr="009C665C">
        <w:rPr>
          <w:rFonts w:ascii="Arial" w:hAnsi="Arial" w:cs="Arial"/>
          <w:lang w:val="en-ID"/>
        </w:rPr>
        <w:t>. 54–62.</w:t>
      </w:r>
    </w:p>
    <w:p w14:paraId="576E1FD5"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Hasyim, F., &amp; Sukardi, B. (2025). Impact of Israeli-boycotts on stock volatility: A GARCH analysis of Unilever and Indofood. </w:t>
      </w:r>
      <w:r w:rsidRPr="009C665C">
        <w:rPr>
          <w:rFonts w:ascii="Arial" w:hAnsi="Arial" w:cs="Arial"/>
          <w:i/>
          <w:iCs/>
          <w:lang w:val="en-ID"/>
        </w:rPr>
        <w:t>Jurnal Penelitian Ekonomi Dan Bisnis</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(2), 211–224. https://doi.org/10.33633/jpeb.v10i2.11362</w:t>
      </w:r>
    </w:p>
    <w:p w14:paraId="36C814E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Isalman, I., Ilyas, F., Istianandar, F. R., &amp; Ittaqullah, N. (2025). Boycott campaign intensity on consumer boycott intentions and participation: The role of access to substitute products. </w:t>
      </w:r>
      <w:r w:rsidRPr="009C665C">
        <w:rPr>
          <w:rFonts w:ascii="Arial" w:hAnsi="Arial" w:cs="Arial"/>
          <w:i/>
          <w:iCs/>
          <w:lang w:val="en-ID"/>
        </w:rPr>
        <w:t>Journal of Economics, Business and Accountancy Ventura</w:t>
      </w:r>
      <w:r w:rsidRPr="009C665C">
        <w:rPr>
          <w:rFonts w:ascii="Arial" w:hAnsi="Arial" w:cs="Arial"/>
          <w:lang w:val="en-ID"/>
        </w:rPr>
        <w:t xml:space="preserve">, </w:t>
      </w:r>
      <w:r w:rsidRPr="009C665C">
        <w:rPr>
          <w:rFonts w:ascii="Arial" w:hAnsi="Arial" w:cs="Arial"/>
          <w:i/>
          <w:iCs/>
          <w:lang w:val="en-ID"/>
        </w:rPr>
        <w:t>27</w:t>
      </w:r>
      <w:r w:rsidRPr="009C665C">
        <w:rPr>
          <w:rFonts w:ascii="Arial" w:hAnsi="Arial" w:cs="Arial"/>
          <w:lang w:val="en-ID"/>
        </w:rPr>
        <w:t>(3), 385–399. https://doi.org/10.14414/jebav.v27i3.4737</w:t>
      </w:r>
    </w:p>
    <w:p w14:paraId="34D5E829"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King, B. G., &amp; Soule, S. A. (2007). Social movements as extra-institutional entrepreneurs: The effect of protests on stock price returns. </w:t>
      </w:r>
      <w:r w:rsidRPr="009C665C">
        <w:rPr>
          <w:rFonts w:ascii="Arial" w:hAnsi="Arial" w:cs="Arial"/>
          <w:i/>
          <w:iCs/>
          <w:lang w:val="en-ID"/>
        </w:rPr>
        <w:t>Administrative Science Quarterly</w:t>
      </w:r>
      <w:r w:rsidRPr="009C665C">
        <w:rPr>
          <w:rFonts w:ascii="Arial" w:hAnsi="Arial" w:cs="Arial"/>
          <w:lang w:val="en-ID"/>
        </w:rPr>
        <w:t xml:space="preserve">, </w:t>
      </w:r>
      <w:r w:rsidRPr="009C665C">
        <w:rPr>
          <w:rFonts w:ascii="Arial" w:hAnsi="Arial" w:cs="Arial"/>
          <w:i/>
          <w:iCs/>
          <w:lang w:val="en-ID"/>
        </w:rPr>
        <w:t>52</w:t>
      </w:r>
      <w:r w:rsidRPr="009C665C">
        <w:rPr>
          <w:rFonts w:ascii="Arial" w:hAnsi="Arial" w:cs="Arial"/>
          <w:lang w:val="en-ID"/>
        </w:rPr>
        <w:t>(3), 413–442. https://doi.org/10.2189/asqu.52.3.413</w:t>
      </w:r>
    </w:p>
    <w:p w14:paraId="0D38405E"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Luong, A. T., Tran, K. T., Duong, L. T., Ha, D. N., Duong, T. T., &amp; Phan, V. T. K. (2025). Spillover of shocks in money flows across stock markets: A quantile-time frequency analysis of G7 and BRICS countries. </w:t>
      </w:r>
      <w:r w:rsidRPr="009C665C">
        <w:rPr>
          <w:rFonts w:ascii="Arial" w:hAnsi="Arial" w:cs="Arial"/>
          <w:i/>
          <w:iCs/>
          <w:lang w:val="en-ID"/>
        </w:rPr>
        <w:t>Economic Papers</w:t>
      </w:r>
      <w:r w:rsidRPr="009C665C">
        <w:rPr>
          <w:rFonts w:ascii="Arial" w:hAnsi="Arial" w:cs="Arial"/>
          <w:lang w:val="en-ID"/>
        </w:rPr>
        <w:t xml:space="preserve">, </w:t>
      </w:r>
      <w:r w:rsidRPr="009C665C">
        <w:rPr>
          <w:rFonts w:ascii="Arial" w:hAnsi="Arial" w:cs="Arial"/>
          <w:i/>
          <w:iCs/>
          <w:lang w:val="en-ID"/>
        </w:rPr>
        <w:t>44</w:t>
      </w:r>
      <w:r w:rsidRPr="009C665C">
        <w:rPr>
          <w:rFonts w:ascii="Arial" w:hAnsi="Arial" w:cs="Arial"/>
          <w:lang w:val="en-ID"/>
        </w:rPr>
        <w:t>(4), 369–390. https://doi.org/10.1111/1759-3441.70007</w:t>
      </w:r>
    </w:p>
    <w:p w14:paraId="420A16F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lastRenderedPageBreak/>
        <w:t xml:space="preserve">Rahman, F., &amp; Li, Q. (2024). Geopolitical risks and global stock market dynamics: A quantile-based approach. </w:t>
      </w:r>
      <w:r w:rsidRPr="009C665C">
        <w:rPr>
          <w:rFonts w:ascii="Arial" w:hAnsi="Arial" w:cs="Arial"/>
          <w:i/>
          <w:iCs/>
          <w:lang w:val="en-ID"/>
        </w:rPr>
        <w:t>International Journal of Financial Studies</w:t>
      </w:r>
      <w:r w:rsidRPr="009C665C">
        <w:rPr>
          <w:rFonts w:ascii="Arial" w:hAnsi="Arial" w:cs="Arial"/>
          <w:lang w:val="en-ID"/>
        </w:rPr>
        <w:t xml:space="preserve">, </w:t>
      </w:r>
      <w:r w:rsidRPr="009C665C">
        <w:rPr>
          <w:rFonts w:ascii="Arial" w:hAnsi="Arial" w:cs="Arial"/>
          <w:i/>
          <w:iCs/>
          <w:lang w:val="en-ID"/>
        </w:rPr>
        <w:t>12</w:t>
      </w:r>
      <w:r w:rsidRPr="009C665C">
        <w:rPr>
          <w:rFonts w:ascii="Arial" w:hAnsi="Arial" w:cs="Arial"/>
          <w:lang w:val="en-ID"/>
        </w:rPr>
        <w:t>(2), 56–75.</w:t>
      </w:r>
    </w:p>
    <w:p w14:paraId="181FB9C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Rajagukguk, H. (2024). </w:t>
      </w:r>
      <w:r w:rsidRPr="009C665C">
        <w:rPr>
          <w:rFonts w:ascii="Arial" w:hAnsi="Arial" w:cs="Arial"/>
          <w:i/>
          <w:iCs/>
          <w:lang w:val="en-ID"/>
        </w:rPr>
        <w:t>Impact of boycott on financial performance and market reaction at PT Unilever Indonesia</w:t>
      </w:r>
      <w:r w:rsidRPr="009C665C">
        <w:rPr>
          <w:rFonts w:ascii="Arial" w:hAnsi="Arial" w:cs="Arial"/>
          <w:lang w:val="en-ID"/>
        </w:rPr>
        <w:t>. 142–151.</w:t>
      </w:r>
    </w:p>
    <w:p w14:paraId="1426DC0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Saputra, S., Marswandi, E. D. P., &amp; Hendri, W. (2023). Geopolitical risk &amp; Indonesian stock market response. </w:t>
      </w:r>
      <w:r w:rsidRPr="009C665C">
        <w:rPr>
          <w:rFonts w:ascii="Arial" w:hAnsi="Arial" w:cs="Arial"/>
          <w:i/>
          <w:iCs/>
          <w:lang w:val="en-ID"/>
        </w:rPr>
        <w:t>Ecoment Global Journal</w:t>
      </w:r>
      <w:r w:rsidRPr="009C665C">
        <w:rPr>
          <w:rFonts w:ascii="Arial" w:hAnsi="Arial" w:cs="Arial"/>
          <w:lang w:val="en-ID"/>
        </w:rPr>
        <w:t xml:space="preserve">, </w:t>
      </w:r>
      <w:r w:rsidRPr="009C665C">
        <w:rPr>
          <w:rFonts w:ascii="Arial" w:hAnsi="Arial" w:cs="Arial"/>
          <w:i/>
          <w:iCs/>
          <w:lang w:val="en-ID"/>
        </w:rPr>
        <w:t>8</w:t>
      </w:r>
      <w:r w:rsidRPr="009C665C">
        <w:rPr>
          <w:rFonts w:ascii="Arial" w:hAnsi="Arial" w:cs="Arial"/>
          <w:lang w:val="en-ID"/>
        </w:rPr>
        <w:t>(3), 90–99. https://doi.org/10.36982/jeg.v8i3.3486</w:t>
      </w:r>
    </w:p>
    <w:p w14:paraId="31D42FD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Shu, M., Wang, C., &amp; Liu, F. (2026). The Risk Transmission Mechanism of Global Stock Markets from the Perspective of Entropy-Riemann Geometry: Theoretical Construction and Empirical Analysis. </w:t>
      </w:r>
      <w:r w:rsidRPr="009C665C">
        <w:rPr>
          <w:rFonts w:ascii="Arial" w:hAnsi="Arial" w:cs="Arial"/>
          <w:i/>
          <w:iCs/>
          <w:lang w:val="en-ID"/>
        </w:rPr>
        <w:t>Computational Economics</w:t>
      </w:r>
      <w:r w:rsidRPr="009C665C">
        <w:rPr>
          <w:rFonts w:ascii="Arial" w:hAnsi="Arial" w:cs="Arial"/>
          <w:lang w:val="en-ID"/>
        </w:rPr>
        <w:t xml:space="preserve">, </w:t>
      </w:r>
      <w:r w:rsidRPr="009C665C">
        <w:rPr>
          <w:rFonts w:ascii="Arial" w:hAnsi="Arial" w:cs="Arial"/>
          <w:i/>
          <w:iCs/>
          <w:lang w:val="en-ID"/>
        </w:rPr>
        <w:t>67</w:t>
      </w:r>
      <w:r w:rsidRPr="009C665C">
        <w:rPr>
          <w:rFonts w:ascii="Arial" w:hAnsi="Arial" w:cs="Arial"/>
          <w:lang w:val="en-ID"/>
        </w:rPr>
        <w:t>, 1073–1108. https://doi.org/10.1007/s10614-025-10913-4</w:t>
      </w:r>
    </w:p>
    <w:p w14:paraId="343B4A0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Siregar, I. S., Fachrezi, F. N., &amp; Sulistyowati, W. A. (2025). Impact of boycott action on financial performance and market reaction. </w:t>
      </w:r>
      <w:r w:rsidRPr="009C665C">
        <w:rPr>
          <w:rFonts w:ascii="Arial" w:hAnsi="Arial" w:cs="Arial"/>
          <w:i/>
          <w:iCs/>
          <w:lang w:val="en-ID"/>
        </w:rPr>
        <w:t>Indonesian Journal of Islamic Economics and Finance</w:t>
      </w:r>
      <w:r w:rsidRPr="009C665C">
        <w:rPr>
          <w:rFonts w:ascii="Arial" w:hAnsi="Arial" w:cs="Arial"/>
          <w:lang w:val="en-ID"/>
        </w:rPr>
        <w:t xml:space="preserve">, </w:t>
      </w:r>
      <w:r w:rsidRPr="009C665C">
        <w:rPr>
          <w:rFonts w:ascii="Arial" w:hAnsi="Arial" w:cs="Arial"/>
          <w:i/>
          <w:iCs/>
          <w:lang w:val="en-ID"/>
        </w:rPr>
        <w:t>5</w:t>
      </w:r>
      <w:r w:rsidRPr="009C665C">
        <w:rPr>
          <w:rFonts w:ascii="Arial" w:hAnsi="Arial" w:cs="Arial"/>
          <w:lang w:val="en-ID"/>
        </w:rPr>
        <w:t>(2), 233–256. https://doi.org/10.37680/ijief.v5i2.7316</w:t>
      </w:r>
    </w:p>
    <w:p w14:paraId="6192E379"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Sorescu, A., Warren, N. L., &amp; Ertekin, L. (2017). Event study methodology in the marketing literature: An overview. </w:t>
      </w:r>
      <w:r w:rsidRPr="009C665C">
        <w:rPr>
          <w:rFonts w:ascii="Arial" w:hAnsi="Arial" w:cs="Arial"/>
          <w:i/>
          <w:iCs/>
          <w:lang w:val="en-ID"/>
        </w:rPr>
        <w:t>Journal of the Academy of Marketing Science</w:t>
      </w:r>
      <w:r w:rsidRPr="009C665C">
        <w:rPr>
          <w:rFonts w:ascii="Arial" w:hAnsi="Arial" w:cs="Arial"/>
          <w:lang w:val="en-ID"/>
        </w:rPr>
        <w:t xml:space="preserve">, </w:t>
      </w:r>
      <w:r w:rsidRPr="009C665C">
        <w:rPr>
          <w:rFonts w:ascii="Arial" w:hAnsi="Arial" w:cs="Arial"/>
          <w:i/>
          <w:iCs/>
          <w:lang w:val="en-ID"/>
        </w:rPr>
        <w:t>45</w:t>
      </w:r>
      <w:r w:rsidRPr="009C665C">
        <w:rPr>
          <w:rFonts w:ascii="Arial" w:hAnsi="Arial" w:cs="Arial"/>
          <w:lang w:val="en-ID"/>
        </w:rPr>
        <w:t>(2), 186–207. https://doi.org/10.1007/s11747-017-0516-y</w:t>
      </w:r>
    </w:p>
    <w:p w14:paraId="5B2D945D"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Villagra, N., Monfort, A., &amp; Méndez-Suárez, M. (2021). Firm value impact of corporate activism: Facebook and the Stop Hate for Profit campaign. </w:t>
      </w:r>
      <w:r w:rsidRPr="009C665C">
        <w:rPr>
          <w:rFonts w:ascii="Arial" w:hAnsi="Arial" w:cs="Arial"/>
          <w:i/>
          <w:iCs/>
          <w:lang w:val="en-ID"/>
        </w:rPr>
        <w:t>Journal of Business Research</w:t>
      </w:r>
      <w:r w:rsidRPr="009C665C">
        <w:rPr>
          <w:rFonts w:ascii="Arial" w:hAnsi="Arial" w:cs="Arial"/>
          <w:lang w:val="en-ID"/>
        </w:rPr>
        <w:t xml:space="preserve">, </w:t>
      </w:r>
      <w:r w:rsidRPr="009C665C">
        <w:rPr>
          <w:rFonts w:ascii="Arial" w:hAnsi="Arial" w:cs="Arial"/>
          <w:i/>
          <w:iCs/>
          <w:lang w:val="en-ID"/>
        </w:rPr>
        <w:t>137</w:t>
      </w:r>
      <w:r w:rsidRPr="009C665C">
        <w:rPr>
          <w:rFonts w:ascii="Arial" w:hAnsi="Arial" w:cs="Arial"/>
          <w:lang w:val="en-ID"/>
        </w:rPr>
        <w:t>, 319–326. https://doi.org/10.1016/j.jbusres.2021.08.052</w:t>
      </w:r>
    </w:p>
    <w:p w14:paraId="7EA193D7"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Yahya, Y., Azam, A. H. M., Karim, Z. A., Zaidi, M. A. S., &amp; Pamuncak, M. B. (2026). Does geopolitical risk influence foreign investors’ decisions in the stock market? An ARDL approach. </w:t>
      </w:r>
      <w:r w:rsidRPr="009C665C">
        <w:rPr>
          <w:rFonts w:ascii="Arial" w:hAnsi="Arial" w:cs="Arial"/>
          <w:i/>
          <w:iCs/>
          <w:lang w:val="en-ID"/>
        </w:rPr>
        <w:t>Future Business Journal</w:t>
      </w:r>
      <w:r w:rsidRPr="009C665C">
        <w:rPr>
          <w:rFonts w:ascii="Arial" w:hAnsi="Arial" w:cs="Arial"/>
          <w:lang w:val="en-ID"/>
        </w:rPr>
        <w:t xml:space="preserve">, </w:t>
      </w:r>
      <w:r w:rsidRPr="009C665C">
        <w:rPr>
          <w:rFonts w:ascii="Arial" w:hAnsi="Arial" w:cs="Arial"/>
          <w:i/>
          <w:iCs/>
          <w:lang w:val="en-ID"/>
        </w:rPr>
        <w:t>12</w:t>
      </w:r>
      <w:r w:rsidRPr="009C665C">
        <w:rPr>
          <w:rFonts w:ascii="Arial" w:hAnsi="Arial" w:cs="Arial"/>
          <w:lang w:val="en-ID"/>
        </w:rPr>
        <w:t>(1), 1–12. https://doi.org/10.1186/s43093-026-00736-6</w:t>
      </w:r>
    </w:p>
    <w:p w14:paraId="17B19A1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Yilmazk, H. (2024). </w:t>
      </w:r>
      <w:r w:rsidRPr="009C665C">
        <w:rPr>
          <w:rFonts w:ascii="Arial" w:hAnsi="Arial" w:cs="Arial"/>
          <w:i/>
          <w:iCs/>
          <w:lang w:val="en-ID"/>
        </w:rPr>
        <w:t>Geopolitical risk and stock prices</w:t>
      </w:r>
      <w:r w:rsidRPr="009C665C">
        <w:rPr>
          <w:rFonts w:ascii="Arial" w:hAnsi="Arial" w:cs="Arial"/>
          <w:lang w:val="en-ID"/>
        </w:rPr>
        <w:t xml:space="preserve"> (Working Paper 2407). Florida International University.</w:t>
      </w:r>
    </w:p>
    <w:p w14:paraId="3FA21971" w14:textId="77777777" w:rsidR="004D4277" w:rsidRDefault="009C665C" w:rsidP="009C665C">
      <w:pPr>
        <w:pStyle w:val="Body"/>
        <w:spacing w:after="0"/>
        <w:ind w:left="567" w:hanging="567"/>
        <w:rPr>
          <w:rFonts w:ascii="Arial" w:hAnsi="Arial" w:cs="Arial"/>
        </w:rPr>
      </w:pPr>
      <w:r w:rsidRPr="009C665C">
        <w:rPr>
          <w:rFonts w:ascii="Arial" w:hAnsi="Arial" w:cs="Arial"/>
        </w:rPr>
        <w:fldChar w:fldCharType="end"/>
      </w:r>
    </w:p>
    <w:p w14:paraId="4A7E9FE8" w14:textId="709ABECC" w:rsidR="003745EF" w:rsidRDefault="003139F5" w:rsidP="00514435">
      <w:pPr>
        <w:pStyle w:val="Body"/>
        <w:spacing w:after="0"/>
        <w:ind w:left="567" w:hanging="567"/>
        <w:rPr>
          <w:rFonts w:ascii="Arial" w:hAnsi="Arial" w:cs="Arial"/>
          <w:b/>
        </w:rPr>
      </w:pPr>
      <w:proofErr w:type="gramStart"/>
      <w:r>
        <w:rPr>
          <w:rFonts w:ascii="Arial" w:hAnsi="Arial" w:cs="Arial"/>
          <w:color w:val="EE0000"/>
        </w:rPr>
        <w:t>Note :</w:t>
      </w:r>
      <w:proofErr w:type="gramEnd"/>
      <w:r>
        <w:rPr>
          <w:rFonts w:ascii="Arial" w:hAnsi="Arial" w:cs="Arial"/>
          <w:color w:val="EE0000"/>
        </w:rPr>
        <w:t xml:space="preserve"> Please checked the references must be stated in the texts.</w:t>
      </w:r>
      <w:bookmarkStart w:id="0" w:name="_GoBack"/>
      <w:bookmarkEnd w:id="0"/>
      <w:r w:rsidR="00514435">
        <w:rPr>
          <w:rFonts w:ascii="Arial" w:hAnsi="Arial" w:cs="Arial"/>
          <w:b/>
        </w:rPr>
        <w:t xml:space="preserve"> </w:t>
      </w:r>
    </w:p>
    <w:p w14:paraId="25918018" w14:textId="77777777" w:rsidR="003745EF" w:rsidRPr="00FB3A86" w:rsidRDefault="003745EF" w:rsidP="00441B6F">
      <w:pPr>
        <w:pStyle w:val="Appendix"/>
        <w:spacing w:after="0"/>
        <w:jc w:val="both"/>
        <w:rPr>
          <w:rFonts w:ascii="Arial" w:hAnsi="Arial" w:cs="Arial"/>
          <w:b w:val="0"/>
        </w:rPr>
      </w:pPr>
    </w:p>
    <w:sectPr w:rsidR="003745EF" w:rsidRPr="00FB3A86" w:rsidSect="0051443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E3F00" w14:textId="77777777" w:rsidR="00E25403" w:rsidRDefault="00E25403" w:rsidP="00C37E61">
      <w:r>
        <w:separator/>
      </w:r>
    </w:p>
  </w:endnote>
  <w:endnote w:type="continuationSeparator" w:id="0">
    <w:p w14:paraId="654EA493" w14:textId="77777777" w:rsidR="00E25403" w:rsidRDefault="00E2540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7257" w14:textId="77777777" w:rsidR="00C33316" w:rsidRDefault="00C33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E745" w14:textId="77777777" w:rsidR="00C33316" w:rsidRDefault="00C33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E7591" w14:textId="77777777" w:rsidR="009E048A" w:rsidRDefault="009E048A">
    <w:pPr>
      <w:pStyle w:val="Footer"/>
      <w:rPr>
        <w:rFonts w:ascii="Arial" w:hAnsi="Arial" w:cs="Arial"/>
        <w:sz w:val="16"/>
      </w:rPr>
    </w:pPr>
  </w:p>
  <w:p w14:paraId="182119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E9F320" w14:textId="77777777" w:rsidR="009E048A" w:rsidRDefault="009E048A">
    <w:pPr>
      <w:pStyle w:val="Footer"/>
      <w:rPr>
        <w:rFonts w:ascii="Arial" w:hAnsi="Arial" w:cs="Arial"/>
        <w:sz w:val="16"/>
      </w:rPr>
    </w:pPr>
  </w:p>
  <w:p w14:paraId="5220E32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FC6D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76B2B" w14:textId="77777777" w:rsidR="00E25403" w:rsidRDefault="00E25403" w:rsidP="00C37E61">
      <w:r>
        <w:separator/>
      </w:r>
    </w:p>
  </w:footnote>
  <w:footnote w:type="continuationSeparator" w:id="0">
    <w:p w14:paraId="5BC9D624" w14:textId="77777777" w:rsidR="00E25403" w:rsidRDefault="00E2540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2F2AD" w14:textId="5E697AD9" w:rsidR="00C33316" w:rsidRDefault="00E25403">
    <w:pPr>
      <w:pStyle w:val="Header"/>
    </w:pPr>
    <w:r>
      <w:rPr>
        <w:noProof/>
      </w:rPr>
      <w:pict w14:anchorId="49A87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60E4" w14:textId="35BDCDAD" w:rsidR="00C33316" w:rsidRDefault="00E25403">
    <w:pPr>
      <w:pStyle w:val="Header"/>
    </w:pPr>
    <w:r>
      <w:rPr>
        <w:noProof/>
      </w:rPr>
      <w:pict w14:anchorId="05CD7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8B09" w14:textId="0C1FA513" w:rsidR="00296529" w:rsidRPr="00296529" w:rsidRDefault="00E25403" w:rsidP="00296529">
    <w:pPr>
      <w:ind w:left="2160"/>
      <w:jc w:val="center"/>
      <w:rPr>
        <w:rFonts w:ascii="Times New Roman" w:eastAsia="Calibri" w:hAnsi="Times New Roman"/>
        <w:i/>
        <w:sz w:val="18"/>
        <w:szCs w:val="22"/>
      </w:rPr>
    </w:pPr>
    <w:r>
      <w:rPr>
        <w:noProof/>
      </w:rPr>
      <w:pict w14:anchorId="386B6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3E9F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7DADC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80E5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FF34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7D2F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90DB0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ECDD" w14:textId="12979049" w:rsidR="00C33316" w:rsidRDefault="00E25403">
    <w:pPr>
      <w:pStyle w:val="Header"/>
    </w:pPr>
    <w:r>
      <w:rPr>
        <w:noProof/>
      </w:rPr>
      <w:pict w14:anchorId="2CF6C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C377" w14:textId="4B695417" w:rsidR="00C33316" w:rsidRDefault="00E25403">
    <w:pPr>
      <w:pStyle w:val="Header"/>
    </w:pPr>
    <w:r>
      <w:rPr>
        <w:noProof/>
      </w:rPr>
      <w:pict w14:anchorId="5A0D4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E2D7E" w14:textId="233DBF26" w:rsidR="00C33316" w:rsidRDefault="00E25403">
    <w:pPr>
      <w:pStyle w:val="Header"/>
    </w:pPr>
    <w:r>
      <w:rPr>
        <w:noProof/>
      </w:rPr>
      <w:pict w14:anchorId="39CA5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242D8"/>
    <w:multiLevelType w:val="hybridMultilevel"/>
    <w:tmpl w:val="0CBA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9C64E1"/>
    <w:multiLevelType w:val="multilevel"/>
    <w:tmpl w:val="CB1A3E8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5"/>
  </w:num>
  <w:num w:numId="26">
    <w:abstractNumId w:val="17"/>
  </w:num>
  <w:num w:numId="27">
    <w:abstractNumId w:val="21"/>
  </w:num>
  <w:num w:numId="28">
    <w:abstractNumId w:val="29"/>
  </w:num>
  <w:num w:numId="29">
    <w:abstractNumId w:val="26"/>
  </w:num>
  <w:num w:numId="30">
    <w:abstractNumId w:val="11"/>
  </w:num>
  <w:num w:numId="31">
    <w:abstractNumId w:val="2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0834"/>
    <w:rsid w:val="000762EF"/>
    <w:rsid w:val="000A27C3"/>
    <w:rsid w:val="000A47FA"/>
    <w:rsid w:val="000A65D3"/>
    <w:rsid w:val="000A6CDC"/>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7EF1"/>
    <w:rsid w:val="00231920"/>
    <w:rsid w:val="0023195C"/>
    <w:rsid w:val="0024282C"/>
    <w:rsid w:val="002460DC"/>
    <w:rsid w:val="00250985"/>
    <w:rsid w:val="002556F6"/>
    <w:rsid w:val="00283105"/>
    <w:rsid w:val="00284C4C"/>
    <w:rsid w:val="00287E68"/>
    <w:rsid w:val="00296529"/>
    <w:rsid w:val="002A09C7"/>
    <w:rsid w:val="002A2002"/>
    <w:rsid w:val="002B27FB"/>
    <w:rsid w:val="002B685A"/>
    <w:rsid w:val="002C57D2"/>
    <w:rsid w:val="002E0D56"/>
    <w:rsid w:val="003139F5"/>
    <w:rsid w:val="00315186"/>
    <w:rsid w:val="0033343E"/>
    <w:rsid w:val="003512C2"/>
    <w:rsid w:val="00371FB6"/>
    <w:rsid w:val="0037374C"/>
    <w:rsid w:val="003745EF"/>
    <w:rsid w:val="003763C1"/>
    <w:rsid w:val="00376BBE"/>
    <w:rsid w:val="0039224F"/>
    <w:rsid w:val="003A43A4"/>
    <w:rsid w:val="003A589F"/>
    <w:rsid w:val="003A7E18"/>
    <w:rsid w:val="003B15DE"/>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4435"/>
    <w:rsid w:val="0053056E"/>
    <w:rsid w:val="00554FDA"/>
    <w:rsid w:val="005C784C"/>
    <w:rsid w:val="005D17F6"/>
    <w:rsid w:val="005D22DF"/>
    <w:rsid w:val="005E5539"/>
    <w:rsid w:val="00602BF5"/>
    <w:rsid w:val="006162C8"/>
    <w:rsid w:val="00617FDD"/>
    <w:rsid w:val="00633614"/>
    <w:rsid w:val="00633F68"/>
    <w:rsid w:val="00636EB2"/>
    <w:rsid w:val="006375B8"/>
    <w:rsid w:val="0066510A"/>
    <w:rsid w:val="00673F9F"/>
    <w:rsid w:val="006773E6"/>
    <w:rsid w:val="00686953"/>
    <w:rsid w:val="00687DEA"/>
    <w:rsid w:val="00687E67"/>
    <w:rsid w:val="006967F7"/>
    <w:rsid w:val="006A250C"/>
    <w:rsid w:val="006B21D3"/>
    <w:rsid w:val="006B57D0"/>
    <w:rsid w:val="006D30FF"/>
    <w:rsid w:val="006D6940"/>
    <w:rsid w:val="006E269D"/>
    <w:rsid w:val="006F11EC"/>
    <w:rsid w:val="0070082C"/>
    <w:rsid w:val="007369E6"/>
    <w:rsid w:val="00746E59"/>
    <w:rsid w:val="00754C9A"/>
    <w:rsid w:val="0075599A"/>
    <w:rsid w:val="00761D52"/>
    <w:rsid w:val="00776CC3"/>
    <w:rsid w:val="0077749E"/>
    <w:rsid w:val="00790ADA"/>
    <w:rsid w:val="007C7D35"/>
    <w:rsid w:val="007D2288"/>
    <w:rsid w:val="007E0621"/>
    <w:rsid w:val="007E088F"/>
    <w:rsid w:val="007F7B32"/>
    <w:rsid w:val="00804BC2"/>
    <w:rsid w:val="0081431A"/>
    <w:rsid w:val="0083216F"/>
    <w:rsid w:val="008338A6"/>
    <w:rsid w:val="00860000"/>
    <w:rsid w:val="00863BD3"/>
    <w:rsid w:val="008641ED"/>
    <w:rsid w:val="00866D66"/>
    <w:rsid w:val="008671C6"/>
    <w:rsid w:val="00875803"/>
    <w:rsid w:val="008B459E"/>
    <w:rsid w:val="008E13AE"/>
    <w:rsid w:val="008E1506"/>
    <w:rsid w:val="008E710C"/>
    <w:rsid w:val="008F69D6"/>
    <w:rsid w:val="00902823"/>
    <w:rsid w:val="0091218A"/>
    <w:rsid w:val="00915CA6"/>
    <w:rsid w:val="00927834"/>
    <w:rsid w:val="009500A6"/>
    <w:rsid w:val="00957C18"/>
    <w:rsid w:val="009659BA"/>
    <w:rsid w:val="00983040"/>
    <w:rsid w:val="009B3FB9"/>
    <w:rsid w:val="009C2465"/>
    <w:rsid w:val="009C665C"/>
    <w:rsid w:val="009D35A0"/>
    <w:rsid w:val="009D7EB7"/>
    <w:rsid w:val="009E048A"/>
    <w:rsid w:val="009E08E9"/>
    <w:rsid w:val="009E3DB9"/>
    <w:rsid w:val="009E6E35"/>
    <w:rsid w:val="009F0EDA"/>
    <w:rsid w:val="00A02272"/>
    <w:rsid w:val="00A03B96"/>
    <w:rsid w:val="00A05B19"/>
    <w:rsid w:val="00A1134E"/>
    <w:rsid w:val="00A24E7E"/>
    <w:rsid w:val="00A258C3"/>
    <w:rsid w:val="00A347C0"/>
    <w:rsid w:val="00A51431"/>
    <w:rsid w:val="00A539AD"/>
    <w:rsid w:val="00A54AAF"/>
    <w:rsid w:val="00A94063"/>
    <w:rsid w:val="00AA6219"/>
    <w:rsid w:val="00AA74E0"/>
    <w:rsid w:val="00AB703F"/>
    <w:rsid w:val="00AC6BB8"/>
    <w:rsid w:val="00AE008F"/>
    <w:rsid w:val="00B01FCD"/>
    <w:rsid w:val="00B1776C"/>
    <w:rsid w:val="00B30B79"/>
    <w:rsid w:val="00B52583"/>
    <w:rsid w:val="00B52896"/>
    <w:rsid w:val="00B70F60"/>
    <w:rsid w:val="00B95236"/>
    <w:rsid w:val="00B96BD9"/>
    <w:rsid w:val="00BA1B01"/>
    <w:rsid w:val="00BA2641"/>
    <w:rsid w:val="00BB37AA"/>
    <w:rsid w:val="00BC53A0"/>
    <w:rsid w:val="00BE62AD"/>
    <w:rsid w:val="00BF121F"/>
    <w:rsid w:val="00BF1F80"/>
    <w:rsid w:val="00C166EF"/>
    <w:rsid w:val="00C17EB0"/>
    <w:rsid w:val="00C27F5F"/>
    <w:rsid w:val="00C30A0F"/>
    <w:rsid w:val="00C33316"/>
    <w:rsid w:val="00C37E61"/>
    <w:rsid w:val="00C50848"/>
    <w:rsid w:val="00C70F1B"/>
    <w:rsid w:val="00C71A47"/>
    <w:rsid w:val="00C7464C"/>
    <w:rsid w:val="00C85588"/>
    <w:rsid w:val="00CA359C"/>
    <w:rsid w:val="00CB510E"/>
    <w:rsid w:val="00CD2A61"/>
    <w:rsid w:val="00CD6755"/>
    <w:rsid w:val="00CD6856"/>
    <w:rsid w:val="00CE0089"/>
    <w:rsid w:val="00CE793C"/>
    <w:rsid w:val="00CF193C"/>
    <w:rsid w:val="00D173F1"/>
    <w:rsid w:val="00D40232"/>
    <w:rsid w:val="00D74CB0"/>
    <w:rsid w:val="00D8295D"/>
    <w:rsid w:val="00D9395A"/>
    <w:rsid w:val="00DC2A65"/>
    <w:rsid w:val="00DE15F0"/>
    <w:rsid w:val="00DE5663"/>
    <w:rsid w:val="00DE78AA"/>
    <w:rsid w:val="00DF0AB8"/>
    <w:rsid w:val="00DF18E2"/>
    <w:rsid w:val="00E053D0"/>
    <w:rsid w:val="00E15994"/>
    <w:rsid w:val="00E25403"/>
    <w:rsid w:val="00E3114E"/>
    <w:rsid w:val="00E31A70"/>
    <w:rsid w:val="00E35B02"/>
    <w:rsid w:val="00E66496"/>
    <w:rsid w:val="00E66B35"/>
    <w:rsid w:val="00E66E10"/>
    <w:rsid w:val="00E719D0"/>
    <w:rsid w:val="00E769F6"/>
    <w:rsid w:val="00E8407C"/>
    <w:rsid w:val="00E84F3C"/>
    <w:rsid w:val="00EA012C"/>
    <w:rsid w:val="00EB68F8"/>
    <w:rsid w:val="00EC6A55"/>
    <w:rsid w:val="00ED0288"/>
    <w:rsid w:val="00EE52CB"/>
    <w:rsid w:val="00EF06C4"/>
    <w:rsid w:val="00EF581D"/>
    <w:rsid w:val="00EF7FD8"/>
    <w:rsid w:val="00F030B3"/>
    <w:rsid w:val="00F06F59"/>
    <w:rsid w:val="00F17988"/>
    <w:rsid w:val="00F469F0"/>
    <w:rsid w:val="00F53273"/>
    <w:rsid w:val="00F755E4"/>
    <w:rsid w:val="00F77D02"/>
    <w:rsid w:val="00FB2F1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F0BCB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ind w:left="0" w:firstLine="0"/>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9C665C"/>
  </w:style>
  <w:style w:type="paragraph" w:styleId="BodyText">
    <w:name w:val="Body Text"/>
    <w:basedOn w:val="Normal"/>
    <w:link w:val="BodyTextChar"/>
    <w:semiHidden/>
    <w:unhideWhenUsed/>
    <w:rsid w:val="003745EF"/>
    <w:pPr>
      <w:spacing w:after="120"/>
    </w:pPr>
  </w:style>
  <w:style w:type="character" w:customStyle="1" w:styleId="BodyTextChar">
    <w:name w:val="Body Text Char"/>
    <w:basedOn w:val="DefaultParagraphFont"/>
    <w:link w:val="BodyText"/>
    <w:semiHidden/>
    <w:rsid w:val="003745EF"/>
    <w:rPr>
      <w:rFonts w:ascii="Helvetica" w:hAnsi="Helvetica"/>
    </w:rPr>
  </w:style>
  <w:style w:type="paragraph" w:styleId="NormalWeb">
    <w:name w:val="Normal (Web)"/>
    <w:basedOn w:val="Normal"/>
    <w:rsid w:val="003745EF"/>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aliases w:val="List 1 Paragraph,List 1  Paragraph"/>
    <w:basedOn w:val="Normal"/>
    <w:link w:val="ListParagraphChar"/>
    <w:qFormat/>
    <w:rsid w:val="003745EF"/>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1 Paragraph Char,List 1  Paragraph Char"/>
    <w:link w:val="ListParagraph"/>
    <w:locked/>
    <w:rsid w:val="003745E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4980D-D27E-4DAD-9E08-3A86A4F3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10</Pages>
  <Words>4560</Words>
  <Characters>25995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30495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1159</cp:lastModifiedBy>
  <cp:revision>14</cp:revision>
  <cp:lastPrinted>1999-07-06T11:00:00Z</cp:lastPrinted>
  <dcterms:created xsi:type="dcterms:W3CDTF">2026-05-07T22:34:00Z</dcterms:created>
  <dcterms:modified xsi:type="dcterms:W3CDTF">2026-05-08T09:40:00Z</dcterms:modified>
</cp:coreProperties>
</file>