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199E" w14:textId="41779892" w:rsidR="001C1D18" w:rsidRDefault="00217595">
      <w:pPr>
        <w:spacing w:line="276" w:lineRule="auto"/>
        <w:jc w:val="center"/>
        <w:rPr>
          <w:b/>
          <w:sz w:val="24"/>
          <w:szCs w:val="24"/>
        </w:rPr>
      </w:pPr>
      <w:r>
        <w:rPr>
          <w:b/>
          <w:sz w:val="24"/>
          <w:szCs w:val="24"/>
        </w:rPr>
        <w:t xml:space="preserve"> Nutritional and Sensory Evaluation of Ginger and Turmeric Fortified</w:t>
      </w:r>
      <w:r w:rsidR="007139D4">
        <w:rPr>
          <w:b/>
          <w:sz w:val="24"/>
          <w:szCs w:val="24"/>
        </w:rPr>
        <w:t xml:space="preserve"> </w:t>
      </w:r>
      <w:r>
        <w:rPr>
          <w:b/>
          <w:sz w:val="24"/>
          <w:szCs w:val="24"/>
        </w:rPr>
        <w:t>Cassava -Groundnut Snack Bar</w:t>
      </w:r>
    </w:p>
    <w:p w14:paraId="39D2C477" w14:textId="5A18D7ED" w:rsidR="001C1D18" w:rsidRDefault="001C1D18">
      <w:pPr>
        <w:spacing w:line="276" w:lineRule="auto"/>
        <w:jc w:val="center"/>
        <w:rPr>
          <w:sz w:val="24"/>
          <w:szCs w:val="24"/>
        </w:rPr>
      </w:pPr>
    </w:p>
    <w:p w14:paraId="0620792A" w14:textId="77777777" w:rsidR="00E55051" w:rsidRDefault="00E55051">
      <w:pPr>
        <w:spacing w:line="276" w:lineRule="auto"/>
        <w:jc w:val="center"/>
        <w:rPr>
          <w:sz w:val="24"/>
          <w:szCs w:val="24"/>
        </w:rPr>
      </w:pPr>
    </w:p>
    <w:p w14:paraId="65C7DF9F" w14:textId="77777777" w:rsidR="001C1D18" w:rsidRDefault="00217595">
      <w:pPr>
        <w:spacing w:line="276" w:lineRule="auto"/>
        <w:jc w:val="both"/>
        <w:rPr>
          <w:b/>
          <w:sz w:val="24"/>
          <w:szCs w:val="24"/>
        </w:rPr>
      </w:pPr>
      <w:r>
        <w:rPr>
          <w:b/>
          <w:sz w:val="24"/>
          <w:szCs w:val="24"/>
        </w:rPr>
        <w:t xml:space="preserve">Abstract </w:t>
      </w:r>
    </w:p>
    <w:p w14:paraId="3FDAC129" w14:textId="77777777" w:rsidR="001C1D18" w:rsidRDefault="00217595">
      <w:pPr>
        <w:spacing w:before="240" w:line="276" w:lineRule="auto"/>
        <w:jc w:val="both"/>
        <w:rPr>
          <w:bCs/>
          <w:sz w:val="24"/>
          <w:szCs w:val="24"/>
        </w:rPr>
      </w:pPr>
      <w:commentRangeStart w:id="0"/>
      <w:r>
        <w:rPr>
          <w:bCs/>
          <w:sz w:val="24"/>
          <w:szCs w:val="24"/>
        </w:rPr>
        <w:t xml:space="preserve">This research </w:t>
      </w:r>
      <w:commentRangeEnd w:id="0"/>
      <w:r w:rsidR="00835E2E">
        <w:rPr>
          <w:rStyle w:val="Marquedecommentaire"/>
          <w:bCs/>
          <w:sz w:val="24"/>
          <w:szCs w:val="24"/>
        </w:rPr>
        <w:commentReference w:id="0"/>
      </w:r>
      <w:r>
        <w:rPr>
          <w:bCs/>
          <w:sz w:val="24"/>
          <w:szCs w:val="24"/>
        </w:rPr>
        <w:t xml:space="preserve">evaluated the nutritional and sensory properties of cassava-groundnut snack bars fortified with ginger and turmeric. </w:t>
      </w:r>
      <w:commentRangeStart w:id="1"/>
      <w:r>
        <w:rPr>
          <w:bCs/>
          <w:sz w:val="24"/>
          <w:szCs w:val="24"/>
        </w:rPr>
        <w:t>The study is based on a 3 x 3 design</w:t>
      </w:r>
      <w:commentRangeEnd w:id="1"/>
      <w:r w:rsidR="00835E2E">
        <w:rPr>
          <w:rStyle w:val="Marquedecommentaire"/>
          <w:bCs/>
          <w:sz w:val="24"/>
          <w:szCs w:val="24"/>
        </w:rPr>
        <w:commentReference w:id="1"/>
      </w:r>
      <w:r>
        <w:rPr>
          <w:bCs/>
          <w:sz w:val="24"/>
          <w:szCs w:val="24"/>
        </w:rPr>
        <w:t>, with three fortification sources (ginger, turmeric, and a 50:50 ginger</w:t>
      </w:r>
      <w:r>
        <w:rPr>
          <w:bCs/>
          <w:sz w:val="24"/>
          <w:szCs w:val="24"/>
        </w:rPr>
        <w:noBreakHyphen/>
        <w:t xml:space="preserve">turmeric blend). </w:t>
      </w:r>
      <w:commentRangeStart w:id="2"/>
      <w:r>
        <w:rPr>
          <w:bCs/>
          <w:sz w:val="24"/>
          <w:szCs w:val="24"/>
        </w:rPr>
        <w:t>Ten samples were formulated: three per fortification source plus an unfortified control</w:t>
      </w:r>
      <w:commentRangeEnd w:id="2"/>
      <w:r w:rsidR="00835E2E">
        <w:rPr>
          <w:rStyle w:val="Marquedecommentaire"/>
          <w:bCs/>
          <w:sz w:val="24"/>
          <w:szCs w:val="24"/>
        </w:rPr>
        <w:commentReference w:id="2"/>
      </w:r>
      <w:r>
        <w:rPr>
          <w:bCs/>
          <w:sz w:val="24"/>
          <w:szCs w:val="24"/>
        </w:rPr>
        <w:t>. All bars used a 70:30 cassava</w:t>
      </w:r>
      <w:r>
        <w:rPr>
          <w:bCs/>
          <w:sz w:val="24"/>
          <w:szCs w:val="24"/>
        </w:rPr>
        <w:noBreakHyphen/>
        <w:t>groundnut blend. Proximate composition was determined by AOAC methods, and sensory evaluation used a 9</w:t>
      </w:r>
      <w:r>
        <w:rPr>
          <w:bCs/>
          <w:sz w:val="24"/>
          <w:szCs w:val="24"/>
        </w:rPr>
        <w:noBreakHyphen/>
        <w:t xml:space="preserve">point Hedonic scale. </w:t>
      </w:r>
      <w:commentRangeStart w:id="3"/>
      <w:r>
        <w:rPr>
          <w:bCs/>
          <w:sz w:val="24"/>
          <w:szCs w:val="24"/>
        </w:rPr>
        <w:t xml:space="preserve">Proximate results showed moisture content ranged from </w:t>
      </w:r>
      <w:commentRangeStart w:id="4"/>
      <w:r>
        <w:rPr>
          <w:bCs/>
          <w:sz w:val="24"/>
          <w:szCs w:val="24"/>
        </w:rPr>
        <w:t>7.06% to 9.05%</w:t>
      </w:r>
      <w:commentRangeEnd w:id="4"/>
      <w:r w:rsidR="00BE51E2">
        <w:rPr>
          <w:rStyle w:val="Marquedecommentaire"/>
          <w:bCs/>
          <w:sz w:val="24"/>
          <w:szCs w:val="24"/>
        </w:rPr>
        <w:commentReference w:id="4"/>
      </w:r>
      <w:r>
        <w:rPr>
          <w:bCs/>
          <w:sz w:val="24"/>
          <w:szCs w:val="24"/>
        </w:rPr>
        <w:t xml:space="preserve">, crude protein </w:t>
      </w:r>
      <w:commentRangeStart w:id="5"/>
      <w:r>
        <w:rPr>
          <w:bCs/>
          <w:sz w:val="24"/>
          <w:szCs w:val="24"/>
        </w:rPr>
        <w:t xml:space="preserve">2.87-9.23%, </w:t>
      </w:r>
      <w:commentRangeEnd w:id="5"/>
      <w:r w:rsidR="00BE51E2">
        <w:rPr>
          <w:rStyle w:val="Marquedecommentaire"/>
          <w:bCs/>
          <w:sz w:val="24"/>
          <w:szCs w:val="24"/>
        </w:rPr>
        <w:commentReference w:id="5"/>
      </w:r>
      <w:r>
        <w:rPr>
          <w:bCs/>
          <w:sz w:val="24"/>
          <w:szCs w:val="24"/>
        </w:rPr>
        <w:t xml:space="preserve">crude fibre 1.97-3.89%, fat 3.86-8.98%, ash 1.61-3.43%, carbohydrate 65.43-81.28%, and energy value </w:t>
      </w:r>
      <w:commentRangeStart w:id="6"/>
      <w:r>
        <w:rPr>
          <w:bCs/>
          <w:sz w:val="24"/>
          <w:szCs w:val="24"/>
        </w:rPr>
        <w:t>371.28-386.12%.</w:t>
      </w:r>
      <w:commentRangeEnd w:id="3"/>
      <w:r w:rsidR="00BE51E2">
        <w:rPr>
          <w:rStyle w:val="Marquedecommentaire"/>
          <w:bCs/>
          <w:sz w:val="24"/>
          <w:szCs w:val="24"/>
        </w:rPr>
        <w:commentReference w:id="3"/>
      </w:r>
      <w:r>
        <w:rPr>
          <w:bCs/>
          <w:sz w:val="24"/>
          <w:szCs w:val="24"/>
        </w:rPr>
        <w:t xml:space="preserve"> </w:t>
      </w:r>
      <w:commentRangeEnd w:id="6"/>
      <w:r w:rsidR="00BE0E62">
        <w:rPr>
          <w:rStyle w:val="Marquedecommentaire"/>
          <w:bCs/>
          <w:sz w:val="24"/>
          <w:szCs w:val="24"/>
        </w:rPr>
        <w:commentReference w:id="6"/>
      </w:r>
      <w:r>
        <w:rPr>
          <w:bCs/>
          <w:sz w:val="24"/>
          <w:szCs w:val="24"/>
        </w:rPr>
        <w:t xml:space="preserve">Significant differences (P &lt; 0.05) were observed among all samples. </w:t>
      </w:r>
      <w:commentRangeStart w:id="7"/>
      <w:r>
        <w:rPr>
          <w:bCs/>
          <w:sz w:val="24"/>
          <w:szCs w:val="24"/>
        </w:rPr>
        <w:t>Sample GT7 (7% ginger</w:t>
      </w:r>
      <w:r>
        <w:rPr>
          <w:bCs/>
          <w:sz w:val="24"/>
          <w:szCs w:val="24"/>
        </w:rPr>
        <w:noBreakHyphen/>
        <w:t xml:space="preserve">turmeric blend) had the highest crude protein (9.24%), ash (3.34%), crude fibre (3.89%), fat (3.43%), and energy value (386.12%). </w:t>
      </w:r>
      <w:commentRangeEnd w:id="7"/>
      <w:r w:rsidR="00315E95">
        <w:rPr>
          <w:rStyle w:val="Marquedecommentaire"/>
          <w:bCs/>
          <w:sz w:val="24"/>
          <w:szCs w:val="24"/>
        </w:rPr>
        <w:commentReference w:id="7"/>
      </w:r>
      <w:r>
        <w:rPr>
          <w:bCs/>
          <w:sz w:val="24"/>
          <w:szCs w:val="24"/>
        </w:rPr>
        <w:t xml:space="preserve">Sensory evaluation also revealed significant differences (P &lt; 0.05) in appearance, flavour, taste, and general acceptability. Sample G77 (7% ginger) received the highest flavour score (5.87), while both T33 (3% turmeric) and G77 were most preferred for general acceptability. </w:t>
      </w:r>
      <w:commentRangeStart w:id="8"/>
      <w:r>
        <w:rPr>
          <w:bCs/>
          <w:sz w:val="24"/>
          <w:szCs w:val="24"/>
        </w:rPr>
        <w:t xml:space="preserve">These findings demonstrate that ginger and turmeric are </w:t>
      </w:r>
      <w:commentRangeStart w:id="9"/>
      <w:r>
        <w:rPr>
          <w:bCs/>
          <w:sz w:val="24"/>
          <w:szCs w:val="24"/>
        </w:rPr>
        <w:t xml:space="preserve">effective fortificants </w:t>
      </w:r>
      <w:commentRangeEnd w:id="9"/>
      <w:r w:rsidR="00315E95">
        <w:rPr>
          <w:rStyle w:val="Marquedecommentaire"/>
          <w:bCs/>
          <w:sz w:val="24"/>
          <w:szCs w:val="24"/>
        </w:rPr>
        <w:commentReference w:id="9"/>
      </w:r>
      <w:r>
        <w:rPr>
          <w:bCs/>
          <w:sz w:val="24"/>
          <w:szCs w:val="24"/>
        </w:rPr>
        <w:t>for enhancing the nutritional composition and sensory appeal of cassava</w:t>
      </w:r>
      <w:r>
        <w:rPr>
          <w:bCs/>
          <w:sz w:val="24"/>
          <w:szCs w:val="24"/>
        </w:rPr>
        <w:noBreakHyphen/>
        <w:t>groundnut snack bars.</w:t>
      </w:r>
      <w:commentRangeEnd w:id="8"/>
      <w:r w:rsidR="00C536A0">
        <w:rPr>
          <w:rStyle w:val="Marquedecommentaire"/>
          <w:bCs/>
          <w:sz w:val="24"/>
          <w:szCs w:val="24"/>
        </w:rPr>
        <w:commentReference w:id="8"/>
      </w:r>
    </w:p>
    <w:p w14:paraId="46311909" w14:textId="77777777" w:rsidR="001C1D18" w:rsidRDefault="00217595">
      <w:pPr>
        <w:spacing w:before="240" w:line="276" w:lineRule="auto"/>
        <w:jc w:val="both"/>
        <w:rPr>
          <w:sz w:val="24"/>
          <w:szCs w:val="24"/>
        </w:rPr>
      </w:pPr>
      <w:r>
        <w:rPr>
          <w:b/>
          <w:sz w:val="24"/>
          <w:szCs w:val="24"/>
        </w:rPr>
        <w:t xml:space="preserve">Keywords: </w:t>
      </w:r>
      <w:r>
        <w:rPr>
          <w:b/>
          <w:i/>
          <w:sz w:val="24"/>
          <w:szCs w:val="24"/>
        </w:rPr>
        <w:t>Cassava, groundnut, ginger, turmeric, proximate, sensory evaluation.</w:t>
      </w:r>
    </w:p>
    <w:p w14:paraId="649A519F" w14:textId="77777777" w:rsidR="001C1D18" w:rsidRDefault="00217595">
      <w:pPr>
        <w:spacing w:before="240" w:line="276" w:lineRule="auto"/>
        <w:jc w:val="both"/>
        <w:rPr>
          <w:b/>
          <w:sz w:val="24"/>
          <w:szCs w:val="24"/>
        </w:rPr>
      </w:pPr>
      <w:r>
        <w:rPr>
          <w:b/>
          <w:sz w:val="24"/>
          <w:szCs w:val="24"/>
        </w:rPr>
        <w:t xml:space="preserve">1. </w:t>
      </w:r>
      <w:commentRangeStart w:id="10"/>
      <w:r>
        <w:rPr>
          <w:b/>
          <w:sz w:val="24"/>
          <w:szCs w:val="24"/>
        </w:rPr>
        <w:t>INTRODUCTION</w:t>
      </w:r>
      <w:commentRangeEnd w:id="10"/>
      <w:r w:rsidR="00D417F6">
        <w:rPr>
          <w:rStyle w:val="Marquedecommentaire"/>
          <w:b/>
          <w:sz w:val="24"/>
          <w:szCs w:val="24"/>
        </w:rPr>
        <w:commentReference w:id="10"/>
      </w:r>
    </w:p>
    <w:p w14:paraId="0F3A3B6C" w14:textId="77777777" w:rsidR="001C1D18" w:rsidRDefault="00217595">
      <w:pPr>
        <w:spacing w:before="240" w:line="276" w:lineRule="auto"/>
        <w:jc w:val="both"/>
        <w:rPr>
          <w:sz w:val="24"/>
          <w:szCs w:val="24"/>
        </w:rPr>
      </w:pPr>
      <w:r>
        <w:rPr>
          <w:sz w:val="24"/>
          <w:szCs w:val="24"/>
        </w:rPr>
        <w:t xml:space="preserve">Snacks are food products consumed between main meals and are typically designed for convenience, portability, and extended shelf life. In recent years, the global snack food industry has experienced significant growth, driven by rapid urbanization, changing lifestyles, and increasing demand for ready-to-eat foods (Cheong et al., 2022; Kumar et al., 2023; Singh et al., 2024). </w:t>
      </w:r>
      <w:commentRangeStart w:id="11"/>
      <w:r>
        <w:rPr>
          <w:sz w:val="24"/>
          <w:szCs w:val="24"/>
        </w:rPr>
        <w:t xml:space="preserve">Beyond convenience, snacks now play an important role in meeting daily nutritional requirements across different population groups. </w:t>
      </w:r>
      <w:commentRangeEnd w:id="11"/>
      <w:r w:rsidR="002F35A7">
        <w:rPr>
          <w:rStyle w:val="Marquedecommentaire"/>
          <w:sz w:val="24"/>
          <w:szCs w:val="24"/>
        </w:rPr>
        <w:commentReference w:id="11"/>
      </w:r>
      <w:r>
        <w:rPr>
          <w:sz w:val="24"/>
          <w:szCs w:val="24"/>
        </w:rPr>
        <w:t>Consequently, consumer preferences have shifted from traditional energy-dense, nutrient-poor snack products toward healthier alternatives that provide functional and physiological benefits.</w:t>
      </w:r>
    </w:p>
    <w:p w14:paraId="48065EF9" w14:textId="77777777" w:rsidR="001C1D18" w:rsidRDefault="00217595">
      <w:pPr>
        <w:spacing w:before="240" w:line="276" w:lineRule="auto"/>
        <w:jc w:val="both"/>
        <w:rPr>
          <w:sz w:val="24"/>
          <w:szCs w:val="24"/>
        </w:rPr>
      </w:pPr>
      <w:commentRangeStart w:id="12"/>
      <w:r>
        <w:rPr>
          <w:sz w:val="24"/>
          <w:szCs w:val="24"/>
        </w:rPr>
        <w:t xml:space="preserve">This has led to increased interest in functional foods, defined as foods that offer health benefits beyond basic nutrition due to the presence of bioactive compounds (Shahidi, 2022). Modern consumers increasingly seek snack products enriched with protein, dietary fibre, and natural ingredients, particularly plant-based additives such as herbs and spices (Martínez et al., 2020; Granato et al., 2022). </w:t>
      </w:r>
      <w:commentRangeStart w:id="13"/>
      <w:r>
        <w:rPr>
          <w:sz w:val="24"/>
          <w:szCs w:val="24"/>
        </w:rPr>
        <w:t>Among such ingredients, ginger (</w:t>
      </w:r>
      <w:r>
        <w:rPr>
          <w:i/>
          <w:iCs/>
          <w:sz w:val="24"/>
          <w:szCs w:val="24"/>
        </w:rPr>
        <w:t>Zingiber officinale</w:t>
      </w:r>
      <w:r>
        <w:rPr>
          <w:sz w:val="24"/>
          <w:szCs w:val="24"/>
        </w:rPr>
        <w:t>) and turmeric (</w:t>
      </w:r>
      <w:r>
        <w:rPr>
          <w:i/>
          <w:iCs/>
          <w:sz w:val="24"/>
          <w:szCs w:val="24"/>
        </w:rPr>
        <w:t>Curcuma longa</w:t>
      </w:r>
      <w:r>
        <w:rPr>
          <w:sz w:val="24"/>
          <w:szCs w:val="24"/>
        </w:rPr>
        <w:t xml:space="preserve">) have gained considerable attention due to their well-documented health-promoting properties. </w:t>
      </w:r>
      <w:commentRangeEnd w:id="13"/>
      <w:r w:rsidR="002F35A7">
        <w:rPr>
          <w:rStyle w:val="Marquedecommentaire"/>
          <w:sz w:val="24"/>
          <w:szCs w:val="24"/>
        </w:rPr>
        <w:commentReference w:id="13"/>
      </w:r>
      <w:r>
        <w:rPr>
          <w:sz w:val="24"/>
          <w:szCs w:val="24"/>
        </w:rPr>
        <w:t>These spices contain bioactive compounds such as gingerol and curcumin, which exhibit strong antioxidant, anti-inflammatory, and antimicrobial activities (Ali et al., 2018; Kunnumakkara et al., 2019; Hewlings &amp; Kalman, 2023). Their incorporation into food systems has been associated with reduced risk of chronic diseases, including cardiovascular disorders, diabetes, and certain cancers.</w:t>
      </w:r>
      <w:commentRangeEnd w:id="12"/>
      <w:r w:rsidR="00DD3BE0">
        <w:rPr>
          <w:rStyle w:val="Marquedecommentaire"/>
          <w:sz w:val="24"/>
          <w:szCs w:val="24"/>
        </w:rPr>
        <w:commentReference w:id="12"/>
      </w:r>
    </w:p>
    <w:p w14:paraId="37764DE6" w14:textId="77777777" w:rsidR="001C1D18" w:rsidRDefault="00217595">
      <w:pPr>
        <w:spacing w:before="240" w:line="276" w:lineRule="auto"/>
        <w:jc w:val="both"/>
        <w:rPr>
          <w:sz w:val="24"/>
          <w:szCs w:val="24"/>
        </w:rPr>
      </w:pPr>
      <w:r>
        <w:rPr>
          <w:sz w:val="24"/>
          <w:szCs w:val="24"/>
        </w:rPr>
        <w:t xml:space="preserve">Despite the growing demand for functional snack products, the global snack industry remains </w:t>
      </w:r>
      <w:r>
        <w:rPr>
          <w:sz w:val="24"/>
          <w:szCs w:val="24"/>
        </w:rPr>
        <w:lastRenderedPageBreak/>
        <w:t>heavily dependent on wheat-based formulations. This reliance contributes to limited dietary diversity and raises concerns related to gluten intolerance and allergies. Furthermore, many conventional snack products are characterized by high levels of sugar, salt, and unhealthy fats, which are linked to adverse health outcomes. In developing countries such as Nigeria, dependence on imported wheat also poses economic challenges and limits the utilization of locally available crops with high nutritional potential. Promoting indigenous crops is therefore essential for enhancing food security, supporting local agriculture, and improving dietary quality (Olatunde et al., 2023).</w:t>
      </w:r>
    </w:p>
    <w:p w14:paraId="5097496B" w14:textId="77777777" w:rsidR="001C1D18" w:rsidRDefault="00217595">
      <w:pPr>
        <w:spacing w:before="240" w:line="276" w:lineRule="auto"/>
        <w:jc w:val="both"/>
        <w:rPr>
          <w:sz w:val="24"/>
          <w:szCs w:val="24"/>
        </w:rPr>
      </w:pPr>
      <w:commentRangeStart w:id="14"/>
      <w:r>
        <w:rPr>
          <w:sz w:val="24"/>
          <w:szCs w:val="24"/>
        </w:rPr>
        <w:t>Cassava (</w:t>
      </w:r>
      <w:r>
        <w:rPr>
          <w:i/>
          <w:iCs/>
          <w:sz w:val="24"/>
          <w:szCs w:val="24"/>
        </w:rPr>
        <w:t>Manihot esculenta</w:t>
      </w:r>
      <w:r>
        <w:rPr>
          <w:sz w:val="24"/>
          <w:szCs w:val="24"/>
        </w:rPr>
        <w:t>) and groundnut (</w:t>
      </w:r>
      <w:r>
        <w:rPr>
          <w:i/>
          <w:iCs/>
          <w:sz w:val="24"/>
          <w:szCs w:val="24"/>
        </w:rPr>
        <w:t>Arachis hypogaea</w:t>
      </w:r>
      <w:r>
        <w:rPr>
          <w:sz w:val="24"/>
          <w:szCs w:val="24"/>
        </w:rPr>
        <w:t xml:space="preserve">) are widely cultivated and consumed in Nigeria and other tropical regions. </w:t>
      </w:r>
      <w:commentRangeEnd w:id="14"/>
      <w:r w:rsidR="00E63C25">
        <w:rPr>
          <w:rStyle w:val="Marquedecommentaire"/>
          <w:sz w:val="24"/>
          <w:szCs w:val="24"/>
        </w:rPr>
        <w:commentReference w:id="14"/>
      </w:r>
      <w:r>
        <w:rPr>
          <w:sz w:val="24"/>
          <w:szCs w:val="24"/>
        </w:rPr>
        <w:t>Cassava is an excellent source of carbohydrates and is highly versatile in food processing, while groundnut provides substantial amounts of plant-based protein, healthy fats, and essential micronutrients (Opara et al., 2022; Edet et al., 2023). The combination of cassava and groundnut offers a promising basis for developing gluten-free, nutrient-dense snack products. However, such formulations may benefit further from fortification with functional ingredients to enhance both nutritional value and sensory quality.</w:t>
      </w:r>
    </w:p>
    <w:p w14:paraId="56E8780B" w14:textId="77777777" w:rsidR="001C1D18" w:rsidRDefault="00217595">
      <w:pPr>
        <w:spacing w:before="240" w:line="276" w:lineRule="auto"/>
        <w:jc w:val="both"/>
        <w:rPr>
          <w:sz w:val="24"/>
          <w:szCs w:val="24"/>
        </w:rPr>
      </w:pPr>
      <w:r>
        <w:rPr>
          <w:sz w:val="24"/>
          <w:szCs w:val="24"/>
        </w:rPr>
        <w:t xml:space="preserve">The incorporation of ginger and turmeric into cassava-groundnut snack bars </w:t>
      </w:r>
      <w:commentRangeStart w:id="15"/>
      <w:r>
        <w:rPr>
          <w:sz w:val="24"/>
          <w:szCs w:val="24"/>
        </w:rPr>
        <w:t xml:space="preserve">present </w:t>
      </w:r>
      <w:commentRangeEnd w:id="15"/>
      <w:r w:rsidR="00833A7C">
        <w:rPr>
          <w:rStyle w:val="Marquedecommentaire"/>
          <w:sz w:val="24"/>
          <w:szCs w:val="24"/>
        </w:rPr>
        <w:commentReference w:id="15"/>
      </w:r>
      <w:r>
        <w:rPr>
          <w:sz w:val="24"/>
          <w:szCs w:val="24"/>
        </w:rPr>
        <w:t xml:space="preserve">a viable strategy for improving their functional properties, including antioxidant capacity, flavour profile, and overall consumer acceptability. Additionally, the use of these spices may contribute to value addition and increased utilization of indigenous raw materials. </w:t>
      </w:r>
      <w:commentRangeStart w:id="16"/>
      <w:r>
        <w:rPr>
          <w:sz w:val="24"/>
          <w:szCs w:val="24"/>
        </w:rPr>
        <w:t xml:space="preserve">Therefore, this study aimed to evaluate the proximate composition and sensory properties of cassava–groundnut snack bars fortified with ginger and turmeric flours, with a view to developing a nutritionally enhanced, functional snack that meets current consumer demands for health-promoting and convenient </w:t>
      </w:r>
      <w:commentRangeStart w:id="17"/>
      <w:r>
        <w:rPr>
          <w:sz w:val="24"/>
          <w:szCs w:val="24"/>
        </w:rPr>
        <w:t>foods</w:t>
      </w:r>
      <w:commentRangeEnd w:id="17"/>
      <w:r w:rsidR="00186B53">
        <w:rPr>
          <w:rStyle w:val="Marquedecommentaire"/>
          <w:sz w:val="24"/>
          <w:szCs w:val="24"/>
        </w:rPr>
        <w:commentReference w:id="17"/>
      </w:r>
      <w:r>
        <w:rPr>
          <w:sz w:val="24"/>
          <w:szCs w:val="24"/>
        </w:rPr>
        <w:t>.</w:t>
      </w:r>
      <w:commentRangeEnd w:id="16"/>
      <w:r w:rsidR="00A26C44">
        <w:rPr>
          <w:rStyle w:val="Marquedecommentaire"/>
          <w:sz w:val="24"/>
          <w:szCs w:val="24"/>
        </w:rPr>
        <w:commentReference w:id="16"/>
      </w:r>
    </w:p>
    <w:p w14:paraId="2F522699" w14:textId="77777777" w:rsidR="001C1D18" w:rsidRDefault="00217595">
      <w:pPr>
        <w:spacing w:before="240" w:line="276" w:lineRule="auto"/>
        <w:jc w:val="both"/>
        <w:rPr>
          <w:b/>
          <w:sz w:val="24"/>
          <w:szCs w:val="24"/>
        </w:rPr>
      </w:pPr>
      <w:r>
        <w:rPr>
          <w:b/>
          <w:sz w:val="24"/>
          <w:szCs w:val="24"/>
        </w:rPr>
        <w:t>2. MATERIALS</w:t>
      </w:r>
      <w:r>
        <w:rPr>
          <w:b/>
          <w:spacing w:val="-1"/>
          <w:sz w:val="24"/>
          <w:szCs w:val="24"/>
        </w:rPr>
        <w:t xml:space="preserve"> </w:t>
      </w:r>
      <w:r>
        <w:rPr>
          <w:b/>
          <w:sz w:val="24"/>
          <w:szCs w:val="24"/>
        </w:rPr>
        <w:t>AND</w:t>
      </w:r>
      <w:r>
        <w:rPr>
          <w:b/>
          <w:spacing w:val="-1"/>
          <w:sz w:val="24"/>
          <w:szCs w:val="24"/>
        </w:rPr>
        <w:t xml:space="preserve"> </w:t>
      </w:r>
      <w:r>
        <w:rPr>
          <w:b/>
          <w:sz w:val="24"/>
          <w:szCs w:val="24"/>
        </w:rPr>
        <w:t>METHOD</w:t>
      </w:r>
    </w:p>
    <w:p w14:paraId="7D9F84EF" w14:textId="77777777" w:rsidR="001C1D18" w:rsidRDefault="00217595">
      <w:pPr>
        <w:spacing w:before="240" w:line="276" w:lineRule="auto"/>
        <w:ind w:left="100" w:hanging="100"/>
        <w:jc w:val="both"/>
        <w:rPr>
          <w:b/>
          <w:sz w:val="24"/>
          <w:szCs w:val="24"/>
        </w:rPr>
      </w:pPr>
      <w:r>
        <w:rPr>
          <w:b/>
          <w:sz w:val="24"/>
          <w:szCs w:val="24"/>
        </w:rPr>
        <w:t>2.1 Materials Procurement</w:t>
      </w:r>
    </w:p>
    <w:p w14:paraId="6BBBBE5B" w14:textId="77777777" w:rsidR="001C1D18" w:rsidRDefault="00217595">
      <w:pPr>
        <w:spacing w:before="240" w:line="276" w:lineRule="auto"/>
        <w:jc w:val="both"/>
        <w:rPr>
          <w:b/>
          <w:sz w:val="24"/>
          <w:szCs w:val="24"/>
        </w:rPr>
      </w:pPr>
      <w:r>
        <w:rPr>
          <w:sz w:val="24"/>
          <w:szCs w:val="24"/>
        </w:rPr>
        <w:t>Cassava tuber was sourced from the Agricultural Development Programme, Owerri, Imo State, Nigeria. Both ginger, turmeric, groundnut, baking soda, salt, sugar and cocoa powder were purchased from Ihiagwa daily market, Owerri West Local Government Area, Imo State, Nigeria All</w:t>
      </w:r>
      <w:r>
        <w:rPr>
          <w:spacing w:val="22"/>
          <w:sz w:val="24"/>
          <w:szCs w:val="24"/>
        </w:rPr>
        <w:t xml:space="preserve"> </w:t>
      </w:r>
      <w:r>
        <w:rPr>
          <w:sz w:val="24"/>
          <w:szCs w:val="24"/>
        </w:rPr>
        <w:t>reagents</w:t>
      </w:r>
      <w:r>
        <w:rPr>
          <w:spacing w:val="23"/>
          <w:sz w:val="24"/>
          <w:szCs w:val="24"/>
        </w:rPr>
        <w:t xml:space="preserve"> </w:t>
      </w:r>
      <w:r>
        <w:rPr>
          <w:sz w:val="24"/>
          <w:szCs w:val="24"/>
        </w:rPr>
        <w:t>were</w:t>
      </w:r>
      <w:r>
        <w:rPr>
          <w:spacing w:val="20"/>
          <w:sz w:val="24"/>
          <w:szCs w:val="24"/>
        </w:rPr>
        <w:t xml:space="preserve"> </w:t>
      </w:r>
      <w:r>
        <w:rPr>
          <w:sz w:val="24"/>
          <w:szCs w:val="24"/>
        </w:rPr>
        <w:t>of</w:t>
      </w:r>
      <w:r>
        <w:rPr>
          <w:spacing w:val="24"/>
          <w:sz w:val="24"/>
          <w:szCs w:val="24"/>
        </w:rPr>
        <w:t xml:space="preserve"> </w:t>
      </w:r>
      <w:r>
        <w:rPr>
          <w:sz w:val="24"/>
          <w:szCs w:val="24"/>
        </w:rPr>
        <w:t>analytical</w:t>
      </w:r>
      <w:r>
        <w:rPr>
          <w:spacing w:val="25"/>
          <w:sz w:val="24"/>
          <w:szCs w:val="24"/>
        </w:rPr>
        <w:t xml:space="preserve"> </w:t>
      </w:r>
      <w:r>
        <w:rPr>
          <w:sz w:val="24"/>
          <w:szCs w:val="24"/>
        </w:rPr>
        <w:t>grades.</w:t>
      </w:r>
      <w:r>
        <w:rPr>
          <w:spacing w:val="22"/>
          <w:sz w:val="24"/>
          <w:szCs w:val="24"/>
        </w:rPr>
        <w:t xml:space="preserve"> </w:t>
      </w:r>
      <w:r>
        <w:rPr>
          <w:sz w:val="24"/>
          <w:szCs w:val="24"/>
        </w:rPr>
        <w:t>They</w:t>
      </w:r>
      <w:r>
        <w:rPr>
          <w:spacing w:val="17"/>
          <w:sz w:val="24"/>
          <w:szCs w:val="24"/>
        </w:rPr>
        <w:t xml:space="preserve"> </w:t>
      </w:r>
      <w:r>
        <w:rPr>
          <w:sz w:val="24"/>
          <w:szCs w:val="24"/>
        </w:rPr>
        <w:t>were</w:t>
      </w:r>
      <w:r>
        <w:rPr>
          <w:spacing w:val="20"/>
          <w:sz w:val="24"/>
          <w:szCs w:val="24"/>
        </w:rPr>
        <w:t xml:space="preserve"> </w:t>
      </w:r>
      <w:r>
        <w:rPr>
          <w:sz w:val="24"/>
          <w:szCs w:val="24"/>
        </w:rPr>
        <w:t>purchased</w:t>
      </w:r>
      <w:r>
        <w:rPr>
          <w:spacing w:val="22"/>
          <w:sz w:val="24"/>
          <w:szCs w:val="24"/>
        </w:rPr>
        <w:t xml:space="preserve"> </w:t>
      </w:r>
      <w:r>
        <w:rPr>
          <w:sz w:val="24"/>
          <w:szCs w:val="24"/>
        </w:rPr>
        <w:t>from</w:t>
      </w:r>
      <w:r>
        <w:rPr>
          <w:spacing w:val="23"/>
          <w:sz w:val="24"/>
          <w:szCs w:val="24"/>
        </w:rPr>
        <w:t xml:space="preserve"> </w:t>
      </w:r>
      <w:r>
        <w:rPr>
          <w:sz w:val="24"/>
          <w:szCs w:val="24"/>
        </w:rPr>
        <w:t>local</w:t>
      </w:r>
      <w:r>
        <w:rPr>
          <w:spacing w:val="22"/>
          <w:sz w:val="24"/>
          <w:szCs w:val="24"/>
        </w:rPr>
        <w:t xml:space="preserve"> </w:t>
      </w:r>
      <w:r>
        <w:rPr>
          <w:sz w:val="24"/>
          <w:szCs w:val="24"/>
        </w:rPr>
        <w:t>suppliers</w:t>
      </w:r>
      <w:r>
        <w:rPr>
          <w:spacing w:val="23"/>
          <w:sz w:val="24"/>
          <w:szCs w:val="24"/>
        </w:rPr>
        <w:t xml:space="preserve"> </w:t>
      </w:r>
      <w:r>
        <w:rPr>
          <w:sz w:val="24"/>
          <w:szCs w:val="24"/>
        </w:rPr>
        <w:t>and</w:t>
      </w:r>
      <w:r>
        <w:rPr>
          <w:spacing w:val="22"/>
          <w:sz w:val="24"/>
          <w:szCs w:val="24"/>
        </w:rPr>
        <w:t xml:space="preserve"> </w:t>
      </w:r>
      <w:r>
        <w:rPr>
          <w:sz w:val="24"/>
          <w:szCs w:val="24"/>
        </w:rPr>
        <w:t>were used</w:t>
      </w:r>
      <w:r>
        <w:rPr>
          <w:spacing w:val="-2"/>
          <w:sz w:val="24"/>
          <w:szCs w:val="24"/>
        </w:rPr>
        <w:t xml:space="preserve"> </w:t>
      </w:r>
      <w:r>
        <w:rPr>
          <w:sz w:val="24"/>
          <w:szCs w:val="24"/>
        </w:rPr>
        <w:t>without further</w:t>
      </w:r>
      <w:r>
        <w:rPr>
          <w:spacing w:val="-2"/>
          <w:sz w:val="24"/>
          <w:szCs w:val="24"/>
        </w:rPr>
        <w:t xml:space="preserve"> </w:t>
      </w:r>
      <w:r>
        <w:rPr>
          <w:sz w:val="24"/>
          <w:szCs w:val="24"/>
        </w:rPr>
        <w:t xml:space="preserve">purification. </w:t>
      </w:r>
    </w:p>
    <w:p w14:paraId="1C829AE1" w14:textId="77777777" w:rsidR="001C1D18" w:rsidRDefault="00217595">
      <w:pPr>
        <w:spacing w:before="240" w:line="276" w:lineRule="auto"/>
        <w:jc w:val="both"/>
        <w:rPr>
          <w:b/>
          <w:sz w:val="24"/>
          <w:szCs w:val="24"/>
        </w:rPr>
      </w:pPr>
      <w:r>
        <w:rPr>
          <w:b/>
          <w:sz w:val="24"/>
          <w:szCs w:val="24"/>
        </w:rPr>
        <w:t xml:space="preserve">2.2 Production of cassava-groundnut snack </w:t>
      </w:r>
      <w:commentRangeStart w:id="18"/>
      <w:r>
        <w:rPr>
          <w:b/>
          <w:sz w:val="24"/>
          <w:szCs w:val="24"/>
        </w:rPr>
        <w:t>bar.</w:t>
      </w:r>
      <w:commentRangeEnd w:id="18"/>
      <w:r w:rsidR="00060583">
        <w:rPr>
          <w:rStyle w:val="Marquedecommentaire"/>
          <w:b/>
          <w:sz w:val="24"/>
          <w:szCs w:val="24"/>
        </w:rPr>
        <w:commentReference w:id="18"/>
      </w:r>
    </w:p>
    <w:p w14:paraId="597C59EA" w14:textId="77777777" w:rsidR="001C1D18" w:rsidRDefault="00217595">
      <w:pPr>
        <w:spacing w:before="240" w:line="276" w:lineRule="auto"/>
        <w:jc w:val="both"/>
        <w:rPr>
          <w:sz w:val="24"/>
          <w:szCs w:val="24"/>
        </w:rPr>
      </w:pPr>
      <w:r>
        <w:rPr>
          <w:sz w:val="24"/>
          <w:szCs w:val="24"/>
        </w:rPr>
        <w:t>Cassava-groundnut snack bar was produced using the process as described by Ezike (2013) and Chilkawar (2017) with slight modifications. The general ingredients include 100g of the cassava-groundnut flour blend in a ratio of 70:30, baking soda (1g), salt (2g), sugar (</w:t>
      </w:r>
      <w:commentRangeStart w:id="19"/>
      <w:r>
        <w:rPr>
          <w:sz w:val="24"/>
          <w:szCs w:val="24"/>
        </w:rPr>
        <w:t>5g</w:t>
      </w:r>
      <w:commentRangeEnd w:id="19"/>
      <w:r w:rsidR="00060583">
        <w:rPr>
          <w:rStyle w:val="Marquedecommentaire"/>
          <w:sz w:val="24"/>
          <w:szCs w:val="24"/>
        </w:rPr>
        <w:commentReference w:id="19"/>
      </w:r>
      <w:r>
        <w:rPr>
          <w:sz w:val="24"/>
          <w:szCs w:val="24"/>
        </w:rPr>
        <w:t>), vanilla flavour (3g), ginger, turmeric and ginger/turmeric (</w:t>
      </w:r>
      <w:commentRangeStart w:id="20"/>
      <w:r>
        <w:rPr>
          <w:sz w:val="24"/>
          <w:szCs w:val="24"/>
        </w:rPr>
        <w:t>3,5</w:t>
      </w:r>
      <w:commentRangeEnd w:id="20"/>
      <w:r w:rsidR="004D521A">
        <w:rPr>
          <w:rStyle w:val="Marquedecommentaire"/>
          <w:sz w:val="24"/>
          <w:szCs w:val="24"/>
        </w:rPr>
        <w:commentReference w:id="20"/>
      </w:r>
      <w:r>
        <w:rPr>
          <w:sz w:val="24"/>
          <w:szCs w:val="24"/>
        </w:rPr>
        <w:t xml:space="preserve"> and 7%). The dry ingredients (flour blend, baking soda, salt, sugar and cocoa powder) were weighed as standardized recipe and mixed with </w:t>
      </w:r>
      <w:commentRangeStart w:id="21"/>
      <w:r>
        <w:rPr>
          <w:sz w:val="24"/>
          <w:szCs w:val="24"/>
        </w:rPr>
        <w:t xml:space="preserve">warn </w:t>
      </w:r>
      <w:commentRangeEnd w:id="21"/>
      <w:r w:rsidR="00833A7C">
        <w:rPr>
          <w:rStyle w:val="Marquedecommentaire"/>
          <w:sz w:val="24"/>
          <w:szCs w:val="24"/>
        </w:rPr>
        <w:commentReference w:id="21"/>
      </w:r>
      <w:r>
        <w:rPr>
          <w:sz w:val="24"/>
          <w:szCs w:val="24"/>
        </w:rPr>
        <w:t xml:space="preserve">water. The mixture was continuously stirred to obtain a homogenous mixture. The mixture was immediately scooped into greased moulds pans to form uniform shape. The moulds pans were placed in preheated baking oven (Gallen kamp, BS model made in United </w:t>
      </w:r>
      <w:commentRangeStart w:id="22"/>
      <w:r>
        <w:rPr>
          <w:sz w:val="24"/>
          <w:szCs w:val="24"/>
        </w:rPr>
        <w:t>Kongdom</w:t>
      </w:r>
      <w:commentRangeEnd w:id="22"/>
      <w:r w:rsidR="00833A7C">
        <w:rPr>
          <w:rStyle w:val="Marquedecommentaire"/>
          <w:sz w:val="24"/>
          <w:szCs w:val="24"/>
        </w:rPr>
        <w:commentReference w:id="22"/>
      </w:r>
      <w:r>
        <w:rPr>
          <w:sz w:val="24"/>
          <w:szCs w:val="24"/>
        </w:rPr>
        <w:t>) at 110</w:t>
      </w:r>
      <w:r>
        <w:rPr>
          <w:sz w:val="24"/>
          <w:szCs w:val="24"/>
          <w:vertAlign w:val="superscript"/>
        </w:rPr>
        <w:t>0</w:t>
      </w:r>
      <w:r>
        <w:rPr>
          <w:sz w:val="24"/>
          <w:szCs w:val="24"/>
        </w:rPr>
        <w:t xml:space="preserve">C for 15 minutes. The bars were cooled for 20 minutes and removed from the moulds. The product was packaged in air-tight packaging material and stored for further analysis. The process flow diagram </w:t>
      </w:r>
      <w:r>
        <w:rPr>
          <w:sz w:val="24"/>
          <w:szCs w:val="24"/>
        </w:rPr>
        <w:lastRenderedPageBreak/>
        <w:t xml:space="preserve">is as shown in </w:t>
      </w:r>
      <w:r>
        <w:rPr>
          <w:i/>
          <w:iCs/>
          <w:sz w:val="24"/>
          <w:szCs w:val="24"/>
        </w:rPr>
        <w:t>Figure 1.0</w:t>
      </w:r>
      <w:r>
        <w:rPr>
          <w:sz w:val="24"/>
          <w:szCs w:val="24"/>
        </w:rPr>
        <w:t>.</w:t>
      </w:r>
    </w:p>
    <w:p w14:paraId="12925E59" w14:textId="77777777" w:rsidR="001C1D18" w:rsidRDefault="001C1D18">
      <w:pPr>
        <w:spacing w:before="240" w:line="276" w:lineRule="auto"/>
        <w:jc w:val="both"/>
        <w:rPr>
          <w:sz w:val="24"/>
          <w:szCs w:val="24"/>
        </w:rPr>
      </w:pPr>
    </w:p>
    <w:p w14:paraId="143A24DF" w14:textId="77777777" w:rsidR="001C1D18" w:rsidRDefault="00217595">
      <w:pPr>
        <w:spacing w:before="240" w:line="276" w:lineRule="auto"/>
        <w:jc w:val="both"/>
        <w:rPr>
          <w:sz w:val="24"/>
          <w:szCs w:val="24"/>
        </w:rPr>
      </w:pPr>
      <w:r>
        <w:rPr>
          <w:noProof/>
          <w:sz w:val="24"/>
          <w:szCs w:val="24"/>
        </w:rPr>
        <mc:AlternateContent>
          <mc:Choice Requires="wpg">
            <w:drawing>
              <wp:anchor distT="0" distB="0" distL="0" distR="0" simplePos="0" relativeHeight="14" behindDoc="0" locked="0" layoutInCell="1" allowOverlap="1" wp14:anchorId="15B217AC" wp14:editId="6C42E0DF">
                <wp:simplePos x="0" y="0"/>
                <wp:positionH relativeFrom="column">
                  <wp:posOffset>864870</wp:posOffset>
                </wp:positionH>
                <wp:positionV relativeFrom="paragraph">
                  <wp:posOffset>33655</wp:posOffset>
                </wp:positionV>
                <wp:extent cx="3609340" cy="3948430"/>
                <wp:effectExtent l="0" t="0" r="10160" b="13970"/>
                <wp:wrapNone/>
                <wp:docPr id="1026" nam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340" cy="3948430"/>
                          <a:chOff x="2574" y="1583"/>
                          <a:chExt cx="5684" cy="6218"/>
                        </a:xfrm>
                      </wpg:grpSpPr>
                      <wps:wsp>
                        <wps:cNvPr id="331445880" name="Rectangle 331445880"/>
                        <wps:cNvSpPr/>
                        <wps:spPr>
                          <a:xfrm>
                            <a:off x="3099" y="1583"/>
                            <a:ext cx="4634" cy="42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F220E6" w14:textId="77777777" w:rsidR="001C1D18" w:rsidRDefault="00217595">
                              <w:pPr>
                                <w:jc w:val="center"/>
                                <w:rPr>
                                  <w:sz w:val="24"/>
                                </w:rPr>
                              </w:pPr>
                              <w:r>
                                <w:rPr>
                                  <w:sz w:val="24"/>
                                </w:rPr>
                                <w:t>Flour blends and Ingredients</w:t>
                              </w:r>
                            </w:p>
                          </w:txbxContent>
                        </wps:txbx>
                        <wps:bodyPr vert="horz" wrap="square" lIns="91440" tIns="45720" rIns="91440" bIns="45720" anchor="t" upright="1">
                          <a:prstTxWarp prst="textNoShape">
                            <a:avLst/>
                          </a:prstTxWarp>
                          <a:noAutofit/>
                        </wps:bodyPr>
                      </wps:wsp>
                      <wps:wsp>
                        <wps:cNvPr id="1043050217" name="Straight Arrow Connector 1043050217"/>
                        <wps:cNvCnPr/>
                        <wps:spPr>
                          <a:xfrm>
                            <a:off x="5357" y="2005"/>
                            <a:ext cx="0" cy="467"/>
                          </a:xfrm>
                          <a:prstGeom prst="straightConnector1">
                            <a:avLst/>
                          </a:prstGeom>
                          <a:ln w="6350" cap="flat" cmpd="sng">
                            <a:solidFill>
                              <a:srgbClr val="000000"/>
                            </a:solidFill>
                            <a:prstDash val="solid"/>
                            <a:miter/>
                            <a:headEnd type="none" w="med" len="med"/>
                            <a:tailEnd type="triangle" w="med" len="med"/>
                          </a:ln>
                        </wps:spPr>
                        <wps:bodyPr/>
                      </wps:wsp>
                      <wps:wsp>
                        <wps:cNvPr id="905282978" name="Straight Arrow Connector 905282978"/>
                        <wps:cNvCnPr/>
                        <wps:spPr>
                          <a:xfrm>
                            <a:off x="5357" y="3479"/>
                            <a:ext cx="0" cy="467"/>
                          </a:xfrm>
                          <a:prstGeom prst="straightConnector1">
                            <a:avLst/>
                          </a:prstGeom>
                          <a:ln w="6350" cap="flat" cmpd="sng">
                            <a:solidFill>
                              <a:srgbClr val="000000"/>
                            </a:solidFill>
                            <a:prstDash val="solid"/>
                            <a:miter/>
                            <a:headEnd type="none" w="med" len="med"/>
                            <a:tailEnd type="triangle" w="med" len="med"/>
                          </a:ln>
                        </wps:spPr>
                        <wps:bodyPr/>
                      </wps:wsp>
                      <wps:wsp>
                        <wps:cNvPr id="1845020470" name="Straight Arrow Connector 1845020470"/>
                        <wps:cNvCnPr/>
                        <wps:spPr>
                          <a:xfrm>
                            <a:off x="5357" y="4223"/>
                            <a:ext cx="0" cy="467"/>
                          </a:xfrm>
                          <a:prstGeom prst="straightConnector1">
                            <a:avLst/>
                          </a:prstGeom>
                          <a:ln w="6350" cap="flat" cmpd="sng">
                            <a:solidFill>
                              <a:srgbClr val="000000"/>
                            </a:solidFill>
                            <a:prstDash val="solid"/>
                            <a:miter/>
                            <a:headEnd type="none" w="med" len="med"/>
                            <a:tailEnd type="triangle" w="med" len="med"/>
                          </a:ln>
                        </wps:spPr>
                        <wps:bodyPr/>
                      </wps:wsp>
                      <wps:wsp>
                        <wps:cNvPr id="2102424434" name="Straight Arrow Connector 2102424434"/>
                        <wps:cNvCnPr/>
                        <wps:spPr>
                          <a:xfrm>
                            <a:off x="5377" y="4854"/>
                            <a:ext cx="0" cy="466"/>
                          </a:xfrm>
                          <a:prstGeom prst="straightConnector1">
                            <a:avLst/>
                          </a:prstGeom>
                          <a:ln w="6350" cap="flat" cmpd="sng">
                            <a:solidFill>
                              <a:srgbClr val="000000"/>
                            </a:solidFill>
                            <a:prstDash val="solid"/>
                            <a:miter/>
                            <a:headEnd type="none" w="med" len="med"/>
                            <a:tailEnd type="triangle" w="med" len="med"/>
                          </a:ln>
                        </wps:spPr>
                        <wps:bodyPr/>
                      </wps:wsp>
                      <wps:wsp>
                        <wps:cNvPr id="762918912" name="Straight Arrow Connector 762918912"/>
                        <wps:cNvCnPr/>
                        <wps:spPr>
                          <a:xfrm>
                            <a:off x="5392" y="6400"/>
                            <a:ext cx="0" cy="465"/>
                          </a:xfrm>
                          <a:prstGeom prst="straightConnector1">
                            <a:avLst/>
                          </a:prstGeom>
                          <a:ln w="6350" cap="flat" cmpd="sng">
                            <a:solidFill>
                              <a:srgbClr val="000000"/>
                            </a:solidFill>
                            <a:prstDash val="solid"/>
                            <a:miter/>
                            <a:headEnd type="none" w="med" len="med"/>
                            <a:tailEnd type="triangle" w="med" len="med"/>
                          </a:ln>
                        </wps:spPr>
                        <wps:bodyPr/>
                      </wps:wsp>
                      <wps:wsp>
                        <wps:cNvPr id="1262829645" name="Straight Arrow Connector 1262829645"/>
                        <wps:cNvCnPr/>
                        <wps:spPr>
                          <a:xfrm>
                            <a:off x="5388" y="5659"/>
                            <a:ext cx="0" cy="466"/>
                          </a:xfrm>
                          <a:prstGeom prst="straightConnector1">
                            <a:avLst/>
                          </a:prstGeom>
                          <a:ln w="6350" cap="flat" cmpd="sng">
                            <a:solidFill>
                              <a:srgbClr val="000000"/>
                            </a:solidFill>
                            <a:prstDash val="solid"/>
                            <a:miter/>
                            <a:headEnd type="none" w="med" len="med"/>
                            <a:tailEnd type="triangle" w="med" len="med"/>
                          </a:ln>
                        </wps:spPr>
                        <wps:bodyPr/>
                      </wps:wsp>
                      <wps:wsp>
                        <wps:cNvPr id="1687600525" name="Straight Arrow Connector 1687600525"/>
                        <wps:cNvCnPr/>
                        <wps:spPr>
                          <a:xfrm>
                            <a:off x="5362" y="2759"/>
                            <a:ext cx="0" cy="467"/>
                          </a:xfrm>
                          <a:prstGeom prst="straightConnector1">
                            <a:avLst/>
                          </a:prstGeom>
                          <a:ln w="6350" cap="flat" cmpd="sng">
                            <a:solidFill>
                              <a:srgbClr val="000000"/>
                            </a:solidFill>
                            <a:prstDash val="solid"/>
                            <a:miter/>
                            <a:headEnd type="none" w="med" len="med"/>
                            <a:tailEnd type="triangle" w="med" len="med"/>
                          </a:ln>
                        </wps:spPr>
                        <wps:bodyPr/>
                      </wps:wsp>
                      <wps:wsp>
                        <wps:cNvPr id="2090057564" name="Rectangle 2090057564"/>
                        <wps:cNvSpPr/>
                        <wps:spPr>
                          <a:xfrm>
                            <a:off x="2971" y="2472"/>
                            <a:ext cx="5159" cy="431"/>
                          </a:xfrm>
                          <a:prstGeom prst="rect">
                            <a:avLst/>
                          </a:prstGeom>
                          <a:solidFill>
                            <a:srgbClr val="FFFFFF"/>
                          </a:solidFill>
                          <a:ln>
                            <a:noFill/>
                          </a:ln>
                        </wps:spPr>
                        <wps:txbx>
                          <w:txbxContent>
                            <w:p w14:paraId="422F51D9" w14:textId="77777777" w:rsidR="001C1D18" w:rsidRDefault="00217595">
                              <w:pPr>
                                <w:ind w:firstLine="720"/>
                                <w:rPr>
                                  <w:sz w:val="28"/>
                                </w:rPr>
                              </w:pPr>
                              <w:r>
                                <w:rPr>
                                  <w:sz w:val="24"/>
                                </w:rPr>
                                <w:t xml:space="preserve">                    Mixing</w:t>
                              </w:r>
                            </w:p>
                          </w:txbxContent>
                        </wps:txbx>
                        <wps:bodyPr vert="horz" wrap="square" lIns="91440" tIns="45720" rIns="91440" bIns="45720" anchor="t" upright="1">
                          <a:prstTxWarp prst="textNoShape">
                            <a:avLst/>
                          </a:prstTxWarp>
                          <a:noAutofit/>
                        </wps:bodyPr>
                      </wps:wsp>
                      <wps:wsp>
                        <wps:cNvPr id="1841947307" name="Rectangle 1841947307"/>
                        <wps:cNvSpPr/>
                        <wps:spPr>
                          <a:xfrm>
                            <a:off x="2971" y="3046"/>
                            <a:ext cx="5159" cy="433"/>
                          </a:xfrm>
                          <a:prstGeom prst="rect">
                            <a:avLst/>
                          </a:prstGeom>
                          <a:ln>
                            <a:noFill/>
                          </a:ln>
                        </wps:spPr>
                        <wps:txbx>
                          <w:txbxContent>
                            <w:p w14:paraId="09758F16" w14:textId="77777777" w:rsidR="001C1D18" w:rsidRDefault="00217595">
                              <w:pPr>
                                <w:ind w:firstLine="720"/>
                                <w:rPr>
                                  <w:sz w:val="28"/>
                                </w:rPr>
                              </w:pPr>
                              <w:r>
                                <w:rPr>
                                  <w:sz w:val="24"/>
                                </w:rPr>
                                <w:t xml:space="preserve">              Homogenizing</w:t>
                              </w:r>
                            </w:p>
                          </w:txbxContent>
                        </wps:txbx>
                        <wps:bodyPr vert="horz" wrap="square" lIns="91440" tIns="45720" rIns="91440" bIns="45720" anchor="t" upright="1">
                          <a:prstTxWarp prst="textNoShape">
                            <a:avLst/>
                          </a:prstTxWarp>
                          <a:noAutofit/>
                        </wps:bodyPr>
                      </wps:wsp>
                      <wps:wsp>
                        <wps:cNvPr id="303259838" name="Rectangle 303259838"/>
                        <wps:cNvSpPr/>
                        <wps:spPr>
                          <a:xfrm>
                            <a:off x="2900" y="3818"/>
                            <a:ext cx="5159" cy="405"/>
                          </a:xfrm>
                          <a:prstGeom prst="rect">
                            <a:avLst/>
                          </a:prstGeom>
                          <a:ln>
                            <a:noFill/>
                          </a:ln>
                        </wps:spPr>
                        <wps:txbx>
                          <w:txbxContent>
                            <w:p w14:paraId="37DCA073" w14:textId="77777777" w:rsidR="001C1D18" w:rsidRDefault="00217595">
                              <w:pPr>
                                <w:jc w:val="center"/>
                                <w:rPr>
                                  <w:sz w:val="24"/>
                                </w:rPr>
                              </w:pPr>
                              <w:r>
                                <w:rPr>
                                  <w:sz w:val="24"/>
                                </w:rPr>
                                <w:t>Scooping into mould pans</w:t>
                              </w:r>
                            </w:p>
                          </w:txbxContent>
                        </wps:txbx>
                        <wps:bodyPr vert="horz" wrap="square" lIns="91440" tIns="45720" rIns="91440" bIns="45720" anchor="t" upright="1">
                          <a:prstTxWarp prst="textNoShape">
                            <a:avLst/>
                          </a:prstTxWarp>
                          <a:noAutofit/>
                        </wps:bodyPr>
                      </wps:wsp>
                      <wps:wsp>
                        <wps:cNvPr id="1309319884" name="Rectangle 1309319884"/>
                        <wps:cNvSpPr/>
                        <wps:spPr>
                          <a:xfrm>
                            <a:off x="3099" y="4621"/>
                            <a:ext cx="5159" cy="418"/>
                          </a:xfrm>
                          <a:prstGeom prst="rect">
                            <a:avLst/>
                          </a:prstGeom>
                          <a:ln>
                            <a:noFill/>
                          </a:ln>
                        </wps:spPr>
                        <wps:txbx>
                          <w:txbxContent>
                            <w:p w14:paraId="0856596C" w14:textId="77777777" w:rsidR="001C1D18" w:rsidRDefault="00217595">
                              <w:pPr>
                                <w:jc w:val="center"/>
                                <w:rPr>
                                  <w:sz w:val="28"/>
                                </w:rPr>
                              </w:pPr>
                              <w:r>
                                <w:rPr>
                                  <w:sz w:val="24"/>
                                </w:rPr>
                                <w:t xml:space="preserve">   Baking (</w:t>
                              </w:r>
                              <w:r>
                                <w:rPr>
                                  <w:sz w:val="24"/>
                                  <w:szCs w:val="24"/>
                                </w:rPr>
                                <w:t>110</w:t>
                              </w:r>
                              <w:r>
                                <w:rPr>
                                  <w:sz w:val="24"/>
                                  <w:szCs w:val="24"/>
                                  <w:vertAlign w:val="superscript"/>
                                </w:rPr>
                                <w:t>0</w:t>
                              </w:r>
                              <w:r>
                                <w:rPr>
                                  <w:sz w:val="24"/>
                                  <w:szCs w:val="24"/>
                                </w:rPr>
                                <w:t>C for 15 minutes)</w:t>
                              </w:r>
                            </w:p>
                          </w:txbxContent>
                        </wps:txbx>
                        <wps:bodyPr vert="horz" wrap="square" lIns="91440" tIns="45720" rIns="91440" bIns="45720" anchor="t" upright="1">
                          <a:prstTxWarp prst="textNoShape">
                            <a:avLst/>
                          </a:prstTxWarp>
                          <a:noAutofit/>
                        </wps:bodyPr>
                      </wps:wsp>
                      <wps:wsp>
                        <wps:cNvPr id="301157914" name="Rectangle 301157914"/>
                        <wps:cNvSpPr/>
                        <wps:spPr>
                          <a:xfrm>
                            <a:off x="2574" y="5315"/>
                            <a:ext cx="5159" cy="538"/>
                          </a:xfrm>
                          <a:prstGeom prst="rect">
                            <a:avLst/>
                          </a:prstGeom>
                          <a:solidFill>
                            <a:srgbClr val="FFFFFF"/>
                          </a:solidFill>
                          <a:ln>
                            <a:noFill/>
                          </a:ln>
                        </wps:spPr>
                        <wps:txbx>
                          <w:txbxContent>
                            <w:p w14:paraId="70F24FF1" w14:textId="77777777" w:rsidR="001C1D18" w:rsidRDefault="00217595">
                              <w:pPr>
                                <w:jc w:val="center"/>
                                <w:rPr>
                                  <w:sz w:val="24"/>
                                </w:rPr>
                              </w:pPr>
                              <w:r>
                                <w:rPr>
                                  <w:sz w:val="24"/>
                                </w:rPr>
                                <w:t xml:space="preserve">               Cooling (20 minutes)    </w:t>
                              </w:r>
                            </w:p>
                          </w:txbxContent>
                        </wps:txbx>
                        <wps:bodyPr vert="horz" wrap="square" lIns="91440" tIns="45720" rIns="91440" bIns="45720" anchor="t" upright="1">
                          <a:prstTxWarp prst="textNoShape">
                            <a:avLst/>
                          </a:prstTxWarp>
                          <a:noAutofit/>
                        </wps:bodyPr>
                      </wps:wsp>
                      <wps:wsp>
                        <wps:cNvPr id="880355526" name="Rectangle 880355526"/>
                        <wps:cNvSpPr/>
                        <wps:spPr>
                          <a:xfrm>
                            <a:off x="2994" y="6125"/>
                            <a:ext cx="5159" cy="435"/>
                          </a:xfrm>
                          <a:prstGeom prst="rect">
                            <a:avLst/>
                          </a:prstGeom>
                          <a:ln>
                            <a:noFill/>
                          </a:ln>
                        </wps:spPr>
                        <wps:txbx>
                          <w:txbxContent>
                            <w:p w14:paraId="47BA66B1" w14:textId="77777777" w:rsidR="001C1D18" w:rsidRDefault="00217595">
                              <w:pPr>
                                <w:jc w:val="center"/>
                                <w:rPr>
                                  <w:sz w:val="24"/>
                                </w:rPr>
                              </w:pPr>
                              <w:r>
                                <w:rPr>
                                  <w:sz w:val="24"/>
                                </w:rPr>
                                <w:t>Cassava-groundnut snack bar</w:t>
                              </w:r>
                            </w:p>
                          </w:txbxContent>
                        </wps:txbx>
                        <wps:bodyPr vert="horz" wrap="square" lIns="91440" tIns="45720" rIns="91440" bIns="45720" anchor="t" upright="1">
                          <a:prstTxWarp prst="textNoShape">
                            <a:avLst/>
                          </a:prstTxWarp>
                          <a:noAutofit/>
                        </wps:bodyPr>
                      </wps:wsp>
                      <wps:wsp>
                        <wps:cNvPr id="1069155937" name="Rectangle 1069155937"/>
                        <wps:cNvSpPr/>
                        <wps:spPr>
                          <a:xfrm>
                            <a:off x="3099" y="6984"/>
                            <a:ext cx="5159" cy="8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81A5A54" w14:textId="77777777" w:rsidR="001C1D18" w:rsidRDefault="00217595">
                              <w:pPr>
                                <w:jc w:val="center"/>
                                <w:rPr>
                                  <w:sz w:val="24"/>
                                </w:rPr>
                              </w:pPr>
                              <w:r>
                                <w:rPr>
                                  <w:sz w:val="24"/>
                                </w:rPr>
                                <w:t xml:space="preserve">Packaged cassava-groundnut snack bar   </w:t>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B217AC" id=" 75" o:spid="_x0000_s1026" style="position:absolute;left:0;text-align:left;margin-left:68.1pt;margin-top:2.65pt;width:284.2pt;height:310.9pt;z-index:14;mso-wrap-distance-left:0;mso-wrap-distance-right:0" coordorigin="2574,1583" coordsize="5684,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">
                <v:rect id="Rectangle 331445880" o:spid="_x0000_s1027" style="position:absolute;left:3099;top:1583;width:463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" strokeweight=".5pt">
                  <v:textbox>
                    <w:txbxContent>
                      <w:p w14:paraId="75F220E6" w14:textId="77777777" w:rsidR="001C1D18" w:rsidRDefault="00217595">
                        <w:pPr>
                          <w:jc w:val="center"/>
                          <w:rPr>
                            <w:sz w:val="24"/>
                          </w:rPr>
                        </w:pPr>
                        <w:r>
                          <w:rPr>
                            <w:sz w:val="24"/>
                          </w:rPr>
                          <w:t>Flour blends and Ingredients</w:t>
                        </w:r>
                      </w:p>
                    </w:txbxContent>
                  </v:textbox>
                </v:rect>
                <v:shapetype id="_x0000_t32" coordsize="21600,21600" o:spt="32" o:oned="t" path="m,l21600,21600e" filled="f">
                  <v:path arrowok="t" fillok="f" o:connecttype="none"/>
                  <o:lock v:ext="edit" shapetype="t"/>
                </v:shapetype>
                <v:shape id="Straight Arrow Connector 1043050217" o:spid="_x0000_s1028" type="#_x0000_t32" style="position:absolute;left:5357;top:2005;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" strokeweight=".5pt">
                  <v:stroke endarrow="block" joinstyle="miter"/>
                </v:shape>
                <v:shape id="Straight Arrow Connector 905282978" o:spid="_x0000_s1029" type="#_x0000_t32" style="position:absolute;left:5357;top:347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" strokeweight=".5pt">
                  <v:stroke endarrow="block" joinstyle="miter"/>
                </v:shape>
                <v:shape id="Straight Arrow Connector 1845020470" o:spid="_x0000_s1030" type="#_x0000_t32" style="position:absolute;left:5357;top:4223;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" strokeweight=".5pt">
                  <v:stroke endarrow="block" joinstyle="miter"/>
                </v:shape>
                <v:shape id="Straight Arrow Connector 2102424434" o:spid="_x0000_s1031" type="#_x0000_t32" style="position:absolute;left:5377;top:4854;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" strokeweight=".5pt">
                  <v:stroke endarrow="block" joinstyle="miter"/>
                </v:shape>
                <v:shape id="Straight Arrow Connector 762918912" o:spid="_x0000_s1032" type="#_x0000_t32" style="position:absolute;left:5392;top:6400;width:0;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" strokeweight=".5pt">
                  <v:stroke endarrow="block" joinstyle="miter"/>
                </v:shape>
                <v:shape id="Straight Arrow Connector 1262829645" o:spid="_x0000_s1033" type="#_x0000_t32" style="position:absolute;left:5388;top:5659;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" strokeweight=".5pt">
                  <v:stroke endarrow="block" joinstyle="miter"/>
                </v:shape>
                <v:shape id="Straight Arrow Connector 1687600525" o:spid="_x0000_s1034" type="#_x0000_t32" style="position:absolute;left:5362;top:275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" strokeweight=".5pt">
                  <v:stroke endarrow="block" joinstyle="miter"/>
                </v:shape>
                <v:rect id="Rectangle 2090057564" o:spid="_x0000_s1035" style="position:absolute;left:2971;top:2472;width:5159;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" stroked="f">
                  <v:textbox>
                    <w:txbxContent>
                      <w:p w14:paraId="422F51D9" w14:textId="77777777" w:rsidR="001C1D18" w:rsidRDefault="00217595">
                        <w:pPr>
                          <w:ind w:firstLine="720"/>
                          <w:rPr>
                            <w:sz w:val="28"/>
                          </w:rPr>
                        </w:pPr>
                        <w:r>
                          <w:rPr>
                            <w:sz w:val="24"/>
                          </w:rPr>
                          <w:t xml:space="preserve">                    Mixing</w:t>
                        </w:r>
                      </w:p>
                    </w:txbxContent>
                  </v:textbox>
                </v:rect>
                <v:rect id="Rectangle 1841947307" o:spid="_x0000_s1036" style="position:absolute;left:2971;top:3046;width:51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" filled="f" stroked="f">
                  <v:textbox>
                    <w:txbxContent>
                      <w:p w14:paraId="09758F16" w14:textId="77777777" w:rsidR="001C1D18" w:rsidRDefault="00217595">
                        <w:pPr>
                          <w:ind w:firstLine="720"/>
                          <w:rPr>
                            <w:sz w:val="28"/>
                          </w:rPr>
                        </w:pPr>
                        <w:r>
                          <w:rPr>
                            <w:sz w:val="24"/>
                          </w:rPr>
                          <w:t xml:space="preserve">              Homogenizing</w:t>
                        </w:r>
                      </w:p>
                    </w:txbxContent>
                  </v:textbox>
                </v:rect>
                <v:rect id="Rectangle 303259838" o:spid="_x0000_s1037" style="position:absolute;left:2900;top:3818;width:515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" filled="f" stroked="f">
                  <v:textbox>
                    <w:txbxContent>
                      <w:p w14:paraId="37DCA073" w14:textId="77777777" w:rsidR="001C1D18" w:rsidRDefault="00217595">
                        <w:pPr>
                          <w:jc w:val="center"/>
                          <w:rPr>
                            <w:sz w:val="24"/>
                          </w:rPr>
                        </w:pPr>
                        <w:r>
                          <w:rPr>
                            <w:sz w:val="24"/>
                          </w:rPr>
                          <w:t>Scooping into mould pans</w:t>
                        </w:r>
                      </w:p>
                    </w:txbxContent>
                  </v:textbox>
                </v:rect>
                <v:rect id="Rectangle 1309319884" o:spid="_x0000_s1038" style="position:absolute;left:3099;top:4621;width:51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" filled="f" stroked="f">
                  <v:textbox>
                    <w:txbxContent>
                      <w:p w14:paraId="0856596C" w14:textId="77777777" w:rsidR="001C1D18" w:rsidRDefault="00217595">
                        <w:pPr>
                          <w:jc w:val="center"/>
                          <w:rPr>
                            <w:sz w:val="28"/>
                          </w:rPr>
                        </w:pPr>
                        <w:r>
                          <w:rPr>
                            <w:sz w:val="24"/>
                          </w:rPr>
                          <w:t xml:space="preserve">   Baking (</w:t>
                        </w:r>
                        <w:r>
                          <w:rPr>
                            <w:sz w:val="24"/>
                            <w:szCs w:val="24"/>
                          </w:rPr>
                          <w:t>110</w:t>
                        </w:r>
                        <w:r>
                          <w:rPr>
                            <w:sz w:val="24"/>
                            <w:szCs w:val="24"/>
                            <w:vertAlign w:val="superscript"/>
                          </w:rPr>
                          <w:t>0</w:t>
                        </w:r>
                        <w:r>
                          <w:rPr>
                            <w:sz w:val="24"/>
                            <w:szCs w:val="24"/>
                          </w:rPr>
                          <w:t>C for 15 minutes)</w:t>
                        </w:r>
                      </w:p>
                    </w:txbxContent>
                  </v:textbox>
                </v:rect>
                <v:rect id="Rectangle 301157914" o:spid="_x0000_s1039" style="position:absolute;left:2574;top:5315;width:5159;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" stroked="f">
                  <v:textbox>
                    <w:txbxContent>
                      <w:p w14:paraId="70F24FF1" w14:textId="77777777" w:rsidR="001C1D18" w:rsidRDefault="00217595">
                        <w:pPr>
                          <w:jc w:val="center"/>
                          <w:rPr>
                            <w:sz w:val="24"/>
                          </w:rPr>
                        </w:pPr>
                        <w:r>
                          <w:rPr>
                            <w:sz w:val="24"/>
                          </w:rPr>
                          <w:t xml:space="preserve">               Cooling (20 minutes)    </w:t>
                        </w:r>
                      </w:p>
                    </w:txbxContent>
                  </v:textbox>
                </v:rect>
                <v:rect id="Rectangle 880355526" o:spid="_x0000_s1040" style="position:absolute;left:2994;top:6125;width:515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" filled="f" stroked="f">
                  <v:textbox>
                    <w:txbxContent>
                      <w:p w14:paraId="47BA66B1" w14:textId="77777777" w:rsidR="001C1D18" w:rsidRDefault="00217595">
                        <w:pPr>
                          <w:jc w:val="center"/>
                          <w:rPr>
                            <w:sz w:val="24"/>
                          </w:rPr>
                        </w:pPr>
                        <w:r>
                          <w:rPr>
                            <w:sz w:val="24"/>
                          </w:rPr>
                          <w:t>Cassava-groundnut snack bar</w:t>
                        </w:r>
                      </w:p>
                    </w:txbxContent>
                  </v:textbox>
                </v:rect>
                <v:rect id="Rectangle 1069155937" o:spid="_x0000_s1041" style="position:absolute;left:3099;top:6984;width:515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" strokeweight=".5pt">
                  <v:textbox>
                    <w:txbxContent>
                      <w:p w14:paraId="581A5A54" w14:textId="77777777" w:rsidR="001C1D18" w:rsidRDefault="00217595">
                        <w:pPr>
                          <w:jc w:val="center"/>
                          <w:rPr>
                            <w:sz w:val="24"/>
                          </w:rPr>
                        </w:pPr>
                        <w:r>
                          <w:rPr>
                            <w:sz w:val="24"/>
                          </w:rPr>
                          <w:t xml:space="preserve">Packaged cassava-groundnut snack bar   </w:t>
                        </w:r>
                      </w:p>
                    </w:txbxContent>
                  </v:textbox>
                </v:rect>
              </v:group>
            </w:pict>
          </mc:Fallback>
        </mc:AlternateContent>
      </w:r>
    </w:p>
    <w:p w14:paraId="15A53CC1" w14:textId="77777777" w:rsidR="001C1D18" w:rsidRDefault="001C1D18">
      <w:pPr>
        <w:spacing w:line="276" w:lineRule="auto"/>
        <w:jc w:val="center"/>
        <w:rPr>
          <w:sz w:val="24"/>
          <w:szCs w:val="24"/>
        </w:rPr>
      </w:pPr>
    </w:p>
    <w:p w14:paraId="7F18855C" w14:textId="77777777" w:rsidR="001C1D18" w:rsidRDefault="001C1D18">
      <w:pPr>
        <w:spacing w:line="276" w:lineRule="auto"/>
        <w:jc w:val="center"/>
        <w:rPr>
          <w:sz w:val="24"/>
          <w:szCs w:val="24"/>
        </w:rPr>
      </w:pPr>
    </w:p>
    <w:p w14:paraId="6AC12509" w14:textId="77777777" w:rsidR="001C1D18" w:rsidRDefault="001C1D18">
      <w:pPr>
        <w:spacing w:line="276" w:lineRule="auto"/>
        <w:jc w:val="center"/>
        <w:rPr>
          <w:sz w:val="24"/>
          <w:szCs w:val="24"/>
        </w:rPr>
      </w:pPr>
    </w:p>
    <w:p w14:paraId="0EB6CBF9" w14:textId="77777777" w:rsidR="001C1D18" w:rsidRDefault="001C1D18">
      <w:pPr>
        <w:spacing w:line="276" w:lineRule="auto"/>
        <w:jc w:val="center"/>
        <w:rPr>
          <w:sz w:val="24"/>
          <w:szCs w:val="24"/>
        </w:rPr>
      </w:pPr>
    </w:p>
    <w:p w14:paraId="15BBD30C" w14:textId="77777777" w:rsidR="001C1D18" w:rsidRDefault="001C1D18">
      <w:pPr>
        <w:spacing w:line="276" w:lineRule="auto"/>
        <w:jc w:val="center"/>
        <w:rPr>
          <w:sz w:val="24"/>
          <w:szCs w:val="24"/>
        </w:rPr>
      </w:pPr>
    </w:p>
    <w:p w14:paraId="619C20B0" w14:textId="77777777" w:rsidR="001C1D18" w:rsidRDefault="001C1D18">
      <w:pPr>
        <w:spacing w:line="276" w:lineRule="auto"/>
        <w:jc w:val="center"/>
        <w:rPr>
          <w:sz w:val="24"/>
          <w:szCs w:val="24"/>
        </w:rPr>
      </w:pPr>
    </w:p>
    <w:p w14:paraId="3D9EFC05" w14:textId="77777777" w:rsidR="001C1D18" w:rsidRDefault="001C1D18">
      <w:pPr>
        <w:pStyle w:val="Lgende"/>
        <w:spacing w:line="276" w:lineRule="auto"/>
        <w:jc w:val="center"/>
        <w:rPr>
          <w:b w:val="0"/>
          <w:bCs w:val="0"/>
          <w:color w:val="auto"/>
          <w:sz w:val="24"/>
          <w:szCs w:val="24"/>
        </w:rPr>
      </w:pPr>
    </w:p>
    <w:p w14:paraId="17371DDE" w14:textId="77777777" w:rsidR="001C1D18" w:rsidRDefault="00FF75C9">
      <w:pPr>
        <w:pStyle w:val="Lgende"/>
        <w:spacing w:line="276" w:lineRule="auto"/>
        <w:jc w:val="center"/>
        <w:rPr>
          <w:color w:val="auto"/>
          <w:sz w:val="24"/>
          <w:szCs w:val="24"/>
        </w:rPr>
      </w:pPr>
      <w:commentRangeStart w:id="23"/>
      <w:commentRangeEnd w:id="23"/>
      <w:r>
        <w:rPr>
          <w:rStyle w:val="Marquedecommentaire"/>
          <w:color w:val="auto"/>
          <w:sz w:val="24"/>
          <w:szCs w:val="24"/>
        </w:rPr>
        <w:commentReference w:id="23"/>
      </w:r>
    </w:p>
    <w:p w14:paraId="38817D27" w14:textId="77777777" w:rsidR="001C1D18" w:rsidRDefault="001C1D18">
      <w:pPr>
        <w:pStyle w:val="Lgende"/>
        <w:spacing w:line="276" w:lineRule="auto"/>
        <w:jc w:val="center"/>
        <w:rPr>
          <w:color w:val="auto"/>
          <w:sz w:val="24"/>
          <w:szCs w:val="24"/>
        </w:rPr>
      </w:pPr>
    </w:p>
    <w:p w14:paraId="5AAB2126" w14:textId="77777777" w:rsidR="001C1D18" w:rsidRDefault="001C1D18">
      <w:pPr>
        <w:pStyle w:val="Lgende"/>
        <w:spacing w:line="276" w:lineRule="auto"/>
        <w:jc w:val="center"/>
        <w:rPr>
          <w:color w:val="auto"/>
          <w:sz w:val="24"/>
          <w:szCs w:val="24"/>
        </w:rPr>
      </w:pPr>
    </w:p>
    <w:p w14:paraId="7223A2CA" w14:textId="77777777" w:rsidR="001C1D18" w:rsidRDefault="001C1D18">
      <w:pPr>
        <w:pStyle w:val="Lgende"/>
        <w:spacing w:line="276" w:lineRule="auto"/>
        <w:ind w:left="720" w:firstLine="720"/>
        <w:rPr>
          <w:color w:val="auto"/>
          <w:sz w:val="24"/>
          <w:szCs w:val="24"/>
        </w:rPr>
      </w:pPr>
    </w:p>
    <w:p w14:paraId="5C29267A" w14:textId="77777777" w:rsidR="001C1D18" w:rsidRDefault="001C1D18">
      <w:pPr>
        <w:pStyle w:val="Lgende"/>
        <w:spacing w:line="276" w:lineRule="auto"/>
        <w:ind w:left="720" w:firstLine="720"/>
        <w:rPr>
          <w:color w:val="auto"/>
          <w:sz w:val="24"/>
          <w:szCs w:val="24"/>
        </w:rPr>
      </w:pPr>
    </w:p>
    <w:p w14:paraId="31B60358" w14:textId="77777777" w:rsidR="001C1D18" w:rsidRDefault="001C1D18">
      <w:pPr>
        <w:pStyle w:val="Lgende"/>
        <w:spacing w:line="276" w:lineRule="auto"/>
        <w:ind w:left="720" w:firstLine="720"/>
        <w:rPr>
          <w:color w:val="auto"/>
          <w:sz w:val="24"/>
          <w:szCs w:val="24"/>
        </w:rPr>
      </w:pPr>
    </w:p>
    <w:p w14:paraId="2EAB0576" w14:textId="77777777" w:rsidR="001C1D18" w:rsidRDefault="001C1D18">
      <w:pPr>
        <w:pStyle w:val="Lgende"/>
        <w:spacing w:line="276" w:lineRule="auto"/>
        <w:rPr>
          <w:color w:val="auto"/>
          <w:sz w:val="24"/>
          <w:szCs w:val="24"/>
        </w:rPr>
      </w:pPr>
    </w:p>
    <w:p w14:paraId="71FD4613" w14:textId="77777777" w:rsidR="001C1D18" w:rsidRDefault="00217595">
      <w:pPr>
        <w:pStyle w:val="Lgende"/>
        <w:spacing w:line="276" w:lineRule="auto"/>
        <w:ind w:left="720" w:firstLine="720"/>
        <w:rPr>
          <w:i/>
          <w:iCs/>
          <w:color w:val="auto"/>
          <w:sz w:val="24"/>
          <w:szCs w:val="24"/>
        </w:rPr>
      </w:pPr>
      <w:r>
        <w:rPr>
          <w:color w:val="auto"/>
          <w:sz w:val="24"/>
          <w:szCs w:val="24"/>
        </w:rPr>
        <w:t>Figure 1.0: Production of the cassava-groundnut snack bar</w:t>
      </w:r>
      <w:bookmarkStart w:id="24" w:name="_Toc189671499"/>
    </w:p>
    <w:bookmarkEnd w:id="24"/>
    <w:p w14:paraId="1C762850" w14:textId="77777777" w:rsidR="001C1D18" w:rsidRDefault="00217595">
      <w:pPr>
        <w:spacing w:line="276" w:lineRule="auto"/>
        <w:jc w:val="both"/>
        <w:rPr>
          <w:b/>
          <w:iCs/>
          <w:sz w:val="24"/>
          <w:szCs w:val="24"/>
        </w:rPr>
      </w:pPr>
      <w:r>
        <w:rPr>
          <w:b/>
          <w:iCs/>
          <w:sz w:val="24"/>
          <w:szCs w:val="24"/>
        </w:rPr>
        <w:t>2.3 Determination of Moisture Content</w:t>
      </w:r>
    </w:p>
    <w:p w14:paraId="7BF53DA1" w14:textId="77777777" w:rsidR="001C1D18" w:rsidRDefault="00217595">
      <w:pPr>
        <w:spacing w:line="276" w:lineRule="auto"/>
        <w:jc w:val="both"/>
        <w:rPr>
          <w:sz w:val="24"/>
          <w:szCs w:val="24"/>
        </w:rPr>
      </w:pPr>
      <w:r>
        <w:rPr>
          <w:sz w:val="24"/>
          <w:szCs w:val="24"/>
        </w:rPr>
        <w:t xml:space="preserve"> Ten (2) grams of each processed samples were placed in a crucible and heated at 105 </w:t>
      </w:r>
      <w:r>
        <w:rPr>
          <w:sz w:val="24"/>
          <w:szCs w:val="24"/>
          <w:vertAlign w:val="superscript"/>
        </w:rPr>
        <w:t>0</w:t>
      </w:r>
      <w:r>
        <w:rPr>
          <w:sz w:val="24"/>
          <w:szCs w:val="24"/>
        </w:rPr>
        <w:t xml:space="preserve">C until a constant weight was attained. The moisture content of the sample was calculated as loss in weight of the original sample and expressed as percentage moisture content (Adeyemi </w:t>
      </w:r>
      <w:r>
        <w:rPr>
          <w:i/>
          <w:sz w:val="24"/>
          <w:szCs w:val="24"/>
        </w:rPr>
        <w:t>et al.,</w:t>
      </w:r>
      <w:r>
        <w:rPr>
          <w:sz w:val="24"/>
          <w:szCs w:val="24"/>
        </w:rPr>
        <w:t xml:space="preserve"> 2018).</w:t>
      </w:r>
    </w:p>
    <w:p w14:paraId="0A4A4F04" w14:textId="77777777" w:rsidR="001C1D18" w:rsidRDefault="00217595">
      <w:pPr>
        <w:spacing w:line="276" w:lineRule="auto"/>
        <w:jc w:val="both"/>
        <w:rPr>
          <w:sz w:val="24"/>
          <w:szCs w:val="24"/>
        </w:rPr>
      </w:pPr>
      <w:r>
        <w:rPr>
          <w:sz w:val="24"/>
          <w:szCs w:val="24"/>
        </w:rPr>
        <w:t>% Moisture content was calculated as;</w:t>
      </w:r>
    </w:p>
    <w:p w14:paraId="5FC5F3F0"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moisture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 xml:space="preserve">   ……………..1</w:t>
      </w:r>
    </w:p>
    <w:p w14:paraId="482C33D3" w14:textId="77777777" w:rsidR="001C1D18" w:rsidRDefault="00217595">
      <w:pPr>
        <w:spacing w:line="276" w:lineRule="auto"/>
        <w:jc w:val="both"/>
        <w:rPr>
          <w:sz w:val="24"/>
          <w:szCs w:val="24"/>
        </w:rPr>
      </w:pPr>
      <w:r>
        <w:rPr>
          <w:sz w:val="24"/>
          <w:szCs w:val="24"/>
        </w:rPr>
        <w:t>Where;</w:t>
      </w:r>
    </w:p>
    <w:p w14:paraId="62CD063C" w14:textId="77777777" w:rsidR="001C1D18" w:rsidRDefault="00217595">
      <w:pPr>
        <w:spacing w:line="276" w:lineRule="auto"/>
        <w:jc w:val="both"/>
        <w:rPr>
          <w:sz w:val="24"/>
          <w:szCs w:val="24"/>
        </w:rPr>
      </w:pPr>
      <w:r>
        <w:rPr>
          <w:sz w:val="24"/>
          <w:szCs w:val="24"/>
        </w:rPr>
        <w:t>W1 - weight of dried crucible</w:t>
      </w:r>
    </w:p>
    <w:p w14:paraId="6E750ACE" w14:textId="77777777" w:rsidR="001C1D18" w:rsidRDefault="00217595">
      <w:pPr>
        <w:spacing w:line="276" w:lineRule="auto"/>
        <w:jc w:val="both"/>
        <w:rPr>
          <w:sz w:val="24"/>
          <w:szCs w:val="24"/>
        </w:rPr>
      </w:pPr>
      <w:r>
        <w:rPr>
          <w:sz w:val="24"/>
          <w:szCs w:val="24"/>
        </w:rPr>
        <w:t>W2 - weight of crucible + sample before drying</w:t>
      </w:r>
    </w:p>
    <w:p w14:paraId="1B2C66F7" w14:textId="77777777" w:rsidR="001C1D18" w:rsidRDefault="00217595">
      <w:pPr>
        <w:spacing w:line="276" w:lineRule="auto"/>
        <w:jc w:val="both"/>
        <w:rPr>
          <w:sz w:val="24"/>
          <w:szCs w:val="24"/>
        </w:rPr>
      </w:pPr>
      <w:r>
        <w:rPr>
          <w:sz w:val="24"/>
          <w:szCs w:val="24"/>
        </w:rPr>
        <w:t>W3 - weight of crucible + sample after drying to a constant weight</w:t>
      </w:r>
    </w:p>
    <w:p w14:paraId="1176DB63" w14:textId="77777777" w:rsidR="001C1D18" w:rsidRDefault="001C1D18">
      <w:pPr>
        <w:spacing w:line="276" w:lineRule="auto"/>
        <w:jc w:val="both"/>
        <w:rPr>
          <w:b/>
          <w:bCs/>
          <w:sz w:val="24"/>
          <w:szCs w:val="24"/>
        </w:rPr>
      </w:pPr>
    </w:p>
    <w:p w14:paraId="17CB2DA6" w14:textId="77777777" w:rsidR="001C1D18" w:rsidRDefault="00217595">
      <w:pPr>
        <w:spacing w:line="276" w:lineRule="auto"/>
        <w:jc w:val="both"/>
        <w:rPr>
          <w:b/>
          <w:iCs/>
          <w:sz w:val="24"/>
          <w:szCs w:val="24"/>
        </w:rPr>
      </w:pPr>
      <w:r>
        <w:rPr>
          <w:b/>
          <w:iCs/>
          <w:sz w:val="24"/>
          <w:szCs w:val="24"/>
        </w:rPr>
        <w:t xml:space="preserve">2.4 Determination of Ash Content </w:t>
      </w:r>
    </w:p>
    <w:p w14:paraId="68A2F41F" w14:textId="77777777" w:rsidR="001C1D18" w:rsidRDefault="00217595">
      <w:pPr>
        <w:spacing w:line="276" w:lineRule="auto"/>
        <w:jc w:val="both"/>
        <w:rPr>
          <w:sz w:val="24"/>
          <w:szCs w:val="24"/>
        </w:rPr>
      </w:pPr>
      <w:r>
        <w:rPr>
          <w:sz w:val="24"/>
          <w:szCs w:val="24"/>
        </w:rPr>
        <w:t xml:space="preserve">Two (2) grams of each sample were placed in a crucible ignited in a muffle furnace at 550 </w:t>
      </w:r>
      <w:r>
        <w:rPr>
          <w:sz w:val="24"/>
          <w:szCs w:val="24"/>
          <w:vertAlign w:val="superscript"/>
        </w:rPr>
        <w:t>0</w:t>
      </w:r>
      <w:r>
        <w:rPr>
          <w:sz w:val="24"/>
          <w:szCs w:val="24"/>
        </w:rPr>
        <w:t xml:space="preserve">C for 6 hours after which it was cooled in a desiccator (A.O.A.C., 2019). It was weighed at room temperature to get the weight of the ash, using the formula: </w:t>
      </w:r>
    </w:p>
    <w:p w14:paraId="4E7C39A7" w14:textId="77777777" w:rsidR="001C1D18" w:rsidRDefault="001C1D18">
      <w:pPr>
        <w:spacing w:line="276" w:lineRule="auto"/>
        <w:jc w:val="both"/>
        <w:rPr>
          <w:bCs/>
          <w:sz w:val="24"/>
          <w:szCs w:val="24"/>
        </w:rPr>
      </w:pPr>
    </w:p>
    <w:p w14:paraId="0EBCA732"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Ash</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…………2</w:t>
      </w:r>
    </w:p>
    <w:p w14:paraId="7666CF60" w14:textId="77777777" w:rsidR="001C1D18" w:rsidRDefault="00217595">
      <w:pPr>
        <w:spacing w:line="276" w:lineRule="auto"/>
        <w:jc w:val="both"/>
        <w:rPr>
          <w:bCs/>
          <w:sz w:val="24"/>
          <w:szCs w:val="24"/>
        </w:rPr>
      </w:pPr>
      <w:r>
        <w:rPr>
          <w:bCs/>
          <w:sz w:val="24"/>
          <w:szCs w:val="24"/>
        </w:rPr>
        <w:t>Where; W1 = weight of empty crucible</w:t>
      </w:r>
    </w:p>
    <w:p w14:paraId="612E8824" w14:textId="77777777" w:rsidR="001C1D18" w:rsidRDefault="00217595">
      <w:pPr>
        <w:spacing w:line="276" w:lineRule="auto"/>
        <w:jc w:val="both"/>
        <w:rPr>
          <w:bCs/>
          <w:sz w:val="24"/>
          <w:szCs w:val="24"/>
        </w:rPr>
      </w:pPr>
      <w:r>
        <w:rPr>
          <w:bCs/>
          <w:sz w:val="24"/>
          <w:szCs w:val="24"/>
        </w:rPr>
        <w:t xml:space="preserve"> W2 = weight of crucible + ashes            </w:t>
      </w:r>
    </w:p>
    <w:p w14:paraId="5129A711" w14:textId="77777777" w:rsidR="001C1D18" w:rsidRDefault="00217595">
      <w:pPr>
        <w:spacing w:line="276" w:lineRule="auto"/>
        <w:jc w:val="both"/>
        <w:rPr>
          <w:bCs/>
          <w:sz w:val="24"/>
          <w:szCs w:val="24"/>
        </w:rPr>
      </w:pPr>
      <w:r>
        <w:rPr>
          <w:bCs/>
          <w:sz w:val="24"/>
          <w:szCs w:val="24"/>
        </w:rPr>
        <w:t xml:space="preserve"> W3 = weight of sample</w:t>
      </w:r>
    </w:p>
    <w:p w14:paraId="45FB16C9" w14:textId="77777777" w:rsidR="001C1D18" w:rsidRDefault="00217595">
      <w:pPr>
        <w:spacing w:line="276" w:lineRule="auto"/>
        <w:jc w:val="both"/>
        <w:rPr>
          <w:b/>
          <w:bCs/>
          <w:sz w:val="24"/>
          <w:szCs w:val="24"/>
        </w:rPr>
      </w:pPr>
      <w:r>
        <w:rPr>
          <w:b/>
          <w:bCs/>
          <w:sz w:val="24"/>
          <w:szCs w:val="24"/>
        </w:rPr>
        <w:lastRenderedPageBreak/>
        <w:t xml:space="preserve"> </w:t>
      </w:r>
    </w:p>
    <w:p w14:paraId="4CA5EE2B" w14:textId="77777777" w:rsidR="001C1D18" w:rsidRDefault="00217595">
      <w:pPr>
        <w:spacing w:line="276" w:lineRule="auto"/>
        <w:jc w:val="both"/>
        <w:rPr>
          <w:b/>
          <w:iCs/>
          <w:sz w:val="24"/>
          <w:szCs w:val="24"/>
        </w:rPr>
      </w:pPr>
      <w:r>
        <w:rPr>
          <w:b/>
          <w:iCs/>
          <w:sz w:val="24"/>
          <w:szCs w:val="24"/>
        </w:rPr>
        <w:t>2.5 Determination of Crude Fibre</w:t>
      </w:r>
    </w:p>
    <w:p w14:paraId="14AEB699" w14:textId="77777777" w:rsidR="001C1D18" w:rsidRDefault="00217595">
      <w:pPr>
        <w:spacing w:line="276" w:lineRule="auto"/>
        <w:jc w:val="both"/>
        <w:rPr>
          <w:sz w:val="24"/>
          <w:szCs w:val="24"/>
        </w:rPr>
      </w:pPr>
      <w:r>
        <w:rPr>
          <w:sz w:val="24"/>
          <w:szCs w:val="24"/>
        </w:rPr>
        <w:t>Crude fibre content was determined using the method of A.O.A.C. (2019). Five (5) grams of each of the sample and 200 ml of 1.25% H</w:t>
      </w:r>
      <w:r>
        <w:rPr>
          <w:sz w:val="24"/>
          <w:szCs w:val="24"/>
          <w:vertAlign w:val="subscript"/>
        </w:rPr>
        <w:t>2</w:t>
      </w:r>
      <w:r>
        <w:rPr>
          <w:sz w:val="24"/>
          <w:szCs w:val="24"/>
        </w:rPr>
        <w:t>SO</w:t>
      </w:r>
      <w:r>
        <w:rPr>
          <w:sz w:val="24"/>
          <w:szCs w:val="24"/>
          <w:vertAlign w:val="subscript"/>
        </w:rPr>
        <w:t>4</w:t>
      </w:r>
      <w:r>
        <w:rPr>
          <w:sz w:val="24"/>
          <w:szCs w:val="24"/>
        </w:rPr>
        <w:t xml:space="preserve"> were heated for thirty (30) minutes and filtered with a funnel. The residue was washed with distilled water until it was acid-free. Two hundred (200) mls of 1.25% NaOH were used to boil the residue for thirty (30) minutes. It was filtered and washed several times with distilled water until it was perceived alkaline-free. It was then rinsed once with 10% HCl and twice with ethanol. Finally, it was rinsed with petroleum ether three times. The residue was put in a crucible and dried at 105</w:t>
      </w:r>
      <w:r>
        <w:rPr>
          <w:sz w:val="24"/>
          <w:szCs w:val="24"/>
          <w:vertAlign w:val="superscript"/>
        </w:rPr>
        <w:t>0</w:t>
      </w:r>
      <w:r>
        <w:rPr>
          <w:sz w:val="24"/>
          <w:szCs w:val="24"/>
        </w:rPr>
        <w:t xml:space="preserve">C in an oven overnight. After cooling in a desiccator, it was ignited in a muffle furnace at 550 </w:t>
      </w:r>
      <w:r>
        <w:rPr>
          <w:sz w:val="24"/>
          <w:szCs w:val="24"/>
          <w:vertAlign w:val="superscript"/>
        </w:rPr>
        <w:t>0</w:t>
      </w:r>
      <w:r>
        <w:rPr>
          <w:sz w:val="24"/>
          <w:szCs w:val="24"/>
        </w:rPr>
        <w:t>C for 90 minutes to obtain the weight of the ash. The percentage of crude fibre was obtained using this formula:</w:t>
      </w:r>
    </w:p>
    <w:p w14:paraId="0D9FD04B"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2" behindDoc="0" locked="0" layoutInCell="1" allowOverlap="1" wp14:anchorId="5CB9BE7A" wp14:editId="5CCD24B6">
                <wp:simplePos x="0" y="0"/>
                <wp:positionH relativeFrom="column">
                  <wp:posOffset>2540635</wp:posOffset>
                </wp:positionH>
                <wp:positionV relativeFrom="paragraph">
                  <wp:posOffset>31750</wp:posOffset>
                </wp:positionV>
                <wp:extent cx="45085" cy="74929"/>
                <wp:effectExtent l="57150" t="0" r="31115" b="0"/>
                <wp:wrapNone/>
                <wp:docPr id="1042"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74929"/>
                        </a:xfrm>
                        <a:prstGeom prst="rect">
                          <a:avLst/>
                        </a:prstGeom>
                        <a:ln>
                          <a:noFill/>
                        </a:ln>
                      </wps:spPr>
                      <wps:txbx>
                        <w:txbxContent>
                          <w:p w14:paraId="02A49D04" w14:textId="77777777" w:rsidR="001C1D18" w:rsidRDefault="00217595">
                            <w:pPr>
                              <w:ind w:left="4320"/>
                              <w:rPr>
                                <w:lang w:val="en-GB"/>
                              </w:rPr>
                            </w:pPr>
                            <w:r>
                              <w:rPr>
                                <w:lang w:val="en-GB"/>
                              </w:rPr>
                              <w:t>3.3</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BE7A" id=" 77" o:spid="_x0000_s1042" style="position:absolute;left:0;text-align:left;margin-left:200.05pt;margin-top:2.5pt;width:3.55pt;height:5.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" filled="f" stroked="f">
                <v:textbox>
                  <w:txbxContent>
                    <w:p w14:paraId="02A49D04" w14:textId="77777777" w:rsidR="001C1D18" w:rsidRDefault="00217595">
                      <w:pPr>
                        <w:ind w:left="4320"/>
                        <w:rPr>
                          <w:lang w:val="en-GB"/>
                        </w:rPr>
                      </w:pPr>
                      <w:r>
                        <w:rPr>
                          <w:lang w:val="en-GB"/>
                        </w:rPr>
                        <w:t>3.3</w:t>
                      </w:r>
                    </w:p>
                  </w:txbxContent>
                </v:textbox>
              </v:rect>
            </w:pict>
          </mc:Fallback>
        </mc:AlternateContent>
      </w:r>
      <m:oMath>
        <m:r>
          <w:rPr>
            <w:rFonts w:ascii="Cambria Math"/>
            <w:sz w:val="24"/>
            <w:szCs w:val="24"/>
          </w:rPr>
          <m:t xml:space="preserve">% </m:t>
        </m:r>
        <m:r>
          <w:rPr>
            <w:rFonts w:ascii="Cambria Math" w:hAnsi="Cambria Math"/>
            <w:sz w:val="24"/>
            <w:szCs w:val="24"/>
          </w:rPr>
          <m:t>Crude</m:t>
        </m:r>
        <m:r>
          <w:rPr>
            <w:rFonts w:ascii="Cambria Math"/>
            <w:sz w:val="24"/>
            <w:szCs w:val="24"/>
          </w:rPr>
          <m:t xml:space="preserve"> </m:t>
        </m:r>
        <m:r>
          <w:rPr>
            <w:rFonts w:ascii="Cambria Math" w:hAnsi="Cambria Math"/>
            <w:sz w:val="24"/>
            <w:szCs w:val="24"/>
          </w:rPr>
          <m:t>fibre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………………..3</w:t>
      </w:r>
    </w:p>
    <w:p w14:paraId="47069660" w14:textId="77777777" w:rsidR="001C1D18" w:rsidRDefault="00217595">
      <w:pPr>
        <w:spacing w:line="276" w:lineRule="auto"/>
        <w:jc w:val="both"/>
        <w:rPr>
          <w:sz w:val="24"/>
          <w:szCs w:val="24"/>
        </w:rPr>
      </w:pPr>
      <w:r>
        <w:rPr>
          <w:sz w:val="24"/>
          <w:szCs w:val="24"/>
        </w:rPr>
        <w:t>Where;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2C3C580" w14:textId="77777777" w:rsidR="001C1D18" w:rsidRDefault="00217595">
      <w:pPr>
        <w:spacing w:line="276" w:lineRule="auto"/>
        <w:jc w:val="both"/>
        <w:rPr>
          <w:sz w:val="24"/>
          <w:szCs w:val="24"/>
        </w:rPr>
      </w:pPr>
      <w:r>
        <w:rPr>
          <w:sz w:val="24"/>
          <w:szCs w:val="24"/>
        </w:rPr>
        <w:t>W</w:t>
      </w:r>
      <w:r>
        <w:rPr>
          <w:sz w:val="24"/>
          <w:szCs w:val="24"/>
          <w:vertAlign w:val="subscript"/>
        </w:rPr>
        <w:t>1</w:t>
      </w:r>
      <w:r>
        <w:rPr>
          <w:sz w:val="24"/>
          <w:szCs w:val="24"/>
        </w:rPr>
        <w:t xml:space="preserve"> - Weight of sample</w:t>
      </w:r>
    </w:p>
    <w:p w14:paraId="0B7CBD88" w14:textId="77777777" w:rsidR="001C1D18" w:rsidRDefault="00217595">
      <w:pPr>
        <w:spacing w:line="276" w:lineRule="auto"/>
        <w:jc w:val="both"/>
        <w:rPr>
          <w:sz w:val="24"/>
          <w:szCs w:val="24"/>
        </w:rPr>
      </w:pPr>
      <w:r>
        <w:rPr>
          <w:sz w:val="24"/>
          <w:szCs w:val="24"/>
        </w:rPr>
        <w:t>W</w:t>
      </w:r>
      <w:r>
        <w:rPr>
          <w:sz w:val="24"/>
          <w:szCs w:val="24"/>
          <w:vertAlign w:val="subscript"/>
        </w:rPr>
        <w:t>2</w:t>
      </w:r>
      <w:r>
        <w:rPr>
          <w:sz w:val="24"/>
          <w:szCs w:val="24"/>
        </w:rPr>
        <w:t xml:space="preserve"> - Weight of crucible + sample before ashing </w:t>
      </w:r>
    </w:p>
    <w:p w14:paraId="4B7FD1D0" w14:textId="77777777" w:rsidR="001C1D18" w:rsidRDefault="00217595">
      <w:pPr>
        <w:spacing w:line="276" w:lineRule="auto"/>
        <w:jc w:val="both"/>
        <w:rPr>
          <w:sz w:val="24"/>
          <w:szCs w:val="24"/>
        </w:rPr>
      </w:pPr>
      <w:r>
        <w:rPr>
          <w:sz w:val="24"/>
          <w:szCs w:val="24"/>
        </w:rPr>
        <w:t>W</w:t>
      </w:r>
      <w:r>
        <w:rPr>
          <w:sz w:val="24"/>
          <w:szCs w:val="24"/>
          <w:vertAlign w:val="subscript"/>
        </w:rPr>
        <w:t>3</w:t>
      </w:r>
      <w:r>
        <w:rPr>
          <w:sz w:val="24"/>
          <w:szCs w:val="24"/>
        </w:rPr>
        <w:t xml:space="preserve"> - Weight of crucible + sample after ashing </w:t>
      </w:r>
    </w:p>
    <w:p w14:paraId="01A0F660" w14:textId="77777777" w:rsidR="001C1D18" w:rsidRDefault="001C1D18">
      <w:pPr>
        <w:spacing w:line="276" w:lineRule="auto"/>
        <w:jc w:val="both"/>
        <w:rPr>
          <w:b/>
          <w:sz w:val="24"/>
          <w:szCs w:val="24"/>
        </w:rPr>
      </w:pPr>
    </w:p>
    <w:p w14:paraId="1718843D" w14:textId="77777777" w:rsidR="001C1D18" w:rsidRDefault="00217595">
      <w:pPr>
        <w:spacing w:before="240" w:line="276" w:lineRule="auto"/>
        <w:jc w:val="both"/>
        <w:rPr>
          <w:b/>
          <w:iCs/>
          <w:sz w:val="24"/>
          <w:szCs w:val="24"/>
        </w:rPr>
      </w:pPr>
      <w:r>
        <w:rPr>
          <w:b/>
          <w:iCs/>
          <w:sz w:val="24"/>
          <w:szCs w:val="24"/>
        </w:rPr>
        <w:t xml:space="preserve">2.6 Determination of Crude Fat </w:t>
      </w:r>
    </w:p>
    <w:p w14:paraId="2295D6F4" w14:textId="77777777" w:rsidR="001C1D18" w:rsidRDefault="00217595">
      <w:pPr>
        <w:spacing w:before="240" w:line="276" w:lineRule="auto"/>
        <w:jc w:val="both"/>
        <w:rPr>
          <w:sz w:val="24"/>
          <w:szCs w:val="24"/>
        </w:rPr>
      </w:pPr>
      <w:r>
        <w:rPr>
          <w:sz w:val="24"/>
          <w:szCs w:val="24"/>
        </w:rPr>
        <w:t>The estimation was performed using the Soxhlet extraction method. Ten (10) grams of each of the samples were weighed and wrapped with a filter paper and placed in a thimble. The thimble was covered with cotton wool and placed in the extraction column that was connected to a condenser. Two hundred (200 ml) of n-Hexane was used to extract the lipid (A.O.A.C., 2019). The fat content was calculated using the formula below</w:t>
      </w:r>
    </w:p>
    <w:p w14:paraId="696415DC"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fat</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……………………….4</w:t>
      </w:r>
    </w:p>
    <w:p w14:paraId="3FA7787E"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3" behindDoc="0" locked="0" layoutInCell="1" allowOverlap="1" wp14:anchorId="45064484" wp14:editId="1C7F5319">
                <wp:simplePos x="0" y="0"/>
                <wp:positionH relativeFrom="column">
                  <wp:posOffset>5103495</wp:posOffset>
                </wp:positionH>
                <wp:positionV relativeFrom="paragraph">
                  <wp:posOffset>43815</wp:posOffset>
                </wp:positionV>
                <wp:extent cx="82550" cy="104140"/>
                <wp:effectExtent l="19050" t="0" r="0" b="0"/>
                <wp:wrapNone/>
                <wp:docPr id="1043"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04140"/>
                        </a:xfrm>
                        <a:prstGeom prst="rect">
                          <a:avLst/>
                        </a:prstGeom>
                        <a:ln>
                          <a:noFill/>
                        </a:ln>
                      </wps:spPr>
                      <wps:txbx>
                        <w:txbxContent>
                          <w:p w14:paraId="2804EB29" w14:textId="77777777" w:rsidR="001C1D18" w:rsidRDefault="00217595">
                            <w:pPr>
                              <w:ind w:left="4320"/>
                              <w:rPr>
                                <w:lang w:val="en-GB"/>
                              </w:rPr>
                            </w:pPr>
                            <w:r>
                              <w:rPr>
                                <w:lang w:val="en-GB"/>
                              </w:rPr>
                              <w:t>3.2</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4484" id=" 78" o:spid="_x0000_s1043" style="position:absolute;left:0;text-align:left;margin-left:401.85pt;margin-top:3.45pt;width:6.5pt;height:8.2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" filled="f" stroked="f">
                <v:textbox>
                  <w:txbxContent>
                    <w:p w14:paraId="2804EB29" w14:textId="77777777" w:rsidR="001C1D18" w:rsidRDefault="00217595">
                      <w:pPr>
                        <w:ind w:left="4320"/>
                        <w:rPr>
                          <w:lang w:val="en-GB"/>
                        </w:rPr>
                      </w:pPr>
                      <w:r>
                        <w:rPr>
                          <w:lang w:val="en-GB"/>
                        </w:rPr>
                        <w:t>3.2</w:t>
                      </w:r>
                    </w:p>
                  </w:txbxContent>
                </v:textbox>
              </v:rect>
            </w:pict>
          </mc:Fallback>
        </mc:AlternateContent>
      </w:r>
      <w:r>
        <w:rPr>
          <w:sz w:val="24"/>
          <w:szCs w:val="24"/>
        </w:rPr>
        <w:t xml:space="preserve">Where: </w:t>
      </w:r>
    </w:p>
    <w:p w14:paraId="16C65A95" w14:textId="77777777" w:rsidR="001C1D18" w:rsidRDefault="00217595">
      <w:pPr>
        <w:spacing w:line="276" w:lineRule="auto"/>
        <w:jc w:val="both"/>
        <w:rPr>
          <w:sz w:val="24"/>
          <w:szCs w:val="24"/>
        </w:rPr>
      </w:pPr>
      <w:r>
        <w:rPr>
          <w:sz w:val="24"/>
          <w:szCs w:val="24"/>
        </w:rPr>
        <w:t xml:space="preserve">W1 - weight of empty flask </w:t>
      </w:r>
    </w:p>
    <w:p w14:paraId="528DD3AE" w14:textId="77777777" w:rsidR="001C1D18" w:rsidRDefault="00217595">
      <w:pPr>
        <w:spacing w:line="276" w:lineRule="auto"/>
        <w:jc w:val="both"/>
        <w:rPr>
          <w:sz w:val="24"/>
          <w:szCs w:val="24"/>
        </w:rPr>
      </w:pPr>
      <w:r>
        <w:rPr>
          <w:sz w:val="24"/>
          <w:szCs w:val="24"/>
        </w:rPr>
        <w:t>W2 - weight of empty flask + oil</w:t>
      </w:r>
    </w:p>
    <w:p w14:paraId="25FE93FA" w14:textId="77777777" w:rsidR="001C1D18" w:rsidRDefault="00217595">
      <w:pPr>
        <w:spacing w:line="276" w:lineRule="auto"/>
        <w:jc w:val="both"/>
        <w:rPr>
          <w:sz w:val="24"/>
          <w:szCs w:val="24"/>
        </w:rPr>
      </w:pPr>
      <w:r>
        <w:rPr>
          <w:sz w:val="24"/>
          <w:szCs w:val="24"/>
        </w:rPr>
        <w:t>W3 - weight of sample used.</w:t>
      </w:r>
    </w:p>
    <w:p w14:paraId="327FA886" w14:textId="77777777" w:rsidR="001C1D18" w:rsidRDefault="00217595">
      <w:pPr>
        <w:spacing w:line="276" w:lineRule="auto"/>
        <w:jc w:val="both"/>
        <w:rPr>
          <w:sz w:val="24"/>
          <w:szCs w:val="24"/>
        </w:rPr>
      </w:pPr>
      <w:r>
        <w:rPr>
          <w:sz w:val="24"/>
          <w:szCs w:val="24"/>
        </w:rPr>
        <w:t xml:space="preserve"> </w:t>
      </w:r>
    </w:p>
    <w:p w14:paraId="6670FA30" w14:textId="77777777" w:rsidR="001C1D18" w:rsidRDefault="00217595">
      <w:pPr>
        <w:spacing w:line="276" w:lineRule="auto"/>
        <w:jc w:val="both"/>
        <w:rPr>
          <w:b/>
          <w:iCs/>
          <w:sz w:val="24"/>
          <w:szCs w:val="24"/>
        </w:rPr>
      </w:pPr>
      <w:r>
        <w:rPr>
          <w:b/>
          <w:iCs/>
          <w:sz w:val="24"/>
          <w:szCs w:val="24"/>
        </w:rPr>
        <w:t xml:space="preserve">2.7 Determination of Protein </w:t>
      </w:r>
    </w:p>
    <w:p w14:paraId="173AF7A7" w14:textId="77777777" w:rsidR="001C1D18" w:rsidRDefault="00217595">
      <w:pPr>
        <w:spacing w:before="240" w:line="276" w:lineRule="auto"/>
        <w:jc w:val="both"/>
        <w:rPr>
          <w:sz w:val="24"/>
          <w:szCs w:val="24"/>
        </w:rPr>
      </w:pPr>
      <w:r>
        <w:rPr>
          <w:sz w:val="24"/>
          <w:szCs w:val="24"/>
        </w:rPr>
        <w:t>Two (2) grams of each sample was weighed along with 20 cm</w:t>
      </w:r>
      <w:r>
        <w:rPr>
          <w:sz w:val="24"/>
          <w:szCs w:val="24"/>
          <w:vertAlign w:val="superscript"/>
        </w:rPr>
        <w:t>3</w:t>
      </w:r>
      <w:r>
        <w:rPr>
          <w:sz w:val="24"/>
          <w:szCs w:val="24"/>
        </w:rPr>
        <w:t xml:space="preserve"> of distilled water into a micro-Kjeldahl digestion flask. It was shaken and allowed to stand for some time. One tablet of selenium catalyst was added followed by the addition of 20 cm</w:t>
      </w:r>
      <w:r>
        <w:rPr>
          <w:sz w:val="24"/>
          <w:szCs w:val="24"/>
          <w:vertAlign w:val="superscript"/>
        </w:rPr>
        <w:t>3</w:t>
      </w:r>
      <w:r>
        <w:rPr>
          <w:sz w:val="24"/>
          <w:szCs w:val="24"/>
        </w:rPr>
        <w:t xml:space="preserve"> concentrated hydrogen tetraoxosulphate. The flask was heated on the digestion block at 100 </w:t>
      </w:r>
      <w:r>
        <w:rPr>
          <w:sz w:val="24"/>
          <w:szCs w:val="24"/>
          <w:vertAlign w:val="superscript"/>
        </w:rPr>
        <w:t>0</w:t>
      </w:r>
      <w:r>
        <w:rPr>
          <w:sz w:val="24"/>
          <w:szCs w:val="24"/>
        </w:rPr>
        <w:t>C for 4 hours, until the digest became clear. The flask was removed from the block and allowed to cool. The content was transferred into 50 cm</w:t>
      </w:r>
      <w:r>
        <w:rPr>
          <w:sz w:val="24"/>
          <w:szCs w:val="24"/>
          <w:vertAlign w:val="superscript"/>
        </w:rPr>
        <w:t>3</w:t>
      </w:r>
      <w:r>
        <w:rPr>
          <w:sz w:val="24"/>
          <w:szCs w:val="24"/>
        </w:rPr>
        <w:t xml:space="preserve"> volumetric flask and diluted to the mark with water. An aliquot of the digest (10 cm</w:t>
      </w:r>
      <w:r>
        <w:rPr>
          <w:sz w:val="24"/>
          <w:szCs w:val="24"/>
          <w:vertAlign w:val="superscript"/>
        </w:rPr>
        <w:t>3</w:t>
      </w:r>
      <w:r>
        <w:rPr>
          <w:sz w:val="24"/>
          <w:szCs w:val="24"/>
        </w:rPr>
        <w:t>) was transferred into another micro Kjeldahl flask and placed in the distilling outlet of the micro-Kjeldahl distillation unit. A conical flask containing 5 cm</w:t>
      </w:r>
      <w:r>
        <w:rPr>
          <w:sz w:val="24"/>
          <w:szCs w:val="24"/>
          <w:vertAlign w:val="superscript"/>
        </w:rPr>
        <w:t>3</w:t>
      </w:r>
      <w:r>
        <w:rPr>
          <w:sz w:val="24"/>
          <w:szCs w:val="24"/>
        </w:rPr>
        <w:t xml:space="preserve"> of boric acid indicator was placed under the condenser outlet. Sodium hydroxide solution (10 cm</w:t>
      </w:r>
      <w:r>
        <w:rPr>
          <w:sz w:val="24"/>
          <w:szCs w:val="24"/>
          <w:vertAlign w:val="superscript"/>
        </w:rPr>
        <w:t>3</w:t>
      </w:r>
      <w:r>
        <w:rPr>
          <w:sz w:val="24"/>
          <w:szCs w:val="24"/>
        </w:rPr>
        <w:t>, 40%) was added to the content in the Kjeldahl flask by opening the funnel stopcock. The distillation was carried out and the heat supplied was regulated to avoid sucking back. When all the available distillate was collected in 5 cm</w:t>
      </w:r>
      <w:r>
        <w:rPr>
          <w:sz w:val="24"/>
          <w:szCs w:val="24"/>
          <w:vertAlign w:val="superscript"/>
        </w:rPr>
        <w:t>3</w:t>
      </w:r>
      <w:r>
        <w:rPr>
          <w:sz w:val="24"/>
          <w:szCs w:val="24"/>
        </w:rPr>
        <w:t xml:space="preserve"> of Boric acid, the distillation was stopped. The nitrogen in the distillate was determined by titrating with 0.01M of H</w:t>
      </w:r>
      <w:r>
        <w:rPr>
          <w:sz w:val="24"/>
          <w:szCs w:val="24"/>
          <w:vertAlign w:val="subscript"/>
        </w:rPr>
        <w:t>2</w:t>
      </w:r>
      <w:r>
        <w:rPr>
          <w:sz w:val="24"/>
          <w:szCs w:val="24"/>
        </w:rPr>
        <w:t>S0</w:t>
      </w:r>
      <w:r>
        <w:rPr>
          <w:sz w:val="24"/>
          <w:szCs w:val="24"/>
          <w:vertAlign w:val="subscript"/>
        </w:rPr>
        <w:t>4</w:t>
      </w:r>
      <w:r>
        <w:rPr>
          <w:sz w:val="24"/>
          <w:szCs w:val="24"/>
        </w:rPr>
        <w:t xml:space="preserve">; the end point was obtained when the colour of the distillate changed </w:t>
      </w:r>
      <w:r>
        <w:rPr>
          <w:sz w:val="24"/>
          <w:szCs w:val="24"/>
        </w:rPr>
        <w:lastRenderedPageBreak/>
        <w:t xml:space="preserve">from green to pink. The percentage nitrogen was calculated and multiplied by 6.25 to obtain the value of the crude protein (A.O.A.C, 2019). </w:t>
      </w:r>
    </w:p>
    <w:p w14:paraId="4C3B90F1" w14:textId="77777777" w:rsidR="001C1D18" w:rsidRDefault="001C1D18">
      <w:pPr>
        <w:spacing w:line="276" w:lineRule="auto"/>
        <w:jc w:val="both"/>
        <w:rPr>
          <w:sz w:val="24"/>
          <w:szCs w:val="24"/>
        </w:rPr>
      </w:pPr>
    </w:p>
    <w:p w14:paraId="24344E23" w14:textId="77777777" w:rsidR="001C1D18" w:rsidRDefault="00217595">
      <w:pPr>
        <w:spacing w:line="276" w:lineRule="auto"/>
        <w:jc w:val="both"/>
        <w:rPr>
          <w:sz w:val="24"/>
          <w:szCs w:val="24"/>
        </w:rPr>
      </w:pPr>
      <w:r>
        <w:rPr>
          <w:sz w:val="24"/>
          <w:szCs w:val="24"/>
        </w:rPr>
        <w:t xml:space="preserve">%Nitrogen = </w:t>
      </w:r>
      <w:commentRangeStart w:id="25"/>
      <w:r>
        <w:rPr>
          <w:sz w:val="24"/>
          <w:szCs w:val="24"/>
          <w:u w:val="single"/>
        </w:rPr>
        <w:t xml:space="preserve">Vs− Vb </w:t>
      </w:r>
      <w:commentRangeEnd w:id="25"/>
      <w:r w:rsidR="00DE6735">
        <w:rPr>
          <w:rStyle w:val="Marquedecommentaire"/>
          <w:sz w:val="24"/>
          <w:szCs w:val="24"/>
          <w:u w:val="single"/>
        </w:rPr>
        <w:commentReference w:id="25"/>
      </w:r>
      <w:r>
        <w:rPr>
          <w:sz w:val="24"/>
          <w:szCs w:val="24"/>
          <w:u w:val="single"/>
        </w:rPr>
        <w:t>x Nacid x 0.01401</w:t>
      </w:r>
      <w:r>
        <w:rPr>
          <w:sz w:val="24"/>
          <w:szCs w:val="24"/>
        </w:rPr>
        <w:t xml:space="preserve"> X 100……………………….5</w:t>
      </w:r>
    </w:p>
    <w:p w14:paraId="05A64D5D" w14:textId="77777777" w:rsidR="001C1D18" w:rsidRDefault="00217595">
      <w:pPr>
        <w:spacing w:line="276" w:lineRule="auto"/>
        <w:jc w:val="both"/>
        <w:rPr>
          <w:sz w:val="24"/>
          <w:szCs w:val="24"/>
        </w:rPr>
      </w:pPr>
      <w:r>
        <w:rPr>
          <w:sz w:val="24"/>
          <w:szCs w:val="24"/>
        </w:rPr>
        <w:t xml:space="preserve">                                      W </w:t>
      </w:r>
    </w:p>
    <w:p w14:paraId="57F2A88C" w14:textId="77777777" w:rsidR="001C1D18" w:rsidRDefault="00217595">
      <w:pPr>
        <w:spacing w:line="276" w:lineRule="auto"/>
        <w:jc w:val="both"/>
        <w:rPr>
          <w:sz w:val="24"/>
          <w:szCs w:val="24"/>
        </w:rPr>
      </w:pPr>
      <w:r>
        <w:rPr>
          <w:sz w:val="24"/>
          <w:szCs w:val="24"/>
        </w:rPr>
        <w:t xml:space="preserve">Where: </w:t>
      </w:r>
    </w:p>
    <w:p w14:paraId="1338F2CE" w14:textId="77777777" w:rsidR="001C1D18" w:rsidRDefault="00217595">
      <w:pPr>
        <w:spacing w:line="276" w:lineRule="auto"/>
        <w:jc w:val="both"/>
        <w:rPr>
          <w:sz w:val="24"/>
          <w:szCs w:val="24"/>
        </w:rPr>
      </w:pPr>
      <w:r>
        <w:rPr>
          <w:sz w:val="24"/>
          <w:szCs w:val="24"/>
        </w:rPr>
        <w:t xml:space="preserve">Vs = Titre value of the sample; </w:t>
      </w:r>
    </w:p>
    <w:p w14:paraId="0AC78A8D" w14:textId="77777777" w:rsidR="001C1D18" w:rsidRDefault="00217595">
      <w:pPr>
        <w:spacing w:line="276" w:lineRule="auto"/>
        <w:jc w:val="both"/>
        <w:rPr>
          <w:sz w:val="24"/>
          <w:szCs w:val="24"/>
        </w:rPr>
      </w:pPr>
      <w:r>
        <w:rPr>
          <w:sz w:val="24"/>
          <w:szCs w:val="24"/>
        </w:rPr>
        <w:t xml:space="preserve">Vb = Volume of acid required to titrate; </w:t>
      </w:r>
    </w:p>
    <w:p w14:paraId="241B022A" w14:textId="77777777" w:rsidR="001C1D18" w:rsidRDefault="00217595">
      <w:pPr>
        <w:spacing w:line="276" w:lineRule="auto"/>
        <w:jc w:val="both"/>
        <w:rPr>
          <w:sz w:val="24"/>
          <w:szCs w:val="24"/>
        </w:rPr>
      </w:pPr>
      <w:r>
        <w:rPr>
          <w:sz w:val="24"/>
          <w:szCs w:val="24"/>
        </w:rPr>
        <w:t xml:space="preserve">Nacid = Normality of acid; </w:t>
      </w:r>
    </w:p>
    <w:p w14:paraId="3B2ECEEA" w14:textId="77777777" w:rsidR="001C1D18" w:rsidRDefault="00217595">
      <w:pPr>
        <w:spacing w:line="276" w:lineRule="auto"/>
        <w:jc w:val="both"/>
        <w:rPr>
          <w:sz w:val="24"/>
          <w:szCs w:val="24"/>
        </w:rPr>
      </w:pPr>
      <w:r>
        <w:rPr>
          <w:sz w:val="24"/>
          <w:szCs w:val="24"/>
        </w:rPr>
        <w:t>W = Weight of sample in grams</w:t>
      </w:r>
    </w:p>
    <w:p w14:paraId="0DC4AFB1" w14:textId="77777777" w:rsidR="001C1D18" w:rsidRDefault="00217595">
      <w:pPr>
        <w:spacing w:before="240" w:line="276" w:lineRule="auto"/>
        <w:jc w:val="both"/>
        <w:rPr>
          <w:b/>
          <w:iCs/>
          <w:sz w:val="24"/>
          <w:szCs w:val="24"/>
        </w:rPr>
      </w:pPr>
      <w:r>
        <w:rPr>
          <w:b/>
          <w:iCs/>
          <w:sz w:val="24"/>
          <w:szCs w:val="24"/>
        </w:rPr>
        <w:t xml:space="preserve">2.8 Determination of Carbohydrate Content </w:t>
      </w:r>
    </w:p>
    <w:p w14:paraId="4D94D41E" w14:textId="77777777" w:rsidR="001C1D18" w:rsidRDefault="00217595">
      <w:pPr>
        <w:spacing w:before="240" w:line="276" w:lineRule="auto"/>
        <w:jc w:val="both"/>
        <w:rPr>
          <w:iCs/>
          <w:sz w:val="24"/>
          <w:szCs w:val="24"/>
        </w:rPr>
      </w:pPr>
      <w:r>
        <w:rPr>
          <w:iCs/>
          <w:sz w:val="24"/>
          <w:szCs w:val="24"/>
        </w:rPr>
        <w:t xml:space="preserve">The carbohydrate content was determined by subtracting the summed-up percentage compositions of moisture, protein, lipid, fibre, and ash contents from 100 (Igene and Abu 2022). The percentage carbohydrate was obtained using the formula: </w:t>
      </w:r>
    </w:p>
    <w:p w14:paraId="619A734A" w14:textId="77777777" w:rsidR="001C1D18" w:rsidRDefault="00217595">
      <w:pPr>
        <w:spacing w:before="240" w:line="276" w:lineRule="auto"/>
        <w:jc w:val="both"/>
        <w:rPr>
          <w:iCs/>
          <w:sz w:val="24"/>
          <w:szCs w:val="24"/>
        </w:rPr>
      </w:pPr>
      <w:commentRangeStart w:id="26"/>
      <w:r>
        <w:rPr>
          <w:iCs/>
          <w:sz w:val="24"/>
          <w:szCs w:val="24"/>
        </w:rPr>
        <w:t xml:space="preserve">% Carbohydrate = 100 - (%Protein + %Moisture + %Ash + %Fiber + </w:t>
      </w:r>
      <w:r>
        <w:rPr>
          <w:bCs/>
          <w:iCs/>
          <w:sz w:val="24"/>
          <w:szCs w:val="24"/>
        </w:rPr>
        <w:t>% Fat</w:t>
      </w:r>
      <w:r>
        <w:rPr>
          <w:iCs/>
          <w:sz w:val="24"/>
          <w:szCs w:val="24"/>
        </w:rPr>
        <w:t xml:space="preserve">) </w:t>
      </w:r>
      <w:commentRangeEnd w:id="26"/>
      <w:r w:rsidR="00DE6735">
        <w:rPr>
          <w:rStyle w:val="Marquedecommentaire"/>
          <w:iCs/>
          <w:sz w:val="24"/>
          <w:szCs w:val="24"/>
        </w:rPr>
        <w:commentReference w:id="26"/>
      </w:r>
      <w:r>
        <w:rPr>
          <w:iCs/>
          <w:sz w:val="24"/>
          <w:szCs w:val="24"/>
        </w:rPr>
        <w:t>……………6</w:t>
      </w:r>
    </w:p>
    <w:p w14:paraId="7D45C967" w14:textId="77777777" w:rsidR="001C1D18" w:rsidRDefault="00217595">
      <w:pPr>
        <w:spacing w:before="240" w:line="276" w:lineRule="auto"/>
        <w:jc w:val="both"/>
        <w:rPr>
          <w:b/>
          <w:bCs/>
          <w:iCs/>
          <w:sz w:val="24"/>
          <w:szCs w:val="24"/>
        </w:rPr>
      </w:pPr>
      <w:r>
        <w:rPr>
          <w:b/>
          <w:bCs/>
          <w:iCs/>
          <w:sz w:val="24"/>
          <w:szCs w:val="24"/>
        </w:rPr>
        <w:t>2.9 Determination of energy value (the caloric value).</w:t>
      </w:r>
    </w:p>
    <w:p w14:paraId="794C675B" w14:textId="77777777" w:rsidR="001C1D18" w:rsidRDefault="001C1D18">
      <w:pPr>
        <w:spacing w:line="276" w:lineRule="auto"/>
        <w:jc w:val="both"/>
        <w:rPr>
          <w:b/>
          <w:bCs/>
          <w:iCs/>
          <w:sz w:val="24"/>
          <w:szCs w:val="24"/>
        </w:rPr>
      </w:pPr>
    </w:p>
    <w:p w14:paraId="0326007A" w14:textId="77777777" w:rsidR="001C1D18" w:rsidRDefault="00217595">
      <w:pPr>
        <w:spacing w:line="276" w:lineRule="auto"/>
        <w:jc w:val="both"/>
        <w:rPr>
          <w:bCs/>
          <w:iCs/>
          <w:sz w:val="24"/>
          <w:szCs w:val="24"/>
        </w:rPr>
      </w:pPr>
      <w:r>
        <w:rPr>
          <w:bCs/>
          <w:iCs/>
          <w:sz w:val="24"/>
          <w:szCs w:val="24"/>
        </w:rPr>
        <w:t>This was determined using the Atwater factor described by (FAO, 2003)</w:t>
      </w:r>
    </w:p>
    <w:p w14:paraId="63ED09E1" w14:textId="77777777" w:rsidR="001C1D18" w:rsidRDefault="00217595">
      <w:pPr>
        <w:spacing w:line="276" w:lineRule="auto"/>
        <w:jc w:val="both"/>
        <w:rPr>
          <w:iCs/>
          <w:sz w:val="24"/>
          <w:szCs w:val="24"/>
        </w:rPr>
      </w:pPr>
      <w:commentRangeStart w:id="27"/>
      <w:commentRangeStart w:id="28"/>
      <w:r>
        <w:rPr>
          <w:iCs/>
          <w:sz w:val="24"/>
          <w:szCs w:val="24"/>
        </w:rPr>
        <w:t xml:space="preserve">Energy value in kcal/g = </w:t>
      </w:r>
      <w:commentRangeStart w:id="29"/>
      <w:r>
        <w:rPr>
          <w:iCs/>
          <w:sz w:val="24"/>
          <w:szCs w:val="24"/>
        </w:rPr>
        <w:t xml:space="preserve">(% Protein x 4 + % Fat x 9 + % Carbohydrate x 4) </w:t>
      </w:r>
      <w:commentRangeEnd w:id="28"/>
      <w:r w:rsidR="00A63948">
        <w:rPr>
          <w:rStyle w:val="Marquedecommentaire"/>
          <w:iCs/>
          <w:sz w:val="24"/>
          <w:szCs w:val="24"/>
        </w:rPr>
        <w:commentReference w:id="28"/>
      </w:r>
      <w:r>
        <w:rPr>
          <w:iCs/>
          <w:sz w:val="24"/>
          <w:szCs w:val="24"/>
        </w:rPr>
        <w:t>……………</w:t>
      </w:r>
      <w:commentRangeEnd w:id="27"/>
      <w:r w:rsidR="00060583">
        <w:rPr>
          <w:rStyle w:val="Marquedecommentaire"/>
          <w:iCs/>
          <w:sz w:val="24"/>
          <w:szCs w:val="24"/>
        </w:rPr>
        <w:commentReference w:id="27"/>
      </w:r>
      <w:r>
        <w:rPr>
          <w:iCs/>
          <w:sz w:val="24"/>
          <w:szCs w:val="24"/>
        </w:rPr>
        <w:t>7</w:t>
      </w:r>
      <w:commentRangeEnd w:id="29"/>
      <w:r w:rsidR="00DD2F87">
        <w:rPr>
          <w:rStyle w:val="Marquedecommentaire"/>
          <w:iCs/>
          <w:sz w:val="24"/>
          <w:szCs w:val="24"/>
        </w:rPr>
        <w:commentReference w:id="29"/>
      </w:r>
    </w:p>
    <w:p w14:paraId="17A0FA79" w14:textId="77777777" w:rsidR="001C1D18" w:rsidRDefault="001C1D18">
      <w:pPr>
        <w:spacing w:line="276" w:lineRule="auto"/>
        <w:jc w:val="both"/>
        <w:rPr>
          <w:iCs/>
          <w:sz w:val="24"/>
          <w:szCs w:val="24"/>
        </w:rPr>
      </w:pPr>
    </w:p>
    <w:p w14:paraId="15B5B67F" w14:textId="77777777" w:rsidR="001C1D18" w:rsidRDefault="00217595">
      <w:pPr>
        <w:spacing w:line="276" w:lineRule="auto"/>
        <w:rPr>
          <w:b/>
          <w:iCs/>
          <w:sz w:val="24"/>
          <w:szCs w:val="24"/>
        </w:rPr>
      </w:pPr>
      <w:r>
        <w:rPr>
          <w:b/>
          <w:iCs/>
          <w:sz w:val="24"/>
          <w:szCs w:val="24"/>
        </w:rPr>
        <w:t>2.10 Sensory evaluation of the ginger and turmeric fortified cassava -groundnut snack bar</w:t>
      </w:r>
    </w:p>
    <w:p w14:paraId="7726E500" w14:textId="77777777" w:rsidR="001C1D18" w:rsidRDefault="00217595">
      <w:pPr>
        <w:spacing w:before="240" w:line="276" w:lineRule="auto"/>
        <w:jc w:val="both"/>
        <w:rPr>
          <w:sz w:val="24"/>
          <w:szCs w:val="24"/>
        </w:rPr>
      </w:pPr>
      <w:r>
        <w:rPr>
          <w:sz w:val="24"/>
          <w:szCs w:val="24"/>
        </w:rPr>
        <w:t xml:space="preserve">After production, the sensory attributes: appearance, taste, flavor, aroma and overall acceptability, was evaluated at room temperature by a panel of thirty semi-trained panelist comprising of postgraduate students and staff of the department of Food Science and Technology, Federal University of Technology, Owerri, Imo State, Nigeria. The panelist was served with the cassava-groundnut snack bar samples and questionnaires. The samples were identified with three-digit code numbers and presented in a random sequence to the panelists. The sensory acceptability was evaluated based on a 9-Point </w:t>
      </w:r>
      <w:commentRangeStart w:id="30"/>
      <w:r>
        <w:rPr>
          <w:sz w:val="24"/>
          <w:szCs w:val="24"/>
        </w:rPr>
        <w:t>Hedomic scale</w:t>
      </w:r>
      <w:commentRangeEnd w:id="30"/>
      <w:r w:rsidR="002F34C8">
        <w:rPr>
          <w:rStyle w:val="Marquedecommentaire"/>
          <w:sz w:val="24"/>
          <w:szCs w:val="24"/>
        </w:rPr>
        <w:commentReference w:id="30"/>
      </w:r>
      <w:r>
        <w:rPr>
          <w:sz w:val="24"/>
          <w:szCs w:val="24"/>
        </w:rPr>
        <w:t>, 1 representing disliked extremely,9 representing liked extremely and 5 representing neither liked nor disliked.</w:t>
      </w:r>
    </w:p>
    <w:p w14:paraId="2A2C1A0D" w14:textId="77777777" w:rsidR="001C1D18" w:rsidRDefault="00217595">
      <w:pPr>
        <w:spacing w:before="240" w:line="276" w:lineRule="auto"/>
        <w:jc w:val="both"/>
        <w:rPr>
          <w:iCs/>
          <w:sz w:val="24"/>
          <w:szCs w:val="24"/>
        </w:rPr>
      </w:pPr>
      <w:r>
        <w:rPr>
          <w:b/>
          <w:iCs/>
          <w:sz w:val="24"/>
          <w:szCs w:val="24"/>
        </w:rPr>
        <w:t>2.11</w:t>
      </w:r>
      <w:r>
        <w:rPr>
          <w:b/>
          <w:iCs/>
          <w:sz w:val="24"/>
          <w:szCs w:val="24"/>
        </w:rPr>
        <w:tab/>
        <w:t>Statistical Analysis</w:t>
      </w:r>
      <w:r>
        <w:rPr>
          <w:iCs/>
          <w:sz w:val="24"/>
          <w:szCs w:val="24"/>
        </w:rPr>
        <w:t xml:space="preserve"> </w:t>
      </w:r>
    </w:p>
    <w:p w14:paraId="78F031AC" w14:textId="77777777" w:rsidR="001C1D18" w:rsidRDefault="00217595">
      <w:pPr>
        <w:spacing w:before="240" w:line="276" w:lineRule="auto"/>
        <w:jc w:val="both"/>
        <w:rPr>
          <w:sz w:val="24"/>
          <w:szCs w:val="24"/>
        </w:rPr>
      </w:pPr>
      <w:r>
        <w:rPr>
          <w:sz w:val="24"/>
          <w:szCs w:val="24"/>
        </w:rPr>
        <w:t>Data obtained in all the analysis was subjected to 2-Way Analysis of Variance (ANOVA) using SPSS statistical package (version 23.0, 2016). The mean values were evaluated for significant variations using Fisher least significant difference (LSD)</w:t>
      </w:r>
    </w:p>
    <w:p w14:paraId="31AE823B" w14:textId="77777777" w:rsidR="001C1D18" w:rsidRDefault="00217595">
      <w:pPr>
        <w:pStyle w:val="Corpsdetexte"/>
        <w:spacing w:before="240" w:line="276" w:lineRule="auto"/>
        <w:ind w:right="415"/>
        <w:jc w:val="both"/>
        <w:rPr>
          <w:b/>
        </w:rPr>
      </w:pPr>
      <w:r>
        <w:rPr>
          <w:b/>
        </w:rPr>
        <w:t xml:space="preserve">3. RESULTS </w:t>
      </w:r>
    </w:p>
    <w:p w14:paraId="0EC6D6E5" w14:textId="76E2BF0E" w:rsidR="001C1D18" w:rsidRDefault="00217595">
      <w:pPr>
        <w:pStyle w:val="NormalWeb"/>
        <w:shd w:val="clear" w:color="auto" w:fill="FFFFFF"/>
        <w:spacing w:before="166" w:after="166" w:line="276" w:lineRule="auto"/>
        <w:jc w:val="both"/>
      </w:pPr>
      <w:r>
        <w:rPr>
          <w:lang w:val="en-GB"/>
        </w:rPr>
        <w:t xml:space="preserve">The results of proximate compositions </w:t>
      </w:r>
      <w:r>
        <w:t>of the formulated snack bars spiced with ginger and turmeric showed significant differences (P &lt; 0.05) across moisture, protein, lipid, ash, fibre, carbohydrate, and energy values (</w:t>
      </w:r>
      <w:commentRangeStart w:id="31"/>
      <w:r>
        <w:t>Table 1.0</w:t>
      </w:r>
      <w:commentRangeEnd w:id="31"/>
      <w:r w:rsidR="0020086D">
        <w:rPr>
          <w:rStyle w:val="Marquedecommentaire"/>
          <w:sz w:val="24"/>
          <w:szCs w:val="24"/>
        </w:rPr>
        <w:commentReference w:id="31"/>
      </w:r>
      <w:r>
        <w:t>)</w:t>
      </w:r>
      <w:r>
        <w:rPr>
          <w:lang w:val="en-GB"/>
        </w:rPr>
        <w:t xml:space="preserve">. It revealed that </w:t>
      </w:r>
      <w:r>
        <w:t>moisture content ranged from 20.17% for sample G77 (</w:t>
      </w:r>
      <w:r>
        <w:rPr>
          <w:iCs/>
        </w:rPr>
        <w:t>Cassava-groundnut snack bar with 7% concentration of ginger),</w:t>
      </w:r>
      <w:r>
        <w:t xml:space="preserve"> to 30.07 for sample G55 (</w:t>
      </w:r>
      <w:r>
        <w:rPr>
          <w:iCs/>
        </w:rPr>
        <w:t>Cassava-groundnut snack bar with 5% concentration of ginger)</w:t>
      </w:r>
      <w:r>
        <w:t>.</w:t>
      </w:r>
      <w:r>
        <w:br/>
        <w:t xml:space="preserve"> The turmeric-only snack bars recorded significantly (P&lt;0.05) higher moisture than most ginger-</w:t>
      </w:r>
      <w:r>
        <w:lastRenderedPageBreak/>
        <w:t xml:space="preserve">based samples, whereas the lowest was observed in </w:t>
      </w:r>
      <w:commentRangeStart w:id="32"/>
      <w:r>
        <w:t xml:space="preserve">sanple G77 </w:t>
      </w:r>
      <w:commentRangeEnd w:id="32"/>
      <w:r w:rsidR="00833A7C">
        <w:rPr>
          <w:rStyle w:val="Marquedecommentaire"/>
          <w:sz w:val="24"/>
          <w:szCs w:val="24"/>
        </w:rPr>
        <w:commentReference w:id="32"/>
      </w:r>
      <w:r>
        <w:t>(</w:t>
      </w:r>
      <w:r>
        <w:rPr>
          <w:iCs/>
        </w:rPr>
        <w:t>Cassava-groundnut snack bar fortified with 7% ginger).</w:t>
      </w:r>
      <w:r>
        <w:t xml:space="preserve"> </w:t>
      </w:r>
      <w:commentRangeStart w:id="33"/>
      <w:r>
        <w:t>Protein content varied widely, from 4.50% for control samples-CON (</w:t>
      </w:r>
      <w:r>
        <w:rPr>
          <w:iCs/>
        </w:rPr>
        <w:t xml:space="preserve">Cassava-groundnut snack bar without fortification) </w:t>
      </w:r>
      <w:r>
        <w:t>to 19.69%  for sample T55 (</w:t>
      </w:r>
      <w:r>
        <w:rPr>
          <w:iCs/>
        </w:rPr>
        <w:t>Cassava-groundnut snack bar with 5% concentration of turmeric,</w:t>
      </w:r>
      <w:r>
        <w:t xml:space="preserve"> Notably, the turmeric-only formulation (T55) had the highest protein, while the control sample-CON and GT3 samples (</w:t>
      </w:r>
      <w:r>
        <w:rPr>
          <w:iCs/>
        </w:rPr>
        <w:t xml:space="preserve">Cassava-groundnut snack bar with 3% concentration of ginger/turmeric) </w:t>
      </w:r>
      <w:r>
        <w:t>recorded the lowest (4.50% and 5.50%, respectively).</w:t>
      </w:r>
      <w:commentRangeEnd w:id="33"/>
      <w:r w:rsidR="00692E7C">
        <w:rPr>
          <w:rStyle w:val="Marquedecommentaire"/>
          <w:sz w:val="24"/>
          <w:szCs w:val="24"/>
        </w:rPr>
        <w:commentReference w:id="33"/>
      </w:r>
      <w:r>
        <w:t xml:space="preserve"> Ginger-based bars such as G77 (</w:t>
      </w:r>
      <w:r>
        <w:rPr>
          <w:iCs/>
        </w:rPr>
        <w:t xml:space="preserve">Cassava-groundnut snack bar with 7% concentration of ginger) had </w:t>
      </w:r>
      <w:r>
        <w:t>12.31% protein and G33 (</w:t>
      </w:r>
      <w:r>
        <w:rPr>
          <w:iCs/>
        </w:rPr>
        <w:t xml:space="preserve">Cassava-groundnut snack bar with 3% concentration of ginger) </w:t>
      </w:r>
      <w:r>
        <w:t xml:space="preserve">also contained appreciable protein levels (11.31%), significantly (P&lt;0.05) higher than the control. </w:t>
      </w:r>
      <w:commentRangeStart w:id="34"/>
      <w:r>
        <w:t>Fat content ranged from 3.00% for sample GT7 (</w:t>
      </w:r>
      <w:r>
        <w:rPr>
          <w:iCs/>
        </w:rPr>
        <w:t>Cassava-groundnut snack bar fortified with 7% ginger/turmeric)</w:t>
      </w:r>
      <w:r>
        <w:t xml:space="preserve"> to 7.29% for control sample-CON (</w:t>
      </w:r>
      <w:r>
        <w:rPr>
          <w:iCs/>
        </w:rPr>
        <w:t>Cassava-groundnut snack bar without fortification)</w:t>
      </w:r>
      <w:r>
        <w:t>, with the control sample being significantly (P&lt;0.05) higher.</w:t>
      </w:r>
      <w:commentRangeEnd w:id="34"/>
      <w:r w:rsidR="00434176">
        <w:rPr>
          <w:rStyle w:val="Marquedecommentaire"/>
          <w:sz w:val="24"/>
          <w:szCs w:val="24"/>
        </w:rPr>
        <w:commentReference w:id="34"/>
      </w:r>
      <w:r>
        <w:t xml:space="preserve"> Ash content was highest in the control (3.18%) and lowest in G55 (</w:t>
      </w:r>
      <w:r>
        <w:rPr>
          <w:iCs/>
        </w:rPr>
        <w:t xml:space="preserve">Cassava-groundnut snack bar fortified with 5% ginger) with a value of </w:t>
      </w:r>
      <w:r>
        <w:t xml:space="preserve">1.52%. Among the spiced bars, T55 showed significantly (P&lt;0.05) higher ash with a value of 2.90%. Turmeric-based formulations, especially T77, showed significantly (P&lt;0.05) higher fibre compared to the control (2.56%). Carbohydrate content was highest in GT3 (65.59%) and lowest in T33 </w:t>
      </w:r>
      <w:r>
        <w:rPr>
          <w:iCs/>
        </w:rPr>
        <w:t xml:space="preserve">Cassava-groundnut snack bar with 3% concentration of turmeric </w:t>
      </w:r>
      <w:r>
        <w:t>with a value of 44.33%. Energy values ranged from 1144.31 kJ/100 g (T33) to 1339.54 kJ/100 g for the control sample, with most spiced samples showing comparable energy density to the control. The mean sensory scores of the appearance, texture, flavour, taste and general acceptability of the formulated samples are presented in Table 2. The mean scores for appearance ranged from 5.20 to 6.71. Sample T55 had the least score for the appearance while sample G77 had the highest score for appearance. The mean scores for flavour ranged from 4.43 to 5.87. Sample T55 had the least score (4.43) for flavour while sample G77 had the highest score (5.87) for flavour. The mean scores for taste ranged from 3.47 to 4.93. Sample T55 had the least score (3.73) for taste while sample T33 had the highest score (4.93) for taste. The mean scores for general acceptability ranged from 3.93 to 5.23. Sample CON had the least score (3.93) for general acceptability while sample G77 had the highest score (5.23) for general acceptability.</w:t>
      </w:r>
    </w:p>
    <w:p w14:paraId="7D2ED146" w14:textId="77777777" w:rsidR="001C1D18" w:rsidRDefault="00217595">
      <w:pPr>
        <w:pStyle w:val="NormalWeb"/>
        <w:shd w:val="clear" w:color="auto" w:fill="FFFFFF"/>
        <w:spacing w:before="166" w:after="166" w:line="276" w:lineRule="auto"/>
        <w:jc w:val="both"/>
        <w:rPr>
          <w:b/>
          <w:bCs/>
        </w:rPr>
      </w:pPr>
      <w:r>
        <w:rPr>
          <w:b/>
          <w:bCs/>
        </w:rPr>
        <w:t>4.  DISCUSSION</w:t>
      </w:r>
    </w:p>
    <w:p w14:paraId="081F7294" w14:textId="73C8795D" w:rsidR="001C1D18" w:rsidRDefault="00217595">
      <w:pPr>
        <w:spacing w:before="240" w:line="276" w:lineRule="auto"/>
        <w:jc w:val="both"/>
        <w:rPr>
          <w:sz w:val="24"/>
          <w:szCs w:val="24"/>
        </w:rPr>
      </w:pPr>
      <w:commentRangeStart w:id="35"/>
      <w:r>
        <w:rPr>
          <w:sz w:val="24"/>
          <w:szCs w:val="24"/>
        </w:rPr>
        <w:t xml:space="preserve">The proximate composition of the formulated snack bars spiced with ginger and turmeric showed significant </w:t>
      </w:r>
      <w:commentRangeStart w:id="36"/>
      <w:r>
        <w:rPr>
          <w:sz w:val="24"/>
          <w:szCs w:val="24"/>
        </w:rPr>
        <w:t xml:space="preserve">differencs </w:t>
      </w:r>
      <w:commentRangeEnd w:id="36"/>
      <w:r w:rsidR="00833A7C">
        <w:rPr>
          <w:rStyle w:val="Marquedecommentaire"/>
          <w:sz w:val="24"/>
          <w:szCs w:val="24"/>
        </w:rPr>
        <w:commentReference w:id="36"/>
      </w:r>
      <w:r>
        <w:rPr>
          <w:sz w:val="24"/>
          <w:szCs w:val="24"/>
        </w:rPr>
        <w:t>(P &lt; 0.05) with respect to moisture content (Table 1). Moisture content ranged from 20.17% (G77) to 30.07% (G55). The turmeric-only bars recorded significantly (P&lt;0.05) higher moisture than most ginger-based samples, whereas the lowest moisture content was observed in G77</w:t>
      </w:r>
      <w:commentRangeEnd w:id="35"/>
      <w:r w:rsidR="00C07250">
        <w:rPr>
          <w:rStyle w:val="Marquedecommentaire"/>
          <w:sz w:val="24"/>
          <w:szCs w:val="24"/>
        </w:rPr>
        <w:commentReference w:id="35"/>
      </w:r>
      <w:r>
        <w:rPr>
          <w:sz w:val="24"/>
          <w:szCs w:val="24"/>
        </w:rPr>
        <w:t xml:space="preserve">. High moisture values are generally associated with reduced shelf stability and increased susceptibility to microbial spoilage (Abara </w:t>
      </w:r>
      <w:r>
        <w:rPr>
          <w:i/>
          <w:sz w:val="24"/>
          <w:szCs w:val="24"/>
        </w:rPr>
        <w:t>et al.,</w:t>
      </w:r>
      <w:r>
        <w:rPr>
          <w:sz w:val="24"/>
          <w:szCs w:val="24"/>
        </w:rPr>
        <w:t xml:space="preserve"> 2021). This finding aligns with reports that turmeric has higher inherent water-retaining ability than ginger (Abara </w:t>
      </w:r>
      <w:r>
        <w:rPr>
          <w:i/>
          <w:sz w:val="24"/>
          <w:szCs w:val="24"/>
        </w:rPr>
        <w:t>et al.,</w:t>
      </w:r>
      <w:r>
        <w:rPr>
          <w:sz w:val="24"/>
          <w:szCs w:val="24"/>
        </w:rPr>
        <w:t xml:space="preserve"> 2021). Ginger-enriched bars therefore demonstrated greater potential for longer shelf life. Protein content varied widely, from 4.50% (CON) to 19.69% (T55). Notably, the turmeric-only formulation (T55) had the highest protein (19.69%) while the control samples (CON) recorded the lowest (4.50%). Ginger-based bars such as G77 (12.31%) and G33 (11.31%) also contained appreciable protein levels, significantly (P&lt;0.05) higher than the control. These results suggest that spice inclusion, particularly turmeric, improved the protein quality of the bars. Previous studies similarly reported that both ginger and turmeric contribute appreciable protein levels, enhancing nutritional density in food products (Ajanaku, 2022). Fat content ranged from 3.00% (GT7) to 7.29% (CON), with the control sample being significantly higher (P &lt; 0.05). The incorporation of ginger and turmeric </w:t>
      </w:r>
      <w:r>
        <w:rPr>
          <w:sz w:val="24"/>
          <w:szCs w:val="24"/>
        </w:rPr>
        <w:lastRenderedPageBreak/>
        <w:t xml:space="preserve">generally reduced fat content, which could be beneficial for producing healthier low-fat snack alternatives. This is consistent with observations that spice-enriched formulations often dilute overall fat proportion while enhancing bioactive value (Zhou </w:t>
      </w:r>
      <w:r>
        <w:rPr>
          <w:i/>
          <w:sz w:val="24"/>
          <w:szCs w:val="24"/>
        </w:rPr>
        <w:t>et al.,</w:t>
      </w:r>
      <w:r>
        <w:rPr>
          <w:sz w:val="24"/>
          <w:szCs w:val="24"/>
        </w:rPr>
        <w:t xml:space="preserve"> 2022). Ash content, an indicator of mineral composition, was highest in the control sample (CON) (3.18%) and lowest in G55 (1.52%). Among the spiced bars, T55 (2.90%) showed significantly (P&lt;0.05) higher ash, consistent with reports that turmeric contains higher mineral fractions than ginger (Abara </w:t>
      </w:r>
      <w:r>
        <w:rPr>
          <w:i/>
          <w:sz w:val="24"/>
          <w:szCs w:val="24"/>
        </w:rPr>
        <w:t>et al</w:t>
      </w:r>
      <w:r>
        <w:rPr>
          <w:sz w:val="24"/>
          <w:szCs w:val="24"/>
        </w:rPr>
        <w:t xml:space="preserve">.,2021). This suggests that turmeric-fortified snack bars may provide enhanced mineral nutrition. Fibre content ranged between 2.01% (GT7) and 3.87% (T77). Turmeric-based formulations, especially T77, showed significantly (P&lt;0.05) higher fibre compared to the control sample (2.56%). Fibre enrichment is nutritionally relevant, as it improves satiety and aids gastrointestinal health. Previous studies have confirmed that ginger and turmeric contribute dietary fibre and enhance the functional attributes of snacks (Edo, 2025). Carbohydrate content was highest in GT3 (65.59%) and lowest in T33 (44.33%). The significantly (P&lt;0.05) higher carbohydrate content in GT3 could be attributed to the dilution effect of lower protein and lipid fractions. This trend reflects earlier reports that ginger contributes a higher carbohydrate proportion compared with turmeric (Abara </w:t>
      </w:r>
      <w:r>
        <w:rPr>
          <w:i/>
          <w:sz w:val="24"/>
          <w:szCs w:val="24"/>
        </w:rPr>
        <w:t>et al</w:t>
      </w:r>
      <w:r>
        <w:rPr>
          <w:sz w:val="24"/>
          <w:szCs w:val="24"/>
        </w:rPr>
        <w:t>.,2021). Energy values ranged from 1144.31 kJ/100 g (T33) to 1339.54 kJ/100 g (CON), with most spiced samples showing comparable energy density to the control. Although the control was marginally higher, ginger and turmeric inclusion did not compromise caloric contribution, while enhancing protein, fibre, and mineral fractions.</w:t>
      </w:r>
    </w:p>
    <w:p w14:paraId="397B4CE4" w14:textId="6CE4D999" w:rsidR="001C1D18" w:rsidRDefault="00217595">
      <w:pPr>
        <w:spacing w:line="276" w:lineRule="auto"/>
        <w:jc w:val="both"/>
        <w:rPr>
          <w:sz w:val="24"/>
          <w:szCs w:val="24"/>
        </w:rPr>
      </w:pPr>
      <w:r>
        <w:rPr>
          <w:sz w:val="24"/>
          <w:szCs w:val="24"/>
        </w:rPr>
        <w:t>The mean sensory scores of the appearance, texture, flavour, taste and general acceptability of the formulated samples were presented in Table.2. The mean scores for appearance ranged from 5.20 to 6.71. Sample T55 had the least score for the appearance while sample G77 had the highest score for appearance. Appearance is the first attribute that attracts consumers to a product. Sample G77 was most preferred of all samples; this could be as a result of high level of ginger used in the recipe which enabled colour enrichment as well as browning reaction on the energy bar. Sample T55 was the least preferred of all samples; this could be as a result of the turmeric which contains a yellow pigment (curcumin) and also has the ability to cause uneven colour distribution. The mean scores for texture ranged from 5.23 to 6.00. Sample T77 had the least score for texture (5.23) while sample G33 had the highest score (6.00) for texture. Texture refers to the physical sensation of feeling of a food product when it comes in contact with the skin, hand or other senses. Sample G33(6.00) was the most preferred of all samples with respect to texture. This could be as a result of the moderate level of ginger which helps to retain moisture and makes it tenderer. Sample T77 (5.23) is least preferred as a result of high level of turmeric which can absorb moisture</w:t>
      </w:r>
      <w:commentRangeStart w:id="37"/>
      <w:r>
        <w:rPr>
          <w:sz w:val="24"/>
          <w:szCs w:val="24"/>
        </w:rPr>
        <w:t>, resulting to</w:t>
      </w:r>
      <w:commentRangeEnd w:id="37"/>
      <w:r w:rsidR="002F34C8">
        <w:rPr>
          <w:rStyle w:val="Marquedecommentaire"/>
          <w:sz w:val="24"/>
          <w:szCs w:val="24"/>
        </w:rPr>
        <w:commentReference w:id="37"/>
      </w:r>
      <w:r>
        <w:rPr>
          <w:sz w:val="24"/>
          <w:szCs w:val="24"/>
        </w:rPr>
        <w:t xml:space="preserve"> a denser, drier or more crumbly texture of the energy bar. The mean scores for flavour ranged from 4.43 to 5.87. Sample T55 had the least score (4.43) for flavour while sample G77 had the highest score (5.87) for flavour. The control sample (CON) and T55 are not significantly different at (P&lt;0.05) with respect to flavor. Flavour of a baked product is the combination of tastes, aromas and sensations that are experienced when consuming it. </w:t>
      </w:r>
      <w:commentRangeStart w:id="38"/>
      <w:r>
        <w:rPr>
          <w:sz w:val="24"/>
          <w:szCs w:val="24"/>
        </w:rPr>
        <w:t>The preference of sample G77 over all other samples with respect to flavour might be a result of the high level of ginger that influences the aroma and flavour which enhances the appeal of the energy bar, making it more inviting and appetizing.</w:t>
      </w:r>
      <w:commentRangeEnd w:id="38"/>
      <w:r w:rsidR="0062005E">
        <w:rPr>
          <w:rStyle w:val="Marquedecommentaire"/>
          <w:sz w:val="24"/>
          <w:szCs w:val="24"/>
        </w:rPr>
        <w:commentReference w:id="38"/>
      </w:r>
      <w:r>
        <w:rPr>
          <w:sz w:val="24"/>
          <w:szCs w:val="24"/>
        </w:rPr>
        <w:t xml:space="preserve"> Sample T55 is least preferred because of turmeric’s strong, </w:t>
      </w:r>
      <w:commentRangeStart w:id="39"/>
      <w:r>
        <w:rPr>
          <w:sz w:val="24"/>
          <w:szCs w:val="24"/>
        </w:rPr>
        <w:t xml:space="preserve">earthly flavour </w:t>
      </w:r>
      <w:commentRangeEnd w:id="39"/>
      <w:r w:rsidR="00833A7C">
        <w:rPr>
          <w:rStyle w:val="Marquedecommentaire"/>
          <w:sz w:val="24"/>
          <w:szCs w:val="24"/>
        </w:rPr>
        <w:commentReference w:id="39"/>
      </w:r>
      <w:r>
        <w:rPr>
          <w:sz w:val="24"/>
          <w:szCs w:val="24"/>
        </w:rPr>
        <w:t xml:space="preserve">that can overpower other ingredients in the recipe, affecting the overall taste and aroma of the energy bar. The mean scores for taste ranged from 3.47 to 4.93. Sample T55 had the least score (3.73) for taste while sample T33 had the highest score (4.93) for taste. Taste refers to the sensations detected by the taste buds on the tongue and elsewhere in the mouth. Sample T33 is most preferred because of the moderate level of turmeric used which helps to balance the sweetness, creating a more subtly </w:t>
      </w:r>
      <w:r>
        <w:rPr>
          <w:sz w:val="24"/>
          <w:szCs w:val="24"/>
        </w:rPr>
        <w:lastRenderedPageBreak/>
        <w:t>sweet, complexly spiced and richly textured. Sample T55 is least preferred because the turmeric content is more than required.</w:t>
      </w:r>
    </w:p>
    <w:p w14:paraId="4A41985A" w14:textId="77777777" w:rsidR="001C1D18" w:rsidRDefault="00217595">
      <w:pPr>
        <w:spacing w:line="276" w:lineRule="auto"/>
        <w:jc w:val="both"/>
        <w:rPr>
          <w:sz w:val="24"/>
          <w:szCs w:val="24"/>
        </w:rPr>
      </w:pPr>
      <w:r>
        <w:rPr>
          <w:sz w:val="24"/>
          <w:szCs w:val="24"/>
        </w:rPr>
        <w:t>The mean scores for general acceptability ranged from 3.93 to 5.23. Control sample (CON) had the least score (3.93) for general acceptability while sample G77 had the highest score (5.23) for general acceptability. General acceptability refers to the overall appeal and satisfaction the product provides to consumers after consumption. Sample G77 is the most preferred with respect to general acceptability and sample T33 with respect to taste. Thus sample G77 and T33</w:t>
      </w:r>
      <w:commentRangeStart w:id="40"/>
      <w:r>
        <w:rPr>
          <w:sz w:val="24"/>
          <w:szCs w:val="24"/>
        </w:rPr>
        <w:t xml:space="preserve"> maybe </w:t>
      </w:r>
      <w:commentRangeEnd w:id="40"/>
      <w:r w:rsidR="00AB3357">
        <w:rPr>
          <w:rStyle w:val="Marquedecommentaire"/>
          <w:sz w:val="24"/>
          <w:szCs w:val="24"/>
        </w:rPr>
        <w:commentReference w:id="40"/>
      </w:r>
      <w:r>
        <w:rPr>
          <w:sz w:val="24"/>
          <w:szCs w:val="24"/>
        </w:rPr>
        <w:t>better options for the future commercialization of the product.</w:t>
      </w:r>
    </w:p>
    <w:p w14:paraId="517E8026"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5" behindDoc="0" locked="0" layoutInCell="1" allowOverlap="1" wp14:anchorId="5BA3A313" wp14:editId="2FB3E433">
            <wp:simplePos x="0" y="0"/>
            <wp:positionH relativeFrom="column">
              <wp:posOffset>2293620</wp:posOffset>
            </wp:positionH>
            <wp:positionV relativeFrom="paragraph">
              <wp:posOffset>224155</wp:posOffset>
            </wp:positionV>
            <wp:extent cx="1748789" cy="1637030"/>
            <wp:effectExtent l="0" t="0" r="3810" b="1270"/>
            <wp:wrapThrough wrapText="bothSides">
              <wp:wrapPolygon edited="0">
                <wp:start x="0" y="0"/>
                <wp:lineTo x="0" y="21365"/>
                <wp:lineTo x="21412" y="21365"/>
                <wp:lineTo x="21412" y="0"/>
                <wp:lineTo x="0" y="0"/>
              </wp:wrapPolygon>
            </wp:wrapThrough>
            <wp:docPr id="1044" name="Picture 56" descr="E:\immmmm\IMG-20250913-WA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2" cstate="print"/>
                    <a:srcRect/>
                    <a:stretch/>
                  </pic:blipFill>
                  <pic:spPr>
                    <a:xfrm>
                      <a:off x="0" y="0"/>
                      <a:ext cx="1748789" cy="163703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 behindDoc="1" locked="0" layoutInCell="1" allowOverlap="1" wp14:anchorId="23463944" wp14:editId="580FBD25">
            <wp:simplePos x="0" y="0"/>
            <wp:positionH relativeFrom="column">
              <wp:posOffset>464820</wp:posOffset>
            </wp:positionH>
            <wp:positionV relativeFrom="paragraph">
              <wp:posOffset>224155</wp:posOffset>
            </wp:positionV>
            <wp:extent cx="1626870" cy="1677670"/>
            <wp:effectExtent l="0" t="0" r="0" b="0"/>
            <wp:wrapTight wrapText="bothSides">
              <wp:wrapPolygon edited="0">
                <wp:start x="0" y="0"/>
                <wp:lineTo x="0" y="21338"/>
                <wp:lineTo x="21246" y="21338"/>
                <wp:lineTo x="21246" y="0"/>
                <wp:lineTo x="0" y="0"/>
              </wp:wrapPolygon>
            </wp:wrapTight>
            <wp:docPr id="1045" name="Picture 1025" descr="E:\immmmm\IMG-20250913-WA0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25"/>
                    <pic:cNvPicPr/>
                  </pic:nvPicPr>
                  <pic:blipFill>
                    <a:blip r:embed="rId13" cstate="print"/>
                    <a:srcRect/>
                    <a:stretch/>
                  </pic:blipFill>
                  <pic:spPr>
                    <a:xfrm>
                      <a:off x="0" y="0"/>
                      <a:ext cx="1626870" cy="167767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6" behindDoc="0" locked="0" layoutInCell="1" allowOverlap="1" wp14:anchorId="6ED80D4E" wp14:editId="71835382">
            <wp:simplePos x="0" y="0"/>
            <wp:positionH relativeFrom="column">
              <wp:posOffset>4207510</wp:posOffset>
            </wp:positionH>
            <wp:positionV relativeFrom="paragraph">
              <wp:posOffset>138430</wp:posOffset>
            </wp:positionV>
            <wp:extent cx="1809750" cy="1699260"/>
            <wp:effectExtent l="19050" t="0" r="0" b="0"/>
            <wp:wrapThrough wrapText="bothSides">
              <wp:wrapPolygon edited="0">
                <wp:start x="-227" y="0"/>
                <wp:lineTo x="-227" y="21309"/>
                <wp:lineTo x="21600" y="21309"/>
                <wp:lineTo x="21600" y="0"/>
                <wp:lineTo x="-227" y="0"/>
              </wp:wrapPolygon>
            </wp:wrapThrough>
            <wp:docPr id="1046" name="Picture 59" descr="E:\immmmm\IMG-20250913-WA0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14" cstate="print"/>
                    <a:srcRect/>
                    <a:stretch/>
                  </pic:blipFill>
                  <pic:spPr>
                    <a:xfrm>
                      <a:off x="0" y="0"/>
                      <a:ext cx="1809750" cy="1699260"/>
                    </a:xfrm>
                    <a:prstGeom prst="rect">
                      <a:avLst/>
                    </a:prstGeom>
                    <a:ln>
                      <a:noFill/>
                    </a:ln>
                  </pic:spPr>
                </pic:pic>
              </a:graphicData>
            </a:graphic>
          </wp:anchor>
        </w:drawing>
      </w:r>
    </w:p>
    <w:p w14:paraId="7D070845" w14:textId="77777777" w:rsidR="001C1D18" w:rsidRDefault="001C1D18">
      <w:pPr>
        <w:pStyle w:val="NormalWeb"/>
        <w:shd w:val="clear" w:color="auto" w:fill="FFFFFF"/>
        <w:spacing w:before="166" w:after="166" w:line="276" w:lineRule="auto"/>
        <w:jc w:val="both"/>
      </w:pPr>
    </w:p>
    <w:p w14:paraId="11D53070" w14:textId="77777777" w:rsidR="001C1D18" w:rsidRDefault="001C1D18">
      <w:pPr>
        <w:pStyle w:val="NormalWeb"/>
        <w:shd w:val="clear" w:color="auto" w:fill="FFFFFF"/>
        <w:spacing w:before="166" w:after="166" w:line="276" w:lineRule="auto"/>
        <w:jc w:val="both"/>
      </w:pPr>
    </w:p>
    <w:p w14:paraId="3AAFE56C" w14:textId="77777777" w:rsidR="001C1D18" w:rsidRDefault="001C1D18">
      <w:pPr>
        <w:pStyle w:val="NormalWeb"/>
        <w:shd w:val="clear" w:color="auto" w:fill="FFFFFF"/>
        <w:spacing w:before="166" w:after="166" w:line="276" w:lineRule="auto"/>
        <w:jc w:val="both"/>
      </w:pPr>
    </w:p>
    <w:p w14:paraId="09012493"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8" behindDoc="1" locked="0" layoutInCell="1" allowOverlap="1" wp14:anchorId="56278AE6" wp14:editId="46089051">
            <wp:simplePos x="0" y="0"/>
            <wp:positionH relativeFrom="column">
              <wp:posOffset>2297430</wp:posOffset>
            </wp:positionH>
            <wp:positionV relativeFrom="paragraph">
              <wp:posOffset>296545</wp:posOffset>
            </wp:positionV>
            <wp:extent cx="1715769" cy="1572260"/>
            <wp:effectExtent l="0" t="0" r="0" b="8890"/>
            <wp:wrapTight wrapText="bothSides">
              <wp:wrapPolygon edited="0">
                <wp:start x="0" y="0"/>
                <wp:lineTo x="0" y="21460"/>
                <wp:lineTo x="21344" y="21460"/>
                <wp:lineTo x="21344" y="0"/>
                <wp:lineTo x="0" y="0"/>
              </wp:wrapPolygon>
            </wp:wrapTight>
            <wp:docPr id="1047" name="Picture 1024" descr="E:\immmmm\IMG-20250913-WA0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24"/>
                    <pic:cNvPicPr/>
                  </pic:nvPicPr>
                  <pic:blipFill>
                    <a:blip r:embed="rId15" cstate="print"/>
                    <a:srcRect/>
                    <a:stretch/>
                  </pic:blipFill>
                  <pic:spPr>
                    <a:xfrm>
                      <a:off x="0" y="0"/>
                      <a:ext cx="1715769" cy="157226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7" behindDoc="1" locked="0" layoutInCell="1" allowOverlap="1" wp14:anchorId="51954971" wp14:editId="672F61F8">
            <wp:simplePos x="0" y="0"/>
            <wp:positionH relativeFrom="column">
              <wp:posOffset>468630</wp:posOffset>
            </wp:positionH>
            <wp:positionV relativeFrom="paragraph">
              <wp:posOffset>249555</wp:posOffset>
            </wp:positionV>
            <wp:extent cx="1626870" cy="1652904"/>
            <wp:effectExtent l="0" t="0" r="0" b="4445"/>
            <wp:wrapTight wrapText="bothSides">
              <wp:wrapPolygon edited="0">
                <wp:start x="0" y="0"/>
                <wp:lineTo x="0" y="21409"/>
                <wp:lineTo x="21246" y="21409"/>
                <wp:lineTo x="21246" y="0"/>
                <wp:lineTo x="0" y="0"/>
              </wp:wrapPolygon>
            </wp:wrapTight>
            <wp:docPr id="1048" name="Picture 58" descr="E:\immmmm\IMG-20250913-WA00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8"/>
                    <pic:cNvPicPr/>
                  </pic:nvPicPr>
                  <pic:blipFill>
                    <a:blip r:embed="rId16" cstate="print"/>
                    <a:srcRect/>
                    <a:stretch/>
                  </pic:blipFill>
                  <pic:spPr>
                    <a:xfrm>
                      <a:off x="0" y="0"/>
                      <a:ext cx="1626870" cy="1652904"/>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9" behindDoc="0" locked="0" layoutInCell="1" allowOverlap="1" wp14:anchorId="1FCE52D8" wp14:editId="494CE396">
            <wp:simplePos x="0" y="0"/>
            <wp:positionH relativeFrom="column">
              <wp:posOffset>4236720</wp:posOffset>
            </wp:positionH>
            <wp:positionV relativeFrom="paragraph">
              <wp:posOffset>296545</wp:posOffset>
            </wp:positionV>
            <wp:extent cx="1718309" cy="1572260"/>
            <wp:effectExtent l="0" t="0" r="0" b="8890"/>
            <wp:wrapThrough wrapText="bothSides">
              <wp:wrapPolygon edited="0">
                <wp:start x="0" y="0"/>
                <wp:lineTo x="0" y="21460"/>
                <wp:lineTo x="21313" y="21460"/>
                <wp:lineTo x="21313" y="0"/>
                <wp:lineTo x="0" y="0"/>
              </wp:wrapPolygon>
            </wp:wrapThrough>
            <wp:docPr id="1049" name="Picture 63" descr="E:\immmmm\IMG-20250913-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3"/>
                    <pic:cNvPicPr/>
                  </pic:nvPicPr>
                  <pic:blipFill>
                    <a:blip r:embed="rId17" cstate="print"/>
                    <a:srcRect/>
                    <a:stretch/>
                  </pic:blipFill>
                  <pic:spPr>
                    <a:xfrm>
                      <a:off x="0" y="0"/>
                      <a:ext cx="1718309" cy="1572260"/>
                    </a:xfrm>
                    <a:prstGeom prst="rect">
                      <a:avLst/>
                    </a:prstGeom>
                    <a:ln>
                      <a:noFill/>
                    </a:ln>
                  </pic:spPr>
                </pic:pic>
              </a:graphicData>
            </a:graphic>
            <wp14:sizeRelH relativeFrom="margin">
              <wp14:pctWidth>0</wp14:pctWidth>
            </wp14:sizeRelH>
            <wp14:sizeRelV relativeFrom="margin">
              <wp14:pctHeight>0</wp14:pctHeight>
            </wp14:sizeRelV>
          </wp:anchor>
        </w:drawing>
      </w:r>
    </w:p>
    <w:p w14:paraId="0BE4C1B2" w14:textId="77777777" w:rsidR="001C1D18" w:rsidRDefault="001C1D18">
      <w:pPr>
        <w:pStyle w:val="NormalWeb"/>
        <w:shd w:val="clear" w:color="auto" w:fill="FFFFFF"/>
        <w:spacing w:before="166" w:after="166" w:line="276" w:lineRule="auto"/>
        <w:jc w:val="both"/>
      </w:pPr>
    </w:p>
    <w:p w14:paraId="61E7762B" w14:textId="77777777" w:rsidR="001C1D18" w:rsidRDefault="001C1D18">
      <w:pPr>
        <w:pStyle w:val="NormalWeb"/>
        <w:shd w:val="clear" w:color="auto" w:fill="FFFFFF"/>
        <w:spacing w:before="166" w:after="166" w:line="276" w:lineRule="auto"/>
        <w:jc w:val="both"/>
      </w:pPr>
    </w:p>
    <w:p w14:paraId="07AD4BC8" w14:textId="77777777" w:rsidR="001C1D18" w:rsidRDefault="001C1D18">
      <w:pPr>
        <w:spacing w:line="276" w:lineRule="auto"/>
        <w:jc w:val="both"/>
        <w:rPr>
          <w:b/>
          <w:sz w:val="24"/>
          <w:szCs w:val="24"/>
        </w:rPr>
      </w:pPr>
    </w:p>
    <w:p w14:paraId="1E40EA4F" w14:textId="77777777" w:rsidR="001C1D18" w:rsidRDefault="001C1D18">
      <w:pPr>
        <w:spacing w:line="276" w:lineRule="auto"/>
        <w:jc w:val="both"/>
        <w:rPr>
          <w:b/>
          <w:sz w:val="24"/>
          <w:szCs w:val="24"/>
        </w:rPr>
      </w:pPr>
    </w:p>
    <w:p w14:paraId="3B69AA72" w14:textId="77777777" w:rsidR="001C1D18" w:rsidRDefault="001C1D18">
      <w:pPr>
        <w:spacing w:line="276" w:lineRule="auto"/>
        <w:jc w:val="both"/>
        <w:rPr>
          <w:b/>
          <w:sz w:val="24"/>
          <w:szCs w:val="24"/>
        </w:rPr>
      </w:pPr>
    </w:p>
    <w:p w14:paraId="5FBCB7C5" w14:textId="77777777" w:rsidR="001C1D18" w:rsidRDefault="001C1D18">
      <w:pPr>
        <w:spacing w:line="276" w:lineRule="auto"/>
        <w:jc w:val="both"/>
        <w:rPr>
          <w:b/>
          <w:sz w:val="24"/>
          <w:szCs w:val="24"/>
        </w:rPr>
      </w:pPr>
    </w:p>
    <w:p w14:paraId="65E2F108" w14:textId="77777777" w:rsidR="001C1D18" w:rsidRDefault="00217595">
      <w:pPr>
        <w:spacing w:line="276" w:lineRule="auto"/>
        <w:jc w:val="both"/>
        <w:rPr>
          <w:b/>
          <w:sz w:val="24"/>
          <w:szCs w:val="24"/>
        </w:rPr>
      </w:pPr>
      <w:r>
        <w:rPr>
          <w:b/>
          <w:noProof/>
          <w:sz w:val="24"/>
          <w:szCs w:val="24"/>
        </w:rPr>
        <w:drawing>
          <wp:anchor distT="0" distB="0" distL="114300" distR="114300" simplePos="0" relativeHeight="12" behindDoc="0" locked="0" layoutInCell="1" allowOverlap="1" wp14:anchorId="25C3D766" wp14:editId="652B18BA">
            <wp:simplePos x="0" y="0"/>
            <wp:positionH relativeFrom="column">
              <wp:posOffset>4259580</wp:posOffset>
            </wp:positionH>
            <wp:positionV relativeFrom="paragraph">
              <wp:posOffset>6350</wp:posOffset>
            </wp:positionV>
            <wp:extent cx="1699260" cy="1513840"/>
            <wp:effectExtent l="0" t="0" r="0" b="0"/>
            <wp:wrapThrough wrapText="bothSides">
              <wp:wrapPolygon edited="0">
                <wp:start x="0" y="0"/>
                <wp:lineTo x="0" y="21201"/>
                <wp:lineTo x="21309" y="21201"/>
                <wp:lineTo x="21309" y="0"/>
                <wp:lineTo x="0" y="0"/>
              </wp:wrapPolygon>
            </wp:wrapThrough>
            <wp:docPr id="1050" name="Picture 62" descr="E:\immmmm\IMG-20250913-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2"/>
                    <pic:cNvPicPr/>
                  </pic:nvPicPr>
                  <pic:blipFill>
                    <a:blip r:embed="rId18" cstate="print"/>
                    <a:srcRect/>
                    <a:stretch/>
                  </pic:blipFill>
                  <pic:spPr>
                    <a:xfrm>
                      <a:off x="0" y="0"/>
                      <a:ext cx="1699260" cy="1513840"/>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0" behindDoc="0" locked="0" layoutInCell="1" allowOverlap="1" wp14:anchorId="41608C02" wp14:editId="2FE80CE8">
            <wp:simplePos x="0" y="0"/>
            <wp:positionH relativeFrom="column">
              <wp:posOffset>472440</wp:posOffset>
            </wp:positionH>
            <wp:positionV relativeFrom="paragraph">
              <wp:posOffset>6350</wp:posOffset>
            </wp:positionV>
            <wp:extent cx="1623060" cy="1584325"/>
            <wp:effectExtent l="0" t="0" r="0" b="0"/>
            <wp:wrapThrough wrapText="bothSides">
              <wp:wrapPolygon edited="0">
                <wp:start x="0" y="0"/>
                <wp:lineTo x="0" y="21297"/>
                <wp:lineTo x="21296" y="21297"/>
                <wp:lineTo x="21296" y="0"/>
                <wp:lineTo x="0" y="0"/>
              </wp:wrapPolygon>
            </wp:wrapThrough>
            <wp:docPr id="1051" name="Picture 61" descr="E:\immmmm\IMG-20250913-WA0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1"/>
                    <pic:cNvPicPr/>
                  </pic:nvPicPr>
                  <pic:blipFill>
                    <a:blip r:embed="rId19" cstate="print"/>
                    <a:srcRect/>
                    <a:stretch/>
                  </pic:blipFill>
                  <pic:spPr>
                    <a:xfrm>
                      <a:off x="0" y="0"/>
                      <a:ext cx="1623060" cy="1584325"/>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1" behindDoc="0" locked="0" layoutInCell="1" allowOverlap="1" wp14:anchorId="7443F47F" wp14:editId="6E07B2A1">
            <wp:simplePos x="0" y="0"/>
            <wp:positionH relativeFrom="column">
              <wp:posOffset>2289810</wp:posOffset>
            </wp:positionH>
            <wp:positionV relativeFrom="paragraph">
              <wp:posOffset>74930</wp:posOffset>
            </wp:positionV>
            <wp:extent cx="1653540" cy="1465580"/>
            <wp:effectExtent l="0" t="0" r="3810" b="1270"/>
            <wp:wrapThrough wrapText="bothSides">
              <wp:wrapPolygon edited="0">
                <wp:start x="0" y="0"/>
                <wp:lineTo x="0" y="21338"/>
                <wp:lineTo x="21401" y="21338"/>
                <wp:lineTo x="21401" y="0"/>
                <wp:lineTo x="0" y="0"/>
              </wp:wrapPolygon>
            </wp:wrapThrough>
            <wp:docPr id="1052" name="Picture 60" descr="E:\immmmm\IMG-20250913-WA00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0"/>
                    <pic:cNvPicPr/>
                  </pic:nvPicPr>
                  <pic:blipFill>
                    <a:blip r:embed="rId20" cstate="print"/>
                    <a:srcRect/>
                    <a:stretch/>
                  </pic:blipFill>
                  <pic:spPr>
                    <a:xfrm>
                      <a:off x="0" y="0"/>
                      <a:ext cx="1653540" cy="1465580"/>
                    </a:xfrm>
                    <a:prstGeom prst="rect">
                      <a:avLst/>
                    </a:prstGeom>
                    <a:ln>
                      <a:noFill/>
                    </a:ln>
                  </pic:spPr>
                </pic:pic>
              </a:graphicData>
            </a:graphic>
            <wp14:sizeRelH relativeFrom="margin">
              <wp14:pctWidth>0</wp14:pctWidth>
            </wp14:sizeRelH>
            <wp14:sizeRelV relativeFrom="margin">
              <wp14:pctHeight>0</wp14:pctHeight>
            </wp14:sizeRelV>
          </wp:anchor>
        </w:drawing>
      </w:r>
    </w:p>
    <w:p w14:paraId="4E45B265" w14:textId="77777777" w:rsidR="001C1D18" w:rsidRDefault="001C1D18">
      <w:pPr>
        <w:spacing w:line="276" w:lineRule="auto"/>
        <w:jc w:val="both"/>
        <w:rPr>
          <w:b/>
          <w:sz w:val="24"/>
          <w:szCs w:val="24"/>
        </w:rPr>
      </w:pPr>
    </w:p>
    <w:p w14:paraId="62D9BB82" w14:textId="77777777" w:rsidR="001C1D18" w:rsidRDefault="001C1D18">
      <w:pPr>
        <w:spacing w:line="276" w:lineRule="auto"/>
        <w:jc w:val="both"/>
        <w:rPr>
          <w:b/>
          <w:sz w:val="24"/>
          <w:szCs w:val="24"/>
        </w:rPr>
      </w:pPr>
    </w:p>
    <w:p w14:paraId="55FB5CDE" w14:textId="77777777" w:rsidR="001C1D18" w:rsidRDefault="001C1D18">
      <w:pPr>
        <w:spacing w:line="276" w:lineRule="auto"/>
        <w:jc w:val="both"/>
        <w:rPr>
          <w:b/>
          <w:sz w:val="24"/>
          <w:szCs w:val="24"/>
        </w:rPr>
      </w:pPr>
    </w:p>
    <w:p w14:paraId="2726870B" w14:textId="77777777" w:rsidR="001C1D18" w:rsidRDefault="001C1D18">
      <w:pPr>
        <w:spacing w:line="276" w:lineRule="auto"/>
        <w:jc w:val="both"/>
        <w:rPr>
          <w:b/>
          <w:sz w:val="24"/>
          <w:szCs w:val="24"/>
        </w:rPr>
      </w:pPr>
    </w:p>
    <w:p w14:paraId="0C177509" w14:textId="77777777" w:rsidR="001C1D18" w:rsidRDefault="001C1D18">
      <w:pPr>
        <w:spacing w:line="276" w:lineRule="auto"/>
        <w:jc w:val="both"/>
        <w:rPr>
          <w:b/>
          <w:sz w:val="24"/>
          <w:szCs w:val="24"/>
        </w:rPr>
      </w:pPr>
    </w:p>
    <w:p w14:paraId="7AF18B0B" w14:textId="77777777" w:rsidR="001C1D18" w:rsidRDefault="001C1D18">
      <w:pPr>
        <w:spacing w:line="276" w:lineRule="auto"/>
        <w:jc w:val="both"/>
        <w:rPr>
          <w:b/>
          <w:sz w:val="24"/>
          <w:szCs w:val="24"/>
        </w:rPr>
      </w:pPr>
    </w:p>
    <w:p w14:paraId="1F702EB7" w14:textId="77777777" w:rsidR="001C1D18" w:rsidRDefault="00217595">
      <w:pPr>
        <w:spacing w:line="276" w:lineRule="auto"/>
        <w:jc w:val="both"/>
        <w:rPr>
          <w:b/>
          <w:sz w:val="24"/>
          <w:szCs w:val="24"/>
        </w:rPr>
      </w:pPr>
      <w:r>
        <w:rPr>
          <w:b/>
          <w:noProof/>
          <w:sz w:val="24"/>
          <w:szCs w:val="24"/>
        </w:rPr>
        <w:drawing>
          <wp:anchor distT="0" distB="0" distL="114300" distR="114300" simplePos="0" relativeHeight="13" behindDoc="0" locked="0" layoutInCell="1" allowOverlap="1" wp14:anchorId="385CCC7D" wp14:editId="5B1DB6F1">
            <wp:simplePos x="0" y="0"/>
            <wp:positionH relativeFrom="column">
              <wp:posOffset>2297430</wp:posOffset>
            </wp:positionH>
            <wp:positionV relativeFrom="paragraph">
              <wp:posOffset>172720</wp:posOffset>
            </wp:positionV>
            <wp:extent cx="1645919" cy="1493520"/>
            <wp:effectExtent l="0" t="0" r="0" b="0"/>
            <wp:wrapThrough wrapText="bothSides">
              <wp:wrapPolygon edited="0">
                <wp:start x="0" y="0"/>
                <wp:lineTo x="0" y="21214"/>
                <wp:lineTo x="21250" y="21214"/>
                <wp:lineTo x="21250" y="0"/>
                <wp:lineTo x="0" y="0"/>
              </wp:wrapPolygon>
            </wp:wrapThrough>
            <wp:docPr id="1053" name="Picture 57" descr="E:\immmmm\IMG-20250913-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57"/>
                    <pic:cNvPicPr/>
                  </pic:nvPicPr>
                  <pic:blipFill>
                    <a:blip r:embed="rId21" cstate="print"/>
                    <a:srcRect/>
                    <a:stretch/>
                  </pic:blipFill>
                  <pic:spPr>
                    <a:xfrm>
                      <a:off x="0" y="0"/>
                      <a:ext cx="1645919" cy="1493520"/>
                    </a:xfrm>
                    <a:prstGeom prst="rect">
                      <a:avLst/>
                    </a:prstGeom>
                    <a:ln>
                      <a:noFill/>
                    </a:ln>
                  </pic:spPr>
                </pic:pic>
              </a:graphicData>
            </a:graphic>
            <wp14:sizeRelH relativeFrom="margin">
              <wp14:pctWidth>0</wp14:pctWidth>
            </wp14:sizeRelH>
            <wp14:sizeRelV relativeFrom="margin">
              <wp14:pctHeight>0</wp14:pctHeight>
            </wp14:sizeRelV>
          </wp:anchor>
        </w:drawing>
      </w:r>
    </w:p>
    <w:p w14:paraId="2DBCF6ED" w14:textId="77777777" w:rsidR="001C1D18" w:rsidRDefault="001C1D18">
      <w:pPr>
        <w:spacing w:line="276" w:lineRule="auto"/>
        <w:jc w:val="both"/>
        <w:rPr>
          <w:b/>
          <w:sz w:val="24"/>
          <w:szCs w:val="24"/>
        </w:rPr>
      </w:pPr>
    </w:p>
    <w:p w14:paraId="4559B0C6" w14:textId="77777777" w:rsidR="001C1D18" w:rsidRDefault="001C1D18">
      <w:pPr>
        <w:spacing w:line="276" w:lineRule="auto"/>
        <w:jc w:val="both"/>
        <w:rPr>
          <w:b/>
          <w:sz w:val="24"/>
          <w:szCs w:val="24"/>
        </w:rPr>
      </w:pPr>
    </w:p>
    <w:p w14:paraId="1CDF6B22" w14:textId="77777777" w:rsidR="001C1D18" w:rsidRDefault="001C1D18">
      <w:pPr>
        <w:spacing w:line="276" w:lineRule="auto"/>
        <w:jc w:val="both"/>
        <w:rPr>
          <w:b/>
          <w:sz w:val="24"/>
          <w:szCs w:val="24"/>
        </w:rPr>
      </w:pPr>
    </w:p>
    <w:p w14:paraId="421DAA9A" w14:textId="77777777" w:rsidR="001C1D18" w:rsidRDefault="001C1D18">
      <w:pPr>
        <w:spacing w:line="276" w:lineRule="auto"/>
        <w:jc w:val="both"/>
        <w:rPr>
          <w:b/>
          <w:sz w:val="24"/>
          <w:szCs w:val="24"/>
        </w:rPr>
      </w:pPr>
    </w:p>
    <w:p w14:paraId="0726B914" w14:textId="77777777" w:rsidR="001C1D18" w:rsidRDefault="001C1D18">
      <w:pPr>
        <w:spacing w:line="276" w:lineRule="auto"/>
        <w:jc w:val="both"/>
        <w:rPr>
          <w:b/>
          <w:sz w:val="24"/>
          <w:szCs w:val="24"/>
        </w:rPr>
      </w:pPr>
    </w:p>
    <w:p w14:paraId="7396F3A7" w14:textId="77777777" w:rsidR="001C1D18" w:rsidRDefault="001C1D18">
      <w:pPr>
        <w:spacing w:line="276" w:lineRule="auto"/>
        <w:jc w:val="both"/>
        <w:rPr>
          <w:b/>
          <w:sz w:val="24"/>
          <w:szCs w:val="24"/>
        </w:rPr>
      </w:pPr>
    </w:p>
    <w:p w14:paraId="010E4123" w14:textId="77777777" w:rsidR="001C1D18" w:rsidRDefault="001C1D18">
      <w:pPr>
        <w:spacing w:line="276" w:lineRule="auto"/>
        <w:jc w:val="both"/>
        <w:rPr>
          <w:b/>
          <w:sz w:val="24"/>
          <w:szCs w:val="24"/>
        </w:rPr>
      </w:pPr>
    </w:p>
    <w:p w14:paraId="1AE58BBF" w14:textId="77777777" w:rsidR="001C1D18" w:rsidRDefault="001C1D18">
      <w:pPr>
        <w:spacing w:line="276" w:lineRule="auto"/>
        <w:jc w:val="both"/>
        <w:rPr>
          <w:b/>
          <w:sz w:val="24"/>
          <w:szCs w:val="24"/>
        </w:rPr>
      </w:pPr>
    </w:p>
    <w:p w14:paraId="732EE26C" w14:textId="77777777" w:rsidR="001C1D18" w:rsidRDefault="00217595">
      <w:pPr>
        <w:spacing w:line="276" w:lineRule="auto"/>
        <w:jc w:val="both"/>
        <w:rPr>
          <w:b/>
          <w:sz w:val="24"/>
          <w:szCs w:val="24"/>
        </w:rPr>
      </w:pPr>
      <w:r>
        <w:rPr>
          <w:b/>
          <w:sz w:val="24"/>
          <w:szCs w:val="24"/>
        </w:rPr>
        <w:t>Plate 1: Cassava-groundnut snack bars fortified with ginger and turmeric</w:t>
      </w:r>
    </w:p>
    <w:p w14:paraId="68B12BE0" w14:textId="77777777" w:rsidR="001C1D18" w:rsidRDefault="001C1D18">
      <w:pPr>
        <w:spacing w:line="276" w:lineRule="auto"/>
        <w:rPr>
          <w:sz w:val="24"/>
          <w:szCs w:val="24"/>
          <w:lang w:val="en-GB"/>
        </w:rPr>
      </w:pPr>
      <w:bookmarkStart w:id="41" w:name="_Toc189668736"/>
      <w:bookmarkStart w:id="42" w:name="_Toc189671560"/>
    </w:p>
    <w:p w14:paraId="6FED227D" w14:textId="77777777" w:rsidR="001C1D18" w:rsidRDefault="001C1D18">
      <w:pPr>
        <w:pStyle w:val="Lgende"/>
        <w:spacing w:after="0" w:line="276" w:lineRule="auto"/>
        <w:rPr>
          <w:color w:val="auto"/>
          <w:sz w:val="24"/>
          <w:szCs w:val="24"/>
        </w:rPr>
      </w:pPr>
    </w:p>
    <w:p w14:paraId="775107BF" w14:textId="77777777" w:rsidR="001C1D18" w:rsidRDefault="00217595">
      <w:pPr>
        <w:pStyle w:val="Lgende"/>
        <w:spacing w:line="276" w:lineRule="auto"/>
        <w:rPr>
          <w:color w:val="auto"/>
          <w:sz w:val="24"/>
          <w:szCs w:val="24"/>
        </w:rPr>
      </w:pPr>
      <w:commentRangeStart w:id="43"/>
      <w:r>
        <w:rPr>
          <w:color w:val="auto"/>
          <w:sz w:val="24"/>
          <w:szCs w:val="24"/>
        </w:rPr>
        <w:t>Table 1.0 Proximate Composition of the Cassava-groundnut Snack Bar</w:t>
      </w:r>
      <w:commentRangeEnd w:id="43"/>
      <w:r w:rsidR="00A7025A">
        <w:rPr>
          <w:rStyle w:val="Marquedecommentaire"/>
          <w:color w:val="auto"/>
          <w:sz w:val="24"/>
          <w:szCs w:val="24"/>
        </w:rPr>
        <w:commentReference w:id="43"/>
      </w:r>
    </w:p>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1244"/>
        <w:gridCol w:w="1127"/>
        <w:gridCol w:w="1131"/>
        <w:gridCol w:w="1089"/>
        <w:gridCol w:w="1089"/>
        <w:gridCol w:w="1346"/>
        <w:gridCol w:w="1500"/>
      </w:tblGrid>
      <w:tr w:rsidR="001C1D18" w14:paraId="3B118F0F" w14:textId="77777777" w:rsidTr="00DD43B2">
        <w:trPr>
          <w:trHeight w:val="1141"/>
          <w:jc w:val="center"/>
        </w:trPr>
        <w:tc>
          <w:tcPr>
            <w:tcW w:w="424" w:type="pct"/>
            <w:tcBorders>
              <w:top w:val="single" w:sz="4" w:space="0" w:color="auto"/>
              <w:bottom w:val="single" w:sz="4" w:space="0" w:color="auto"/>
            </w:tcBorders>
            <w:vAlign w:val="center"/>
          </w:tcPr>
          <w:p w14:paraId="7AA331C7" w14:textId="77777777" w:rsidR="001C1D18" w:rsidRDefault="00217595">
            <w:pPr>
              <w:spacing w:beforeLines="50" w:before="120" w:after="200" w:line="276" w:lineRule="auto"/>
              <w:jc w:val="center"/>
              <w:rPr>
                <w:b/>
                <w:sz w:val="24"/>
                <w:szCs w:val="24"/>
              </w:rPr>
            </w:pPr>
            <w:r>
              <w:rPr>
                <w:b/>
                <w:sz w:val="24"/>
                <w:szCs w:val="24"/>
              </w:rPr>
              <w:lastRenderedPageBreak/>
              <w:t>Sample</w:t>
            </w:r>
          </w:p>
        </w:tc>
        <w:tc>
          <w:tcPr>
            <w:tcW w:w="668" w:type="pct"/>
            <w:tcBorders>
              <w:top w:val="single" w:sz="4" w:space="0" w:color="auto"/>
              <w:bottom w:val="single" w:sz="4" w:space="0" w:color="auto"/>
            </w:tcBorders>
            <w:vAlign w:val="center"/>
          </w:tcPr>
          <w:p w14:paraId="61B9A82F" w14:textId="77777777" w:rsidR="001C1D18" w:rsidRDefault="00217595">
            <w:pPr>
              <w:spacing w:beforeLines="50" w:before="120" w:after="200" w:line="276" w:lineRule="auto"/>
              <w:jc w:val="center"/>
              <w:rPr>
                <w:b/>
                <w:sz w:val="24"/>
                <w:szCs w:val="24"/>
              </w:rPr>
            </w:pPr>
            <w:r>
              <w:rPr>
                <w:b/>
                <w:sz w:val="24"/>
                <w:szCs w:val="24"/>
              </w:rPr>
              <w:t>Moisture (%)</w:t>
            </w:r>
          </w:p>
        </w:tc>
        <w:tc>
          <w:tcPr>
            <w:tcW w:w="603" w:type="pct"/>
            <w:tcBorders>
              <w:top w:val="single" w:sz="4" w:space="0" w:color="auto"/>
              <w:bottom w:val="single" w:sz="4" w:space="0" w:color="auto"/>
            </w:tcBorders>
            <w:vAlign w:val="center"/>
          </w:tcPr>
          <w:p w14:paraId="2A760DE2" w14:textId="77777777" w:rsidR="001C1D18" w:rsidRDefault="00217595">
            <w:pPr>
              <w:spacing w:beforeLines="50" w:before="120" w:after="200" w:line="276" w:lineRule="auto"/>
              <w:jc w:val="center"/>
              <w:rPr>
                <w:b/>
                <w:sz w:val="24"/>
                <w:szCs w:val="24"/>
              </w:rPr>
            </w:pPr>
            <w:r>
              <w:rPr>
                <w:b/>
                <w:sz w:val="24"/>
                <w:szCs w:val="24"/>
              </w:rPr>
              <w:t>Protein (%)</w:t>
            </w:r>
          </w:p>
        </w:tc>
        <w:tc>
          <w:tcPr>
            <w:tcW w:w="605" w:type="pct"/>
            <w:tcBorders>
              <w:top w:val="single" w:sz="4" w:space="0" w:color="auto"/>
              <w:bottom w:val="single" w:sz="4" w:space="0" w:color="auto"/>
            </w:tcBorders>
            <w:vAlign w:val="center"/>
          </w:tcPr>
          <w:p w14:paraId="0DFF65C8" w14:textId="77777777" w:rsidR="001C1D18" w:rsidRDefault="00217595">
            <w:pPr>
              <w:spacing w:beforeLines="50" w:before="120" w:after="200" w:line="276" w:lineRule="auto"/>
              <w:jc w:val="center"/>
              <w:rPr>
                <w:b/>
                <w:sz w:val="24"/>
                <w:szCs w:val="24"/>
              </w:rPr>
            </w:pPr>
            <w:r>
              <w:rPr>
                <w:b/>
                <w:sz w:val="24"/>
                <w:szCs w:val="24"/>
              </w:rPr>
              <w:t>Lipid (%)</w:t>
            </w:r>
          </w:p>
        </w:tc>
        <w:tc>
          <w:tcPr>
            <w:tcW w:w="582" w:type="pct"/>
            <w:tcBorders>
              <w:top w:val="single" w:sz="4" w:space="0" w:color="auto"/>
              <w:bottom w:val="single" w:sz="4" w:space="0" w:color="auto"/>
            </w:tcBorders>
            <w:vAlign w:val="center"/>
          </w:tcPr>
          <w:p w14:paraId="19F0527F" w14:textId="77777777" w:rsidR="001C1D18" w:rsidRDefault="00217595">
            <w:pPr>
              <w:spacing w:beforeLines="50" w:before="120" w:after="200" w:line="276" w:lineRule="auto"/>
              <w:jc w:val="center"/>
              <w:rPr>
                <w:b/>
                <w:sz w:val="24"/>
                <w:szCs w:val="24"/>
              </w:rPr>
            </w:pPr>
            <w:r>
              <w:rPr>
                <w:b/>
                <w:sz w:val="24"/>
                <w:szCs w:val="24"/>
              </w:rPr>
              <w:t>Ash (%)</w:t>
            </w:r>
          </w:p>
        </w:tc>
        <w:tc>
          <w:tcPr>
            <w:tcW w:w="582" w:type="pct"/>
            <w:tcBorders>
              <w:top w:val="single" w:sz="4" w:space="0" w:color="auto"/>
              <w:bottom w:val="single" w:sz="4" w:space="0" w:color="auto"/>
            </w:tcBorders>
            <w:vAlign w:val="center"/>
          </w:tcPr>
          <w:p w14:paraId="33998564" w14:textId="77777777" w:rsidR="001C1D18" w:rsidRDefault="00217595">
            <w:pPr>
              <w:spacing w:beforeLines="50" w:before="120" w:after="200" w:line="276" w:lineRule="auto"/>
              <w:jc w:val="center"/>
              <w:rPr>
                <w:b/>
                <w:sz w:val="24"/>
                <w:szCs w:val="24"/>
              </w:rPr>
            </w:pPr>
            <w:r>
              <w:rPr>
                <w:b/>
                <w:sz w:val="24"/>
                <w:szCs w:val="24"/>
              </w:rPr>
              <w:t>Fibre (%)</w:t>
            </w:r>
          </w:p>
        </w:tc>
        <w:tc>
          <w:tcPr>
            <w:tcW w:w="725" w:type="pct"/>
            <w:tcBorders>
              <w:top w:val="single" w:sz="4" w:space="0" w:color="auto"/>
              <w:bottom w:val="single" w:sz="4" w:space="0" w:color="auto"/>
            </w:tcBorders>
            <w:vAlign w:val="center"/>
          </w:tcPr>
          <w:p w14:paraId="239F0A19" w14:textId="77777777" w:rsidR="001C1D18" w:rsidRDefault="00217595">
            <w:pPr>
              <w:spacing w:beforeLines="50" w:before="120" w:after="200" w:line="276" w:lineRule="auto"/>
              <w:jc w:val="center"/>
              <w:rPr>
                <w:b/>
                <w:sz w:val="24"/>
                <w:szCs w:val="24"/>
              </w:rPr>
            </w:pPr>
            <w:commentRangeStart w:id="44"/>
            <w:r>
              <w:rPr>
                <w:b/>
                <w:sz w:val="24"/>
                <w:szCs w:val="24"/>
              </w:rPr>
              <w:t>Carboyhdrate</w:t>
            </w:r>
            <w:commentRangeEnd w:id="44"/>
            <w:r w:rsidR="009A0BA8">
              <w:rPr>
                <w:rStyle w:val="Marquedecommentaire"/>
                <w:b/>
                <w:sz w:val="24"/>
                <w:szCs w:val="24"/>
              </w:rPr>
              <w:commentReference w:id="44"/>
            </w:r>
            <w:r>
              <w:rPr>
                <w:b/>
                <w:sz w:val="24"/>
                <w:szCs w:val="24"/>
              </w:rPr>
              <w:t xml:space="preserve"> (%)</w:t>
            </w:r>
          </w:p>
        </w:tc>
        <w:tc>
          <w:tcPr>
            <w:tcW w:w="811" w:type="pct"/>
            <w:tcBorders>
              <w:top w:val="single" w:sz="4" w:space="0" w:color="auto"/>
              <w:bottom w:val="single" w:sz="4" w:space="0" w:color="auto"/>
            </w:tcBorders>
            <w:vAlign w:val="center"/>
          </w:tcPr>
          <w:p w14:paraId="27532079" w14:textId="77777777" w:rsidR="001C1D18" w:rsidRDefault="00217595">
            <w:pPr>
              <w:spacing w:beforeLines="50" w:before="120" w:after="200" w:line="276" w:lineRule="auto"/>
              <w:jc w:val="center"/>
              <w:rPr>
                <w:b/>
                <w:sz w:val="24"/>
                <w:szCs w:val="24"/>
              </w:rPr>
            </w:pPr>
            <w:r>
              <w:rPr>
                <w:b/>
                <w:sz w:val="24"/>
                <w:szCs w:val="24"/>
              </w:rPr>
              <w:t>Energy Values (KJ/100g)</w:t>
            </w:r>
          </w:p>
        </w:tc>
      </w:tr>
      <w:tr w:rsidR="001C1D18" w14:paraId="2106BE78" w14:textId="77777777" w:rsidTr="00DD43B2">
        <w:trPr>
          <w:trHeight w:val="672"/>
          <w:jc w:val="center"/>
        </w:trPr>
        <w:tc>
          <w:tcPr>
            <w:tcW w:w="424" w:type="pct"/>
            <w:tcBorders>
              <w:top w:val="single" w:sz="4" w:space="0" w:color="auto"/>
            </w:tcBorders>
            <w:vAlign w:val="center"/>
          </w:tcPr>
          <w:p w14:paraId="2BAA08C5" w14:textId="77777777" w:rsidR="001C1D18" w:rsidRDefault="00217595">
            <w:pPr>
              <w:spacing w:beforeLines="50" w:before="120" w:line="276" w:lineRule="auto"/>
              <w:jc w:val="center"/>
              <w:rPr>
                <w:sz w:val="24"/>
                <w:szCs w:val="24"/>
              </w:rPr>
            </w:pPr>
            <w:r>
              <w:rPr>
                <w:sz w:val="24"/>
                <w:szCs w:val="24"/>
              </w:rPr>
              <w:t>G33</w:t>
            </w:r>
          </w:p>
        </w:tc>
        <w:tc>
          <w:tcPr>
            <w:tcW w:w="668" w:type="pct"/>
            <w:tcBorders>
              <w:top w:val="single" w:sz="4" w:space="0" w:color="auto"/>
            </w:tcBorders>
            <w:vAlign w:val="center"/>
          </w:tcPr>
          <w:p w14:paraId="351F2AA2" w14:textId="77777777" w:rsidR="001C1D18" w:rsidRDefault="00217595">
            <w:pPr>
              <w:spacing w:beforeLines="50" w:before="120" w:line="276" w:lineRule="auto"/>
              <w:jc w:val="center"/>
              <w:rPr>
                <w:sz w:val="24"/>
                <w:szCs w:val="24"/>
              </w:rPr>
            </w:pPr>
            <w:r>
              <w:rPr>
                <w:sz w:val="24"/>
                <w:szCs w:val="24"/>
              </w:rPr>
              <w:t>25.54</w:t>
            </w:r>
            <w:r>
              <w:rPr>
                <w:sz w:val="24"/>
                <w:szCs w:val="24"/>
                <w:vertAlign w:val="superscript"/>
              </w:rPr>
              <w:t>be</w:t>
            </w:r>
            <w:r>
              <w:rPr>
                <w:sz w:val="24"/>
                <w:szCs w:val="24"/>
              </w:rPr>
              <w:t>±0.25</w:t>
            </w:r>
          </w:p>
        </w:tc>
        <w:tc>
          <w:tcPr>
            <w:tcW w:w="603" w:type="pct"/>
            <w:tcBorders>
              <w:top w:val="single" w:sz="4" w:space="0" w:color="auto"/>
            </w:tcBorders>
            <w:vAlign w:val="center"/>
          </w:tcPr>
          <w:p w14:paraId="07B3641E" w14:textId="77777777" w:rsidR="001C1D18" w:rsidRDefault="00217595">
            <w:pPr>
              <w:spacing w:beforeLines="50" w:before="120" w:line="276" w:lineRule="auto"/>
              <w:jc w:val="center"/>
              <w:rPr>
                <w:sz w:val="24"/>
                <w:szCs w:val="24"/>
              </w:rPr>
            </w:pPr>
            <w:r>
              <w:rPr>
                <w:sz w:val="24"/>
                <w:szCs w:val="24"/>
              </w:rPr>
              <w:t>11.31</w:t>
            </w:r>
            <w:r>
              <w:rPr>
                <w:sz w:val="24"/>
                <w:szCs w:val="24"/>
                <w:vertAlign w:val="superscript"/>
              </w:rPr>
              <w:t>f</w:t>
            </w:r>
            <w:r>
              <w:rPr>
                <w:sz w:val="24"/>
                <w:szCs w:val="24"/>
              </w:rPr>
              <w:t>±0.00</w:t>
            </w:r>
          </w:p>
        </w:tc>
        <w:tc>
          <w:tcPr>
            <w:tcW w:w="605" w:type="pct"/>
            <w:tcBorders>
              <w:top w:val="single" w:sz="4" w:space="0" w:color="auto"/>
            </w:tcBorders>
            <w:vAlign w:val="center"/>
          </w:tcPr>
          <w:p w14:paraId="08148F85" w14:textId="77777777" w:rsidR="001C1D18" w:rsidRDefault="00217595">
            <w:pPr>
              <w:spacing w:beforeLines="50" w:before="120" w:line="276" w:lineRule="auto"/>
              <w:jc w:val="center"/>
              <w:rPr>
                <w:sz w:val="24"/>
                <w:szCs w:val="24"/>
              </w:rPr>
            </w:pPr>
            <w:r>
              <w:rPr>
                <w:sz w:val="24"/>
                <w:szCs w:val="24"/>
              </w:rPr>
              <w:t>5.66</w:t>
            </w:r>
            <w:r>
              <w:rPr>
                <w:sz w:val="24"/>
                <w:szCs w:val="24"/>
                <w:vertAlign w:val="superscript"/>
              </w:rPr>
              <w:t>b</w:t>
            </w:r>
            <w:r>
              <w:rPr>
                <w:sz w:val="24"/>
                <w:szCs w:val="24"/>
              </w:rPr>
              <w:t>±0.69</w:t>
            </w:r>
          </w:p>
        </w:tc>
        <w:tc>
          <w:tcPr>
            <w:tcW w:w="582" w:type="pct"/>
            <w:tcBorders>
              <w:top w:val="single" w:sz="4" w:space="0" w:color="auto"/>
            </w:tcBorders>
            <w:vAlign w:val="center"/>
          </w:tcPr>
          <w:p w14:paraId="17D292C6" w14:textId="77777777" w:rsidR="001C1D18" w:rsidRDefault="00217595">
            <w:pPr>
              <w:spacing w:beforeLines="50" w:before="120" w:line="276" w:lineRule="auto"/>
              <w:jc w:val="center"/>
              <w:rPr>
                <w:sz w:val="24"/>
                <w:szCs w:val="24"/>
              </w:rPr>
            </w:pPr>
            <w:r>
              <w:rPr>
                <w:sz w:val="24"/>
                <w:szCs w:val="24"/>
              </w:rPr>
              <w:t>1.60</w:t>
            </w:r>
            <w:r>
              <w:rPr>
                <w:sz w:val="24"/>
                <w:szCs w:val="24"/>
                <w:vertAlign w:val="superscript"/>
              </w:rPr>
              <w:t>d</w:t>
            </w:r>
            <w:r>
              <w:rPr>
                <w:sz w:val="24"/>
                <w:szCs w:val="24"/>
              </w:rPr>
              <w:t>±0.08</w:t>
            </w:r>
          </w:p>
        </w:tc>
        <w:tc>
          <w:tcPr>
            <w:tcW w:w="582" w:type="pct"/>
            <w:tcBorders>
              <w:top w:val="single" w:sz="4" w:space="0" w:color="auto"/>
            </w:tcBorders>
            <w:vAlign w:val="center"/>
          </w:tcPr>
          <w:p w14:paraId="045564EA" w14:textId="77777777" w:rsidR="001C1D18" w:rsidRDefault="00217595">
            <w:pPr>
              <w:spacing w:beforeLines="50" w:before="120" w:line="276" w:lineRule="auto"/>
              <w:jc w:val="center"/>
              <w:rPr>
                <w:sz w:val="24"/>
                <w:szCs w:val="24"/>
              </w:rPr>
            </w:pPr>
            <w:r>
              <w:rPr>
                <w:sz w:val="24"/>
                <w:szCs w:val="24"/>
              </w:rPr>
              <w:t>2.51</w:t>
            </w:r>
            <w:r>
              <w:rPr>
                <w:sz w:val="24"/>
                <w:szCs w:val="24"/>
                <w:vertAlign w:val="superscript"/>
              </w:rPr>
              <w:t>cd</w:t>
            </w:r>
            <w:r>
              <w:rPr>
                <w:sz w:val="24"/>
                <w:szCs w:val="24"/>
              </w:rPr>
              <w:t>±0.35</w:t>
            </w:r>
          </w:p>
        </w:tc>
        <w:tc>
          <w:tcPr>
            <w:tcW w:w="725" w:type="pct"/>
            <w:tcBorders>
              <w:top w:val="single" w:sz="4" w:space="0" w:color="auto"/>
            </w:tcBorders>
            <w:vAlign w:val="center"/>
          </w:tcPr>
          <w:p w14:paraId="5B0D1436" w14:textId="77777777" w:rsidR="001C1D18" w:rsidRDefault="00217595">
            <w:pPr>
              <w:spacing w:beforeLines="50" w:before="120" w:line="276" w:lineRule="auto"/>
              <w:jc w:val="center"/>
              <w:rPr>
                <w:sz w:val="24"/>
                <w:szCs w:val="24"/>
              </w:rPr>
            </w:pPr>
            <w:r>
              <w:rPr>
                <w:sz w:val="24"/>
                <w:szCs w:val="24"/>
              </w:rPr>
              <w:t>53.39</w:t>
            </w:r>
            <w:r>
              <w:rPr>
                <w:sz w:val="24"/>
                <w:szCs w:val="24"/>
                <w:vertAlign w:val="superscript"/>
              </w:rPr>
              <w:t>bcde</w:t>
            </w:r>
            <w:r>
              <w:rPr>
                <w:sz w:val="24"/>
                <w:szCs w:val="24"/>
              </w:rPr>
              <w:t>±0.01</w:t>
            </w:r>
          </w:p>
        </w:tc>
        <w:tc>
          <w:tcPr>
            <w:tcW w:w="811" w:type="pct"/>
            <w:tcBorders>
              <w:top w:val="single" w:sz="4" w:space="0" w:color="auto"/>
            </w:tcBorders>
            <w:vAlign w:val="center"/>
          </w:tcPr>
          <w:p w14:paraId="1FCD4618" w14:textId="77777777" w:rsidR="001C1D18" w:rsidRDefault="00217595">
            <w:pPr>
              <w:spacing w:beforeLines="50" w:before="120" w:line="276" w:lineRule="auto"/>
              <w:jc w:val="center"/>
              <w:rPr>
                <w:sz w:val="24"/>
                <w:szCs w:val="24"/>
              </w:rPr>
            </w:pPr>
            <w:r>
              <w:rPr>
                <w:sz w:val="24"/>
                <w:szCs w:val="24"/>
              </w:rPr>
              <w:t>1296.49</w:t>
            </w:r>
            <w:r>
              <w:rPr>
                <w:sz w:val="24"/>
                <w:szCs w:val="24"/>
                <w:vertAlign w:val="superscript"/>
              </w:rPr>
              <w:t>ab</w:t>
            </w:r>
            <w:r>
              <w:rPr>
                <w:sz w:val="24"/>
                <w:szCs w:val="24"/>
              </w:rPr>
              <w:t>±25.99</w:t>
            </w:r>
          </w:p>
        </w:tc>
      </w:tr>
      <w:tr w:rsidR="001C1D18" w14:paraId="108B7631" w14:textId="77777777" w:rsidTr="00DD43B2">
        <w:trPr>
          <w:trHeight w:val="672"/>
          <w:jc w:val="center"/>
        </w:trPr>
        <w:tc>
          <w:tcPr>
            <w:tcW w:w="424" w:type="pct"/>
            <w:vAlign w:val="center"/>
          </w:tcPr>
          <w:p w14:paraId="1AC5BA78" w14:textId="77777777" w:rsidR="001C1D18" w:rsidRDefault="00217595">
            <w:pPr>
              <w:spacing w:beforeLines="50" w:before="120" w:line="276" w:lineRule="auto"/>
              <w:jc w:val="center"/>
              <w:rPr>
                <w:sz w:val="24"/>
                <w:szCs w:val="24"/>
              </w:rPr>
            </w:pPr>
            <w:r>
              <w:rPr>
                <w:sz w:val="24"/>
                <w:szCs w:val="24"/>
              </w:rPr>
              <w:t>G55</w:t>
            </w:r>
          </w:p>
        </w:tc>
        <w:tc>
          <w:tcPr>
            <w:tcW w:w="668" w:type="pct"/>
            <w:vAlign w:val="center"/>
          </w:tcPr>
          <w:p w14:paraId="2E8F3BE7" w14:textId="77777777" w:rsidR="001C1D18" w:rsidRDefault="00217595">
            <w:pPr>
              <w:spacing w:beforeLines="50" w:before="120" w:line="276" w:lineRule="auto"/>
              <w:jc w:val="center"/>
              <w:rPr>
                <w:sz w:val="24"/>
                <w:szCs w:val="24"/>
              </w:rPr>
            </w:pPr>
            <w:r>
              <w:rPr>
                <w:sz w:val="24"/>
                <w:szCs w:val="24"/>
              </w:rPr>
              <w:t>30.07</w:t>
            </w:r>
            <w:r>
              <w:rPr>
                <w:sz w:val="24"/>
                <w:szCs w:val="24"/>
                <w:vertAlign w:val="superscript"/>
              </w:rPr>
              <w:t>a</w:t>
            </w:r>
            <w:r>
              <w:rPr>
                <w:sz w:val="24"/>
                <w:szCs w:val="24"/>
              </w:rPr>
              <w:t>±3.32</w:t>
            </w:r>
          </w:p>
        </w:tc>
        <w:tc>
          <w:tcPr>
            <w:tcW w:w="603" w:type="pct"/>
            <w:vAlign w:val="center"/>
          </w:tcPr>
          <w:p w14:paraId="47F9CA22" w14:textId="77777777" w:rsidR="001C1D18" w:rsidRDefault="00217595">
            <w:pPr>
              <w:spacing w:beforeLines="50" w:before="120" w:line="276" w:lineRule="auto"/>
              <w:jc w:val="center"/>
              <w:rPr>
                <w:sz w:val="24"/>
                <w:szCs w:val="24"/>
              </w:rPr>
            </w:pPr>
            <w:r>
              <w:rPr>
                <w:sz w:val="24"/>
                <w:szCs w:val="24"/>
              </w:rPr>
              <w:t>10.50</w:t>
            </w:r>
            <w:r>
              <w:rPr>
                <w:sz w:val="24"/>
                <w:szCs w:val="24"/>
                <w:vertAlign w:val="superscript"/>
              </w:rPr>
              <w:t>h</w:t>
            </w:r>
            <w:r>
              <w:rPr>
                <w:sz w:val="24"/>
                <w:szCs w:val="24"/>
              </w:rPr>
              <w:t>±0.00</w:t>
            </w:r>
          </w:p>
        </w:tc>
        <w:tc>
          <w:tcPr>
            <w:tcW w:w="605" w:type="pct"/>
            <w:vAlign w:val="center"/>
          </w:tcPr>
          <w:p w14:paraId="54CC638D" w14:textId="77777777" w:rsidR="001C1D18" w:rsidRDefault="00217595">
            <w:pPr>
              <w:spacing w:beforeLines="50" w:before="120" w:line="276" w:lineRule="auto"/>
              <w:jc w:val="center"/>
              <w:rPr>
                <w:sz w:val="24"/>
                <w:szCs w:val="24"/>
              </w:rPr>
            </w:pPr>
            <w:r>
              <w:rPr>
                <w:sz w:val="24"/>
                <w:szCs w:val="24"/>
              </w:rPr>
              <w:t>4.99</w:t>
            </w:r>
            <w:r>
              <w:rPr>
                <w:sz w:val="24"/>
                <w:szCs w:val="24"/>
                <w:vertAlign w:val="superscript"/>
              </w:rPr>
              <w:t>c</w:t>
            </w:r>
            <w:r>
              <w:rPr>
                <w:sz w:val="24"/>
                <w:szCs w:val="24"/>
              </w:rPr>
              <w:t>±0.04</w:t>
            </w:r>
          </w:p>
        </w:tc>
        <w:tc>
          <w:tcPr>
            <w:tcW w:w="582" w:type="pct"/>
            <w:vAlign w:val="center"/>
          </w:tcPr>
          <w:p w14:paraId="4013F2F6" w14:textId="77777777" w:rsidR="001C1D18" w:rsidRDefault="00217595">
            <w:pPr>
              <w:spacing w:beforeLines="50" w:before="120" w:line="276" w:lineRule="auto"/>
              <w:jc w:val="center"/>
              <w:rPr>
                <w:sz w:val="24"/>
                <w:szCs w:val="24"/>
              </w:rPr>
            </w:pPr>
            <w:r>
              <w:rPr>
                <w:sz w:val="24"/>
                <w:szCs w:val="24"/>
              </w:rPr>
              <w:t>1.52</w:t>
            </w:r>
            <w:r>
              <w:rPr>
                <w:sz w:val="24"/>
                <w:szCs w:val="24"/>
                <w:vertAlign w:val="superscript"/>
              </w:rPr>
              <w:t>d</w:t>
            </w:r>
            <w:r>
              <w:rPr>
                <w:sz w:val="24"/>
                <w:szCs w:val="24"/>
              </w:rPr>
              <w:t>±0.08</w:t>
            </w:r>
          </w:p>
        </w:tc>
        <w:tc>
          <w:tcPr>
            <w:tcW w:w="582" w:type="pct"/>
            <w:vAlign w:val="center"/>
          </w:tcPr>
          <w:p w14:paraId="585C9FEE" w14:textId="77777777" w:rsidR="001C1D18" w:rsidRDefault="00217595">
            <w:pPr>
              <w:spacing w:beforeLines="50" w:before="120" w:line="276" w:lineRule="auto"/>
              <w:jc w:val="center"/>
              <w:rPr>
                <w:sz w:val="24"/>
                <w:szCs w:val="24"/>
              </w:rPr>
            </w:pPr>
            <w:r>
              <w:rPr>
                <w:sz w:val="24"/>
                <w:szCs w:val="24"/>
              </w:rPr>
              <w:t>2.04</w:t>
            </w:r>
            <w:r>
              <w:rPr>
                <w:sz w:val="24"/>
                <w:szCs w:val="24"/>
                <w:vertAlign w:val="superscript"/>
              </w:rPr>
              <w:t>d</w:t>
            </w:r>
            <w:r>
              <w:rPr>
                <w:sz w:val="24"/>
                <w:szCs w:val="24"/>
              </w:rPr>
              <w:t>±0.16</w:t>
            </w:r>
          </w:p>
        </w:tc>
        <w:tc>
          <w:tcPr>
            <w:tcW w:w="725" w:type="pct"/>
            <w:vAlign w:val="center"/>
          </w:tcPr>
          <w:p w14:paraId="7470621F" w14:textId="77777777" w:rsidR="001C1D18" w:rsidRDefault="00217595">
            <w:pPr>
              <w:spacing w:beforeLines="50" w:before="120" w:line="276" w:lineRule="auto"/>
              <w:jc w:val="center"/>
              <w:rPr>
                <w:sz w:val="24"/>
                <w:szCs w:val="24"/>
              </w:rPr>
            </w:pPr>
            <w:r>
              <w:rPr>
                <w:sz w:val="24"/>
                <w:szCs w:val="24"/>
              </w:rPr>
              <w:t>50.89</w:t>
            </w:r>
            <w:r>
              <w:rPr>
                <w:sz w:val="24"/>
                <w:szCs w:val="24"/>
                <w:vertAlign w:val="superscript"/>
              </w:rPr>
              <w:t>cde</w:t>
            </w:r>
            <w:r>
              <w:rPr>
                <w:sz w:val="24"/>
                <w:szCs w:val="24"/>
              </w:rPr>
              <w:t>±3.37</w:t>
            </w:r>
          </w:p>
        </w:tc>
        <w:tc>
          <w:tcPr>
            <w:tcW w:w="811" w:type="pct"/>
            <w:vAlign w:val="center"/>
          </w:tcPr>
          <w:p w14:paraId="16713859" w14:textId="77777777" w:rsidR="001C1D18" w:rsidRDefault="00217595">
            <w:pPr>
              <w:spacing w:beforeLines="50" w:before="120" w:line="276" w:lineRule="auto"/>
              <w:jc w:val="center"/>
              <w:rPr>
                <w:sz w:val="24"/>
                <w:szCs w:val="24"/>
              </w:rPr>
            </w:pPr>
            <w:r>
              <w:rPr>
                <w:sz w:val="24"/>
                <w:szCs w:val="24"/>
              </w:rPr>
              <w:t>1215.72</w:t>
            </w:r>
            <w:r>
              <w:rPr>
                <w:sz w:val="24"/>
                <w:szCs w:val="24"/>
                <w:vertAlign w:val="superscript"/>
              </w:rPr>
              <w:t>ab</w:t>
            </w:r>
            <w:r>
              <w:rPr>
                <w:sz w:val="24"/>
                <w:szCs w:val="24"/>
              </w:rPr>
              <w:t>±57.69</w:t>
            </w:r>
          </w:p>
        </w:tc>
      </w:tr>
      <w:tr w:rsidR="001C1D18" w14:paraId="45A77C36" w14:textId="77777777" w:rsidTr="00DD43B2">
        <w:trPr>
          <w:trHeight w:val="672"/>
          <w:jc w:val="center"/>
        </w:trPr>
        <w:tc>
          <w:tcPr>
            <w:tcW w:w="424" w:type="pct"/>
            <w:vAlign w:val="center"/>
          </w:tcPr>
          <w:p w14:paraId="5141F0B2" w14:textId="77777777" w:rsidR="001C1D18" w:rsidRDefault="00217595">
            <w:pPr>
              <w:spacing w:beforeLines="50" w:before="120" w:line="276" w:lineRule="auto"/>
              <w:jc w:val="center"/>
              <w:rPr>
                <w:sz w:val="24"/>
                <w:szCs w:val="24"/>
              </w:rPr>
            </w:pPr>
            <w:r>
              <w:rPr>
                <w:sz w:val="24"/>
                <w:szCs w:val="24"/>
              </w:rPr>
              <w:t>G77</w:t>
            </w:r>
          </w:p>
        </w:tc>
        <w:tc>
          <w:tcPr>
            <w:tcW w:w="668" w:type="pct"/>
            <w:vAlign w:val="center"/>
          </w:tcPr>
          <w:p w14:paraId="69BBADA9" w14:textId="77777777" w:rsidR="001C1D18" w:rsidRDefault="00217595">
            <w:pPr>
              <w:spacing w:beforeLines="50" w:before="120" w:line="276" w:lineRule="auto"/>
              <w:jc w:val="center"/>
              <w:rPr>
                <w:sz w:val="24"/>
                <w:szCs w:val="24"/>
              </w:rPr>
            </w:pPr>
            <w:r>
              <w:rPr>
                <w:sz w:val="24"/>
                <w:szCs w:val="24"/>
              </w:rPr>
              <w:t>20.17</w:t>
            </w:r>
            <w:r>
              <w:rPr>
                <w:sz w:val="24"/>
                <w:szCs w:val="24"/>
                <w:vertAlign w:val="superscript"/>
              </w:rPr>
              <w:t>e</w:t>
            </w:r>
            <w:r>
              <w:rPr>
                <w:sz w:val="24"/>
                <w:szCs w:val="24"/>
              </w:rPr>
              <w:t>±0.13</w:t>
            </w:r>
          </w:p>
        </w:tc>
        <w:tc>
          <w:tcPr>
            <w:tcW w:w="603" w:type="pct"/>
            <w:vAlign w:val="center"/>
          </w:tcPr>
          <w:p w14:paraId="600213CB" w14:textId="77777777" w:rsidR="001C1D18" w:rsidRDefault="00217595">
            <w:pPr>
              <w:spacing w:beforeLines="50" w:before="120" w:line="276" w:lineRule="auto"/>
              <w:jc w:val="center"/>
              <w:rPr>
                <w:sz w:val="24"/>
                <w:szCs w:val="24"/>
              </w:rPr>
            </w:pPr>
            <w:r>
              <w:rPr>
                <w:sz w:val="24"/>
                <w:szCs w:val="24"/>
              </w:rPr>
              <w:t>12.31</w:t>
            </w:r>
            <w:r>
              <w:rPr>
                <w:sz w:val="24"/>
                <w:szCs w:val="24"/>
                <w:vertAlign w:val="superscript"/>
              </w:rPr>
              <w:t>d</w:t>
            </w:r>
            <w:r>
              <w:rPr>
                <w:sz w:val="24"/>
                <w:szCs w:val="24"/>
              </w:rPr>
              <w:t>±0.00</w:t>
            </w:r>
          </w:p>
        </w:tc>
        <w:tc>
          <w:tcPr>
            <w:tcW w:w="605" w:type="pct"/>
            <w:vAlign w:val="center"/>
          </w:tcPr>
          <w:p w14:paraId="4ABE460F" w14:textId="77777777" w:rsidR="001C1D18" w:rsidRDefault="00217595">
            <w:pPr>
              <w:spacing w:beforeLines="50" w:before="120" w:line="276" w:lineRule="auto"/>
              <w:jc w:val="center"/>
              <w:rPr>
                <w:sz w:val="24"/>
                <w:szCs w:val="24"/>
              </w:rPr>
            </w:pPr>
            <w:r>
              <w:rPr>
                <w:sz w:val="24"/>
                <w:szCs w:val="24"/>
              </w:rPr>
              <w:t>4.98</w:t>
            </w:r>
            <w:r>
              <w:rPr>
                <w:sz w:val="24"/>
                <w:szCs w:val="24"/>
                <w:vertAlign w:val="superscript"/>
              </w:rPr>
              <w:t>c</w:t>
            </w:r>
            <w:r>
              <w:rPr>
                <w:sz w:val="24"/>
                <w:szCs w:val="24"/>
              </w:rPr>
              <w:t>±0.25</w:t>
            </w:r>
          </w:p>
        </w:tc>
        <w:tc>
          <w:tcPr>
            <w:tcW w:w="582" w:type="pct"/>
            <w:vAlign w:val="center"/>
          </w:tcPr>
          <w:p w14:paraId="00929C33" w14:textId="77777777" w:rsidR="001C1D18" w:rsidRDefault="00217595">
            <w:pPr>
              <w:spacing w:beforeLines="50" w:before="120" w:line="276" w:lineRule="auto"/>
              <w:jc w:val="center"/>
              <w:rPr>
                <w:sz w:val="24"/>
                <w:szCs w:val="24"/>
              </w:rPr>
            </w:pPr>
            <w:r>
              <w:rPr>
                <w:sz w:val="24"/>
                <w:szCs w:val="24"/>
              </w:rPr>
              <w:t>2.46</w:t>
            </w:r>
            <w:r>
              <w:rPr>
                <w:sz w:val="24"/>
                <w:szCs w:val="24"/>
                <w:vertAlign w:val="superscript"/>
              </w:rPr>
              <w:t>bc</w:t>
            </w:r>
            <w:r>
              <w:rPr>
                <w:sz w:val="24"/>
                <w:szCs w:val="24"/>
              </w:rPr>
              <w:t>±0.25</w:t>
            </w:r>
          </w:p>
        </w:tc>
        <w:tc>
          <w:tcPr>
            <w:tcW w:w="582" w:type="pct"/>
            <w:vAlign w:val="center"/>
          </w:tcPr>
          <w:p w14:paraId="137EEF7A" w14:textId="77777777" w:rsidR="001C1D18" w:rsidRDefault="00217595">
            <w:pPr>
              <w:spacing w:beforeLines="50" w:before="120" w:line="276" w:lineRule="auto"/>
              <w:jc w:val="center"/>
              <w:rPr>
                <w:sz w:val="24"/>
                <w:szCs w:val="24"/>
              </w:rPr>
            </w:pPr>
            <w:r>
              <w:rPr>
                <w:sz w:val="24"/>
                <w:szCs w:val="24"/>
              </w:rPr>
              <w:t>3.68</w:t>
            </w:r>
            <w:r>
              <w:rPr>
                <w:sz w:val="24"/>
                <w:szCs w:val="24"/>
                <w:vertAlign w:val="superscript"/>
              </w:rPr>
              <w:t>ab</w:t>
            </w:r>
            <w:r>
              <w:rPr>
                <w:sz w:val="24"/>
                <w:szCs w:val="24"/>
              </w:rPr>
              <w:t>±0.21</w:t>
            </w:r>
          </w:p>
        </w:tc>
        <w:tc>
          <w:tcPr>
            <w:tcW w:w="725" w:type="pct"/>
            <w:vAlign w:val="center"/>
          </w:tcPr>
          <w:p w14:paraId="07B5CF7A" w14:textId="77777777" w:rsidR="001C1D18" w:rsidRDefault="00217595">
            <w:pPr>
              <w:spacing w:beforeLines="50" w:before="120" w:line="276" w:lineRule="auto"/>
              <w:jc w:val="center"/>
              <w:rPr>
                <w:sz w:val="24"/>
                <w:szCs w:val="24"/>
              </w:rPr>
            </w:pPr>
            <w:r>
              <w:rPr>
                <w:sz w:val="24"/>
                <w:szCs w:val="24"/>
              </w:rPr>
              <w:t>56.41</w:t>
            </w:r>
            <w:r>
              <w:rPr>
                <w:sz w:val="24"/>
                <w:szCs w:val="24"/>
                <w:vertAlign w:val="superscript"/>
              </w:rPr>
              <w:t>abcd</w:t>
            </w:r>
            <w:r>
              <w:rPr>
                <w:sz w:val="24"/>
                <w:szCs w:val="24"/>
              </w:rPr>
              <w:t>±0.35</w:t>
            </w:r>
          </w:p>
        </w:tc>
        <w:tc>
          <w:tcPr>
            <w:tcW w:w="811" w:type="pct"/>
            <w:vAlign w:val="center"/>
          </w:tcPr>
          <w:p w14:paraId="64E5241E" w14:textId="77777777" w:rsidR="001C1D18" w:rsidRDefault="00217595">
            <w:pPr>
              <w:spacing w:beforeLines="50" w:before="120" w:line="276" w:lineRule="auto"/>
              <w:jc w:val="center"/>
              <w:rPr>
                <w:sz w:val="24"/>
                <w:szCs w:val="24"/>
              </w:rPr>
            </w:pPr>
            <w:r>
              <w:rPr>
                <w:sz w:val="24"/>
                <w:szCs w:val="24"/>
              </w:rPr>
              <w:t>1338.00</w:t>
            </w:r>
            <w:r>
              <w:rPr>
                <w:sz w:val="24"/>
                <w:szCs w:val="24"/>
                <w:vertAlign w:val="superscript"/>
              </w:rPr>
              <w:t>ab</w:t>
            </w:r>
            <w:r>
              <w:rPr>
                <w:sz w:val="24"/>
                <w:szCs w:val="24"/>
              </w:rPr>
              <w:t>±15.13</w:t>
            </w:r>
          </w:p>
        </w:tc>
      </w:tr>
      <w:tr w:rsidR="001C1D18" w14:paraId="08EBA250" w14:textId="77777777" w:rsidTr="00DD43B2">
        <w:trPr>
          <w:trHeight w:val="672"/>
          <w:jc w:val="center"/>
        </w:trPr>
        <w:tc>
          <w:tcPr>
            <w:tcW w:w="424" w:type="pct"/>
            <w:vAlign w:val="center"/>
          </w:tcPr>
          <w:p w14:paraId="4554F597" w14:textId="77777777" w:rsidR="001C1D18" w:rsidRDefault="00217595">
            <w:pPr>
              <w:spacing w:beforeLines="50" w:before="120" w:line="276" w:lineRule="auto"/>
              <w:jc w:val="center"/>
              <w:rPr>
                <w:sz w:val="24"/>
                <w:szCs w:val="24"/>
              </w:rPr>
            </w:pPr>
            <w:r>
              <w:rPr>
                <w:sz w:val="24"/>
                <w:szCs w:val="24"/>
              </w:rPr>
              <w:t>T33</w:t>
            </w:r>
          </w:p>
        </w:tc>
        <w:tc>
          <w:tcPr>
            <w:tcW w:w="668" w:type="pct"/>
            <w:vAlign w:val="center"/>
          </w:tcPr>
          <w:p w14:paraId="675E70C1" w14:textId="77777777" w:rsidR="001C1D18" w:rsidRDefault="00217595">
            <w:pPr>
              <w:spacing w:beforeLines="50" w:before="120" w:line="276" w:lineRule="auto"/>
              <w:jc w:val="center"/>
              <w:rPr>
                <w:sz w:val="24"/>
                <w:szCs w:val="24"/>
              </w:rPr>
            </w:pPr>
            <w:r>
              <w:rPr>
                <w:sz w:val="24"/>
                <w:szCs w:val="24"/>
              </w:rPr>
              <w:t>21.67</w:t>
            </w:r>
            <w:r>
              <w:rPr>
                <w:sz w:val="24"/>
                <w:szCs w:val="24"/>
                <w:vertAlign w:val="superscript"/>
              </w:rPr>
              <w:t>cd</w:t>
            </w:r>
            <w:r>
              <w:rPr>
                <w:sz w:val="24"/>
                <w:szCs w:val="24"/>
              </w:rPr>
              <w:t>±0.51</w:t>
            </w:r>
          </w:p>
        </w:tc>
        <w:tc>
          <w:tcPr>
            <w:tcW w:w="603" w:type="pct"/>
            <w:vAlign w:val="center"/>
          </w:tcPr>
          <w:p w14:paraId="2D188038" w14:textId="77777777" w:rsidR="001C1D18" w:rsidRDefault="00217595">
            <w:pPr>
              <w:spacing w:beforeLines="50" w:before="120" w:line="276" w:lineRule="auto"/>
              <w:jc w:val="center"/>
              <w:rPr>
                <w:sz w:val="24"/>
                <w:szCs w:val="24"/>
              </w:rPr>
            </w:pPr>
            <w:r>
              <w:rPr>
                <w:sz w:val="24"/>
                <w:szCs w:val="24"/>
              </w:rPr>
              <w:t>14.19</w:t>
            </w:r>
            <w:r>
              <w:rPr>
                <w:sz w:val="24"/>
                <w:szCs w:val="24"/>
                <w:vertAlign w:val="superscript"/>
              </w:rPr>
              <w:t>b</w:t>
            </w:r>
            <w:r>
              <w:rPr>
                <w:sz w:val="24"/>
                <w:szCs w:val="24"/>
              </w:rPr>
              <w:t>±0.00</w:t>
            </w:r>
          </w:p>
        </w:tc>
        <w:tc>
          <w:tcPr>
            <w:tcW w:w="605" w:type="pct"/>
            <w:vAlign w:val="center"/>
          </w:tcPr>
          <w:p w14:paraId="1FFBB199" w14:textId="77777777" w:rsidR="001C1D18" w:rsidRDefault="00217595">
            <w:pPr>
              <w:spacing w:beforeLines="50" w:before="120" w:line="276" w:lineRule="auto"/>
              <w:jc w:val="center"/>
              <w:rPr>
                <w:sz w:val="24"/>
                <w:szCs w:val="24"/>
              </w:rPr>
            </w:pPr>
            <w:r>
              <w:rPr>
                <w:sz w:val="24"/>
                <w:szCs w:val="24"/>
              </w:rPr>
              <w:t>4.37</w:t>
            </w:r>
            <w:r>
              <w:rPr>
                <w:sz w:val="24"/>
                <w:szCs w:val="24"/>
                <w:vertAlign w:val="superscript"/>
              </w:rPr>
              <w:t>cd</w:t>
            </w:r>
            <w:r>
              <w:rPr>
                <w:sz w:val="24"/>
                <w:szCs w:val="24"/>
              </w:rPr>
              <w:t>±0.16</w:t>
            </w:r>
          </w:p>
        </w:tc>
        <w:tc>
          <w:tcPr>
            <w:tcW w:w="582" w:type="pct"/>
            <w:vAlign w:val="center"/>
          </w:tcPr>
          <w:p w14:paraId="15D8F87A" w14:textId="77777777" w:rsidR="001C1D18" w:rsidRDefault="00217595">
            <w:pPr>
              <w:spacing w:beforeLines="50" w:before="120" w:line="276" w:lineRule="auto"/>
              <w:jc w:val="center"/>
              <w:rPr>
                <w:sz w:val="24"/>
                <w:szCs w:val="24"/>
              </w:rPr>
            </w:pPr>
            <w:r>
              <w:rPr>
                <w:sz w:val="24"/>
                <w:szCs w:val="24"/>
              </w:rPr>
              <w:t>2.07</w:t>
            </w:r>
            <w:r>
              <w:rPr>
                <w:sz w:val="24"/>
                <w:szCs w:val="24"/>
                <w:vertAlign w:val="superscript"/>
              </w:rPr>
              <w:t>cd</w:t>
            </w:r>
            <w:r>
              <w:rPr>
                <w:sz w:val="24"/>
                <w:szCs w:val="24"/>
              </w:rPr>
              <w:t>±0.39</w:t>
            </w:r>
          </w:p>
        </w:tc>
        <w:tc>
          <w:tcPr>
            <w:tcW w:w="582" w:type="pct"/>
            <w:vAlign w:val="center"/>
          </w:tcPr>
          <w:p w14:paraId="3FC11525" w14:textId="77777777" w:rsidR="001C1D18" w:rsidRDefault="00217595">
            <w:pPr>
              <w:spacing w:beforeLines="50" w:before="120" w:line="276" w:lineRule="auto"/>
              <w:jc w:val="center"/>
              <w:rPr>
                <w:sz w:val="24"/>
                <w:szCs w:val="24"/>
              </w:rPr>
            </w:pPr>
            <w:r>
              <w:rPr>
                <w:sz w:val="24"/>
                <w:szCs w:val="24"/>
              </w:rPr>
              <w:t>2.97</w:t>
            </w:r>
            <w:r>
              <w:rPr>
                <w:sz w:val="24"/>
                <w:szCs w:val="24"/>
                <w:vertAlign w:val="superscript"/>
              </w:rPr>
              <w:t>bc</w:t>
            </w:r>
            <w:r>
              <w:rPr>
                <w:sz w:val="24"/>
                <w:szCs w:val="24"/>
              </w:rPr>
              <w:t>±0.11</w:t>
            </w:r>
          </w:p>
        </w:tc>
        <w:tc>
          <w:tcPr>
            <w:tcW w:w="725" w:type="pct"/>
            <w:vAlign w:val="center"/>
          </w:tcPr>
          <w:p w14:paraId="6D550873" w14:textId="77777777" w:rsidR="001C1D18" w:rsidRDefault="00217595">
            <w:pPr>
              <w:spacing w:beforeLines="50" w:before="120" w:line="276" w:lineRule="auto"/>
              <w:jc w:val="center"/>
              <w:rPr>
                <w:sz w:val="24"/>
                <w:szCs w:val="24"/>
              </w:rPr>
            </w:pPr>
            <w:r>
              <w:rPr>
                <w:sz w:val="24"/>
                <w:szCs w:val="24"/>
              </w:rPr>
              <w:t>44.33</w:t>
            </w:r>
            <w:r>
              <w:rPr>
                <w:sz w:val="24"/>
                <w:szCs w:val="24"/>
                <w:vertAlign w:val="superscript"/>
              </w:rPr>
              <w:t>e</w:t>
            </w:r>
            <w:r>
              <w:rPr>
                <w:sz w:val="24"/>
                <w:szCs w:val="24"/>
              </w:rPr>
              <w:t>±13.77</w:t>
            </w:r>
          </w:p>
        </w:tc>
        <w:tc>
          <w:tcPr>
            <w:tcW w:w="811" w:type="pct"/>
            <w:vAlign w:val="center"/>
          </w:tcPr>
          <w:p w14:paraId="72322613" w14:textId="77777777" w:rsidR="001C1D18" w:rsidRDefault="00217595">
            <w:pPr>
              <w:spacing w:beforeLines="50" w:before="120" w:line="276" w:lineRule="auto"/>
              <w:jc w:val="center"/>
              <w:rPr>
                <w:sz w:val="24"/>
                <w:szCs w:val="24"/>
              </w:rPr>
            </w:pPr>
            <w:r>
              <w:rPr>
                <w:sz w:val="24"/>
                <w:szCs w:val="24"/>
              </w:rPr>
              <w:t>1144.31</w:t>
            </w:r>
            <w:r>
              <w:rPr>
                <w:sz w:val="24"/>
                <w:szCs w:val="24"/>
                <w:vertAlign w:val="superscript"/>
              </w:rPr>
              <w:t>b</w:t>
            </w:r>
            <w:r>
              <w:rPr>
                <w:sz w:val="24"/>
                <w:szCs w:val="24"/>
              </w:rPr>
              <w:t>±236.76</w:t>
            </w:r>
          </w:p>
        </w:tc>
      </w:tr>
      <w:tr w:rsidR="001C1D18" w14:paraId="639FFF23" w14:textId="77777777" w:rsidTr="00DD43B2">
        <w:trPr>
          <w:trHeight w:val="672"/>
          <w:jc w:val="center"/>
        </w:trPr>
        <w:tc>
          <w:tcPr>
            <w:tcW w:w="424" w:type="pct"/>
            <w:vAlign w:val="center"/>
          </w:tcPr>
          <w:p w14:paraId="52BE90D5" w14:textId="77777777" w:rsidR="001C1D18" w:rsidRDefault="00217595">
            <w:pPr>
              <w:spacing w:beforeLines="50" w:before="120" w:line="276" w:lineRule="auto"/>
              <w:jc w:val="center"/>
              <w:rPr>
                <w:sz w:val="24"/>
                <w:szCs w:val="24"/>
              </w:rPr>
            </w:pPr>
            <w:r>
              <w:rPr>
                <w:sz w:val="24"/>
                <w:szCs w:val="24"/>
              </w:rPr>
              <w:t>T55</w:t>
            </w:r>
          </w:p>
        </w:tc>
        <w:tc>
          <w:tcPr>
            <w:tcW w:w="668" w:type="pct"/>
            <w:vAlign w:val="center"/>
          </w:tcPr>
          <w:p w14:paraId="73C716F0" w14:textId="77777777" w:rsidR="001C1D18" w:rsidRDefault="00217595">
            <w:pPr>
              <w:spacing w:beforeLines="50" w:before="120" w:line="276" w:lineRule="auto"/>
              <w:jc w:val="center"/>
              <w:rPr>
                <w:sz w:val="24"/>
                <w:szCs w:val="24"/>
              </w:rPr>
            </w:pPr>
            <w:r>
              <w:rPr>
                <w:sz w:val="24"/>
                <w:szCs w:val="24"/>
              </w:rPr>
              <w:t>23.10</w:t>
            </w:r>
            <w:r>
              <w:rPr>
                <w:sz w:val="24"/>
                <w:szCs w:val="24"/>
                <w:vertAlign w:val="superscript"/>
              </w:rPr>
              <w:t>bcd</w:t>
            </w:r>
            <w:r>
              <w:rPr>
                <w:sz w:val="24"/>
                <w:szCs w:val="24"/>
              </w:rPr>
              <w:t>±0.16</w:t>
            </w:r>
          </w:p>
        </w:tc>
        <w:tc>
          <w:tcPr>
            <w:tcW w:w="603" w:type="pct"/>
            <w:vAlign w:val="center"/>
          </w:tcPr>
          <w:p w14:paraId="37C7F40B" w14:textId="77777777" w:rsidR="001C1D18" w:rsidRDefault="00217595">
            <w:pPr>
              <w:spacing w:beforeLines="50" w:before="120" w:line="276" w:lineRule="auto"/>
              <w:jc w:val="center"/>
              <w:rPr>
                <w:sz w:val="24"/>
                <w:szCs w:val="24"/>
              </w:rPr>
            </w:pPr>
            <w:r>
              <w:rPr>
                <w:sz w:val="24"/>
                <w:szCs w:val="24"/>
              </w:rPr>
              <w:t>19.69</w:t>
            </w:r>
            <w:r>
              <w:rPr>
                <w:sz w:val="24"/>
                <w:szCs w:val="24"/>
                <w:vertAlign w:val="superscript"/>
              </w:rPr>
              <w:t>a</w:t>
            </w:r>
            <w:r>
              <w:rPr>
                <w:sz w:val="24"/>
                <w:szCs w:val="24"/>
              </w:rPr>
              <w:t>±0.00</w:t>
            </w:r>
          </w:p>
        </w:tc>
        <w:tc>
          <w:tcPr>
            <w:tcW w:w="605" w:type="pct"/>
            <w:vAlign w:val="center"/>
          </w:tcPr>
          <w:p w14:paraId="0CEA1168" w14:textId="77777777" w:rsidR="001C1D18" w:rsidRDefault="00217595">
            <w:pPr>
              <w:spacing w:beforeLines="50" w:before="120" w:line="276" w:lineRule="auto"/>
              <w:jc w:val="center"/>
              <w:rPr>
                <w:sz w:val="24"/>
                <w:szCs w:val="24"/>
              </w:rPr>
            </w:pPr>
            <w:r>
              <w:rPr>
                <w:sz w:val="24"/>
                <w:szCs w:val="24"/>
              </w:rPr>
              <w:t>4.08</w:t>
            </w:r>
            <w:r>
              <w:rPr>
                <w:sz w:val="24"/>
                <w:szCs w:val="24"/>
                <w:vertAlign w:val="superscript"/>
              </w:rPr>
              <w:t>de</w:t>
            </w:r>
            <w:r>
              <w:rPr>
                <w:sz w:val="24"/>
                <w:szCs w:val="24"/>
              </w:rPr>
              <w:t>±0.35</w:t>
            </w:r>
          </w:p>
        </w:tc>
        <w:tc>
          <w:tcPr>
            <w:tcW w:w="582" w:type="pct"/>
            <w:vAlign w:val="center"/>
          </w:tcPr>
          <w:p w14:paraId="0AAA7A3B" w14:textId="77777777" w:rsidR="001C1D18" w:rsidRDefault="00217595">
            <w:pPr>
              <w:spacing w:beforeLines="50" w:before="120" w:line="276" w:lineRule="auto"/>
              <w:jc w:val="center"/>
              <w:rPr>
                <w:sz w:val="24"/>
                <w:szCs w:val="24"/>
              </w:rPr>
            </w:pPr>
            <w:r>
              <w:rPr>
                <w:sz w:val="24"/>
                <w:szCs w:val="24"/>
              </w:rPr>
              <w:t>2.90</w:t>
            </w:r>
            <w:r>
              <w:rPr>
                <w:sz w:val="24"/>
                <w:szCs w:val="24"/>
                <w:vertAlign w:val="superscript"/>
              </w:rPr>
              <w:t>ab</w:t>
            </w:r>
            <w:r>
              <w:rPr>
                <w:sz w:val="24"/>
                <w:szCs w:val="24"/>
              </w:rPr>
              <w:t>±0.11</w:t>
            </w:r>
          </w:p>
        </w:tc>
        <w:tc>
          <w:tcPr>
            <w:tcW w:w="582" w:type="pct"/>
            <w:vAlign w:val="center"/>
          </w:tcPr>
          <w:p w14:paraId="491FECCB" w14:textId="77777777" w:rsidR="001C1D18" w:rsidRDefault="00217595">
            <w:pPr>
              <w:spacing w:beforeLines="50" w:before="120" w:line="276" w:lineRule="auto"/>
              <w:jc w:val="center"/>
              <w:rPr>
                <w:sz w:val="24"/>
                <w:szCs w:val="24"/>
              </w:rPr>
            </w:pPr>
            <w:r>
              <w:rPr>
                <w:sz w:val="24"/>
                <w:szCs w:val="24"/>
              </w:rPr>
              <w:t>2.72</w:t>
            </w:r>
            <w:r>
              <w:rPr>
                <w:sz w:val="24"/>
                <w:szCs w:val="24"/>
                <w:vertAlign w:val="superscript"/>
              </w:rPr>
              <w:t>cd</w:t>
            </w:r>
            <w:r>
              <w:rPr>
                <w:sz w:val="24"/>
                <w:szCs w:val="24"/>
              </w:rPr>
              <w:t>±0.59</w:t>
            </w:r>
          </w:p>
        </w:tc>
        <w:tc>
          <w:tcPr>
            <w:tcW w:w="725" w:type="pct"/>
            <w:vAlign w:val="center"/>
          </w:tcPr>
          <w:p w14:paraId="68CC0CE6" w14:textId="77777777" w:rsidR="001C1D18" w:rsidRDefault="00217595">
            <w:pPr>
              <w:spacing w:beforeLines="50" w:before="120" w:line="276" w:lineRule="auto"/>
              <w:jc w:val="center"/>
              <w:rPr>
                <w:sz w:val="24"/>
                <w:szCs w:val="24"/>
              </w:rPr>
            </w:pPr>
            <w:r>
              <w:rPr>
                <w:sz w:val="24"/>
                <w:szCs w:val="24"/>
              </w:rPr>
              <w:t>47.51</w:t>
            </w:r>
            <w:r>
              <w:rPr>
                <w:sz w:val="24"/>
                <w:szCs w:val="24"/>
                <w:vertAlign w:val="superscript"/>
              </w:rPr>
              <w:t>de</w:t>
            </w:r>
            <w:r>
              <w:rPr>
                <w:sz w:val="24"/>
                <w:szCs w:val="24"/>
              </w:rPr>
              <w:t>±0.51</w:t>
            </w:r>
          </w:p>
        </w:tc>
        <w:tc>
          <w:tcPr>
            <w:tcW w:w="811" w:type="pct"/>
            <w:vAlign w:val="center"/>
          </w:tcPr>
          <w:p w14:paraId="7717B5A2" w14:textId="77777777" w:rsidR="001C1D18" w:rsidRDefault="00217595">
            <w:pPr>
              <w:spacing w:beforeLines="50" w:before="120" w:line="276" w:lineRule="auto"/>
              <w:jc w:val="center"/>
              <w:rPr>
                <w:sz w:val="24"/>
                <w:szCs w:val="24"/>
              </w:rPr>
            </w:pPr>
            <w:r>
              <w:rPr>
                <w:sz w:val="24"/>
                <w:szCs w:val="24"/>
              </w:rPr>
              <w:t>1278.91</w:t>
            </w:r>
            <w:r>
              <w:rPr>
                <w:sz w:val="24"/>
                <w:szCs w:val="24"/>
                <w:vertAlign w:val="superscript"/>
              </w:rPr>
              <w:t>ab</w:t>
            </w:r>
            <w:r>
              <w:rPr>
                <w:sz w:val="24"/>
                <w:szCs w:val="24"/>
              </w:rPr>
              <w:t>±21.84</w:t>
            </w:r>
          </w:p>
        </w:tc>
      </w:tr>
      <w:tr w:rsidR="001C1D18" w14:paraId="0A855AB9" w14:textId="77777777" w:rsidTr="00DD43B2">
        <w:trPr>
          <w:trHeight w:val="672"/>
          <w:jc w:val="center"/>
        </w:trPr>
        <w:tc>
          <w:tcPr>
            <w:tcW w:w="424" w:type="pct"/>
            <w:vAlign w:val="center"/>
          </w:tcPr>
          <w:p w14:paraId="0C0BC227" w14:textId="77777777" w:rsidR="001C1D18" w:rsidRDefault="00217595">
            <w:pPr>
              <w:spacing w:beforeLines="50" w:before="120" w:line="276" w:lineRule="auto"/>
              <w:jc w:val="center"/>
              <w:rPr>
                <w:sz w:val="24"/>
                <w:szCs w:val="24"/>
              </w:rPr>
            </w:pPr>
            <w:r>
              <w:rPr>
                <w:sz w:val="24"/>
                <w:szCs w:val="24"/>
              </w:rPr>
              <w:t>T77</w:t>
            </w:r>
          </w:p>
        </w:tc>
        <w:tc>
          <w:tcPr>
            <w:tcW w:w="668" w:type="pct"/>
            <w:vAlign w:val="center"/>
          </w:tcPr>
          <w:p w14:paraId="3A23FCE1" w14:textId="77777777" w:rsidR="001C1D18" w:rsidRDefault="00217595">
            <w:pPr>
              <w:spacing w:beforeLines="50" w:before="120" w:line="276" w:lineRule="auto"/>
              <w:jc w:val="center"/>
              <w:rPr>
                <w:sz w:val="24"/>
                <w:szCs w:val="24"/>
              </w:rPr>
            </w:pPr>
            <w:r>
              <w:rPr>
                <w:sz w:val="24"/>
                <w:szCs w:val="24"/>
              </w:rPr>
              <w:t>21.85</w:t>
            </w:r>
            <w:r>
              <w:rPr>
                <w:sz w:val="24"/>
                <w:szCs w:val="24"/>
                <w:vertAlign w:val="superscript"/>
              </w:rPr>
              <w:t>cde</w:t>
            </w:r>
            <w:r>
              <w:rPr>
                <w:sz w:val="24"/>
                <w:szCs w:val="24"/>
              </w:rPr>
              <w:t>±0.57</w:t>
            </w:r>
          </w:p>
        </w:tc>
        <w:tc>
          <w:tcPr>
            <w:tcW w:w="603" w:type="pct"/>
            <w:vAlign w:val="center"/>
          </w:tcPr>
          <w:p w14:paraId="11A90BBF" w14:textId="77777777" w:rsidR="001C1D18" w:rsidRDefault="00217595">
            <w:pPr>
              <w:spacing w:beforeLines="50" w:before="120" w:line="276" w:lineRule="auto"/>
              <w:jc w:val="center"/>
              <w:rPr>
                <w:sz w:val="24"/>
                <w:szCs w:val="24"/>
              </w:rPr>
            </w:pPr>
            <w:r>
              <w:rPr>
                <w:sz w:val="24"/>
                <w:szCs w:val="24"/>
              </w:rPr>
              <w:t>9.44</w:t>
            </w:r>
            <w:r>
              <w:rPr>
                <w:sz w:val="24"/>
                <w:szCs w:val="24"/>
                <w:vertAlign w:val="superscript"/>
              </w:rPr>
              <w:t>i</w:t>
            </w:r>
            <w:r>
              <w:rPr>
                <w:sz w:val="24"/>
                <w:szCs w:val="24"/>
              </w:rPr>
              <w:t>±0.00</w:t>
            </w:r>
          </w:p>
        </w:tc>
        <w:tc>
          <w:tcPr>
            <w:tcW w:w="605" w:type="pct"/>
            <w:vAlign w:val="center"/>
          </w:tcPr>
          <w:p w14:paraId="1D346738" w14:textId="77777777" w:rsidR="001C1D18" w:rsidRDefault="00217595">
            <w:pPr>
              <w:spacing w:beforeLines="50" w:before="120" w:line="276" w:lineRule="auto"/>
              <w:jc w:val="center"/>
              <w:rPr>
                <w:sz w:val="24"/>
                <w:szCs w:val="24"/>
              </w:rPr>
            </w:pPr>
            <w:r>
              <w:rPr>
                <w:sz w:val="24"/>
                <w:szCs w:val="24"/>
              </w:rPr>
              <w:t>4.14</w:t>
            </w:r>
            <w:r>
              <w:rPr>
                <w:sz w:val="24"/>
                <w:szCs w:val="24"/>
                <w:vertAlign w:val="superscript"/>
              </w:rPr>
              <w:t>de</w:t>
            </w:r>
            <w:r>
              <w:rPr>
                <w:sz w:val="24"/>
                <w:szCs w:val="24"/>
              </w:rPr>
              <w:t>±0.04</w:t>
            </w:r>
          </w:p>
        </w:tc>
        <w:tc>
          <w:tcPr>
            <w:tcW w:w="582" w:type="pct"/>
            <w:vAlign w:val="center"/>
          </w:tcPr>
          <w:p w14:paraId="7E689818" w14:textId="77777777" w:rsidR="001C1D18" w:rsidRDefault="00217595">
            <w:pPr>
              <w:spacing w:beforeLines="50" w:before="120" w:line="276" w:lineRule="auto"/>
              <w:jc w:val="center"/>
              <w:rPr>
                <w:sz w:val="24"/>
                <w:szCs w:val="24"/>
              </w:rPr>
            </w:pPr>
            <w:r>
              <w:rPr>
                <w:sz w:val="24"/>
                <w:szCs w:val="24"/>
              </w:rPr>
              <w:t>1.90</w:t>
            </w:r>
            <w:r>
              <w:rPr>
                <w:sz w:val="24"/>
                <w:szCs w:val="24"/>
                <w:vertAlign w:val="superscript"/>
              </w:rPr>
              <w:t>cd</w:t>
            </w:r>
            <w:r>
              <w:rPr>
                <w:sz w:val="24"/>
                <w:szCs w:val="24"/>
              </w:rPr>
              <w:t>±0.25</w:t>
            </w:r>
          </w:p>
        </w:tc>
        <w:tc>
          <w:tcPr>
            <w:tcW w:w="582" w:type="pct"/>
            <w:vAlign w:val="center"/>
          </w:tcPr>
          <w:p w14:paraId="0D9FDF3C" w14:textId="77777777" w:rsidR="001C1D18" w:rsidRDefault="00217595">
            <w:pPr>
              <w:spacing w:beforeLines="50" w:before="120" w:line="276" w:lineRule="auto"/>
              <w:jc w:val="center"/>
              <w:rPr>
                <w:sz w:val="24"/>
                <w:szCs w:val="24"/>
              </w:rPr>
            </w:pPr>
            <w:r>
              <w:rPr>
                <w:sz w:val="24"/>
                <w:szCs w:val="24"/>
              </w:rPr>
              <w:t>3.87</w:t>
            </w:r>
            <w:r>
              <w:rPr>
                <w:sz w:val="24"/>
                <w:szCs w:val="24"/>
                <w:vertAlign w:val="superscript"/>
              </w:rPr>
              <w:t>a</w:t>
            </w:r>
            <w:r>
              <w:rPr>
                <w:sz w:val="24"/>
                <w:szCs w:val="24"/>
              </w:rPr>
              <w:t>±0.18</w:t>
            </w:r>
          </w:p>
        </w:tc>
        <w:tc>
          <w:tcPr>
            <w:tcW w:w="725" w:type="pct"/>
            <w:vAlign w:val="center"/>
          </w:tcPr>
          <w:p w14:paraId="4943C6DB" w14:textId="77777777" w:rsidR="001C1D18" w:rsidRDefault="00217595">
            <w:pPr>
              <w:spacing w:beforeLines="50" w:before="120" w:line="276" w:lineRule="auto"/>
              <w:jc w:val="center"/>
              <w:rPr>
                <w:sz w:val="24"/>
                <w:szCs w:val="24"/>
              </w:rPr>
            </w:pPr>
            <w:r>
              <w:rPr>
                <w:sz w:val="24"/>
                <w:szCs w:val="24"/>
              </w:rPr>
              <w:t>58.67</w:t>
            </w:r>
            <w:r>
              <w:rPr>
                <w:sz w:val="24"/>
                <w:szCs w:val="24"/>
                <w:vertAlign w:val="superscript"/>
              </w:rPr>
              <w:t>abc</w:t>
            </w:r>
            <w:r>
              <w:rPr>
                <w:sz w:val="24"/>
                <w:szCs w:val="24"/>
              </w:rPr>
              <w:t>±0.11</w:t>
            </w:r>
          </w:p>
        </w:tc>
        <w:tc>
          <w:tcPr>
            <w:tcW w:w="811" w:type="pct"/>
            <w:vAlign w:val="center"/>
          </w:tcPr>
          <w:p w14:paraId="48309307" w14:textId="77777777" w:rsidR="001C1D18" w:rsidRDefault="00217595">
            <w:pPr>
              <w:spacing w:beforeLines="50" w:before="120" w:line="276" w:lineRule="auto"/>
              <w:jc w:val="center"/>
              <w:rPr>
                <w:sz w:val="24"/>
                <w:szCs w:val="24"/>
              </w:rPr>
            </w:pPr>
            <w:r>
              <w:rPr>
                <w:sz w:val="24"/>
                <w:szCs w:val="24"/>
              </w:rPr>
              <w:t>1298.65</w:t>
            </w:r>
            <w:r>
              <w:rPr>
                <w:sz w:val="24"/>
                <w:szCs w:val="24"/>
                <w:vertAlign w:val="superscript"/>
              </w:rPr>
              <w:t>ab</w:t>
            </w:r>
            <w:r>
              <w:rPr>
                <w:sz w:val="24"/>
                <w:szCs w:val="24"/>
              </w:rPr>
              <w:t>±3.10</w:t>
            </w:r>
          </w:p>
        </w:tc>
      </w:tr>
      <w:tr w:rsidR="001C1D18" w14:paraId="53227695" w14:textId="77777777" w:rsidTr="00DD43B2">
        <w:trPr>
          <w:trHeight w:val="672"/>
          <w:jc w:val="center"/>
        </w:trPr>
        <w:tc>
          <w:tcPr>
            <w:tcW w:w="424" w:type="pct"/>
            <w:vAlign w:val="center"/>
          </w:tcPr>
          <w:p w14:paraId="38F62341" w14:textId="77777777" w:rsidR="001C1D18" w:rsidRDefault="00217595">
            <w:pPr>
              <w:spacing w:beforeLines="50" w:before="120" w:line="276" w:lineRule="auto"/>
              <w:jc w:val="center"/>
              <w:rPr>
                <w:sz w:val="24"/>
                <w:szCs w:val="24"/>
              </w:rPr>
            </w:pPr>
            <w:r>
              <w:rPr>
                <w:sz w:val="24"/>
                <w:szCs w:val="24"/>
              </w:rPr>
              <w:t>GT3</w:t>
            </w:r>
          </w:p>
        </w:tc>
        <w:tc>
          <w:tcPr>
            <w:tcW w:w="668" w:type="pct"/>
            <w:vAlign w:val="center"/>
          </w:tcPr>
          <w:p w14:paraId="55B3495B" w14:textId="77777777" w:rsidR="001C1D18" w:rsidRDefault="00217595">
            <w:pPr>
              <w:spacing w:beforeLines="50" w:before="120" w:line="276" w:lineRule="auto"/>
              <w:jc w:val="center"/>
              <w:rPr>
                <w:sz w:val="24"/>
                <w:szCs w:val="24"/>
              </w:rPr>
            </w:pPr>
            <w:r>
              <w:rPr>
                <w:sz w:val="24"/>
                <w:szCs w:val="24"/>
              </w:rPr>
              <w:t>20.53</w:t>
            </w:r>
            <w:r>
              <w:rPr>
                <w:sz w:val="24"/>
                <w:szCs w:val="24"/>
                <w:vertAlign w:val="superscript"/>
              </w:rPr>
              <w:t>de</w:t>
            </w:r>
            <w:r>
              <w:rPr>
                <w:sz w:val="24"/>
                <w:szCs w:val="24"/>
              </w:rPr>
              <w:t>±0.19</w:t>
            </w:r>
          </w:p>
        </w:tc>
        <w:tc>
          <w:tcPr>
            <w:tcW w:w="603" w:type="pct"/>
            <w:vAlign w:val="center"/>
          </w:tcPr>
          <w:p w14:paraId="5A12129B" w14:textId="77777777" w:rsidR="001C1D18" w:rsidRDefault="00217595">
            <w:pPr>
              <w:spacing w:beforeLines="50" w:before="120" w:line="276" w:lineRule="auto"/>
              <w:jc w:val="center"/>
              <w:rPr>
                <w:sz w:val="24"/>
                <w:szCs w:val="24"/>
              </w:rPr>
            </w:pPr>
            <w:r>
              <w:rPr>
                <w:sz w:val="24"/>
                <w:szCs w:val="24"/>
              </w:rPr>
              <w:t>5.50</w:t>
            </w:r>
            <w:r>
              <w:rPr>
                <w:sz w:val="24"/>
                <w:szCs w:val="24"/>
                <w:vertAlign w:val="superscript"/>
              </w:rPr>
              <w:t>j</w:t>
            </w:r>
            <w:r>
              <w:rPr>
                <w:sz w:val="24"/>
                <w:szCs w:val="24"/>
              </w:rPr>
              <w:t>±0.00</w:t>
            </w:r>
          </w:p>
        </w:tc>
        <w:tc>
          <w:tcPr>
            <w:tcW w:w="605" w:type="pct"/>
            <w:vAlign w:val="center"/>
          </w:tcPr>
          <w:p w14:paraId="0260A964" w14:textId="77777777" w:rsidR="001C1D18" w:rsidRDefault="00217595">
            <w:pPr>
              <w:spacing w:beforeLines="50" w:before="120" w:line="276" w:lineRule="auto"/>
              <w:jc w:val="center"/>
              <w:rPr>
                <w:sz w:val="24"/>
                <w:szCs w:val="24"/>
              </w:rPr>
            </w:pPr>
            <w:r>
              <w:rPr>
                <w:sz w:val="24"/>
                <w:szCs w:val="24"/>
              </w:rPr>
              <w:t>3.65</w:t>
            </w:r>
            <w:r>
              <w:rPr>
                <w:sz w:val="24"/>
                <w:szCs w:val="24"/>
                <w:vertAlign w:val="superscript"/>
              </w:rPr>
              <w:t>ef</w:t>
            </w:r>
            <w:r>
              <w:rPr>
                <w:sz w:val="24"/>
                <w:szCs w:val="24"/>
              </w:rPr>
              <w:t>±0.04</w:t>
            </w:r>
          </w:p>
        </w:tc>
        <w:tc>
          <w:tcPr>
            <w:tcW w:w="582" w:type="pct"/>
            <w:vAlign w:val="center"/>
          </w:tcPr>
          <w:p w14:paraId="514F1614" w14:textId="77777777" w:rsidR="001C1D18" w:rsidRDefault="00217595">
            <w:pPr>
              <w:spacing w:beforeLines="50" w:before="120" w:line="276" w:lineRule="auto"/>
              <w:jc w:val="center"/>
              <w:rPr>
                <w:sz w:val="24"/>
                <w:szCs w:val="24"/>
              </w:rPr>
            </w:pPr>
            <w:r>
              <w:rPr>
                <w:sz w:val="24"/>
                <w:szCs w:val="24"/>
              </w:rPr>
              <w:t>2.02</w:t>
            </w:r>
            <w:r>
              <w:rPr>
                <w:sz w:val="24"/>
                <w:szCs w:val="24"/>
                <w:vertAlign w:val="superscript"/>
              </w:rPr>
              <w:t>cd</w:t>
            </w:r>
            <w:r>
              <w:rPr>
                <w:sz w:val="24"/>
                <w:szCs w:val="24"/>
              </w:rPr>
              <w:t>±0.35</w:t>
            </w:r>
          </w:p>
        </w:tc>
        <w:tc>
          <w:tcPr>
            <w:tcW w:w="582" w:type="pct"/>
            <w:vAlign w:val="center"/>
          </w:tcPr>
          <w:p w14:paraId="620ED24F" w14:textId="77777777" w:rsidR="001C1D18" w:rsidRDefault="00217595">
            <w:pPr>
              <w:spacing w:beforeLines="50" w:before="120" w:line="276" w:lineRule="auto"/>
              <w:jc w:val="center"/>
              <w:rPr>
                <w:sz w:val="24"/>
                <w:szCs w:val="24"/>
              </w:rPr>
            </w:pPr>
            <w:r>
              <w:rPr>
                <w:sz w:val="24"/>
                <w:szCs w:val="24"/>
              </w:rPr>
              <w:t>2.72</w:t>
            </w:r>
            <w:r>
              <w:rPr>
                <w:sz w:val="24"/>
                <w:szCs w:val="24"/>
                <w:vertAlign w:val="superscript"/>
              </w:rPr>
              <w:t>cd</w:t>
            </w:r>
            <w:r>
              <w:rPr>
                <w:sz w:val="24"/>
                <w:szCs w:val="24"/>
              </w:rPr>
              <w:t>±0.21</w:t>
            </w:r>
          </w:p>
        </w:tc>
        <w:tc>
          <w:tcPr>
            <w:tcW w:w="725" w:type="pct"/>
            <w:vAlign w:val="center"/>
          </w:tcPr>
          <w:p w14:paraId="6DA717C2" w14:textId="77777777" w:rsidR="001C1D18" w:rsidRDefault="00217595">
            <w:pPr>
              <w:spacing w:beforeLines="50" w:before="120" w:line="276" w:lineRule="auto"/>
              <w:jc w:val="center"/>
              <w:rPr>
                <w:sz w:val="24"/>
                <w:szCs w:val="24"/>
              </w:rPr>
            </w:pPr>
            <w:r>
              <w:rPr>
                <w:sz w:val="24"/>
                <w:szCs w:val="24"/>
              </w:rPr>
              <w:t>65.59</w:t>
            </w:r>
            <w:r>
              <w:rPr>
                <w:sz w:val="24"/>
                <w:szCs w:val="24"/>
                <w:vertAlign w:val="superscript"/>
              </w:rPr>
              <w:t>a</w:t>
            </w:r>
            <w:r>
              <w:rPr>
                <w:sz w:val="24"/>
                <w:szCs w:val="24"/>
              </w:rPr>
              <w:t>±0.01</w:t>
            </w:r>
          </w:p>
        </w:tc>
        <w:tc>
          <w:tcPr>
            <w:tcW w:w="811" w:type="pct"/>
            <w:vAlign w:val="center"/>
          </w:tcPr>
          <w:p w14:paraId="3E475F5E" w14:textId="77777777" w:rsidR="001C1D18" w:rsidRDefault="00217595">
            <w:pPr>
              <w:spacing w:beforeLines="50" w:before="120" w:line="276" w:lineRule="auto"/>
              <w:jc w:val="center"/>
              <w:rPr>
                <w:sz w:val="24"/>
                <w:szCs w:val="24"/>
              </w:rPr>
            </w:pPr>
            <w:r>
              <w:rPr>
                <w:sz w:val="24"/>
                <w:szCs w:val="24"/>
              </w:rPr>
              <w:t>1327.84</w:t>
            </w:r>
            <w:r>
              <w:rPr>
                <w:sz w:val="24"/>
                <w:szCs w:val="24"/>
                <w:vertAlign w:val="superscript"/>
              </w:rPr>
              <w:t>ab</w:t>
            </w:r>
            <w:r>
              <w:rPr>
                <w:sz w:val="24"/>
                <w:szCs w:val="24"/>
              </w:rPr>
              <w:t>±1.84</w:t>
            </w:r>
          </w:p>
        </w:tc>
      </w:tr>
      <w:tr w:rsidR="001C1D18" w14:paraId="3A870C2B" w14:textId="77777777" w:rsidTr="00DD43B2">
        <w:trPr>
          <w:trHeight w:val="672"/>
          <w:jc w:val="center"/>
        </w:trPr>
        <w:tc>
          <w:tcPr>
            <w:tcW w:w="424" w:type="pct"/>
            <w:vAlign w:val="center"/>
          </w:tcPr>
          <w:p w14:paraId="6C2C1F5F" w14:textId="77777777" w:rsidR="001C1D18" w:rsidRDefault="00217595">
            <w:pPr>
              <w:spacing w:beforeLines="50" w:before="120" w:line="276" w:lineRule="auto"/>
              <w:jc w:val="center"/>
              <w:rPr>
                <w:sz w:val="24"/>
                <w:szCs w:val="24"/>
              </w:rPr>
            </w:pPr>
            <w:r>
              <w:rPr>
                <w:sz w:val="24"/>
                <w:szCs w:val="24"/>
              </w:rPr>
              <w:t>GT5</w:t>
            </w:r>
          </w:p>
        </w:tc>
        <w:tc>
          <w:tcPr>
            <w:tcW w:w="668" w:type="pct"/>
            <w:vAlign w:val="center"/>
          </w:tcPr>
          <w:p w14:paraId="73BC7944" w14:textId="77777777" w:rsidR="001C1D18" w:rsidRDefault="00217595">
            <w:pPr>
              <w:spacing w:beforeLines="50" w:before="120" w:line="276" w:lineRule="auto"/>
              <w:jc w:val="center"/>
              <w:rPr>
                <w:sz w:val="24"/>
                <w:szCs w:val="24"/>
              </w:rPr>
            </w:pPr>
            <w:r>
              <w:rPr>
                <w:sz w:val="24"/>
                <w:szCs w:val="24"/>
              </w:rPr>
              <w:t>21.29</w:t>
            </w:r>
            <w:r>
              <w:rPr>
                <w:sz w:val="24"/>
                <w:szCs w:val="24"/>
                <w:vertAlign w:val="superscript"/>
              </w:rPr>
              <w:t>cde</w:t>
            </w:r>
            <w:r>
              <w:rPr>
                <w:sz w:val="24"/>
                <w:szCs w:val="24"/>
              </w:rPr>
              <w:t>±0.14</w:t>
            </w:r>
          </w:p>
        </w:tc>
        <w:tc>
          <w:tcPr>
            <w:tcW w:w="603" w:type="pct"/>
            <w:vAlign w:val="center"/>
          </w:tcPr>
          <w:p w14:paraId="20852C5A" w14:textId="77777777" w:rsidR="001C1D18" w:rsidRDefault="00217595">
            <w:pPr>
              <w:spacing w:beforeLines="50" w:before="120" w:line="276" w:lineRule="auto"/>
              <w:jc w:val="center"/>
              <w:rPr>
                <w:sz w:val="24"/>
                <w:szCs w:val="24"/>
              </w:rPr>
            </w:pPr>
            <w:r>
              <w:rPr>
                <w:sz w:val="24"/>
                <w:szCs w:val="24"/>
              </w:rPr>
              <w:t>11.81</w:t>
            </w:r>
            <w:r>
              <w:rPr>
                <w:sz w:val="24"/>
                <w:szCs w:val="24"/>
                <w:vertAlign w:val="superscript"/>
              </w:rPr>
              <w:t>e</w:t>
            </w:r>
            <w:r>
              <w:rPr>
                <w:sz w:val="24"/>
                <w:szCs w:val="24"/>
              </w:rPr>
              <w:t>±0.00</w:t>
            </w:r>
          </w:p>
        </w:tc>
        <w:tc>
          <w:tcPr>
            <w:tcW w:w="605" w:type="pct"/>
            <w:vAlign w:val="center"/>
          </w:tcPr>
          <w:p w14:paraId="30033BE8" w14:textId="77777777" w:rsidR="001C1D18" w:rsidRDefault="00217595">
            <w:pPr>
              <w:spacing w:beforeLines="50" w:before="120" w:line="276" w:lineRule="auto"/>
              <w:jc w:val="center"/>
              <w:rPr>
                <w:sz w:val="24"/>
                <w:szCs w:val="24"/>
              </w:rPr>
            </w:pPr>
            <w:r>
              <w:rPr>
                <w:sz w:val="24"/>
                <w:szCs w:val="24"/>
              </w:rPr>
              <w:t>3.67</w:t>
            </w:r>
            <w:r>
              <w:rPr>
                <w:sz w:val="24"/>
                <w:szCs w:val="24"/>
                <w:vertAlign w:val="superscript"/>
              </w:rPr>
              <w:t>def</w:t>
            </w:r>
            <w:r>
              <w:rPr>
                <w:sz w:val="24"/>
                <w:szCs w:val="24"/>
              </w:rPr>
              <w:t>±0.07</w:t>
            </w:r>
          </w:p>
        </w:tc>
        <w:tc>
          <w:tcPr>
            <w:tcW w:w="582" w:type="pct"/>
            <w:vAlign w:val="center"/>
          </w:tcPr>
          <w:p w14:paraId="071E0A80" w14:textId="77777777" w:rsidR="001C1D18" w:rsidRDefault="00217595">
            <w:pPr>
              <w:spacing w:beforeLines="50" w:before="120" w:line="276" w:lineRule="auto"/>
              <w:jc w:val="center"/>
              <w:rPr>
                <w:sz w:val="24"/>
                <w:szCs w:val="24"/>
              </w:rPr>
            </w:pPr>
            <w:r>
              <w:rPr>
                <w:sz w:val="24"/>
                <w:szCs w:val="24"/>
              </w:rPr>
              <w:t>2.37</w:t>
            </w:r>
            <w:r>
              <w:rPr>
                <w:sz w:val="24"/>
                <w:szCs w:val="24"/>
                <w:vertAlign w:val="superscript"/>
              </w:rPr>
              <w:t>bc</w:t>
            </w:r>
            <w:r>
              <w:rPr>
                <w:sz w:val="24"/>
                <w:szCs w:val="24"/>
              </w:rPr>
              <w:t>±0.08</w:t>
            </w:r>
          </w:p>
        </w:tc>
        <w:tc>
          <w:tcPr>
            <w:tcW w:w="582" w:type="pct"/>
            <w:vAlign w:val="center"/>
          </w:tcPr>
          <w:p w14:paraId="26859476" w14:textId="77777777" w:rsidR="001C1D18" w:rsidRDefault="00217595">
            <w:pPr>
              <w:spacing w:beforeLines="50" w:before="120" w:line="276" w:lineRule="auto"/>
              <w:jc w:val="center"/>
              <w:rPr>
                <w:sz w:val="24"/>
                <w:szCs w:val="24"/>
              </w:rPr>
            </w:pPr>
            <w:r>
              <w:rPr>
                <w:sz w:val="24"/>
                <w:szCs w:val="24"/>
              </w:rPr>
              <w:t>2.42</w:t>
            </w:r>
            <w:r>
              <w:rPr>
                <w:sz w:val="24"/>
                <w:szCs w:val="24"/>
                <w:vertAlign w:val="superscript"/>
              </w:rPr>
              <w:t>cd</w:t>
            </w:r>
            <w:r>
              <w:rPr>
                <w:sz w:val="24"/>
                <w:szCs w:val="24"/>
              </w:rPr>
              <w:t>±0.53</w:t>
            </w:r>
          </w:p>
        </w:tc>
        <w:tc>
          <w:tcPr>
            <w:tcW w:w="725" w:type="pct"/>
            <w:vAlign w:val="center"/>
          </w:tcPr>
          <w:p w14:paraId="6D9D430A" w14:textId="77777777" w:rsidR="001C1D18" w:rsidRDefault="00217595">
            <w:pPr>
              <w:spacing w:beforeLines="50" w:before="120" w:line="276" w:lineRule="auto"/>
              <w:jc w:val="center"/>
              <w:rPr>
                <w:sz w:val="24"/>
                <w:szCs w:val="24"/>
              </w:rPr>
            </w:pPr>
            <w:r>
              <w:rPr>
                <w:sz w:val="24"/>
                <w:szCs w:val="24"/>
              </w:rPr>
              <w:t>57.93</w:t>
            </w:r>
            <w:r>
              <w:rPr>
                <w:sz w:val="24"/>
                <w:szCs w:val="24"/>
                <w:vertAlign w:val="superscript"/>
              </w:rPr>
              <w:t>abcd</w:t>
            </w:r>
            <w:r>
              <w:rPr>
                <w:sz w:val="24"/>
                <w:szCs w:val="24"/>
              </w:rPr>
              <w:t>±0.08</w:t>
            </w:r>
          </w:p>
        </w:tc>
        <w:tc>
          <w:tcPr>
            <w:tcW w:w="811" w:type="pct"/>
            <w:vAlign w:val="center"/>
          </w:tcPr>
          <w:p w14:paraId="4521BE1C" w14:textId="77777777" w:rsidR="001C1D18" w:rsidRDefault="00217595">
            <w:pPr>
              <w:spacing w:beforeLines="50" w:before="120" w:line="276" w:lineRule="auto"/>
              <w:jc w:val="center"/>
              <w:rPr>
                <w:sz w:val="24"/>
                <w:szCs w:val="24"/>
              </w:rPr>
            </w:pPr>
            <w:r>
              <w:rPr>
                <w:sz w:val="24"/>
                <w:szCs w:val="24"/>
              </w:rPr>
              <w:t>1305.91</w:t>
            </w:r>
            <w:r>
              <w:rPr>
                <w:sz w:val="24"/>
                <w:szCs w:val="24"/>
                <w:vertAlign w:val="superscript"/>
              </w:rPr>
              <w:t>ab</w:t>
            </w:r>
            <w:r>
              <w:rPr>
                <w:sz w:val="24"/>
                <w:szCs w:val="24"/>
              </w:rPr>
              <w:t>±1.36</w:t>
            </w:r>
          </w:p>
        </w:tc>
      </w:tr>
      <w:tr w:rsidR="001C1D18" w14:paraId="01CD726F" w14:textId="77777777" w:rsidTr="00DD43B2">
        <w:trPr>
          <w:trHeight w:val="672"/>
          <w:jc w:val="center"/>
        </w:trPr>
        <w:tc>
          <w:tcPr>
            <w:tcW w:w="424" w:type="pct"/>
            <w:vAlign w:val="center"/>
          </w:tcPr>
          <w:p w14:paraId="69EA98D9" w14:textId="77777777" w:rsidR="001C1D18" w:rsidRDefault="00217595">
            <w:pPr>
              <w:spacing w:beforeLines="50" w:before="120" w:line="276" w:lineRule="auto"/>
              <w:jc w:val="center"/>
              <w:rPr>
                <w:sz w:val="24"/>
                <w:szCs w:val="24"/>
              </w:rPr>
            </w:pPr>
            <w:r>
              <w:rPr>
                <w:sz w:val="24"/>
                <w:szCs w:val="24"/>
              </w:rPr>
              <w:t>GT7</w:t>
            </w:r>
          </w:p>
        </w:tc>
        <w:tc>
          <w:tcPr>
            <w:tcW w:w="668" w:type="pct"/>
            <w:vAlign w:val="center"/>
          </w:tcPr>
          <w:p w14:paraId="67F6A4C1" w14:textId="77777777" w:rsidR="001C1D18" w:rsidRDefault="00217595">
            <w:pPr>
              <w:spacing w:beforeLines="50" w:before="120" w:line="276" w:lineRule="auto"/>
              <w:jc w:val="center"/>
              <w:rPr>
                <w:sz w:val="24"/>
                <w:szCs w:val="24"/>
              </w:rPr>
            </w:pPr>
            <w:r>
              <w:rPr>
                <w:sz w:val="24"/>
                <w:szCs w:val="24"/>
              </w:rPr>
              <w:t>23.30</w:t>
            </w:r>
            <w:r>
              <w:rPr>
                <w:sz w:val="24"/>
                <w:szCs w:val="24"/>
                <w:vertAlign w:val="superscript"/>
              </w:rPr>
              <w:t>bc</w:t>
            </w:r>
            <w:r>
              <w:rPr>
                <w:sz w:val="24"/>
                <w:szCs w:val="24"/>
              </w:rPr>
              <w:t>±0.12</w:t>
            </w:r>
          </w:p>
        </w:tc>
        <w:tc>
          <w:tcPr>
            <w:tcW w:w="603" w:type="pct"/>
            <w:vAlign w:val="center"/>
          </w:tcPr>
          <w:p w14:paraId="7C1B7DD7" w14:textId="77777777" w:rsidR="001C1D18" w:rsidRDefault="00217595">
            <w:pPr>
              <w:spacing w:beforeLines="50" w:before="120" w:line="276" w:lineRule="auto"/>
              <w:jc w:val="center"/>
              <w:rPr>
                <w:sz w:val="24"/>
                <w:szCs w:val="24"/>
              </w:rPr>
            </w:pPr>
            <w:r>
              <w:rPr>
                <w:sz w:val="24"/>
                <w:szCs w:val="24"/>
              </w:rPr>
              <w:t>12.88</w:t>
            </w:r>
            <w:r>
              <w:rPr>
                <w:sz w:val="24"/>
                <w:szCs w:val="24"/>
                <w:vertAlign w:val="superscript"/>
              </w:rPr>
              <w:t>c</w:t>
            </w:r>
            <w:r>
              <w:rPr>
                <w:sz w:val="24"/>
                <w:szCs w:val="24"/>
              </w:rPr>
              <w:t>±0.00</w:t>
            </w:r>
          </w:p>
        </w:tc>
        <w:tc>
          <w:tcPr>
            <w:tcW w:w="605" w:type="pct"/>
            <w:vAlign w:val="center"/>
          </w:tcPr>
          <w:p w14:paraId="45B7995E" w14:textId="77777777" w:rsidR="001C1D18" w:rsidRDefault="00217595">
            <w:pPr>
              <w:spacing w:beforeLines="50" w:before="120" w:line="276" w:lineRule="auto"/>
              <w:jc w:val="center"/>
              <w:rPr>
                <w:sz w:val="24"/>
                <w:szCs w:val="24"/>
              </w:rPr>
            </w:pPr>
            <w:r>
              <w:rPr>
                <w:sz w:val="24"/>
                <w:szCs w:val="24"/>
              </w:rPr>
              <w:t>3.00</w:t>
            </w:r>
            <w:r>
              <w:rPr>
                <w:sz w:val="24"/>
                <w:szCs w:val="24"/>
                <w:vertAlign w:val="superscript"/>
              </w:rPr>
              <w:t>f</w:t>
            </w:r>
            <w:r>
              <w:rPr>
                <w:sz w:val="24"/>
                <w:szCs w:val="24"/>
              </w:rPr>
              <w:t>±0.40</w:t>
            </w:r>
          </w:p>
        </w:tc>
        <w:tc>
          <w:tcPr>
            <w:tcW w:w="582" w:type="pct"/>
            <w:vAlign w:val="center"/>
          </w:tcPr>
          <w:p w14:paraId="2F837328" w14:textId="77777777" w:rsidR="001C1D18" w:rsidRDefault="00217595">
            <w:pPr>
              <w:spacing w:beforeLines="50" w:before="120" w:line="276" w:lineRule="auto"/>
              <w:jc w:val="center"/>
              <w:rPr>
                <w:sz w:val="24"/>
                <w:szCs w:val="24"/>
              </w:rPr>
            </w:pPr>
            <w:r>
              <w:rPr>
                <w:sz w:val="24"/>
                <w:szCs w:val="24"/>
              </w:rPr>
              <w:t>1.98</w:t>
            </w:r>
            <w:r>
              <w:rPr>
                <w:sz w:val="24"/>
                <w:szCs w:val="24"/>
                <w:vertAlign w:val="superscript"/>
              </w:rPr>
              <w:t>cd</w:t>
            </w:r>
            <w:r>
              <w:rPr>
                <w:sz w:val="24"/>
                <w:szCs w:val="24"/>
              </w:rPr>
              <w:t>±0.29</w:t>
            </w:r>
          </w:p>
        </w:tc>
        <w:tc>
          <w:tcPr>
            <w:tcW w:w="582" w:type="pct"/>
            <w:vAlign w:val="center"/>
          </w:tcPr>
          <w:p w14:paraId="60E58E5C" w14:textId="77777777" w:rsidR="001C1D18" w:rsidRDefault="00217595">
            <w:pPr>
              <w:spacing w:beforeLines="50" w:before="120" w:line="276" w:lineRule="auto"/>
              <w:jc w:val="center"/>
              <w:rPr>
                <w:sz w:val="24"/>
                <w:szCs w:val="24"/>
              </w:rPr>
            </w:pPr>
            <w:r>
              <w:rPr>
                <w:sz w:val="24"/>
                <w:szCs w:val="24"/>
              </w:rPr>
              <w:t>2.01</w:t>
            </w:r>
            <w:r>
              <w:rPr>
                <w:sz w:val="24"/>
                <w:szCs w:val="24"/>
                <w:vertAlign w:val="superscript"/>
              </w:rPr>
              <w:t>d</w:t>
            </w:r>
            <w:r>
              <w:rPr>
                <w:sz w:val="24"/>
                <w:szCs w:val="24"/>
              </w:rPr>
              <w:t>±0.35</w:t>
            </w:r>
          </w:p>
        </w:tc>
        <w:tc>
          <w:tcPr>
            <w:tcW w:w="725" w:type="pct"/>
            <w:vAlign w:val="center"/>
          </w:tcPr>
          <w:p w14:paraId="61934E8A" w14:textId="77777777" w:rsidR="001C1D18" w:rsidRDefault="00217595">
            <w:pPr>
              <w:spacing w:beforeLines="50" w:before="120" w:line="276" w:lineRule="auto"/>
              <w:jc w:val="center"/>
              <w:rPr>
                <w:sz w:val="24"/>
                <w:szCs w:val="24"/>
              </w:rPr>
            </w:pPr>
            <w:r>
              <w:rPr>
                <w:sz w:val="24"/>
                <w:szCs w:val="24"/>
              </w:rPr>
              <w:t>57.14</w:t>
            </w:r>
            <w:r>
              <w:rPr>
                <w:sz w:val="24"/>
                <w:szCs w:val="24"/>
                <w:vertAlign w:val="superscript"/>
              </w:rPr>
              <w:t>abcd</w:t>
            </w:r>
            <w:r>
              <w:rPr>
                <w:sz w:val="24"/>
                <w:szCs w:val="24"/>
              </w:rPr>
              <w:t>±0.55</w:t>
            </w:r>
          </w:p>
        </w:tc>
        <w:tc>
          <w:tcPr>
            <w:tcW w:w="811" w:type="pct"/>
            <w:vAlign w:val="center"/>
          </w:tcPr>
          <w:p w14:paraId="6B38EC48" w14:textId="77777777" w:rsidR="001C1D18" w:rsidRDefault="00217595">
            <w:pPr>
              <w:spacing w:beforeLines="50" w:before="120" w:line="276" w:lineRule="auto"/>
              <w:jc w:val="center"/>
              <w:rPr>
                <w:sz w:val="24"/>
                <w:szCs w:val="24"/>
              </w:rPr>
            </w:pPr>
            <w:r>
              <w:rPr>
                <w:sz w:val="24"/>
                <w:szCs w:val="24"/>
              </w:rPr>
              <w:t>1285.44</w:t>
            </w:r>
            <w:r>
              <w:rPr>
                <w:sz w:val="24"/>
                <w:szCs w:val="24"/>
                <w:vertAlign w:val="superscript"/>
              </w:rPr>
              <w:t>ab</w:t>
            </w:r>
            <w:r>
              <w:rPr>
                <w:sz w:val="24"/>
                <w:szCs w:val="24"/>
              </w:rPr>
              <w:t>±24.15</w:t>
            </w:r>
          </w:p>
        </w:tc>
      </w:tr>
      <w:tr w:rsidR="001C1D18" w14:paraId="257DCB8A" w14:textId="77777777" w:rsidTr="00DD43B2">
        <w:trPr>
          <w:trHeight w:val="672"/>
          <w:jc w:val="center"/>
        </w:trPr>
        <w:tc>
          <w:tcPr>
            <w:tcW w:w="424" w:type="pct"/>
            <w:vAlign w:val="center"/>
          </w:tcPr>
          <w:p w14:paraId="41ABAB92" w14:textId="77777777" w:rsidR="001C1D18" w:rsidRDefault="00217595">
            <w:pPr>
              <w:spacing w:beforeLines="50" w:before="120" w:line="276" w:lineRule="auto"/>
              <w:jc w:val="center"/>
              <w:rPr>
                <w:sz w:val="24"/>
                <w:szCs w:val="24"/>
              </w:rPr>
            </w:pPr>
            <w:r>
              <w:rPr>
                <w:sz w:val="24"/>
                <w:szCs w:val="24"/>
              </w:rPr>
              <w:t>CON</w:t>
            </w:r>
          </w:p>
        </w:tc>
        <w:tc>
          <w:tcPr>
            <w:tcW w:w="668" w:type="pct"/>
            <w:vAlign w:val="center"/>
          </w:tcPr>
          <w:p w14:paraId="71E1D010" w14:textId="77777777" w:rsidR="001C1D18" w:rsidRDefault="00217595">
            <w:pPr>
              <w:spacing w:beforeLines="50" w:before="120" w:line="276" w:lineRule="auto"/>
              <w:jc w:val="center"/>
              <w:rPr>
                <w:sz w:val="24"/>
                <w:szCs w:val="24"/>
              </w:rPr>
            </w:pPr>
            <w:r>
              <w:rPr>
                <w:sz w:val="24"/>
                <w:szCs w:val="24"/>
              </w:rPr>
              <w:t>23.37</w:t>
            </w:r>
            <w:r>
              <w:rPr>
                <w:sz w:val="24"/>
                <w:szCs w:val="24"/>
                <w:vertAlign w:val="superscript"/>
              </w:rPr>
              <w:t>bc</w:t>
            </w:r>
            <w:r>
              <w:rPr>
                <w:sz w:val="24"/>
                <w:szCs w:val="24"/>
              </w:rPr>
              <w:t>±0.18</w:t>
            </w:r>
          </w:p>
        </w:tc>
        <w:tc>
          <w:tcPr>
            <w:tcW w:w="603" w:type="pct"/>
            <w:vAlign w:val="center"/>
          </w:tcPr>
          <w:p w14:paraId="7EF7E65A" w14:textId="77777777" w:rsidR="001C1D18" w:rsidRDefault="00217595">
            <w:pPr>
              <w:spacing w:beforeLines="50" w:before="120" w:line="276" w:lineRule="auto"/>
              <w:jc w:val="center"/>
              <w:rPr>
                <w:sz w:val="24"/>
                <w:szCs w:val="24"/>
              </w:rPr>
            </w:pPr>
            <w:r>
              <w:rPr>
                <w:sz w:val="24"/>
                <w:szCs w:val="24"/>
              </w:rPr>
              <w:t>4.50</w:t>
            </w:r>
            <w:r>
              <w:rPr>
                <w:sz w:val="24"/>
                <w:szCs w:val="24"/>
                <w:vertAlign w:val="superscript"/>
              </w:rPr>
              <w:t>j</w:t>
            </w:r>
            <w:r>
              <w:rPr>
                <w:sz w:val="24"/>
                <w:szCs w:val="24"/>
              </w:rPr>
              <w:t>±0.00</w:t>
            </w:r>
          </w:p>
        </w:tc>
        <w:tc>
          <w:tcPr>
            <w:tcW w:w="605" w:type="pct"/>
            <w:vAlign w:val="center"/>
          </w:tcPr>
          <w:p w14:paraId="074D044F" w14:textId="77777777" w:rsidR="001C1D18" w:rsidRDefault="00217595">
            <w:pPr>
              <w:spacing w:beforeLines="50" w:before="120" w:line="276" w:lineRule="auto"/>
              <w:jc w:val="center"/>
              <w:rPr>
                <w:sz w:val="24"/>
                <w:szCs w:val="24"/>
              </w:rPr>
            </w:pPr>
            <w:r>
              <w:rPr>
                <w:sz w:val="24"/>
                <w:szCs w:val="24"/>
              </w:rPr>
              <w:t>7.29</w:t>
            </w:r>
            <w:r>
              <w:rPr>
                <w:sz w:val="24"/>
                <w:szCs w:val="24"/>
                <w:vertAlign w:val="superscript"/>
              </w:rPr>
              <w:t>a</w:t>
            </w:r>
            <w:r>
              <w:rPr>
                <w:sz w:val="24"/>
                <w:szCs w:val="24"/>
              </w:rPr>
              <w:t>±0.06</w:t>
            </w:r>
          </w:p>
        </w:tc>
        <w:tc>
          <w:tcPr>
            <w:tcW w:w="582" w:type="pct"/>
            <w:vAlign w:val="center"/>
          </w:tcPr>
          <w:p w14:paraId="30AAF6AF" w14:textId="77777777" w:rsidR="001C1D18" w:rsidRDefault="00217595">
            <w:pPr>
              <w:spacing w:beforeLines="50" w:before="120" w:line="276" w:lineRule="auto"/>
              <w:jc w:val="center"/>
              <w:rPr>
                <w:sz w:val="24"/>
                <w:szCs w:val="24"/>
              </w:rPr>
            </w:pPr>
            <w:r>
              <w:rPr>
                <w:sz w:val="24"/>
                <w:szCs w:val="24"/>
              </w:rPr>
              <w:t>3.18</w:t>
            </w:r>
            <w:r>
              <w:rPr>
                <w:sz w:val="24"/>
                <w:szCs w:val="24"/>
                <w:vertAlign w:val="superscript"/>
              </w:rPr>
              <w:t>a</w:t>
            </w:r>
            <w:r>
              <w:rPr>
                <w:sz w:val="24"/>
                <w:szCs w:val="24"/>
              </w:rPr>
              <w:t>±0.16</w:t>
            </w:r>
          </w:p>
        </w:tc>
        <w:tc>
          <w:tcPr>
            <w:tcW w:w="582" w:type="pct"/>
            <w:vAlign w:val="center"/>
          </w:tcPr>
          <w:p w14:paraId="29C662F4" w14:textId="77777777" w:rsidR="001C1D18" w:rsidRDefault="00217595">
            <w:pPr>
              <w:spacing w:beforeLines="50" w:before="120" w:line="276" w:lineRule="auto"/>
              <w:jc w:val="center"/>
              <w:rPr>
                <w:sz w:val="24"/>
                <w:szCs w:val="24"/>
              </w:rPr>
            </w:pPr>
            <w:r>
              <w:rPr>
                <w:sz w:val="24"/>
                <w:szCs w:val="24"/>
              </w:rPr>
              <w:t>2.56</w:t>
            </w:r>
            <w:r>
              <w:rPr>
                <w:sz w:val="24"/>
                <w:szCs w:val="24"/>
                <w:vertAlign w:val="superscript"/>
              </w:rPr>
              <w:t>cd</w:t>
            </w:r>
            <w:r>
              <w:rPr>
                <w:sz w:val="24"/>
                <w:szCs w:val="24"/>
              </w:rPr>
              <w:t>±0.06</w:t>
            </w:r>
          </w:p>
        </w:tc>
        <w:tc>
          <w:tcPr>
            <w:tcW w:w="725" w:type="pct"/>
            <w:vAlign w:val="center"/>
          </w:tcPr>
          <w:p w14:paraId="3ACEFA24" w14:textId="77777777" w:rsidR="001C1D18" w:rsidRDefault="00217595">
            <w:pPr>
              <w:spacing w:beforeLines="50" w:before="120" w:line="276" w:lineRule="auto"/>
              <w:jc w:val="center"/>
              <w:rPr>
                <w:sz w:val="24"/>
                <w:szCs w:val="24"/>
              </w:rPr>
            </w:pPr>
            <w:r>
              <w:rPr>
                <w:sz w:val="24"/>
                <w:szCs w:val="24"/>
              </w:rPr>
              <w:t>59.11</w:t>
            </w:r>
            <w:r>
              <w:rPr>
                <w:sz w:val="24"/>
                <w:szCs w:val="24"/>
                <w:vertAlign w:val="superscript"/>
              </w:rPr>
              <w:t>ab</w:t>
            </w:r>
            <w:r>
              <w:rPr>
                <w:sz w:val="24"/>
                <w:szCs w:val="24"/>
              </w:rPr>
              <w:t>±0.14</w:t>
            </w:r>
          </w:p>
        </w:tc>
        <w:tc>
          <w:tcPr>
            <w:tcW w:w="811" w:type="pct"/>
            <w:vAlign w:val="center"/>
          </w:tcPr>
          <w:p w14:paraId="315F0634" w14:textId="77777777" w:rsidR="001C1D18" w:rsidRDefault="00217595">
            <w:pPr>
              <w:spacing w:beforeLines="50" w:before="120" w:line="276" w:lineRule="auto"/>
              <w:jc w:val="center"/>
              <w:rPr>
                <w:sz w:val="24"/>
                <w:szCs w:val="24"/>
              </w:rPr>
            </w:pPr>
            <w:r>
              <w:rPr>
                <w:sz w:val="24"/>
                <w:szCs w:val="24"/>
              </w:rPr>
              <w:t>1339.54</w:t>
            </w:r>
            <w:r>
              <w:rPr>
                <w:sz w:val="24"/>
                <w:szCs w:val="24"/>
                <w:vertAlign w:val="superscript"/>
              </w:rPr>
              <w:t>a</w:t>
            </w:r>
            <w:r>
              <w:rPr>
                <w:sz w:val="24"/>
                <w:szCs w:val="24"/>
              </w:rPr>
              <w:t>±0.03</w:t>
            </w:r>
          </w:p>
        </w:tc>
      </w:tr>
      <w:tr w:rsidR="001C1D18" w14:paraId="7C89946B" w14:textId="77777777" w:rsidTr="00DD43B2">
        <w:trPr>
          <w:trHeight w:val="396"/>
          <w:jc w:val="center"/>
        </w:trPr>
        <w:tc>
          <w:tcPr>
            <w:tcW w:w="424" w:type="pct"/>
            <w:tcBorders>
              <w:bottom w:val="single" w:sz="4" w:space="0" w:color="auto"/>
            </w:tcBorders>
            <w:vAlign w:val="center"/>
          </w:tcPr>
          <w:p w14:paraId="65F62E05" w14:textId="77777777" w:rsidR="001C1D18" w:rsidRDefault="00217595">
            <w:pPr>
              <w:spacing w:beforeLines="50" w:before="120" w:line="276" w:lineRule="auto"/>
              <w:jc w:val="center"/>
              <w:rPr>
                <w:b/>
                <w:sz w:val="24"/>
                <w:szCs w:val="24"/>
              </w:rPr>
            </w:pPr>
            <w:r>
              <w:rPr>
                <w:b/>
                <w:sz w:val="24"/>
                <w:szCs w:val="24"/>
              </w:rPr>
              <w:t>LSD</w:t>
            </w:r>
          </w:p>
        </w:tc>
        <w:tc>
          <w:tcPr>
            <w:tcW w:w="668" w:type="pct"/>
            <w:tcBorders>
              <w:bottom w:val="single" w:sz="4" w:space="0" w:color="auto"/>
            </w:tcBorders>
            <w:vAlign w:val="center"/>
          </w:tcPr>
          <w:p w14:paraId="30505B32" w14:textId="77777777" w:rsidR="001C1D18" w:rsidRDefault="00217595">
            <w:pPr>
              <w:spacing w:beforeLines="50" w:before="120" w:line="276" w:lineRule="auto"/>
              <w:jc w:val="center"/>
              <w:rPr>
                <w:b/>
                <w:sz w:val="24"/>
                <w:szCs w:val="24"/>
              </w:rPr>
            </w:pPr>
            <w:r>
              <w:rPr>
                <w:b/>
                <w:sz w:val="24"/>
                <w:szCs w:val="24"/>
              </w:rPr>
              <w:t>2.424</w:t>
            </w:r>
          </w:p>
        </w:tc>
        <w:tc>
          <w:tcPr>
            <w:tcW w:w="603" w:type="pct"/>
            <w:tcBorders>
              <w:bottom w:val="single" w:sz="4" w:space="0" w:color="auto"/>
            </w:tcBorders>
            <w:vAlign w:val="center"/>
          </w:tcPr>
          <w:p w14:paraId="15C75DCA" w14:textId="77777777" w:rsidR="001C1D18" w:rsidRDefault="00217595">
            <w:pPr>
              <w:spacing w:beforeLines="50" w:before="120" w:line="276" w:lineRule="auto"/>
              <w:jc w:val="center"/>
              <w:rPr>
                <w:b/>
                <w:sz w:val="24"/>
                <w:szCs w:val="24"/>
              </w:rPr>
            </w:pPr>
            <w:r>
              <w:rPr>
                <w:b/>
                <w:sz w:val="24"/>
                <w:szCs w:val="24"/>
              </w:rPr>
              <w:t>0.059</w:t>
            </w:r>
          </w:p>
        </w:tc>
        <w:tc>
          <w:tcPr>
            <w:tcW w:w="605" w:type="pct"/>
            <w:tcBorders>
              <w:bottom w:val="single" w:sz="4" w:space="0" w:color="auto"/>
            </w:tcBorders>
            <w:vAlign w:val="center"/>
          </w:tcPr>
          <w:p w14:paraId="1C65D2F2" w14:textId="77777777" w:rsidR="001C1D18" w:rsidRDefault="00217595">
            <w:pPr>
              <w:spacing w:beforeLines="50" w:before="120" w:line="276" w:lineRule="auto"/>
              <w:jc w:val="center"/>
              <w:rPr>
                <w:b/>
                <w:sz w:val="24"/>
                <w:szCs w:val="24"/>
              </w:rPr>
            </w:pPr>
            <w:r>
              <w:rPr>
                <w:b/>
                <w:sz w:val="24"/>
                <w:szCs w:val="24"/>
              </w:rPr>
              <w:t>0.655</w:t>
            </w:r>
          </w:p>
        </w:tc>
        <w:tc>
          <w:tcPr>
            <w:tcW w:w="582" w:type="pct"/>
            <w:tcBorders>
              <w:bottom w:val="single" w:sz="4" w:space="0" w:color="auto"/>
            </w:tcBorders>
            <w:vAlign w:val="center"/>
          </w:tcPr>
          <w:p w14:paraId="095A491C" w14:textId="77777777" w:rsidR="001C1D18" w:rsidRDefault="00217595">
            <w:pPr>
              <w:spacing w:beforeLines="50" w:before="120" w:line="276" w:lineRule="auto"/>
              <w:jc w:val="center"/>
              <w:rPr>
                <w:b/>
                <w:sz w:val="24"/>
                <w:szCs w:val="24"/>
              </w:rPr>
            </w:pPr>
            <w:r>
              <w:rPr>
                <w:b/>
                <w:sz w:val="24"/>
                <w:szCs w:val="24"/>
              </w:rPr>
              <w:t>0.518</w:t>
            </w:r>
          </w:p>
        </w:tc>
        <w:tc>
          <w:tcPr>
            <w:tcW w:w="582" w:type="pct"/>
            <w:tcBorders>
              <w:bottom w:val="single" w:sz="4" w:space="0" w:color="auto"/>
            </w:tcBorders>
            <w:vAlign w:val="center"/>
          </w:tcPr>
          <w:p w14:paraId="67B37DAD" w14:textId="77777777" w:rsidR="001C1D18" w:rsidRDefault="00217595">
            <w:pPr>
              <w:spacing w:beforeLines="50" w:before="120" w:line="276" w:lineRule="auto"/>
              <w:jc w:val="center"/>
              <w:rPr>
                <w:b/>
                <w:sz w:val="24"/>
                <w:szCs w:val="24"/>
              </w:rPr>
            </w:pPr>
            <w:r>
              <w:rPr>
                <w:b/>
                <w:sz w:val="24"/>
                <w:szCs w:val="24"/>
              </w:rPr>
              <w:t>0.722</w:t>
            </w:r>
          </w:p>
        </w:tc>
        <w:tc>
          <w:tcPr>
            <w:tcW w:w="725" w:type="pct"/>
            <w:tcBorders>
              <w:bottom w:val="single" w:sz="4" w:space="0" w:color="auto"/>
            </w:tcBorders>
            <w:vAlign w:val="center"/>
          </w:tcPr>
          <w:p w14:paraId="6BE95320" w14:textId="77777777" w:rsidR="001C1D18" w:rsidRDefault="00217595">
            <w:pPr>
              <w:spacing w:beforeLines="50" w:before="120" w:line="276" w:lineRule="auto"/>
              <w:jc w:val="center"/>
              <w:rPr>
                <w:b/>
                <w:sz w:val="24"/>
                <w:szCs w:val="24"/>
              </w:rPr>
            </w:pPr>
            <w:r>
              <w:rPr>
                <w:b/>
                <w:sz w:val="24"/>
                <w:szCs w:val="24"/>
              </w:rPr>
              <w:t>10.009</w:t>
            </w:r>
          </w:p>
        </w:tc>
        <w:tc>
          <w:tcPr>
            <w:tcW w:w="811" w:type="pct"/>
            <w:tcBorders>
              <w:bottom w:val="single" w:sz="4" w:space="0" w:color="auto"/>
            </w:tcBorders>
            <w:vAlign w:val="center"/>
          </w:tcPr>
          <w:p w14:paraId="7126E76F" w14:textId="77777777" w:rsidR="001C1D18" w:rsidRDefault="00217595">
            <w:pPr>
              <w:spacing w:beforeLines="50" w:before="120" w:line="276" w:lineRule="auto"/>
              <w:jc w:val="center"/>
              <w:rPr>
                <w:b/>
                <w:sz w:val="24"/>
                <w:szCs w:val="24"/>
              </w:rPr>
            </w:pPr>
            <w:r>
              <w:rPr>
                <w:b/>
                <w:sz w:val="24"/>
                <w:szCs w:val="24"/>
              </w:rPr>
              <w:t>174.540</w:t>
            </w:r>
          </w:p>
        </w:tc>
      </w:tr>
    </w:tbl>
    <w:p w14:paraId="450FB9E4" w14:textId="77777777" w:rsidR="001C1D18" w:rsidRDefault="00217595">
      <w:pPr>
        <w:spacing w:line="276" w:lineRule="auto"/>
        <w:jc w:val="both"/>
        <w:rPr>
          <w:sz w:val="24"/>
          <w:szCs w:val="24"/>
        </w:rPr>
      </w:pPr>
      <w:r>
        <w:rPr>
          <w:bCs/>
          <w:sz w:val="24"/>
          <w:szCs w:val="24"/>
        </w:rPr>
        <w:t>Means in the same column with similar superscript are not significantly different at (P&gt;0.05</w:t>
      </w:r>
      <w:r>
        <w:rPr>
          <w:sz w:val="24"/>
          <w:szCs w:val="24"/>
        </w:rPr>
        <w:t xml:space="preserve">). </w:t>
      </w:r>
    </w:p>
    <w:p w14:paraId="075B44C3" w14:textId="77777777" w:rsidR="001C1D18" w:rsidRDefault="00217595">
      <w:pPr>
        <w:spacing w:before="240" w:line="276" w:lineRule="auto"/>
        <w:rPr>
          <w:bCs/>
          <w:iCs/>
          <w:sz w:val="24"/>
          <w:szCs w:val="24"/>
        </w:rPr>
      </w:pPr>
      <w:r>
        <w:rPr>
          <w:bCs/>
          <w:iCs/>
          <w:sz w:val="24"/>
          <w:szCs w:val="24"/>
        </w:rPr>
        <w:t>KEY:</w:t>
      </w:r>
    </w:p>
    <w:p w14:paraId="536993A7" w14:textId="77777777" w:rsidR="001C1D18" w:rsidRDefault="00217595">
      <w:pPr>
        <w:spacing w:line="276" w:lineRule="auto"/>
        <w:rPr>
          <w:iCs/>
          <w:sz w:val="24"/>
          <w:szCs w:val="24"/>
        </w:rPr>
      </w:pPr>
      <w:r>
        <w:rPr>
          <w:b/>
          <w:bCs/>
          <w:iCs/>
          <w:sz w:val="24"/>
          <w:szCs w:val="24"/>
        </w:rPr>
        <w:t>G33</w:t>
      </w:r>
      <w:r>
        <w:rPr>
          <w:iCs/>
          <w:sz w:val="24"/>
          <w:szCs w:val="24"/>
        </w:rPr>
        <w:t>:-Cassava-groundnut snack bar with 3% concentration of ginger,</w:t>
      </w:r>
    </w:p>
    <w:p w14:paraId="14524AF5" w14:textId="77777777" w:rsidR="001C1D18" w:rsidRDefault="00217595">
      <w:pPr>
        <w:spacing w:line="276" w:lineRule="auto"/>
        <w:rPr>
          <w:iCs/>
          <w:sz w:val="24"/>
          <w:szCs w:val="24"/>
        </w:rPr>
      </w:pPr>
      <w:r>
        <w:rPr>
          <w:iCs/>
          <w:sz w:val="24"/>
          <w:szCs w:val="24"/>
        </w:rPr>
        <w:t xml:space="preserve"> </w:t>
      </w:r>
      <w:r>
        <w:rPr>
          <w:b/>
          <w:bCs/>
          <w:iCs/>
          <w:sz w:val="24"/>
          <w:szCs w:val="24"/>
        </w:rPr>
        <w:t>G55</w:t>
      </w:r>
      <w:r>
        <w:rPr>
          <w:iCs/>
          <w:sz w:val="24"/>
          <w:szCs w:val="24"/>
        </w:rPr>
        <w:t>:-Cassava-groundnut snack bar with 5% concentration of ginger,</w:t>
      </w:r>
    </w:p>
    <w:p w14:paraId="341251F3" w14:textId="77777777" w:rsidR="001C1D18" w:rsidRDefault="00217595">
      <w:pPr>
        <w:spacing w:line="276" w:lineRule="auto"/>
        <w:rPr>
          <w:iCs/>
          <w:sz w:val="24"/>
          <w:szCs w:val="24"/>
        </w:rPr>
      </w:pPr>
      <w:r>
        <w:rPr>
          <w:iCs/>
          <w:sz w:val="24"/>
          <w:szCs w:val="24"/>
        </w:rPr>
        <w:t xml:space="preserve"> </w:t>
      </w:r>
      <w:commentRangeStart w:id="45"/>
      <w:r>
        <w:rPr>
          <w:b/>
          <w:bCs/>
          <w:iCs/>
          <w:sz w:val="24"/>
          <w:szCs w:val="24"/>
        </w:rPr>
        <w:t>G77</w:t>
      </w:r>
      <w:r>
        <w:rPr>
          <w:iCs/>
          <w:sz w:val="24"/>
          <w:szCs w:val="24"/>
        </w:rPr>
        <w:t>- Cassava-groundnut snack bar 7% concentration of ginger</w:t>
      </w:r>
      <w:commentRangeEnd w:id="45"/>
      <w:r w:rsidR="000F1508">
        <w:rPr>
          <w:rStyle w:val="Marquedecommentaire"/>
          <w:iCs/>
          <w:sz w:val="24"/>
          <w:szCs w:val="24"/>
        </w:rPr>
        <w:commentReference w:id="45"/>
      </w:r>
      <w:r>
        <w:rPr>
          <w:iCs/>
          <w:sz w:val="24"/>
          <w:szCs w:val="24"/>
        </w:rPr>
        <w:t xml:space="preserve">, </w:t>
      </w:r>
    </w:p>
    <w:p w14:paraId="3DDEB2EA" w14:textId="77777777" w:rsidR="001C1D18" w:rsidRDefault="00217595">
      <w:pPr>
        <w:spacing w:line="276" w:lineRule="auto"/>
        <w:rPr>
          <w:iCs/>
          <w:sz w:val="24"/>
          <w:szCs w:val="24"/>
        </w:rPr>
      </w:pPr>
      <w:r>
        <w:rPr>
          <w:b/>
          <w:bCs/>
          <w:iCs/>
          <w:sz w:val="24"/>
          <w:szCs w:val="24"/>
        </w:rPr>
        <w:t>T33</w:t>
      </w:r>
      <w:r>
        <w:rPr>
          <w:iCs/>
          <w:sz w:val="24"/>
          <w:szCs w:val="24"/>
        </w:rPr>
        <w:t xml:space="preserve">:-Cassava-groundnut snack bar with 3% concentration of turmeric, </w:t>
      </w:r>
    </w:p>
    <w:p w14:paraId="23829A78" w14:textId="77777777" w:rsidR="001C1D18" w:rsidRDefault="00217595">
      <w:pPr>
        <w:spacing w:line="276" w:lineRule="auto"/>
        <w:rPr>
          <w:iCs/>
          <w:sz w:val="24"/>
          <w:szCs w:val="24"/>
        </w:rPr>
      </w:pPr>
      <w:r>
        <w:rPr>
          <w:b/>
          <w:bCs/>
          <w:iCs/>
          <w:sz w:val="24"/>
          <w:szCs w:val="24"/>
        </w:rPr>
        <w:t>T55</w:t>
      </w:r>
      <w:r>
        <w:rPr>
          <w:iCs/>
          <w:sz w:val="24"/>
          <w:szCs w:val="24"/>
        </w:rPr>
        <w:t xml:space="preserve">:-Cassava-groundnut snack bar with 5% concentration of turmeric, </w:t>
      </w:r>
    </w:p>
    <w:p w14:paraId="646CB0CD" w14:textId="77777777" w:rsidR="001C1D18" w:rsidRDefault="00217595">
      <w:pPr>
        <w:spacing w:line="276" w:lineRule="auto"/>
        <w:rPr>
          <w:iCs/>
          <w:sz w:val="24"/>
          <w:szCs w:val="24"/>
        </w:rPr>
      </w:pPr>
      <w:r>
        <w:rPr>
          <w:b/>
          <w:bCs/>
          <w:iCs/>
          <w:sz w:val="24"/>
          <w:szCs w:val="24"/>
        </w:rPr>
        <w:t>T77</w:t>
      </w:r>
      <w:r>
        <w:rPr>
          <w:iCs/>
          <w:sz w:val="24"/>
          <w:szCs w:val="24"/>
        </w:rPr>
        <w:t xml:space="preserve">:-Cassava-groundnut snack bar with 7% concentration of turmeric, </w:t>
      </w:r>
    </w:p>
    <w:p w14:paraId="38C7A60E" w14:textId="77777777" w:rsidR="001C1D18" w:rsidRDefault="00217595">
      <w:pPr>
        <w:spacing w:line="276" w:lineRule="auto"/>
        <w:rPr>
          <w:iCs/>
          <w:sz w:val="24"/>
          <w:szCs w:val="24"/>
        </w:rPr>
      </w:pPr>
      <w:commentRangeStart w:id="46"/>
      <w:r>
        <w:rPr>
          <w:b/>
          <w:bCs/>
          <w:iCs/>
          <w:sz w:val="24"/>
          <w:szCs w:val="24"/>
        </w:rPr>
        <w:t>GT3</w:t>
      </w:r>
      <w:r>
        <w:rPr>
          <w:iCs/>
          <w:sz w:val="24"/>
          <w:szCs w:val="24"/>
        </w:rPr>
        <w:t>:-Cassava-groundnut snack bar with 3% concentration of ginger/turmeric blend</w:t>
      </w:r>
      <w:commentRangeEnd w:id="46"/>
      <w:r w:rsidR="0020086D">
        <w:rPr>
          <w:rStyle w:val="Marquedecommentaire"/>
          <w:iCs/>
          <w:sz w:val="24"/>
          <w:szCs w:val="24"/>
        </w:rPr>
        <w:commentReference w:id="46"/>
      </w:r>
      <w:r>
        <w:rPr>
          <w:iCs/>
          <w:sz w:val="24"/>
          <w:szCs w:val="24"/>
        </w:rPr>
        <w:t xml:space="preserve">, </w:t>
      </w:r>
    </w:p>
    <w:p w14:paraId="5E3A2B0B" w14:textId="77777777" w:rsidR="001C1D18" w:rsidRDefault="00217595">
      <w:pPr>
        <w:spacing w:line="276" w:lineRule="auto"/>
        <w:rPr>
          <w:iCs/>
          <w:sz w:val="24"/>
          <w:szCs w:val="24"/>
        </w:rPr>
      </w:pPr>
      <w:r>
        <w:rPr>
          <w:b/>
          <w:bCs/>
          <w:iCs/>
          <w:sz w:val="24"/>
          <w:szCs w:val="24"/>
        </w:rPr>
        <w:t>GT5</w:t>
      </w:r>
      <w:r>
        <w:rPr>
          <w:iCs/>
          <w:sz w:val="24"/>
          <w:szCs w:val="24"/>
        </w:rPr>
        <w:t xml:space="preserve">:-Cassava-groundnut snack bar with 5% concentration of ginger/turmeric blend, </w:t>
      </w:r>
    </w:p>
    <w:p w14:paraId="78923B88"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1D02B7E2" w14:textId="77777777" w:rsidR="001C1D18" w:rsidRDefault="00217595">
      <w:pPr>
        <w:spacing w:line="276" w:lineRule="auto"/>
        <w:rPr>
          <w:bCs/>
          <w:iCs/>
          <w:sz w:val="24"/>
          <w:szCs w:val="24"/>
        </w:rPr>
      </w:pPr>
      <w:r>
        <w:rPr>
          <w:b/>
          <w:bCs/>
          <w:iCs/>
          <w:sz w:val="24"/>
          <w:szCs w:val="24"/>
        </w:rPr>
        <w:t>CON</w:t>
      </w:r>
      <w:r>
        <w:rPr>
          <w:iCs/>
          <w:sz w:val="24"/>
          <w:szCs w:val="24"/>
        </w:rPr>
        <w:t>:-Cassava-groundnut snack bar without fortification (</w:t>
      </w:r>
      <w:commentRangeStart w:id="47"/>
      <w:r>
        <w:rPr>
          <w:iCs/>
          <w:sz w:val="24"/>
          <w:szCs w:val="24"/>
        </w:rPr>
        <w:t>Control</w:t>
      </w:r>
      <w:commentRangeEnd w:id="47"/>
      <w:r w:rsidR="00AB3357">
        <w:rPr>
          <w:rStyle w:val="Marquedecommentaire"/>
          <w:iCs/>
          <w:sz w:val="24"/>
          <w:szCs w:val="24"/>
        </w:rPr>
        <w:commentReference w:id="47"/>
      </w:r>
      <w:r>
        <w:rPr>
          <w:iCs/>
          <w:sz w:val="24"/>
          <w:szCs w:val="24"/>
        </w:rPr>
        <w:t>)</w:t>
      </w:r>
    </w:p>
    <w:p w14:paraId="0C552D1A" w14:textId="77777777" w:rsidR="001C1D18" w:rsidRDefault="001C1D18">
      <w:pPr>
        <w:spacing w:line="276" w:lineRule="auto"/>
        <w:rPr>
          <w:sz w:val="24"/>
          <w:szCs w:val="24"/>
          <w:lang w:val="en-GB"/>
        </w:rPr>
      </w:pPr>
    </w:p>
    <w:p w14:paraId="3AAFE350" w14:textId="77777777" w:rsidR="001C1D18" w:rsidRDefault="001C1D18">
      <w:pPr>
        <w:spacing w:line="276" w:lineRule="auto"/>
        <w:rPr>
          <w:sz w:val="24"/>
          <w:szCs w:val="24"/>
          <w:lang w:val="en-GB"/>
        </w:rPr>
      </w:pPr>
    </w:p>
    <w:p w14:paraId="08B035A1" w14:textId="77777777" w:rsidR="001C1D18" w:rsidRDefault="001C1D18">
      <w:pPr>
        <w:spacing w:line="276" w:lineRule="auto"/>
        <w:rPr>
          <w:sz w:val="24"/>
          <w:szCs w:val="24"/>
          <w:lang w:val="en-GB"/>
        </w:rPr>
      </w:pPr>
    </w:p>
    <w:p w14:paraId="6B06127D" w14:textId="77777777" w:rsidR="001C1D18" w:rsidRDefault="001C1D18">
      <w:pPr>
        <w:spacing w:line="276" w:lineRule="auto"/>
        <w:rPr>
          <w:sz w:val="24"/>
          <w:szCs w:val="24"/>
          <w:lang w:val="en-GB"/>
        </w:rPr>
      </w:pPr>
    </w:p>
    <w:p w14:paraId="63003DAB" w14:textId="77777777" w:rsidR="001C1D18" w:rsidRDefault="001C1D18">
      <w:pPr>
        <w:spacing w:line="276" w:lineRule="auto"/>
        <w:rPr>
          <w:sz w:val="24"/>
          <w:szCs w:val="24"/>
          <w:lang w:val="en-GB"/>
        </w:rPr>
      </w:pPr>
    </w:p>
    <w:p w14:paraId="1B4AB77E" w14:textId="77777777" w:rsidR="001C1D18" w:rsidRDefault="001C1D18">
      <w:pPr>
        <w:spacing w:line="276" w:lineRule="auto"/>
        <w:rPr>
          <w:sz w:val="24"/>
          <w:szCs w:val="24"/>
          <w:lang w:val="en-GB"/>
        </w:rPr>
      </w:pPr>
    </w:p>
    <w:bookmarkEnd w:id="41"/>
    <w:bookmarkEnd w:id="42"/>
    <w:p w14:paraId="1C6E259B" w14:textId="77777777" w:rsidR="001C1D18" w:rsidRDefault="00217595">
      <w:pPr>
        <w:pStyle w:val="Lgende"/>
        <w:spacing w:before="240" w:line="276" w:lineRule="auto"/>
        <w:rPr>
          <w:color w:val="auto"/>
          <w:sz w:val="24"/>
          <w:szCs w:val="24"/>
        </w:rPr>
      </w:pPr>
      <w:r>
        <w:rPr>
          <w:color w:val="auto"/>
          <w:sz w:val="24"/>
          <w:szCs w:val="24"/>
        </w:rPr>
        <w:t>Table 2.0: Sensory Properties of the Ginger and Turmeric Spiced Snack Bar Samples</w:t>
      </w:r>
    </w:p>
    <w:tbl>
      <w:tblPr>
        <w:tblStyle w:val="Grilledutableau"/>
        <w:tblW w:w="50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479"/>
        <w:gridCol w:w="1281"/>
        <w:gridCol w:w="1281"/>
        <w:gridCol w:w="1358"/>
        <w:gridCol w:w="1358"/>
        <w:gridCol w:w="1603"/>
      </w:tblGrid>
      <w:tr w:rsidR="001C1D18" w14:paraId="32A4D10E" w14:textId="77777777">
        <w:trPr>
          <w:trHeight w:val="918"/>
          <w:jc w:val="center"/>
        </w:trPr>
        <w:tc>
          <w:tcPr>
            <w:tcW w:w="531" w:type="pct"/>
            <w:tcBorders>
              <w:top w:val="single" w:sz="4" w:space="0" w:color="auto"/>
              <w:bottom w:val="single" w:sz="4" w:space="0" w:color="auto"/>
            </w:tcBorders>
            <w:vAlign w:val="center"/>
          </w:tcPr>
          <w:p w14:paraId="48A57410" w14:textId="77777777" w:rsidR="001C1D18" w:rsidRDefault="00217595">
            <w:pPr>
              <w:spacing w:beforeLines="50" w:before="120" w:afterLines="50" w:after="120" w:line="276" w:lineRule="auto"/>
              <w:jc w:val="center"/>
              <w:rPr>
                <w:b/>
                <w:bCs/>
                <w:sz w:val="24"/>
                <w:szCs w:val="24"/>
              </w:rPr>
            </w:pPr>
            <w:r>
              <w:rPr>
                <w:b/>
                <w:bCs/>
                <w:sz w:val="24"/>
                <w:szCs w:val="24"/>
              </w:rPr>
              <w:t>Sample Codes</w:t>
            </w:r>
          </w:p>
        </w:tc>
        <w:tc>
          <w:tcPr>
            <w:tcW w:w="790" w:type="pct"/>
            <w:tcBorders>
              <w:top w:val="single" w:sz="4" w:space="0" w:color="auto"/>
              <w:bottom w:val="single" w:sz="4" w:space="0" w:color="auto"/>
            </w:tcBorders>
            <w:vAlign w:val="center"/>
          </w:tcPr>
          <w:p w14:paraId="0E6271F7" w14:textId="77777777" w:rsidR="001C1D18" w:rsidRDefault="00217595">
            <w:pPr>
              <w:spacing w:beforeLines="50" w:before="120" w:afterLines="50" w:after="120" w:line="276" w:lineRule="auto"/>
              <w:jc w:val="center"/>
              <w:rPr>
                <w:b/>
                <w:bCs/>
                <w:sz w:val="24"/>
                <w:szCs w:val="24"/>
              </w:rPr>
            </w:pPr>
            <w:r>
              <w:rPr>
                <w:b/>
                <w:bCs/>
                <w:sz w:val="24"/>
                <w:szCs w:val="24"/>
              </w:rPr>
              <w:t>Appearance</w:t>
            </w:r>
          </w:p>
        </w:tc>
        <w:tc>
          <w:tcPr>
            <w:tcW w:w="684" w:type="pct"/>
            <w:tcBorders>
              <w:top w:val="single" w:sz="4" w:space="0" w:color="auto"/>
              <w:bottom w:val="single" w:sz="4" w:space="0" w:color="auto"/>
            </w:tcBorders>
            <w:vAlign w:val="center"/>
          </w:tcPr>
          <w:p w14:paraId="71BAD6A3" w14:textId="77777777" w:rsidR="001C1D18" w:rsidRDefault="00217595">
            <w:pPr>
              <w:spacing w:beforeLines="50" w:before="120" w:afterLines="50" w:after="120" w:line="276" w:lineRule="auto"/>
              <w:jc w:val="center"/>
              <w:rPr>
                <w:b/>
                <w:bCs/>
                <w:sz w:val="24"/>
                <w:szCs w:val="24"/>
              </w:rPr>
            </w:pPr>
            <w:r>
              <w:rPr>
                <w:b/>
                <w:bCs/>
                <w:sz w:val="24"/>
                <w:szCs w:val="24"/>
              </w:rPr>
              <w:t>Texture</w:t>
            </w:r>
          </w:p>
        </w:tc>
        <w:tc>
          <w:tcPr>
            <w:tcW w:w="684" w:type="pct"/>
            <w:tcBorders>
              <w:top w:val="single" w:sz="4" w:space="0" w:color="auto"/>
              <w:bottom w:val="single" w:sz="4" w:space="0" w:color="auto"/>
            </w:tcBorders>
            <w:vAlign w:val="center"/>
          </w:tcPr>
          <w:p w14:paraId="27C9171D" w14:textId="77777777" w:rsidR="001C1D18" w:rsidRDefault="00217595">
            <w:pPr>
              <w:spacing w:beforeLines="50" w:before="120" w:afterLines="50" w:after="120" w:line="276" w:lineRule="auto"/>
              <w:jc w:val="center"/>
              <w:rPr>
                <w:b/>
                <w:bCs/>
                <w:sz w:val="24"/>
                <w:szCs w:val="24"/>
              </w:rPr>
            </w:pPr>
            <w:commentRangeStart w:id="48"/>
            <w:r>
              <w:rPr>
                <w:b/>
                <w:bCs/>
                <w:sz w:val="24"/>
                <w:szCs w:val="24"/>
              </w:rPr>
              <w:t>Colour</w:t>
            </w:r>
            <w:commentRangeEnd w:id="48"/>
            <w:r w:rsidR="00020B98">
              <w:rPr>
                <w:rStyle w:val="Marquedecommentaire"/>
                <w:b/>
                <w:bCs/>
                <w:sz w:val="24"/>
                <w:szCs w:val="24"/>
              </w:rPr>
              <w:commentReference w:id="48"/>
            </w:r>
          </w:p>
        </w:tc>
        <w:tc>
          <w:tcPr>
            <w:tcW w:w="726" w:type="pct"/>
            <w:tcBorders>
              <w:top w:val="single" w:sz="4" w:space="0" w:color="auto"/>
              <w:bottom w:val="single" w:sz="4" w:space="0" w:color="auto"/>
            </w:tcBorders>
            <w:vAlign w:val="center"/>
          </w:tcPr>
          <w:p w14:paraId="68887C97" w14:textId="77777777" w:rsidR="001C1D18" w:rsidRDefault="00217595">
            <w:pPr>
              <w:spacing w:beforeLines="50" w:before="120" w:afterLines="50" w:after="120" w:line="276" w:lineRule="auto"/>
              <w:jc w:val="center"/>
              <w:rPr>
                <w:b/>
                <w:bCs/>
                <w:sz w:val="24"/>
                <w:szCs w:val="24"/>
              </w:rPr>
            </w:pPr>
            <w:r>
              <w:rPr>
                <w:b/>
                <w:bCs/>
                <w:sz w:val="24"/>
                <w:szCs w:val="24"/>
              </w:rPr>
              <w:t>Flavour</w:t>
            </w:r>
          </w:p>
        </w:tc>
        <w:tc>
          <w:tcPr>
            <w:tcW w:w="726" w:type="pct"/>
            <w:tcBorders>
              <w:top w:val="single" w:sz="4" w:space="0" w:color="auto"/>
              <w:bottom w:val="single" w:sz="4" w:space="0" w:color="auto"/>
            </w:tcBorders>
            <w:vAlign w:val="center"/>
          </w:tcPr>
          <w:p w14:paraId="57208A84" w14:textId="77777777" w:rsidR="001C1D18" w:rsidRDefault="00217595">
            <w:pPr>
              <w:spacing w:beforeLines="50" w:before="120" w:afterLines="50" w:after="120" w:line="276" w:lineRule="auto"/>
              <w:jc w:val="center"/>
              <w:rPr>
                <w:b/>
                <w:bCs/>
                <w:sz w:val="24"/>
                <w:szCs w:val="24"/>
              </w:rPr>
            </w:pPr>
            <w:r>
              <w:rPr>
                <w:b/>
                <w:bCs/>
                <w:sz w:val="24"/>
                <w:szCs w:val="24"/>
              </w:rPr>
              <w:t>Taste</w:t>
            </w:r>
          </w:p>
        </w:tc>
        <w:tc>
          <w:tcPr>
            <w:tcW w:w="857" w:type="pct"/>
            <w:tcBorders>
              <w:top w:val="single" w:sz="4" w:space="0" w:color="auto"/>
              <w:bottom w:val="single" w:sz="4" w:space="0" w:color="auto"/>
            </w:tcBorders>
            <w:vAlign w:val="center"/>
          </w:tcPr>
          <w:p w14:paraId="166EC5BE" w14:textId="77777777" w:rsidR="001C1D18" w:rsidRDefault="00217595">
            <w:pPr>
              <w:spacing w:beforeLines="50" w:before="120" w:afterLines="50" w:after="120" w:line="276" w:lineRule="auto"/>
              <w:jc w:val="center"/>
              <w:rPr>
                <w:b/>
                <w:bCs/>
                <w:sz w:val="24"/>
                <w:szCs w:val="24"/>
              </w:rPr>
            </w:pPr>
            <w:r>
              <w:rPr>
                <w:b/>
                <w:bCs/>
                <w:sz w:val="24"/>
                <w:szCs w:val="24"/>
              </w:rPr>
              <w:t>General Acceptability</w:t>
            </w:r>
          </w:p>
        </w:tc>
      </w:tr>
      <w:tr w:rsidR="001C1D18" w14:paraId="7ED32ADC" w14:textId="77777777">
        <w:trPr>
          <w:trHeight w:val="602"/>
          <w:jc w:val="center"/>
        </w:trPr>
        <w:tc>
          <w:tcPr>
            <w:tcW w:w="531" w:type="pct"/>
            <w:vAlign w:val="center"/>
          </w:tcPr>
          <w:p w14:paraId="77F4E76A"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CON</w:t>
            </w:r>
          </w:p>
        </w:tc>
        <w:tc>
          <w:tcPr>
            <w:tcW w:w="790" w:type="pct"/>
            <w:vAlign w:val="center"/>
          </w:tcPr>
          <w:p w14:paraId="095ECB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b</w:t>
            </w:r>
            <w:r>
              <w:rPr>
                <w:rFonts w:eastAsia="SimSun"/>
                <w:sz w:val="24"/>
                <w:szCs w:val="24"/>
                <w:lang w:eastAsia="zh-CN"/>
              </w:rPr>
              <w:t>±2.78</w:t>
            </w:r>
          </w:p>
        </w:tc>
        <w:tc>
          <w:tcPr>
            <w:tcW w:w="684" w:type="pct"/>
            <w:vAlign w:val="center"/>
          </w:tcPr>
          <w:p w14:paraId="14BEB42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a</w:t>
            </w:r>
            <w:r>
              <w:rPr>
                <w:rFonts w:eastAsia="SimSun"/>
                <w:sz w:val="24"/>
                <w:szCs w:val="24"/>
                <w:lang w:eastAsia="zh-CN"/>
              </w:rPr>
              <w:t>±2.34</w:t>
            </w:r>
          </w:p>
        </w:tc>
        <w:tc>
          <w:tcPr>
            <w:tcW w:w="684" w:type="pct"/>
            <w:vAlign w:val="center"/>
          </w:tcPr>
          <w:p w14:paraId="7312D73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±2.52</w:t>
            </w:r>
          </w:p>
        </w:tc>
        <w:tc>
          <w:tcPr>
            <w:tcW w:w="726" w:type="pct"/>
            <w:vAlign w:val="center"/>
          </w:tcPr>
          <w:p w14:paraId="34D86ED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b</w:t>
            </w:r>
            <w:r>
              <w:rPr>
                <w:rFonts w:eastAsia="SimSun"/>
                <w:sz w:val="24"/>
                <w:szCs w:val="24"/>
                <w:lang w:eastAsia="zh-CN"/>
              </w:rPr>
              <w:t>±2.26</w:t>
            </w:r>
          </w:p>
        </w:tc>
        <w:tc>
          <w:tcPr>
            <w:tcW w:w="726" w:type="pct"/>
            <w:vAlign w:val="center"/>
          </w:tcPr>
          <w:p w14:paraId="6E22128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±2.36</w:t>
            </w:r>
          </w:p>
        </w:tc>
        <w:tc>
          <w:tcPr>
            <w:tcW w:w="857" w:type="pct"/>
            <w:vAlign w:val="center"/>
          </w:tcPr>
          <w:p w14:paraId="2C2E147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3.93</w:t>
            </w:r>
            <w:r>
              <w:rPr>
                <w:rFonts w:eastAsia="SimSun"/>
                <w:sz w:val="24"/>
                <w:szCs w:val="24"/>
                <w:vertAlign w:val="superscript"/>
                <w:lang w:eastAsia="zh-CN"/>
              </w:rPr>
              <w:t>b</w:t>
            </w:r>
            <w:r>
              <w:rPr>
                <w:rFonts w:eastAsia="SimSun"/>
                <w:sz w:val="24"/>
                <w:szCs w:val="24"/>
                <w:lang w:eastAsia="zh-CN"/>
              </w:rPr>
              <w:t>±1.84</w:t>
            </w:r>
          </w:p>
        </w:tc>
      </w:tr>
      <w:tr w:rsidR="001C1D18" w14:paraId="623ACF41" w14:textId="77777777">
        <w:trPr>
          <w:trHeight w:val="602"/>
          <w:jc w:val="center"/>
        </w:trPr>
        <w:tc>
          <w:tcPr>
            <w:tcW w:w="531" w:type="pct"/>
            <w:tcBorders>
              <w:top w:val="single" w:sz="4" w:space="0" w:color="auto"/>
            </w:tcBorders>
            <w:vAlign w:val="center"/>
          </w:tcPr>
          <w:p w14:paraId="062024C6"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G33</w:t>
            </w:r>
          </w:p>
        </w:tc>
        <w:tc>
          <w:tcPr>
            <w:tcW w:w="790" w:type="pct"/>
            <w:tcBorders>
              <w:top w:val="single" w:sz="4" w:space="0" w:color="auto"/>
            </w:tcBorders>
            <w:vAlign w:val="center"/>
          </w:tcPr>
          <w:p w14:paraId="1A2F744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6.33</w:t>
            </w:r>
            <w:r>
              <w:rPr>
                <w:rFonts w:eastAsia="SimSun"/>
                <w:sz w:val="24"/>
                <w:szCs w:val="24"/>
                <w:vertAlign w:val="superscript"/>
                <w:lang w:eastAsia="zh-CN"/>
              </w:rPr>
              <w:t>ab</w:t>
            </w:r>
            <w:r>
              <w:rPr>
                <w:rFonts w:eastAsia="SimSun"/>
                <w:sz w:val="24"/>
                <w:szCs w:val="24"/>
                <w:lang w:eastAsia="zh-CN"/>
              </w:rPr>
              <w:t>±2.26</w:t>
            </w:r>
          </w:p>
        </w:tc>
        <w:tc>
          <w:tcPr>
            <w:tcW w:w="684" w:type="pct"/>
            <w:tcBorders>
              <w:top w:val="single" w:sz="4" w:space="0" w:color="auto"/>
            </w:tcBorders>
            <w:vAlign w:val="center"/>
          </w:tcPr>
          <w:p w14:paraId="298DACE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±1.70</w:t>
            </w:r>
          </w:p>
        </w:tc>
        <w:tc>
          <w:tcPr>
            <w:tcW w:w="684" w:type="pct"/>
            <w:tcBorders>
              <w:top w:val="single" w:sz="4" w:space="0" w:color="auto"/>
            </w:tcBorders>
            <w:vAlign w:val="center"/>
          </w:tcPr>
          <w:p w14:paraId="3B2EE83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6.80</w:t>
            </w:r>
            <w:r>
              <w:rPr>
                <w:rFonts w:eastAsia="SimSun"/>
                <w:sz w:val="24"/>
                <w:szCs w:val="24"/>
                <w:vertAlign w:val="superscript"/>
                <w:lang w:eastAsia="zh-CN"/>
              </w:rPr>
              <w:t>a</w:t>
            </w:r>
            <w:r>
              <w:rPr>
                <w:rFonts w:eastAsia="SimSun"/>
                <w:sz w:val="24"/>
                <w:szCs w:val="24"/>
                <w:lang w:eastAsia="zh-CN"/>
              </w:rPr>
              <w:t>±1.54</w:t>
            </w:r>
          </w:p>
        </w:tc>
        <w:tc>
          <w:tcPr>
            <w:tcW w:w="726" w:type="pct"/>
            <w:tcBorders>
              <w:top w:val="single" w:sz="4" w:space="0" w:color="auto"/>
            </w:tcBorders>
            <w:vAlign w:val="center"/>
          </w:tcPr>
          <w:p w14:paraId="118F7F1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5.10</w:t>
            </w:r>
            <w:r>
              <w:rPr>
                <w:rFonts w:eastAsia="SimSun"/>
                <w:sz w:val="24"/>
                <w:szCs w:val="24"/>
                <w:vertAlign w:val="superscript"/>
                <w:lang w:eastAsia="zh-CN"/>
              </w:rPr>
              <w:t>ab</w:t>
            </w:r>
            <w:r>
              <w:rPr>
                <w:rFonts w:eastAsia="SimSun"/>
                <w:sz w:val="24"/>
                <w:szCs w:val="24"/>
                <w:lang w:eastAsia="zh-CN"/>
              </w:rPr>
              <w:t>±2.16</w:t>
            </w:r>
          </w:p>
        </w:tc>
        <w:tc>
          <w:tcPr>
            <w:tcW w:w="726" w:type="pct"/>
            <w:tcBorders>
              <w:top w:val="single" w:sz="4" w:space="0" w:color="auto"/>
            </w:tcBorders>
            <w:vAlign w:val="center"/>
          </w:tcPr>
          <w:p w14:paraId="490A770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3.73</w:t>
            </w:r>
            <w:r>
              <w:rPr>
                <w:rFonts w:eastAsia="SimSun"/>
                <w:sz w:val="24"/>
                <w:szCs w:val="24"/>
                <w:vertAlign w:val="superscript"/>
                <w:lang w:eastAsia="zh-CN"/>
              </w:rPr>
              <w:t>b</w:t>
            </w:r>
            <w:r>
              <w:rPr>
                <w:rFonts w:eastAsia="SimSun"/>
                <w:sz w:val="24"/>
                <w:szCs w:val="24"/>
                <w:lang w:eastAsia="zh-CN"/>
              </w:rPr>
              <w:t>±2.00</w:t>
            </w:r>
          </w:p>
        </w:tc>
        <w:tc>
          <w:tcPr>
            <w:tcW w:w="857" w:type="pct"/>
            <w:tcBorders>
              <w:top w:val="single" w:sz="4" w:space="0" w:color="auto"/>
            </w:tcBorders>
            <w:vAlign w:val="center"/>
          </w:tcPr>
          <w:p w14:paraId="31854F2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5.13</w:t>
            </w:r>
            <w:r>
              <w:rPr>
                <w:rFonts w:eastAsia="SimSun"/>
                <w:sz w:val="24"/>
                <w:szCs w:val="24"/>
                <w:vertAlign w:val="superscript"/>
                <w:lang w:eastAsia="zh-CN"/>
              </w:rPr>
              <w:t>a</w:t>
            </w:r>
            <w:r>
              <w:rPr>
                <w:rFonts w:eastAsia="SimSun"/>
                <w:sz w:val="24"/>
                <w:szCs w:val="24"/>
                <w:lang w:eastAsia="zh-CN"/>
              </w:rPr>
              <w:t>±1.72</w:t>
            </w:r>
          </w:p>
        </w:tc>
      </w:tr>
      <w:tr w:rsidR="001C1D18" w14:paraId="4B8D2835" w14:textId="77777777">
        <w:trPr>
          <w:trHeight w:val="590"/>
          <w:jc w:val="center"/>
        </w:trPr>
        <w:tc>
          <w:tcPr>
            <w:tcW w:w="531" w:type="pct"/>
            <w:vAlign w:val="center"/>
          </w:tcPr>
          <w:p w14:paraId="052DD805"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G55</w:t>
            </w:r>
          </w:p>
        </w:tc>
        <w:tc>
          <w:tcPr>
            <w:tcW w:w="790" w:type="pct"/>
            <w:vAlign w:val="center"/>
          </w:tcPr>
          <w:p w14:paraId="4AC4DE6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±1.74</w:t>
            </w:r>
          </w:p>
        </w:tc>
        <w:tc>
          <w:tcPr>
            <w:tcW w:w="684" w:type="pct"/>
            <w:vAlign w:val="center"/>
          </w:tcPr>
          <w:p w14:paraId="7D95042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±1.78</w:t>
            </w:r>
          </w:p>
        </w:tc>
        <w:tc>
          <w:tcPr>
            <w:tcW w:w="684" w:type="pct"/>
            <w:vAlign w:val="center"/>
          </w:tcPr>
          <w:p w14:paraId="58CD84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6.17</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5F6389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5.00</w:t>
            </w:r>
            <w:r>
              <w:rPr>
                <w:rFonts w:eastAsia="SimSun"/>
                <w:sz w:val="24"/>
                <w:szCs w:val="24"/>
                <w:vertAlign w:val="superscript"/>
                <w:lang w:eastAsia="zh-CN"/>
              </w:rPr>
              <w:t>ab</w:t>
            </w:r>
            <w:r>
              <w:rPr>
                <w:rFonts w:eastAsia="SimSun"/>
                <w:sz w:val="24"/>
                <w:szCs w:val="24"/>
                <w:lang w:eastAsia="zh-CN"/>
              </w:rPr>
              <w:t>±1.82</w:t>
            </w:r>
          </w:p>
        </w:tc>
        <w:tc>
          <w:tcPr>
            <w:tcW w:w="726" w:type="pct"/>
            <w:vAlign w:val="center"/>
          </w:tcPr>
          <w:p w14:paraId="0895C0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4.20</w:t>
            </w:r>
            <w:r>
              <w:rPr>
                <w:rFonts w:eastAsia="SimSun"/>
                <w:sz w:val="24"/>
                <w:szCs w:val="24"/>
                <w:vertAlign w:val="superscript"/>
                <w:lang w:eastAsia="zh-CN"/>
              </w:rPr>
              <w:t>ab</w:t>
            </w:r>
            <w:r>
              <w:rPr>
                <w:rFonts w:eastAsia="SimSun"/>
                <w:sz w:val="24"/>
                <w:szCs w:val="24"/>
                <w:lang w:eastAsia="zh-CN"/>
              </w:rPr>
              <w:t>±2.02</w:t>
            </w:r>
          </w:p>
        </w:tc>
        <w:tc>
          <w:tcPr>
            <w:tcW w:w="857" w:type="pct"/>
            <w:vAlign w:val="center"/>
          </w:tcPr>
          <w:p w14:paraId="7400536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4.73</w:t>
            </w:r>
            <w:r>
              <w:rPr>
                <w:rFonts w:eastAsia="SimSun"/>
                <w:sz w:val="24"/>
                <w:szCs w:val="24"/>
                <w:vertAlign w:val="superscript"/>
                <w:lang w:eastAsia="zh-CN"/>
              </w:rPr>
              <w:t>ab</w:t>
            </w:r>
            <w:r>
              <w:rPr>
                <w:rFonts w:eastAsia="SimSun"/>
                <w:sz w:val="24"/>
                <w:szCs w:val="24"/>
                <w:lang w:eastAsia="zh-CN"/>
              </w:rPr>
              <w:t>±1.98</w:t>
            </w:r>
          </w:p>
        </w:tc>
      </w:tr>
      <w:tr w:rsidR="001C1D18" w14:paraId="2426D8E8" w14:textId="77777777">
        <w:trPr>
          <w:trHeight w:val="590"/>
          <w:jc w:val="center"/>
        </w:trPr>
        <w:tc>
          <w:tcPr>
            <w:tcW w:w="531" w:type="pct"/>
            <w:vAlign w:val="center"/>
          </w:tcPr>
          <w:p w14:paraId="014C484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G77</w:t>
            </w:r>
          </w:p>
        </w:tc>
        <w:tc>
          <w:tcPr>
            <w:tcW w:w="790" w:type="pct"/>
            <w:vAlign w:val="center"/>
          </w:tcPr>
          <w:p w14:paraId="667EA40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6.67</w:t>
            </w:r>
            <w:r>
              <w:rPr>
                <w:rFonts w:eastAsia="SimSun"/>
                <w:sz w:val="24"/>
                <w:szCs w:val="24"/>
                <w:vertAlign w:val="superscript"/>
                <w:lang w:eastAsia="zh-CN"/>
              </w:rPr>
              <w:t>a</w:t>
            </w:r>
            <w:r>
              <w:rPr>
                <w:rFonts w:eastAsia="SimSun"/>
                <w:sz w:val="24"/>
                <w:szCs w:val="24"/>
                <w:lang w:eastAsia="zh-CN"/>
              </w:rPr>
              <w:t>±1.42</w:t>
            </w:r>
          </w:p>
        </w:tc>
        <w:tc>
          <w:tcPr>
            <w:tcW w:w="684" w:type="pct"/>
            <w:vAlign w:val="center"/>
          </w:tcPr>
          <w:p w14:paraId="2366F27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F7089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±1.72</w:t>
            </w:r>
          </w:p>
        </w:tc>
        <w:tc>
          <w:tcPr>
            <w:tcW w:w="726" w:type="pct"/>
            <w:vAlign w:val="center"/>
          </w:tcPr>
          <w:p w14:paraId="5B51745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±1.66</w:t>
            </w:r>
          </w:p>
        </w:tc>
        <w:tc>
          <w:tcPr>
            <w:tcW w:w="726" w:type="pct"/>
            <w:vAlign w:val="center"/>
          </w:tcPr>
          <w:p w14:paraId="5EEA28F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ab</w:t>
            </w:r>
            <w:r>
              <w:rPr>
                <w:rFonts w:eastAsia="SimSun"/>
                <w:sz w:val="24"/>
                <w:szCs w:val="24"/>
                <w:lang w:eastAsia="zh-CN"/>
              </w:rPr>
              <w:t>±1.53</w:t>
            </w:r>
          </w:p>
        </w:tc>
        <w:tc>
          <w:tcPr>
            <w:tcW w:w="857" w:type="pct"/>
            <w:vAlign w:val="center"/>
          </w:tcPr>
          <w:p w14:paraId="58327E5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±1.85</w:t>
            </w:r>
          </w:p>
        </w:tc>
      </w:tr>
      <w:tr w:rsidR="001C1D18" w14:paraId="0B20B5C9" w14:textId="77777777">
        <w:trPr>
          <w:trHeight w:val="590"/>
          <w:jc w:val="center"/>
        </w:trPr>
        <w:tc>
          <w:tcPr>
            <w:tcW w:w="531" w:type="pct"/>
            <w:vAlign w:val="center"/>
          </w:tcPr>
          <w:p w14:paraId="015C005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T33</w:t>
            </w:r>
          </w:p>
        </w:tc>
        <w:tc>
          <w:tcPr>
            <w:tcW w:w="790" w:type="pct"/>
            <w:vAlign w:val="center"/>
          </w:tcPr>
          <w:p w14:paraId="4184FA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5.63</w:t>
            </w:r>
            <w:r>
              <w:rPr>
                <w:rFonts w:eastAsia="SimSun"/>
                <w:sz w:val="24"/>
                <w:szCs w:val="24"/>
                <w:vertAlign w:val="superscript"/>
                <w:lang w:eastAsia="zh-CN"/>
              </w:rPr>
              <w:t>ab</w:t>
            </w:r>
            <w:r>
              <w:rPr>
                <w:rFonts w:eastAsia="SimSun"/>
                <w:sz w:val="24"/>
                <w:szCs w:val="24"/>
                <w:lang w:eastAsia="zh-CN"/>
              </w:rPr>
              <w:t>±2.04</w:t>
            </w:r>
          </w:p>
        </w:tc>
        <w:tc>
          <w:tcPr>
            <w:tcW w:w="684" w:type="pct"/>
            <w:vAlign w:val="center"/>
          </w:tcPr>
          <w:p w14:paraId="258D700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±1.91</w:t>
            </w:r>
          </w:p>
        </w:tc>
        <w:tc>
          <w:tcPr>
            <w:tcW w:w="684" w:type="pct"/>
            <w:vAlign w:val="center"/>
          </w:tcPr>
          <w:p w14:paraId="3E0FC2A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6.13</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7DABD2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5.70</w:t>
            </w:r>
            <w:r>
              <w:rPr>
                <w:rFonts w:eastAsia="SimSun"/>
                <w:sz w:val="24"/>
                <w:szCs w:val="24"/>
                <w:vertAlign w:val="superscript"/>
                <w:lang w:eastAsia="zh-CN"/>
              </w:rPr>
              <w:t>a</w:t>
            </w:r>
            <w:r>
              <w:rPr>
                <w:rFonts w:eastAsia="SimSun"/>
                <w:sz w:val="24"/>
                <w:szCs w:val="24"/>
                <w:lang w:eastAsia="zh-CN"/>
              </w:rPr>
              <w:t>±1.71</w:t>
            </w:r>
          </w:p>
        </w:tc>
        <w:tc>
          <w:tcPr>
            <w:tcW w:w="726" w:type="pct"/>
            <w:vAlign w:val="center"/>
          </w:tcPr>
          <w:p w14:paraId="43C46F3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4.93</w:t>
            </w:r>
            <w:r>
              <w:rPr>
                <w:rFonts w:eastAsia="SimSun"/>
                <w:sz w:val="24"/>
                <w:szCs w:val="24"/>
                <w:vertAlign w:val="superscript"/>
                <w:lang w:eastAsia="zh-CN"/>
              </w:rPr>
              <w:t>a</w:t>
            </w:r>
            <w:r>
              <w:rPr>
                <w:rFonts w:eastAsia="SimSun"/>
                <w:sz w:val="24"/>
                <w:szCs w:val="24"/>
                <w:lang w:eastAsia="zh-CN"/>
              </w:rPr>
              <w:t>±2.08</w:t>
            </w:r>
          </w:p>
        </w:tc>
        <w:tc>
          <w:tcPr>
            <w:tcW w:w="857" w:type="pct"/>
            <w:vAlign w:val="center"/>
          </w:tcPr>
          <w:p w14:paraId="61EAE35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±1.96</w:t>
            </w:r>
          </w:p>
        </w:tc>
      </w:tr>
      <w:tr w:rsidR="001C1D18" w14:paraId="76D65584" w14:textId="77777777">
        <w:trPr>
          <w:trHeight w:val="590"/>
          <w:jc w:val="center"/>
        </w:trPr>
        <w:tc>
          <w:tcPr>
            <w:tcW w:w="531" w:type="pct"/>
            <w:vAlign w:val="center"/>
          </w:tcPr>
          <w:p w14:paraId="00EA9B7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T55</w:t>
            </w:r>
          </w:p>
        </w:tc>
        <w:tc>
          <w:tcPr>
            <w:tcW w:w="790" w:type="pct"/>
            <w:vAlign w:val="center"/>
          </w:tcPr>
          <w:p w14:paraId="4359F31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5.20</w:t>
            </w:r>
            <w:r>
              <w:rPr>
                <w:rFonts w:eastAsia="SimSun"/>
                <w:sz w:val="24"/>
                <w:szCs w:val="24"/>
                <w:vertAlign w:val="superscript"/>
                <w:lang w:eastAsia="zh-CN"/>
              </w:rPr>
              <w:t>b</w:t>
            </w:r>
            <w:r>
              <w:rPr>
                <w:rFonts w:eastAsia="SimSun"/>
                <w:sz w:val="24"/>
                <w:szCs w:val="24"/>
                <w:lang w:eastAsia="zh-CN"/>
              </w:rPr>
              <w:t>±2.41</w:t>
            </w:r>
          </w:p>
        </w:tc>
        <w:tc>
          <w:tcPr>
            <w:tcW w:w="684" w:type="pct"/>
            <w:vAlign w:val="center"/>
          </w:tcPr>
          <w:p w14:paraId="6CCFF6F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w:t>
            </w:r>
            <w:r>
              <w:rPr>
                <w:rFonts w:eastAsia="SimSun"/>
                <w:sz w:val="24"/>
                <w:szCs w:val="24"/>
                <w:lang w:eastAsia="zh-CN"/>
              </w:rPr>
              <w:t>±1.70</w:t>
            </w:r>
          </w:p>
        </w:tc>
        <w:tc>
          <w:tcPr>
            <w:tcW w:w="684" w:type="pct"/>
            <w:vAlign w:val="center"/>
          </w:tcPr>
          <w:p w14:paraId="014396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5.77</w:t>
            </w:r>
            <w:r>
              <w:rPr>
                <w:rFonts w:eastAsia="SimSun"/>
                <w:sz w:val="24"/>
                <w:szCs w:val="24"/>
                <w:vertAlign w:val="superscript"/>
                <w:lang w:eastAsia="zh-CN"/>
              </w:rPr>
              <w:t>a</w:t>
            </w:r>
            <w:r>
              <w:rPr>
                <w:rFonts w:eastAsia="SimSun"/>
                <w:sz w:val="24"/>
                <w:szCs w:val="24"/>
                <w:lang w:eastAsia="zh-CN"/>
              </w:rPr>
              <w:t>±1.94</w:t>
            </w:r>
          </w:p>
        </w:tc>
        <w:tc>
          <w:tcPr>
            <w:tcW w:w="726" w:type="pct"/>
            <w:vAlign w:val="center"/>
          </w:tcPr>
          <w:p w14:paraId="18DFCBC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b</w:t>
            </w:r>
            <w:r>
              <w:rPr>
                <w:rFonts w:eastAsia="SimSun"/>
                <w:sz w:val="24"/>
                <w:szCs w:val="24"/>
                <w:lang w:eastAsia="zh-CN"/>
              </w:rPr>
              <w:t>±1.87</w:t>
            </w:r>
          </w:p>
        </w:tc>
        <w:tc>
          <w:tcPr>
            <w:tcW w:w="726" w:type="pct"/>
            <w:vAlign w:val="center"/>
          </w:tcPr>
          <w:p w14:paraId="5C99A2C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3.47</w:t>
            </w:r>
            <w:r>
              <w:rPr>
                <w:rFonts w:eastAsia="SimSun"/>
                <w:sz w:val="24"/>
                <w:szCs w:val="24"/>
                <w:vertAlign w:val="superscript"/>
                <w:lang w:eastAsia="zh-CN"/>
              </w:rPr>
              <w:t>b</w:t>
            </w:r>
            <w:r>
              <w:rPr>
                <w:rFonts w:eastAsia="SimSun"/>
                <w:sz w:val="24"/>
                <w:szCs w:val="24"/>
                <w:lang w:eastAsia="zh-CN"/>
              </w:rPr>
              <w:t>±1.68</w:t>
            </w:r>
          </w:p>
        </w:tc>
        <w:tc>
          <w:tcPr>
            <w:tcW w:w="857" w:type="pct"/>
            <w:vAlign w:val="center"/>
          </w:tcPr>
          <w:p w14:paraId="0D079470"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4.63</w:t>
            </w:r>
            <w:r>
              <w:rPr>
                <w:rFonts w:eastAsia="SimSun"/>
                <w:sz w:val="24"/>
                <w:szCs w:val="24"/>
                <w:vertAlign w:val="superscript"/>
                <w:lang w:eastAsia="zh-CN"/>
              </w:rPr>
              <w:t>ab</w:t>
            </w:r>
            <w:r>
              <w:rPr>
                <w:rFonts w:eastAsia="SimSun"/>
                <w:sz w:val="24"/>
                <w:szCs w:val="24"/>
                <w:lang w:eastAsia="zh-CN"/>
              </w:rPr>
              <w:t>±1.59</w:t>
            </w:r>
          </w:p>
        </w:tc>
      </w:tr>
      <w:tr w:rsidR="001C1D18" w14:paraId="7007235F" w14:textId="77777777">
        <w:trPr>
          <w:trHeight w:val="590"/>
          <w:jc w:val="center"/>
        </w:trPr>
        <w:tc>
          <w:tcPr>
            <w:tcW w:w="531" w:type="pct"/>
            <w:vAlign w:val="center"/>
          </w:tcPr>
          <w:p w14:paraId="179B981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T77</w:t>
            </w:r>
          </w:p>
        </w:tc>
        <w:tc>
          <w:tcPr>
            <w:tcW w:w="790" w:type="pct"/>
            <w:vAlign w:val="center"/>
          </w:tcPr>
          <w:p w14:paraId="4725D2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5.60</w:t>
            </w:r>
            <w:r>
              <w:rPr>
                <w:rFonts w:eastAsia="SimSun"/>
                <w:sz w:val="24"/>
                <w:szCs w:val="24"/>
                <w:vertAlign w:val="superscript"/>
                <w:lang w:eastAsia="zh-CN"/>
              </w:rPr>
              <w:t>ab</w:t>
            </w:r>
            <w:r>
              <w:rPr>
                <w:rFonts w:eastAsia="SimSun"/>
                <w:sz w:val="24"/>
                <w:szCs w:val="24"/>
                <w:lang w:eastAsia="zh-CN"/>
              </w:rPr>
              <w:t>±1.79</w:t>
            </w:r>
          </w:p>
        </w:tc>
        <w:tc>
          <w:tcPr>
            <w:tcW w:w="684" w:type="pct"/>
            <w:vAlign w:val="center"/>
          </w:tcPr>
          <w:p w14:paraId="1113761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±1.81</w:t>
            </w:r>
          </w:p>
        </w:tc>
        <w:tc>
          <w:tcPr>
            <w:tcW w:w="684" w:type="pct"/>
            <w:vAlign w:val="center"/>
          </w:tcPr>
          <w:p w14:paraId="32A5C5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±1.81</w:t>
            </w:r>
          </w:p>
        </w:tc>
        <w:tc>
          <w:tcPr>
            <w:tcW w:w="726" w:type="pct"/>
            <w:vAlign w:val="center"/>
          </w:tcPr>
          <w:p w14:paraId="1C8500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ab</w:t>
            </w:r>
            <w:r>
              <w:rPr>
                <w:rFonts w:eastAsia="SimSun"/>
                <w:sz w:val="24"/>
                <w:szCs w:val="24"/>
                <w:lang w:eastAsia="zh-CN"/>
              </w:rPr>
              <w:t>±1.91</w:t>
            </w:r>
          </w:p>
        </w:tc>
        <w:tc>
          <w:tcPr>
            <w:tcW w:w="726" w:type="pct"/>
            <w:vAlign w:val="center"/>
          </w:tcPr>
          <w:p w14:paraId="356E2FB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4.00</w:t>
            </w:r>
            <w:r>
              <w:rPr>
                <w:rFonts w:eastAsia="SimSun"/>
                <w:sz w:val="24"/>
                <w:szCs w:val="24"/>
                <w:vertAlign w:val="superscript"/>
                <w:lang w:eastAsia="zh-CN"/>
              </w:rPr>
              <w:t>ab</w:t>
            </w:r>
            <w:r>
              <w:rPr>
                <w:rFonts w:eastAsia="SimSun"/>
                <w:sz w:val="24"/>
                <w:szCs w:val="24"/>
                <w:lang w:eastAsia="zh-CN"/>
              </w:rPr>
              <w:t>±1.66</w:t>
            </w:r>
          </w:p>
        </w:tc>
        <w:tc>
          <w:tcPr>
            <w:tcW w:w="857" w:type="pct"/>
            <w:vAlign w:val="center"/>
          </w:tcPr>
          <w:p w14:paraId="5F2A2C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4.67</w:t>
            </w:r>
            <w:r>
              <w:rPr>
                <w:rFonts w:eastAsia="SimSun"/>
                <w:sz w:val="24"/>
                <w:szCs w:val="24"/>
                <w:vertAlign w:val="superscript"/>
                <w:lang w:eastAsia="zh-CN"/>
              </w:rPr>
              <w:t>ab</w:t>
            </w:r>
            <w:r>
              <w:rPr>
                <w:rFonts w:eastAsia="SimSun"/>
                <w:sz w:val="24"/>
                <w:szCs w:val="24"/>
                <w:lang w:eastAsia="zh-CN"/>
              </w:rPr>
              <w:t>±1.94</w:t>
            </w:r>
          </w:p>
        </w:tc>
      </w:tr>
      <w:tr w:rsidR="001C1D18" w14:paraId="352973F3" w14:textId="77777777">
        <w:trPr>
          <w:trHeight w:val="590"/>
          <w:jc w:val="center"/>
        </w:trPr>
        <w:tc>
          <w:tcPr>
            <w:tcW w:w="531" w:type="pct"/>
            <w:vAlign w:val="center"/>
          </w:tcPr>
          <w:p w14:paraId="5CE4E999"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GT3</w:t>
            </w:r>
          </w:p>
        </w:tc>
        <w:tc>
          <w:tcPr>
            <w:tcW w:w="790" w:type="pct"/>
            <w:vAlign w:val="center"/>
          </w:tcPr>
          <w:p w14:paraId="54E2769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5.97</w:t>
            </w:r>
            <w:r>
              <w:rPr>
                <w:rFonts w:eastAsia="SimSun"/>
                <w:sz w:val="24"/>
                <w:szCs w:val="24"/>
                <w:vertAlign w:val="superscript"/>
                <w:lang w:eastAsia="zh-CN"/>
              </w:rPr>
              <w:t>ab</w:t>
            </w:r>
            <w:r>
              <w:rPr>
                <w:rFonts w:eastAsia="SimSun"/>
                <w:sz w:val="24"/>
                <w:szCs w:val="24"/>
                <w:lang w:eastAsia="zh-CN"/>
              </w:rPr>
              <w:t>±1.99</w:t>
            </w:r>
          </w:p>
        </w:tc>
        <w:tc>
          <w:tcPr>
            <w:tcW w:w="684" w:type="pct"/>
            <w:vAlign w:val="center"/>
          </w:tcPr>
          <w:p w14:paraId="0EED2B5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BA3AAC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±1.61</w:t>
            </w:r>
          </w:p>
        </w:tc>
        <w:tc>
          <w:tcPr>
            <w:tcW w:w="726" w:type="pct"/>
            <w:vAlign w:val="center"/>
          </w:tcPr>
          <w:p w14:paraId="10DC554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ab</w:t>
            </w:r>
            <w:r>
              <w:rPr>
                <w:rFonts w:eastAsia="SimSun"/>
                <w:sz w:val="24"/>
                <w:szCs w:val="24"/>
                <w:lang w:eastAsia="zh-CN"/>
              </w:rPr>
              <w:t>±2.14</w:t>
            </w:r>
          </w:p>
        </w:tc>
        <w:tc>
          <w:tcPr>
            <w:tcW w:w="726" w:type="pct"/>
            <w:vAlign w:val="center"/>
          </w:tcPr>
          <w:p w14:paraId="6FC0B10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±1.76</w:t>
            </w:r>
          </w:p>
        </w:tc>
        <w:tc>
          <w:tcPr>
            <w:tcW w:w="857" w:type="pct"/>
            <w:vAlign w:val="center"/>
          </w:tcPr>
          <w:p w14:paraId="4E55304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±1.65</w:t>
            </w:r>
          </w:p>
        </w:tc>
      </w:tr>
      <w:tr w:rsidR="001C1D18" w14:paraId="6BEA1FA2" w14:textId="77777777">
        <w:trPr>
          <w:trHeight w:val="590"/>
          <w:jc w:val="center"/>
        </w:trPr>
        <w:tc>
          <w:tcPr>
            <w:tcW w:w="531" w:type="pct"/>
            <w:vAlign w:val="center"/>
          </w:tcPr>
          <w:p w14:paraId="1252038D"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GT5</w:t>
            </w:r>
          </w:p>
        </w:tc>
        <w:tc>
          <w:tcPr>
            <w:tcW w:w="790" w:type="pct"/>
            <w:vAlign w:val="center"/>
          </w:tcPr>
          <w:p w14:paraId="6F5EFCA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±2.01</w:t>
            </w:r>
          </w:p>
        </w:tc>
        <w:tc>
          <w:tcPr>
            <w:tcW w:w="684" w:type="pct"/>
            <w:vAlign w:val="center"/>
          </w:tcPr>
          <w:p w14:paraId="2A0EA67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w:t>
            </w:r>
            <w:r>
              <w:rPr>
                <w:rFonts w:eastAsia="SimSun"/>
                <w:sz w:val="24"/>
                <w:szCs w:val="24"/>
                <w:lang w:eastAsia="zh-CN"/>
              </w:rPr>
              <w:t>±1.82</w:t>
            </w:r>
          </w:p>
        </w:tc>
        <w:tc>
          <w:tcPr>
            <w:tcW w:w="684" w:type="pct"/>
            <w:vAlign w:val="center"/>
          </w:tcPr>
          <w:p w14:paraId="0F153EB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±1.91</w:t>
            </w:r>
          </w:p>
        </w:tc>
        <w:tc>
          <w:tcPr>
            <w:tcW w:w="726" w:type="pct"/>
            <w:vAlign w:val="center"/>
          </w:tcPr>
          <w:p w14:paraId="3D137BE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5.17</w:t>
            </w:r>
            <w:r>
              <w:rPr>
                <w:rFonts w:eastAsia="SimSun"/>
                <w:sz w:val="24"/>
                <w:szCs w:val="24"/>
                <w:vertAlign w:val="superscript"/>
                <w:lang w:eastAsia="zh-CN"/>
              </w:rPr>
              <w:t>ab</w:t>
            </w:r>
            <w:r>
              <w:rPr>
                <w:rFonts w:eastAsia="SimSun"/>
                <w:sz w:val="24"/>
                <w:szCs w:val="24"/>
                <w:lang w:eastAsia="zh-CN"/>
              </w:rPr>
              <w:t>±2.23</w:t>
            </w:r>
          </w:p>
        </w:tc>
        <w:tc>
          <w:tcPr>
            <w:tcW w:w="726" w:type="pct"/>
            <w:vAlign w:val="center"/>
          </w:tcPr>
          <w:p w14:paraId="2F85E23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ab</w:t>
            </w:r>
            <w:r>
              <w:rPr>
                <w:rFonts w:eastAsia="SimSun"/>
                <w:sz w:val="24"/>
                <w:szCs w:val="24"/>
                <w:lang w:eastAsia="zh-CN"/>
              </w:rPr>
              <w:t>±1.85</w:t>
            </w:r>
          </w:p>
        </w:tc>
        <w:tc>
          <w:tcPr>
            <w:tcW w:w="857" w:type="pct"/>
            <w:vAlign w:val="center"/>
          </w:tcPr>
          <w:p w14:paraId="3E44AE9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4.60</w:t>
            </w:r>
            <w:r>
              <w:rPr>
                <w:rFonts w:eastAsia="SimSun"/>
                <w:sz w:val="24"/>
                <w:szCs w:val="24"/>
                <w:vertAlign w:val="superscript"/>
                <w:lang w:eastAsia="zh-CN"/>
              </w:rPr>
              <w:t>ab</w:t>
            </w:r>
            <w:r>
              <w:rPr>
                <w:rFonts w:eastAsia="SimSun"/>
                <w:sz w:val="24"/>
                <w:szCs w:val="24"/>
                <w:lang w:eastAsia="zh-CN"/>
              </w:rPr>
              <w:t>±1.99</w:t>
            </w:r>
          </w:p>
        </w:tc>
      </w:tr>
      <w:tr w:rsidR="001C1D18" w14:paraId="053E9BF5" w14:textId="77777777">
        <w:trPr>
          <w:trHeight w:val="590"/>
          <w:jc w:val="center"/>
        </w:trPr>
        <w:tc>
          <w:tcPr>
            <w:tcW w:w="531" w:type="pct"/>
            <w:tcBorders>
              <w:bottom w:val="single" w:sz="4" w:space="0" w:color="auto"/>
            </w:tcBorders>
            <w:vAlign w:val="center"/>
          </w:tcPr>
          <w:p w14:paraId="0FCC68B7"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GT7</w:t>
            </w:r>
          </w:p>
        </w:tc>
        <w:tc>
          <w:tcPr>
            <w:tcW w:w="790" w:type="pct"/>
            <w:tcBorders>
              <w:bottom w:val="single" w:sz="4" w:space="0" w:color="auto"/>
            </w:tcBorders>
            <w:vAlign w:val="center"/>
          </w:tcPr>
          <w:p w14:paraId="2FD9E67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ab</w:t>
            </w:r>
            <w:r>
              <w:rPr>
                <w:rFonts w:eastAsia="SimSun"/>
                <w:sz w:val="24"/>
                <w:szCs w:val="24"/>
                <w:lang w:eastAsia="zh-CN"/>
              </w:rPr>
              <w:t>±2.17</w:t>
            </w:r>
          </w:p>
        </w:tc>
        <w:tc>
          <w:tcPr>
            <w:tcW w:w="684" w:type="pct"/>
            <w:tcBorders>
              <w:bottom w:val="single" w:sz="4" w:space="0" w:color="auto"/>
            </w:tcBorders>
            <w:vAlign w:val="center"/>
          </w:tcPr>
          <w:p w14:paraId="556AF6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w:t>
            </w:r>
            <w:r>
              <w:rPr>
                <w:rFonts w:eastAsia="SimSun"/>
                <w:sz w:val="24"/>
                <w:szCs w:val="24"/>
                <w:lang w:eastAsia="zh-CN"/>
              </w:rPr>
              <w:t>±2.11</w:t>
            </w:r>
          </w:p>
        </w:tc>
        <w:tc>
          <w:tcPr>
            <w:tcW w:w="684" w:type="pct"/>
            <w:tcBorders>
              <w:bottom w:val="single" w:sz="4" w:space="0" w:color="auto"/>
            </w:tcBorders>
            <w:vAlign w:val="center"/>
          </w:tcPr>
          <w:p w14:paraId="037647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5.93</w:t>
            </w:r>
            <w:r>
              <w:rPr>
                <w:rFonts w:eastAsia="SimSun"/>
                <w:sz w:val="24"/>
                <w:szCs w:val="24"/>
                <w:vertAlign w:val="superscript"/>
                <w:lang w:eastAsia="zh-CN"/>
              </w:rPr>
              <w:t>a</w:t>
            </w:r>
            <w:r>
              <w:rPr>
                <w:rFonts w:eastAsia="SimSun"/>
                <w:sz w:val="24"/>
                <w:szCs w:val="24"/>
                <w:lang w:eastAsia="zh-CN"/>
              </w:rPr>
              <w:t>±2.24</w:t>
            </w:r>
          </w:p>
        </w:tc>
        <w:tc>
          <w:tcPr>
            <w:tcW w:w="726" w:type="pct"/>
            <w:tcBorders>
              <w:bottom w:val="single" w:sz="4" w:space="0" w:color="auto"/>
            </w:tcBorders>
            <w:vAlign w:val="center"/>
          </w:tcPr>
          <w:p w14:paraId="6B9EE75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ab</w:t>
            </w:r>
            <w:r>
              <w:rPr>
                <w:rFonts w:eastAsia="SimSun"/>
                <w:sz w:val="24"/>
                <w:szCs w:val="24"/>
                <w:lang w:eastAsia="zh-CN"/>
              </w:rPr>
              <w:t>±2.03</w:t>
            </w:r>
          </w:p>
        </w:tc>
        <w:tc>
          <w:tcPr>
            <w:tcW w:w="726" w:type="pct"/>
            <w:tcBorders>
              <w:bottom w:val="single" w:sz="4" w:space="0" w:color="auto"/>
            </w:tcBorders>
            <w:vAlign w:val="center"/>
          </w:tcPr>
          <w:p w14:paraId="4A1D6D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4.40</w:t>
            </w:r>
            <w:r>
              <w:rPr>
                <w:rFonts w:eastAsia="SimSun"/>
                <w:sz w:val="24"/>
                <w:szCs w:val="24"/>
                <w:vertAlign w:val="superscript"/>
                <w:lang w:eastAsia="zh-CN"/>
              </w:rPr>
              <w:t>ab</w:t>
            </w:r>
            <w:r>
              <w:rPr>
                <w:rFonts w:eastAsia="SimSun"/>
                <w:sz w:val="24"/>
                <w:szCs w:val="24"/>
                <w:lang w:eastAsia="zh-CN"/>
              </w:rPr>
              <w:t>±2.14</w:t>
            </w:r>
          </w:p>
        </w:tc>
        <w:tc>
          <w:tcPr>
            <w:tcW w:w="857" w:type="pct"/>
            <w:tcBorders>
              <w:bottom w:val="single" w:sz="4" w:space="0" w:color="auto"/>
            </w:tcBorders>
            <w:vAlign w:val="center"/>
          </w:tcPr>
          <w:p w14:paraId="65F864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±2.05</w:t>
            </w:r>
          </w:p>
        </w:tc>
      </w:tr>
      <w:tr w:rsidR="001C1D18" w14:paraId="4F6C621C" w14:textId="77777777">
        <w:trPr>
          <w:trHeight w:val="613"/>
          <w:jc w:val="center"/>
        </w:trPr>
        <w:tc>
          <w:tcPr>
            <w:tcW w:w="531" w:type="pct"/>
            <w:tcBorders>
              <w:top w:val="single" w:sz="4" w:space="0" w:color="auto"/>
              <w:bottom w:val="single" w:sz="4" w:space="0" w:color="auto"/>
            </w:tcBorders>
            <w:vAlign w:val="center"/>
          </w:tcPr>
          <w:p w14:paraId="4DF1B6EE"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LSD</w:t>
            </w:r>
          </w:p>
        </w:tc>
        <w:tc>
          <w:tcPr>
            <w:tcW w:w="790" w:type="pct"/>
            <w:tcBorders>
              <w:top w:val="single" w:sz="4" w:space="0" w:color="auto"/>
              <w:bottom w:val="single" w:sz="4" w:space="0" w:color="auto"/>
            </w:tcBorders>
            <w:vAlign w:val="center"/>
          </w:tcPr>
          <w:p w14:paraId="4D03B9C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1.223</w:t>
            </w:r>
          </w:p>
        </w:tc>
        <w:tc>
          <w:tcPr>
            <w:tcW w:w="684" w:type="pct"/>
            <w:tcBorders>
              <w:top w:val="single" w:sz="4" w:space="0" w:color="auto"/>
              <w:bottom w:val="single" w:sz="4" w:space="0" w:color="auto"/>
            </w:tcBorders>
            <w:vAlign w:val="center"/>
          </w:tcPr>
          <w:p w14:paraId="22F9ED2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1.105</w:t>
            </w:r>
          </w:p>
        </w:tc>
        <w:tc>
          <w:tcPr>
            <w:tcW w:w="684" w:type="pct"/>
            <w:tcBorders>
              <w:top w:val="single" w:sz="4" w:space="0" w:color="auto"/>
              <w:bottom w:val="single" w:sz="4" w:space="0" w:color="auto"/>
            </w:tcBorders>
            <w:vAlign w:val="center"/>
          </w:tcPr>
          <w:p w14:paraId="690C4C1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1.111</w:t>
            </w:r>
          </w:p>
        </w:tc>
        <w:tc>
          <w:tcPr>
            <w:tcW w:w="726" w:type="pct"/>
            <w:tcBorders>
              <w:top w:val="single" w:sz="4" w:space="0" w:color="auto"/>
              <w:bottom w:val="single" w:sz="4" w:space="0" w:color="auto"/>
            </w:tcBorders>
            <w:vAlign w:val="center"/>
          </w:tcPr>
          <w:p w14:paraId="17D09E9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1.161</w:t>
            </w:r>
          </w:p>
        </w:tc>
        <w:tc>
          <w:tcPr>
            <w:tcW w:w="726" w:type="pct"/>
            <w:tcBorders>
              <w:top w:val="single" w:sz="4" w:space="0" w:color="auto"/>
              <w:bottom w:val="single" w:sz="4" w:space="0" w:color="auto"/>
            </w:tcBorders>
            <w:vAlign w:val="center"/>
          </w:tcPr>
          <w:p w14:paraId="39601D0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1.124</w:t>
            </w:r>
          </w:p>
        </w:tc>
        <w:tc>
          <w:tcPr>
            <w:tcW w:w="857" w:type="pct"/>
            <w:tcBorders>
              <w:top w:val="single" w:sz="4" w:space="0" w:color="auto"/>
              <w:bottom w:val="single" w:sz="4" w:space="0" w:color="auto"/>
            </w:tcBorders>
            <w:vAlign w:val="center"/>
          </w:tcPr>
          <w:p w14:paraId="3747900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1.088</w:t>
            </w:r>
          </w:p>
        </w:tc>
      </w:tr>
    </w:tbl>
    <w:p w14:paraId="0BFCADA8" w14:textId="77777777" w:rsidR="001C1D18" w:rsidRDefault="00217595">
      <w:pPr>
        <w:pStyle w:val="TableParagraph"/>
        <w:spacing w:line="276" w:lineRule="auto"/>
        <w:jc w:val="both"/>
        <w:rPr>
          <w:sz w:val="24"/>
          <w:szCs w:val="24"/>
        </w:rPr>
      </w:pPr>
      <w:r>
        <w:rPr>
          <w:bCs/>
          <w:sz w:val="24"/>
          <w:szCs w:val="24"/>
        </w:rPr>
        <w:t>Means in the same column with similar superscript are not significantly different at (P&gt;0.05</w:t>
      </w:r>
      <w:r>
        <w:rPr>
          <w:sz w:val="24"/>
          <w:szCs w:val="24"/>
        </w:rPr>
        <w:t xml:space="preserve">). </w:t>
      </w:r>
    </w:p>
    <w:p w14:paraId="779EC591" w14:textId="77777777" w:rsidR="001C1D18" w:rsidRDefault="00217595">
      <w:pPr>
        <w:spacing w:line="276" w:lineRule="auto"/>
        <w:rPr>
          <w:bCs/>
          <w:iCs/>
          <w:sz w:val="24"/>
          <w:szCs w:val="24"/>
        </w:rPr>
      </w:pPr>
      <w:r>
        <w:rPr>
          <w:bCs/>
          <w:iCs/>
          <w:sz w:val="24"/>
          <w:szCs w:val="24"/>
        </w:rPr>
        <w:t>KEY:</w:t>
      </w:r>
    </w:p>
    <w:p w14:paraId="210E4D14" w14:textId="77777777" w:rsidR="001C1D18" w:rsidRDefault="00217595">
      <w:pPr>
        <w:spacing w:line="276" w:lineRule="auto"/>
        <w:rPr>
          <w:iCs/>
          <w:sz w:val="24"/>
          <w:szCs w:val="24"/>
        </w:rPr>
      </w:pPr>
      <w:r>
        <w:rPr>
          <w:b/>
          <w:bCs/>
          <w:iCs/>
          <w:sz w:val="24"/>
          <w:szCs w:val="24"/>
        </w:rPr>
        <w:t>G33</w:t>
      </w:r>
      <w:r>
        <w:rPr>
          <w:iCs/>
          <w:sz w:val="24"/>
          <w:szCs w:val="24"/>
        </w:rPr>
        <w:t>:-Cassava-groundnut snack bar with 3% concentration of ginger,</w:t>
      </w:r>
    </w:p>
    <w:p w14:paraId="3CAFC66B" w14:textId="77777777" w:rsidR="001C1D18" w:rsidRDefault="00217595">
      <w:pPr>
        <w:spacing w:line="276" w:lineRule="auto"/>
        <w:rPr>
          <w:iCs/>
          <w:sz w:val="24"/>
          <w:szCs w:val="24"/>
        </w:rPr>
      </w:pPr>
      <w:r>
        <w:rPr>
          <w:iCs/>
          <w:sz w:val="24"/>
          <w:szCs w:val="24"/>
        </w:rPr>
        <w:t xml:space="preserve"> </w:t>
      </w:r>
      <w:r>
        <w:rPr>
          <w:b/>
          <w:bCs/>
          <w:iCs/>
          <w:sz w:val="24"/>
          <w:szCs w:val="24"/>
        </w:rPr>
        <w:t>G55</w:t>
      </w:r>
      <w:r>
        <w:rPr>
          <w:iCs/>
          <w:sz w:val="24"/>
          <w:szCs w:val="24"/>
        </w:rPr>
        <w:t>:-Cassava-groundnut snack bar with 5% concentration of ginger,</w:t>
      </w:r>
    </w:p>
    <w:p w14:paraId="3E5BBBA8" w14:textId="77777777" w:rsidR="001C1D18" w:rsidRDefault="00217595">
      <w:pPr>
        <w:spacing w:line="276" w:lineRule="auto"/>
        <w:rPr>
          <w:iCs/>
          <w:sz w:val="24"/>
          <w:szCs w:val="24"/>
        </w:rPr>
      </w:pPr>
      <w:r>
        <w:rPr>
          <w:iCs/>
          <w:sz w:val="24"/>
          <w:szCs w:val="24"/>
        </w:rPr>
        <w:t xml:space="preserve"> </w:t>
      </w:r>
      <w:r>
        <w:rPr>
          <w:b/>
          <w:bCs/>
          <w:iCs/>
          <w:sz w:val="24"/>
          <w:szCs w:val="24"/>
        </w:rPr>
        <w:t>G77</w:t>
      </w:r>
      <w:r>
        <w:rPr>
          <w:iCs/>
          <w:sz w:val="24"/>
          <w:szCs w:val="24"/>
        </w:rPr>
        <w:t xml:space="preserve">- Cassava-groundnut snack bar 7% concentration of ginger, </w:t>
      </w:r>
    </w:p>
    <w:p w14:paraId="603AEC21" w14:textId="77777777" w:rsidR="001C1D18" w:rsidRDefault="00217595">
      <w:pPr>
        <w:spacing w:line="276" w:lineRule="auto"/>
        <w:rPr>
          <w:iCs/>
          <w:sz w:val="24"/>
          <w:szCs w:val="24"/>
        </w:rPr>
      </w:pPr>
      <w:r>
        <w:rPr>
          <w:b/>
          <w:bCs/>
          <w:iCs/>
          <w:sz w:val="24"/>
          <w:szCs w:val="24"/>
        </w:rPr>
        <w:t>T33</w:t>
      </w:r>
      <w:r>
        <w:rPr>
          <w:iCs/>
          <w:sz w:val="24"/>
          <w:szCs w:val="24"/>
        </w:rPr>
        <w:t xml:space="preserve">:-Cassava-groundnut snack bar with 3% concentration of turmeric, </w:t>
      </w:r>
    </w:p>
    <w:p w14:paraId="4F818E7F" w14:textId="77777777" w:rsidR="001C1D18" w:rsidRDefault="00217595">
      <w:pPr>
        <w:spacing w:line="276" w:lineRule="auto"/>
        <w:rPr>
          <w:iCs/>
          <w:sz w:val="24"/>
          <w:szCs w:val="24"/>
        </w:rPr>
      </w:pPr>
      <w:r>
        <w:rPr>
          <w:b/>
          <w:bCs/>
          <w:iCs/>
          <w:sz w:val="24"/>
          <w:szCs w:val="24"/>
        </w:rPr>
        <w:t>T55</w:t>
      </w:r>
      <w:r>
        <w:rPr>
          <w:iCs/>
          <w:sz w:val="24"/>
          <w:szCs w:val="24"/>
        </w:rPr>
        <w:t xml:space="preserve">:-Cassava-groundnut snack bar with 5% concentration of turmeric, </w:t>
      </w:r>
    </w:p>
    <w:p w14:paraId="3844762E" w14:textId="77777777" w:rsidR="001C1D18" w:rsidRDefault="00217595">
      <w:pPr>
        <w:spacing w:line="276" w:lineRule="auto"/>
        <w:rPr>
          <w:iCs/>
          <w:sz w:val="24"/>
          <w:szCs w:val="24"/>
        </w:rPr>
      </w:pPr>
      <w:r>
        <w:rPr>
          <w:b/>
          <w:bCs/>
          <w:iCs/>
          <w:sz w:val="24"/>
          <w:szCs w:val="24"/>
        </w:rPr>
        <w:t>T77</w:t>
      </w:r>
      <w:r>
        <w:rPr>
          <w:iCs/>
          <w:sz w:val="24"/>
          <w:szCs w:val="24"/>
        </w:rPr>
        <w:t xml:space="preserve">:-Cassava-groundnut snack bar with 7% concentration of turmeric, </w:t>
      </w:r>
    </w:p>
    <w:p w14:paraId="35768699" w14:textId="77777777" w:rsidR="001C1D18" w:rsidRDefault="00217595">
      <w:pPr>
        <w:spacing w:line="276" w:lineRule="auto"/>
        <w:rPr>
          <w:iCs/>
          <w:sz w:val="24"/>
          <w:szCs w:val="24"/>
        </w:rPr>
      </w:pPr>
      <w:r>
        <w:rPr>
          <w:b/>
          <w:bCs/>
          <w:iCs/>
          <w:sz w:val="24"/>
          <w:szCs w:val="24"/>
        </w:rPr>
        <w:t>GT3</w:t>
      </w:r>
      <w:r>
        <w:rPr>
          <w:iCs/>
          <w:sz w:val="24"/>
          <w:szCs w:val="24"/>
        </w:rPr>
        <w:t xml:space="preserve">:-Cassava-groundnut snack bar with 3% concentration of ginger/turmeric blend, </w:t>
      </w:r>
    </w:p>
    <w:p w14:paraId="1F1664CA" w14:textId="77777777" w:rsidR="001C1D18" w:rsidRDefault="00217595">
      <w:pPr>
        <w:spacing w:line="276" w:lineRule="auto"/>
        <w:rPr>
          <w:iCs/>
          <w:sz w:val="24"/>
          <w:szCs w:val="24"/>
        </w:rPr>
      </w:pPr>
      <w:r>
        <w:rPr>
          <w:b/>
          <w:bCs/>
          <w:iCs/>
          <w:sz w:val="24"/>
          <w:szCs w:val="24"/>
        </w:rPr>
        <w:t>GT5</w:t>
      </w:r>
      <w:r>
        <w:rPr>
          <w:iCs/>
          <w:sz w:val="24"/>
          <w:szCs w:val="24"/>
        </w:rPr>
        <w:t xml:space="preserve">:-Cassava-groundnut snack bar with 5% concentration of ginger/turmeric blend, </w:t>
      </w:r>
    </w:p>
    <w:p w14:paraId="39255E9E"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69ABA6F1" w14:textId="77777777" w:rsidR="001C1D18" w:rsidRDefault="00217595">
      <w:pPr>
        <w:spacing w:line="276" w:lineRule="auto"/>
        <w:rPr>
          <w:bCs/>
          <w:iCs/>
          <w:sz w:val="24"/>
          <w:szCs w:val="24"/>
        </w:rPr>
      </w:pPr>
      <w:r>
        <w:rPr>
          <w:b/>
          <w:bCs/>
          <w:iCs/>
          <w:sz w:val="24"/>
          <w:szCs w:val="24"/>
        </w:rPr>
        <w:t>CON</w:t>
      </w:r>
      <w:r>
        <w:rPr>
          <w:iCs/>
          <w:sz w:val="24"/>
          <w:szCs w:val="24"/>
        </w:rPr>
        <w:t>:-Cassava-groundnut snack bar without fortification (Control)</w:t>
      </w:r>
    </w:p>
    <w:p w14:paraId="793059B1" w14:textId="77777777" w:rsidR="001C1D18" w:rsidRDefault="001C1D18">
      <w:pPr>
        <w:pStyle w:val="TableParagraph"/>
        <w:spacing w:line="276" w:lineRule="auto"/>
        <w:jc w:val="both"/>
        <w:rPr>
          <w:b/>
          <w:bCs/>
          <w:sz w:val="24"/>
          <w:szCs w:val="24"/>
          <w:lang w:val="en-GB"/>
        </w:rPr>
      </w:pPr>
    </w:p>
    <w:p w14:paraId="4EEDDBF4" w14:textId="77777777" w:rsidR="001C1D18" w:rsidRDefault="001C1D18">
      <w:pPr>
        <w:pStyle w:val="TableParagraph"/>
        <w:spacing w:line="276" w:lineRule="auto"/>
        <w:jc w:val="both"/>
        <w:rPr>
          <w:b/>
          <w:bCs/>
          <w:sz w:val="24"/>
          <w:szCs w:val="24"/>
          <w:lang w:val="en-GB"/>
        </w:rPr>
      </w:pPr>
    </w:p>
    <w:p w14:paraId="161BF4D6" w14:textId="77777777" w:rsidR="001C1D18" w:rsidRDefault="001C1D18">
      <w:pPr>
        <w:pStyle w:val="TableParagraph"/>
        <w:spacing w:line="276" w:lineRule="auto"/>
        <w:jc w:val="both"/>
        <w:rPr>
          <w:b/>
          <w:bCs/>
          <w:sz w:val="24"/>
          <w:szCs w:val="24"/>
          <w:lang w:val="en-GB"/>
        </w:rPr>
      </w:pPr>
    </w:p>
    <w:p w14:paraId="498C7D60" w14:textId="77777777" w:rsidR="001C1D18" w:rsidRDefault="001C1D18">
      <w:pPr>
        <w:pStyle w:val="TableParagraph"/>
        <w:spacing w:line="276" w:lineRule="auto"/>
        <w:jc w:val="both"/>
        <w:rPr>
          <w:b/>
          <w:bCs/>
          <w:sz w:val="24"/>
          <w:szCs w:val="24"/>
          <w:lang w:val="en-GB"/>
        </w:rPr>
      </w:pPr>
    </w:p>
    <w:p w14:paraId="2DB2983A" w14:textId="77777777" w:rsidR="001C1D18" w:rsidRDefault="001C1D18">
      <w:pPr>
        <w:pStyle w:val="TableParagraph"/>
        <w:spacing w:line="276" w:lineRule="auto"/>
        <w:jc w:val="both"/>
        <w:rPr>
          <w:b/>
          <w:bCs/>
          <w:sz w:val="24"/>
          <w:szCs w:val="24"/>
          <w:lang w:val="en-GB"/>
        </w:rPr>
      </w:pPr>
    </w:p>
    <w:p w14:paraId="3786C66F" w14:textId="77777777" w:rsidR="001C1D18" w:rsidRDefault="001C1D18">
      <w:pPr>
        <w:pStyle w:val="TableParagraph"/>
        <w:spacing w:line="276" w:lineRule="auto"/>
        <w:jc w:val="both"/>
        <w:rPr>
          <w:b/>
          <w:bCs/>
          <w:sz w:val="24"/>
          <w:szCs w:val="24"/>
          <w:lang w:val="en-GB"/>
        </w:rPr>
      </w:pPr>
    </w:p>
    <w:p w14:paraId="0EECB844" w14:textId="77777777" w:rsidR="001C1D18" w:rsidRDefault="00217595">
      <w:pPr>
        <w:spacing w:before="240" w:line="276" w:lineRule="auto"/>
        <w:jc w:val="both"/>
        <w:rPr>
          <w:b/>
          <w:sz w:val="24"/>
          <w:szCs w:val="24"/>
        </w:rPr>
      </w:pPr>
      <w:r>
        <w:rPr>
          <w:b/>
          <w:sz w:val="24"/>
          <w:szCs w:val="24"/>
        </w:rPr>
        <w:lastRenderedPageBreak/>
        <w:t xml:space="preserve">5. CONCLUSION   </w:t>
      </w:r>
    </w:p>
    <w:p w14:paraId="2A65CB51" w14:textId="77777777" w:rsidR="001C1D18" w:rsidRDefault="00217595">
      <w:pPr>
        <w:pStyle w:val="Default"/>
        <w:spacing w:before="240" w:line="276" w:lineRule="auto"/>
        <w:jc w:val="both"/>
        <w:rPr>
          <w:color w:val="auto"/>
        </w:rPr>
      </w:pPr>
      <w:commentRangeStart w:id="49"/>
      <w:r>
        <w:rPr>
          <w:color w:val="auto"/>
        </w:rPr>
        <w:t>The study showed that the inclusion of ginger and turmeric significantly enhanced both the nutritional and sensory properties of cassava-groundnut energy bars</w:t>
      </w:r>
      <w:commentRangeEnd w:id="49"/>
      <w:r w:rsidR="00716D49">
        <w:rPr>
          <w:rStyle w:val="Marquedecommentaire"/>
          <w:color w:val="auto"/>
          <w:sz w:val="24"/>
          <w:szCs w:val="24"/>
        </w:rPr>
        <w:commentReference w:id="49"/>
      </w:r>
      <w:r>
        <w:rPr>
          <w:color w:val="auto"/>
        </w:rPr>
        <w:t xml:space="preserve">. Energy values ranged from 1144.31 kJ/100 g (T33) to 1339.54 kJ/100 g (CON), with most spiced samples showing comparable energy density to the control. Although the control was marginally higher, ginger and turmeric inclusion did not compromise caloric contribution, while enhancing protein, fibre, and mineral fractions. </w:t>
      </w:r>
      <w:commentRangeStart w:id="50"/>
      <w:r>
        <w:rPr>
          <w:color w:val="auto"/>
        </w:rPr>
        <w:t xml:space="preserve">The </w:t>
      </w:r>
      <w:commentRangeStart w:id="51"/>
      <w:r>
        <w:rPr>
          <w:color w:val="auto"/>
        </w:rPr>
        <w:t xml:space="preserve">Sensory </w:t>
      </w:r>
      <w:commentRangeEnd w:id="51"/>
      <w:r w:rsidR="003A639A">
        <w:rPr>
          <w:rStyle w:val="Marquedecommentaire"/>
          <w:color w:val="auto"/>
          <w:sz w:val="24"/>
          <w:szCs w:val="24"/>
        </w:rPr>
        <w:commentReference w:id="51"/>
      </w:r>
      <w:r>
        <w:rPr>
          <w:color w:val="auto"/>
        </w:rPr>
        <w:t>evaluations further validated the acceptability of spiced energy bars, with spiced samples receiving higher scores than the control for appearance, colour, flavour, taste, and general acceptability</w:t>
      </w:r>
      <w:commentRangeEnd w:id="50"/>
      <w:r w:rsidR="002272C8">
        <w:rPr>
          <w:rStyle w:val="Marquedecommentaire"/>
          <w:color w:val="auto"/>
          <w:sz w:val="24"/>
          <w:szCs w:val="24"/>
        </w:rPr>
        <w:commentReference w:id="50"/>
      </w:r>
      <w:r>
        <w:rPr>
          <w:color w:val="auto"/>
        </w:rPr>
        <w:t xml:space="preserve">. </w:t>
      </w:r>
      <w:commentRangeStart w:id="52"/>
      <w:r>
        <w:rPr>
          <w:color w:val="auto"/>
        </w:rPr>
        <w:t xml:space="preserve">The results indicated that moderate concentrations of turmeric (e.g., T33) and higher concentrations of ginger (e.g., G77) were particularly favoured, while the combination of ginger and turmeric </w:t>
      </w:r>
      <w:commentRangeStart w:id="53"/>
      <w:r>
        <w:rPr>
          <w:color w:val="auto"/>
        </w:rPr>
        <w:t>in balanced ratios (e.g., GT5 and GT7) offered a harmonious sensory experience.</w:t>
      </w:r>
      <w:commentRangeEnd w:id="53"/>
      <w:r w:rsidR="003A43AE">
        <w:rPr>
          <w:rStyle w:val="Marquedecommentaire"/>
          <w:color w:val="auto"/>
          <w:sz w:val="24"/>
          <w:szCs w:val="24"/>
        </w:rPr>
        <w:commentReference w:id="53"/>
      </w:r>
      <w:r>
        <w:rPr>
          <w:color w:val="auto"/>
        </w:rPr>
        <w:t xml:space="preserve"> </w:t>
      </w:r>
      <w:commentRangeEnd w:id="52"/>
      <w:r w:rsidR="0072766E">
        <w:rPr>
          <w:rStyle w:val="Marquedecommentaire"/>
          <w:color w:val="auto"/>
          <w:sz w:val="24"/>
          <w:szCs w:val="24"/>
        </w:rPr>
        <w:commentReference w:id="52"/>
      </w:r>
      <w:commentRangeStart w:id="54"/>
      <w:r>
        <w:rPr>
          <w:color w:val="auto"/>
        </w:rPr>
        <w:t xml:space="preserve">The fortification of cassava-groundnut energy bars with ginger and turmeric presents a promising strategy for developing nutritionally enriched snacks with improved health benefits and sensory appeal. </w:t>
      </w:r>
      <w:commentRangeEnd w:id="54"/>
      <w:r w:rsidR="00EB11A6">
        <w:rPr>
          <w:rStyle w:val="Marquedecommentaire"/>
          <w:color w:val="auto"/>
          <w:sz w:val="24"/>
          <w:szCs w:val="24"/>
        </w:rPr>
        <w:commentReference w:id="54"/>
      </w:r>
    </w:p>
    <w:p w14:paraId="1E35A843" w14:textId="77777777" w:rsidR="001C1D18" w:rsidRDefault="00217595">
      <w:pPr>
        <w:spacing w:before="240" w:line="276" w:lineRule="auto"/>
        <w:jc w:val="both"/>
        <w:rPr>
          <w:b/>
          <w:sz w:val="24"/>
          <w:szCs w:val="24"/>
        </w:rPr>
      </w:pPr>
      <w:r>
        <w:rPr>
          <w:b/>
          <w:sz w:val="24"/>
          <w:szCs w:val="24"/>
        </w:rPr>
        <w:t>DISCLAIMER (ARTIFICIAL INTELLIGENCE)</w:t>
      </w:r>
    </w:p>
    <w:p w14:paraId="0B84D0E9" w14:textId="77777777" w:rsidR="001C1D18" w:rsidRDefault="00217595">
      <w:pPr>
        <w:spacing w:before="240" w:line="276" w:lineRule="auto"/>
        <w:jc w:val="both"/>
        <w:rPr>
          <w:sz w:val="24"/>
          <w:szCs w:val="24"/>
        </w:rPr>
      </w:pPr>
      <w:r>
        <w:rPr>
          <w:sz w:val="24"/>
          <w:szCs w:val="24"/>
        </w:rPr>
        <w:t xml:space="preserve">Author(s) hereby declares that NO generative    AI    technologies    such    as    Large Language   Models (ChatGPT, COPILOT, etc.) and text-to-image generators have been used during the writing or editing of this manuscript. </w:t>
      </w:r>
    </w:p>
    <w:p w14:paraId="014F2176" w14:textId="77777777" w:rsidR="001C1D18" w:rsidRDefault="00217595">
      <w:pPr>
        <w:spacing w:before="240" w:line="276" w:lineRule="auto"/>
        <w:jc w:val="both"/>
        <w:rPr>
          <w:b/>
          <w:sz w:val="24"/>
          <w:szCs w:val="24"/>
        </w:rPr>
      </w:pPr>
      <w:r>
        <w:rPr>
          <w:b/>
          <w:sz w:val="24"/>
          <w:szCs w:val="24"/>
        </w:rPr>
        <w:t>COMPETING INTERESTS</w:t>
      </w:r>
    </w:p>
    <w:p w14:paraId="53C362CA" w14:textId="77777777" w:rsidR="001C1D18" w:rsidRDefault="00217595">
      <w:pPr>
        <w:spacing w:line="276" w:lineRule="auto"/>
        <w:jc w:val="both"/>
        <w:rPr>
          <w:sz w:val="24"/>
          <w:szCs w:val="24"/>
        </w:rPr>
      </w:pPr>
      <w:r>
        <w:rPr>
          <w:sz w:val="24"/>
          <w:szCs w:val="24"/>
        </w:rPr>
        <w:t>Authors    have    declared    that    no    competing interests exist.</w:t>
      </w:r>
    </w:p>
    <w:p w14:paraId="09B1BEB2" w14:textId="77777777" w:rsidR="001C1D18" w:rsidRDefault="001C1D18">
      <w:pPr>
        <w:spacing w:line="276" w:lineRule="auto"/>
        <w:jc w:val="both"/>
        <w:rPr>
          <w:sz w:val="24"/>
          <w:szCs w:val="24"/>
        </w:rPr>
      </w:pPr>
    </w:p>
    <w:p w14:paraId="02ED7368" w14:textId="77777777" w:rsidR="001C1D18" w:rsidRDefault="00217595">
      <w:pPr>
        <w:spacing w:line="276" w:lineRule="auto"/>
        <w:jc w:val="both"/>
        <w:rPr>
          <w:b/>
          <w:bCs/>
          <w:sz w:val="24"/>
          <w:szCs w:val="24"/>
        </w:rPr>
      </w:pPr>
      <w:r>
        <w:rPr>
          <w:b/>
          <w:bCs/>
          <w:sz w:val="24"/>
          <w:szCs w:val="24"/>
        </w:rPr>
        <w:t>REFERENCES</w:t>
      </w:r>
    </w:p>
    <w:p w14:paraId="6A710DDB" w14:textId="77777777" w:rsidR="001C1D18" w:rsidRDefault="001C1D18">
      <w:pPr>
        <w:spacing w:line="276" w:lineRule="auto"/>
        <w:jc w:val="both"/>
        <w:rPr>
          <w:sz w:val="24"/>
          <w:szCs w:val="24"/>
        </w:rPr>
      </w:pPr>
    </w:p>
    <w:p w14:paraId="0E2D89CB"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Abara, P. N., Adjeroh, L. A., Nwachukwu, M. O., &amp; Osinomumu, I. D. (2021). Differentiation between two spices: Zingiber officinale (ginger) and Curcuma longa (turmeric); their proximate, mineral and vitamin contents. IAA Journal of Scientific Research, 7(1), 17–24.</w:t>
      </w:r>
    </w:p>
    <w:p w14:paraId="040BE533"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Adeyemi, M. M., Bawa, M. H., &amp; Muktar, B. (2018). Evaluation of the effect of calcium carbide on induced ripening of banana and mango cultivated within Kaduna metropolis, Nigeria. Journal of Chemical Society, 43(2), 108–118.</w:t>
      </w:r>
    </w:p>
    <w:p w14:paraId="57648EB2"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 xml:space="preserve">Ajanaku, C. O. (2022). Functional bioactive compounds in ginger, turmeric, and garlic. Frontiers in Nutrition, 10, 1012023. </w:t>
      </w:r>
      <w:hyperlink r:id="rId22" w:history="1">
        <w:r>
          <w:rPr>
            <w:rStyle w:val="Lienhypertexte"/>
            <w:sz w:val="24"/>
            <w:szCs w:val="24"/>
          </w:rPr>
          <w:t>https://doi.org/10.3389/fnut.2022.1012023</w:t>
        </w:r>
      </w:hyperlink>
    </w:p>
    <w:p w14:paraId="47C33335"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Ali, B. H., Al Wabel, N. A., &amp; Bafakeeh, O. T. (2018). Ginger: A review on its health benefits. Journal of Medicinal Food, 21(5), 451–460.</w:t>
      </w:r>
    </w:p>
    <w:p w14:paraId="26904B5A"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Association of Official Analytical Chemists (AOAC). (2019). Official methods of analysis (21st ed.). Washington, DC.</w:t>
      </w:r>
    </w:p>
    <w:p w14:paraId="08A78009"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Cheong, W. Z., Lim, Y. S., &amp; Goh, J. X. (2022). The evolving landscape of the global snack food industry: Drivers and emerging trends. Trends in Food Science &amp; Technology, 128, 75–83.</w:t>
      </w:r>
    </w:p>
    <w:p w14:paraId="1CE77F8F"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Chilkawar, P. M. (2017). Development of process technology for nutritional multigrain bar and storage studies (MSc Thesis). Vasantrao Naik Marathwada Krishi Vidyapeeth, India.</w:t>
      </w:r>
    </w:p>
    <w:p w14:paraId="781563D1"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lastRenderedPageBreak/>
        <w:t>Edet, U. O., Osondu, N. O., &amp; Adebayo, T. A. (2023). Nutritional properties of cassava and groundnut: An African perspective. International Journal of Food Science and Nutrition, 7(1), 23–31.</w:t>
      </w:r>
    </w:p>
    <w:p w14:paraId="67A34514"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 xml:space="preserve">Edo, G. I. (2025). Phytochemical profile, therapeutic potentials, and nutritional attributes of ginger. Discover Food, 5, 280. </w:t>
      </w:r>
      <w:hyperlink r:id="rId23" w:history="1">
        <w:r>
          <w:rPr>
            <w:rStyle w:val="Lienhypertexte"/>
            <w:sz w:val="24"/>
            <w:szCs w:val="24"/>
          </w:rPr>
          <w:t>https://doi.org/10.1007/s44187-025-00280-2</w:t>
        </w:r>
      </w:hyperlink>
    </w:p>
    <w:p w14:paraId="7D9E0FB7"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Ezike, N. C. (2013). The suitability of flour made from pretreated Bambara nut varieties for the development of snack bar (PhD Thesis). Federal University of Technology, Owerri, Nigeria.</w:t>
      </w:r>
    </w:p>
    <w:p w14:paraId="33CDDE8F"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Food and Agriculture Organization (FAO). (2003). Food energy: Methods of analysis and conversion factors (FAO Food and Nutrition Paper 77).</w:t>
      </w:r>
    </w:p>
    <w:p w14:paraId="7BDFF02F"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Granato, D., Barba, F. J., Kovačević, D. B., Lorenzo, J. M., Cruz, A. G., &amp; Putnik, P. (2022). Functional foods: Product development, technological trends, efficacy testing, and safety. Annual Review of Food Science and Technology, 13, 93–118.</w:t>
      </w:r>
    </w:p>
    <w:p w14:paraId="590E2BEA"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Hewlings, S. J., &amp; Kalman, D. S. (2023). Curcumin: A review of its effects on human health. Foods, 12(2), 320.</w:t>
      </w:r>
    </w:p>
    <w:p w14:paraId="0FB79F21"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Igene, J. O., &amp; Abu, J. O. (2022). Fundamentals of food science and technology. Academic Publishing Centre, Usmanu Danfodiyo University, Sokoto.</w:t>
      </w:r>
    </w:p>
    <w:p w14:paraId="126076C7"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Kumar, P., Chatli, M. K., Mehta, N., Singh, P., Malav, O. P., &amp; Verma, A. K. (2023). Functional and nutraceutical snacks: Trends and future perspectives. Journal of Food Science and Technology, 60, 1–12.</w:t>
      </w:r>
    </w:p>
    <w:p w14:paraId="19B97634"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Kunnumakkara, A. B., Bordoloi, D., Padmavathi, G., &amp; Banik, K. (2019). Curcumin, the golden spice: From traditional medicine to modern medicine. Phytochemistry Reviews, 18(1), 273–291.</w:t>
      </w:r>
    </w:p>
    <w:p w14:paraId="7AF86E6C"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Martínez-Ruiz, N. D., Mariscal-Moreno, R., &amp; Mendoza, M. (2020). Evolution of consumer behavior towards healthy snacks: A cross-cultural review. Appetite, 145, 104493.</w:t>
      </w:r>
    </w:p>
    <w:p w14:paraId="27B114A8"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Olatunde, S. J., Ajayi, O. A., &amp; Ogunlakin, G. O. (2023). Promoting indigenous crops for sustainable food systems in developing countries. Food Security, 15, 1123–1135.</w:t>
      </w:r>
    </w:p>
    <w:p w14:paraId="4F722867"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Opara, N. O., Agbor, E. I., &amp; John, C. M. (2022). Cassava-groundnut products: Nutritional value, health benefits, and industrial applications. Journal of Agricultural and Food Chemistry, 70(16), 4963–4972.</w:t>
      </w:r>
    </w:p>
    <w:p w14:paraId="6984DA2C"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Shahidi, F. (2022). Nutraceuticals, functional foods and dietary supplements in health and disease. Journal of Food Bioactives, 18, 1–20.</w:t>
      </w:r>
    </w:p>
    <w:p w14:paraId="28B2B343"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Singh, A., Sharma, R., &amp; Kaur, S. (2024). Emerging trends in healthy snack consumption and consumer behavior. Trends in Food Science &amp; Technology, 141, 104–115.</w:t>
      </w:r>
    </w:p>
    <w:p w14:paraId="6A93CCAE" w14:textId="77777777" w:rsidR="001C1D18" w:rsidRDefault="00217595">
      <w:pPr>
        <w:pStyle w:val="Paragraphedeliste"/>
        <w:widowControl/>
        <w:numPr>
          <w:ilvl w:val="0"/>
          <w:numId w:val="1"/>
        </w:numPr>
        <w:autoSpaceDE/>
        <w:autoSpaceDN/>
        <w:spacing w:line="276" w:lineRule="auto"/>
        <w:ind w:right="0"/>
        <w:contextualSpacing/>
        <w:rPr>
          <w:sz w:val="24"/>
          <w:szCs w:val="24"/>
        </w:rPr>
      </w:pPr>
      <w:r>
        <w:rPr>
          <w:sz w:val="24"/>
          <w:szCs w:val="24"/>
        </w:rPr>
        <w:t>Zhou, X., Seto, S. W., Chang, D., Kiat, H., Razmovski-Naumovski, V., Chan, K., &amp; Bensoussan, A. (2022). Synergistic anti-inflammatory activities of ginger and turmeric extracts in vitro. Molecules, 27(13), 4112.</w:t>
      </w:r>
    </w:p>
    <w:p w14:paraId="43202A05" w14:textId="77777777" w:rsidR="001C1D18" w:rsidRDefault="001C1D18">
      <w:pPr>
        <w:spacing w:line="276" w:lineRule="auto"/>
        <w:jc w:val="both"/>
        <w:rPr>
          <w:sz w:val="24"/>
          <w:szCs w:val="24"/>
        </w:rPr>
      </w:pPr>
    </w:p>
    <w:p w14:paraId="43F8D07E" w14:textId="77777777" w:rsidR="001C1D18" w:rsidRDefault="001C1D18">
      <w:pPr>
        <w:spacing w:line="276" w:lineRule="auto"/>
        <w:jc w:val="both"/>
        <w:rPr>
          <w:sz w:val="24"/>
          <w:szCs w:val="24"/>
        </w:rPr>
      </w:pPr>
    </w:p>
    <w:p w14:paraId="3B6340F9" w14:textId="77777777" w:rsidR="001C1D18" w:rsidRDefault="001C1D18">
      <w:pPr>
        <w:spacing w:line="276" w:lineRule="auto"/>
        <w:jc w:val="both"/>
        <w:rPr>
          <w:sz w:val="24"/>
          <w:szCs w:val="24"/>
        </w:rPr>
      </w:pPr>
    </w:p>
    <w:p w14:paraId="69C06A12" w14:textId="77777777" w:rsidR="001C1D18" w:rsidRDefault="001C1D18">
      <w:pPr>
        <w:spacing w:line="276" w:lineRule="auto"/>
        <w:jc w:val="both"/>
        <w:rPr>
          <w:sz w:val="24"/>
          <w:szCs w:val="24"/>
        </w:rPr>
      </w:pPr>
    </w:p>
    <w:sectPr w:rsidR="001C1D18">
      <w:headerReference w:type="even" r:id="rId24"/>
      <w:headerReference w:type="default" r:id="rId25"/>
      <w:footerReference w:type="even" r:id="rId26"/>
      <w:footerReference w:type="default" r:id="rId27"/>
      <w:headerReference w:type="first" r:id="rId28"/>
      <w:footerReference w:type="first" r:id="rId29"/>
      <w:pgSz w:w="11907" w:h="16840" w:code="9"/>
      <w:pgMar w:top="1135" w:right="1440"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tin Mikolo" w:date="2026-05-07T07:52:00Z" w:initials="BM">
    <w:p w14:paraId="44DBBC9A" w14:textId="0D3B16EF" w:rsidR="00835E2E" w:rsidRDefault="00835E2E">
      <w:pPr>
        <w:pStyle w:val="Commentaire"/>
      </w:pPr>
      <w:r>
        <w:rPr>
          <w:rStyle w:val="Marquedecommentaire"/>
        </w:rPr>
        <w:annotationRef/>
      </w:r>
      <w:r>
        <w:t>This study…</w:t>
      </w:r>
    </w:p>
  </w:comment>
  <w:comment w:id="1" w:author="Bertin Mikolo" w:date="2026-05-07T07:53:00Z" w:initials="BM">
    <w:p w14:paraId="2EEB87B2" w14:textId="4A83E0F8" w:rsidR="00835E2E" w:rsidRDefault="00835E2E">
      <w:pPr>
        <w:pStyle w:val="Commentaire"/>
      </w:pPr>
      <w:r>
        <w:rPr>
          <w:rStyle w:val="Marquedecommentaire"/>
        </w:rPr>
        <w:annotationRef/>
      </w:r>
      <w:r w:rsidRPr="00835E2E">
        <w:t>The study employed a 3 × 3 experimental design…</w:t>
      </w:r>
    </w:p>
  </w:comment>
  <w:comment w:id="2" w:author="Bertin Mikolo" w:date="2026-05-07T07:54:00Z" w:initials="BM">
    <w:p w14:paraId="7A01D08C" w14:textId="77777777" w:rsidR="00835E2E" w:rsidRPr="00835E2E" w:rsidRDefault="00835E2E" w:rsidP="00835E2E">
      <w:pPr>
        <w:pStyle w:val="Commentaire"/>
        <w:rPr>
          <w:lang w:val="fr-FR"/>
        </w:rPr>
      </w:pPr>
      <w:r>
        <w:rPr>
          <w:rStyle w:val="Marquedecommentaire"/>
        </w:rPr>
        <w:annotationRef/>
      </w:r>
      <w:r w:rsidRPr="00835E2E">
        <w:rPr>
          <w:lang w:val="fr-FR"/>
        </w:rPr>
        <w:t>A total of ten samples were formulated: three samples for each fortification treatment and one unfortified control</w:t>
      </w:r>
    </w:p>
    <w:p w14:paraId="405A5FF6" w14:textId="32AA7C9A" w:rsidR="00835E2E" w:rsidRDefault="00835E2E">
      <w:pPr>
        <w:pStyle w:val="Commentaire"/>
      </w:pPr>
    </w:p>
  </w:comment>
  <w:comment w:id="4" w:author="Bertin Mikolo" w:date="2026-05-07T08:13:00Z" w:initials="BM">
    <w:p w14:paraId="0765CCAA" w14:textId="184FBBD2" w:rsidR="00BE51E2" w:rsidRDefault="00BE51E2">
      <w:pPr>
        <w:pStyle w:val="Commentaire"/>
      </w:pPr>
      <w:r>
        <w:rPr>
          <w:rStyle w:val="Marquedecommentaire"/>
        </w:rPr>
        <w:annotationRef/>
      </w:r>
      <w:r w:rsidRPr="00BE51E2">
        <w:t xml:space="preserve">Table 1 reports </w:t>
      </w:r>
      <w:r w:rsidRPr="00BE51E2">
        <w:rPr>
          <w:b/>
          <w:bCs/>
        </w:rPr>
        <w:t>20.17%–30.07%</w:t>
      </w:r>
      <w:r w:rsidRPr="00BE51E2">
        <w:t>.</w:t>
      </w:r>
    </w:p>
  </w:comment>
  <w:comment w:id="5" w:author="Bertin Mikolo" w:date="2026-05-07T08:15:00Z" w:initials="BM">
    <w:p w14:paraId="710A8EC4" w14:textId="12B11DCB" w:rsidR="00BE51E2" w:rsidRDefault="00BE51E2">
      <w:pPr>
        <w:pStyle w:val="Commentaire"/>
      </w:pPr>
      <w:r>
        <w:rPr>
          <w:rStyle w:val="Marquedecommentaire"/>
        </w:rPr>
        <w:annotationRef/>
      </w:r>
      <w:r w:rsidRPr="00BE51E2">
        <w:t xml:space="preserve">Table 1 shows </w:t>
      </w:r>
      <w:r w:rsidRPr="00BE51E2">
        <w:rPr>
          <w:b/>
          <w:bCs/>
        </w:rPr>
        <w:t>4.50%–19.69%</w:t>
      </w:r>
      <w:r>
        <w:rPr>
          <w:b/>
          <w:bCs/>
        </w:rPr>
        <w:t>.</w:t>
      </w:r>
    </w:p>
  </w:comment>
  <w:comment w:id="3" w:author="Bertin Mikolo" w:date="2026-05-07T08:07:00Z" w:initials="BM">
    <w:p w14:paraId="08105521" w14:textId="13F18A31" w:rsidR="00BE51E2" w:rsidRDefault="00BE51E2">
      <w:pPr>
        <w:pStyle w:val="Commentaire"/>
      </w:pPr>
      <w:r>
        <w:rPr>
          <w:rStyle w:val="Marquedecommentaire"/>
        </w:rPr>
        <w:annotationRef/>
      </w:r>
      <w:r w:rsidRPr="00BE51E2">
        <w:t>The proximate analysis revealed that fortification of the snack bars with ginger and turmeric enhanced their nutritional composition, especially in terms of protein, fibre, mineral content, and energy value.</w:t>
      </w:r>
    </w:p>
  </w:comment>
  <w:comment w:id="6" w:author="Bertin Mikolo" w:date="2026-05-07T13:34:00Z" w:initials="BM">
    <w:p w14:paraId="7DDD6A59" w14:textId="6AADE694" w:rsidR="00BE0E62" w:rsidRDefault="00BE0E62">
      <w:pPr>
        <w:pStyle w:val="Commentaire"/>
      </w:pPr>
      <w:r>
        <w:rPr>
          <w:rStyle w:val="Marquedecommentaire"/>
        </w:rPr>
        <w:annotationRef/>
      </w:r>
      <w:r w:rsidRPr="00BE0E62">
        <w:rPr>
          <w:b/>
          <w:bCs/>
        </w:rPr>
        <w:t xml:space="preserve">kJ/100 </w:t>
      </w:r>
      <w:r>
        <w:rPr>
          <w:b/>
          <w:bCs/>
        </w:rPr>
        <w:t>g in Table 1. Harmonize.</w:t>
      </w:r>
    </w:p>
  </w:comment>
  <w:comment w:id="7" w:author="Bertin Mikolo" w:date="2026-05-07T07:56:00Z" w:initials="BM">
    <w:p w14:paraId="417898DD" w14:textId="77777777" w:rsidR="00315E95" w:rsidRDefault="00315E95">
      <w:pPr>
        <w:pStyle w:val="Commentaire"/>
      </w:pPr>
      <w:r>
        <w:rPr>
          <w:rStyle w:val="Marquedecommentaire"/>
        </w:rPr>
        <w:annotationRef/>
      </w:r>
      <w:r>
        <w:t>Split into two sentences.</w:t>
      </w:r>
    </w:p>
    <w:p w14:paraId="0681C867" w14:textId="02C68A05" w:rsidR="00315E95" w:rsidRDefault="00315E95">
      <w:pPr>
        <w:pStyle w:val="Commentaire"/>
      </w:pPr>
      <w:r>
        <w:t xml:space="preserve">Suggestion: </w:t>
      </w:r>
      <w:r w:rsidRPr="00315E95">
        <w:t>Sample GT7 (7% ginger–turmeric blend) had the highest crude protein (9.24%), ash (3.34%), and crude fibre (3.89%) contents. It also recorded high fat content (3.43%) and the highest energy value (386.12%).</w:t>
      </w:r>
    </w:p>
  </w:comment>
  <w:comment w:id="9" w:author="Bertin Mikolo" w:date="2026-05-07T08:00:00Z" w:initials="BM">
    <w:p w14:paraId="3EB95247" w14:textId="341D69E5" w:rsidR="00315E95" w:rsidRDefault="00315E95">
      <w:pPr>
        <w:pStyle w:val="Commentaire"/>
      </w:pPr>
      <w:r>
        <w:rPr>
          <w:rStyle w:val="Marquedecommentaire"/>
        </w:rPr>
        <w:annotationRef/>
      </w:r>
      <w:r>
        <w:t>C</w:t>
      </w:r>
      <w:r w:rsidRPr="00315E95">
        <w:t>ould be strengthened by specifying</w:t>
      </w:r>
      <w:r>
        <w:t>: …</w:t>
      </w:r>
      <w:r w:rsidRPr="00315E95">
        <w:rPr>
          <w:sz w:val="22"/>
          <w:szCs w:val="22"/>
        </w:rPr>
        <w:t xml:space="preserve"> </w:t>
      </w:r>
      <w:r w:rsidRPr="00315E95">
        <w:t>effective natural fortificants</w:t>
      </w:r>
      <w:r>
        <w:t>…</w:t>
      </w:r>
    </w:p>
  </w:comment>
  <w:comment w:id="8" w:author="Bertin Mikolo" w:date="2026-05-07T08:19:00Z" w:initials="BM">
    <w:p w14:paraId="39052235" w14:textId="17837005" w:rsidR="00C536A0" w:rsidRPr="00C536A0" w:rsidRDefault="00C536A0">
      <w:pPr>
        <w:pStyle w:val="Commentaire"/>
        <w:rPr>
          <w:lang w:val="fr-FR"/>
        </w:rPr>
      </w:pPr>
      <w:r>
        <w:rPr>
          <w:rStyle w:val="Marquedecommentaire"/>
        </w:rPr>
        <w:annotationRef/>
      </w:r>
      <w:r w:rsidRPr="00C536A0">
        <w:rPr>
          <w:lang w:val="fr-FR"/>
        </w:rPr>
        <w:t>Add a last sentence highlighting the practical use of the findings e.g. “The study demonstrates the potential of ginger and turmeric fortified cassava-groundnut snack bars as affordable, nutritious and functional snack products that could support healthier diets and promote the utilisation of local agricultural resources.”</w:t>
      </w:r>
    </w:p>
  </w:comment>
  <w:comment w:id="10" w:author="Bertin Mikolo" w:date="2026-05-07T09:41:00Z" w:initials="BM">
    <w:p w14:paraId="463531FB" w14:textId="77777777" w:rsidR="00DD3BE0" w:rsidRDefault="00D417F6" w:rsidP="00D417F6">
      <w:pPr>
        <w:pStyle w:val="Commentaire"/>
        <w:rPr>
          <w:lang w:val="fr-FR"/>
        </w:rPr>
      </w:pPr>
      <w:r>
        <w:rPr>
          <w:rStyle w:val="Marquedecommentaire"/>
        </w:rPr>
        <w:annotationRef/>
      </w:r>
      <w:r w:rsidR="00DD3BE0" w:rsidRPr="00DD3BE0">
        <w:rPr>
          <w:lang w:val="fr-FR"/>
        </w:rPr>
        <w:t>Combine the first two paragraphs that separately discuss snack consumption trends, healthy snack demand, and functional foods.</w:t>
      </w:r>
    </w:p>
    <w:p w14:paraId="7323C66B" w14:textId="790EAC54" w:rsidR="00D417F6" w:rsidRPr="00D417F6" w:rsidRDefault="00DD3BE0" w:rsidP="00D417F6">
      <w:pPr>
        <w:pStyle w:val="Commentaire"/>
        <w:rPr>
          <w:lang w:val="fr-FR"/>
        </w:rPr>
      </w:pPr>
      <w:r>
        <w:rPr>
          <w:lang w:val="fr-FR"/>
        </w:rPr>
        <w:t xml:space="preserve">Suggestion : </w:t>
      </w:r>
      <w:r w:rsidR="00D417F6" w:rsidRPr="00D417F6">
        <w:rPr>
          <w:lang w:val="fr-FR"/>
        </w:rPr>
        <w:t>Urbanisation and changing lifestyles have led to a significant rise in the global demand for convenient snack products. “Consumer awareness of diet-related health concerns has also shifted preferences towards healthier and functional snacks delivering nutritional and physiological benefits beyond basic energy supply.”</w:t>
      </w:r>
    </w:p>
    <w:p w14:paraId="00DF8695" w14:textId="3E7FDFC5" w:rsidR="00D417F6" w:rsidRDefault="00D417F6">
      <w:pPr>
        <w:pStyle w:val="Commentaire"/>
      </w:pPr>
    </w:p>
  </w:comment>
  <w:comment w:id="11" w:author="Bertin Mikolo" w:date="2026-05-07T08:28:00Z" w:initials="BM">
    <w:p w14:paraId="04F025B6" w14:textId="36C20691" w:rsidR="002F35A7" w:rsidRDefault="002F35A7">
      <w:pPr>
        <w:pStyle w:val="Commentaire"/>
      </w:pPr>
      <w:r>
        <w:rPr>
          <w:rStyle w:val="Marquedecommentaire"/>
        </w:rPr>
        <w:annotationRef/>
      </w:r>
      <w:r w:rsidRPr="002F35A7">
        <w:t>Add a linking sentence between snack consumption trends and functional foods</w:t>
      </w:r>
      <w:r>
        <w:t>.</w:t>
      </w:r>
    </w:p>
    <w:p w14:paraId="58B116C8" w14:textId="4EF916C4" w:rsidR="002F35A7" w:rsidRPr="002F35A7" w:rsidRDefault="002F35A7">
      <w:pPr>
        <w:pStyle w:val="Commentaire"/>
        <w:rPr>
          <w:lang w:val="fr-FR"/>
        </w:rPr>
      </w:pPr>
      <w:r>
        <w:t xml:space="preserve">Suggestion: </w:t>
      </w:r>
      <w:r w:rsidRPr="002F35A7">
        <w:rPr>
          <w:lang w:val="fr-FR"/>
        </w:rPr>
        <w:t>As consumers become more aware of the health issues caused by diet, focus has turned to snacks with added nutritional and functional benefits.</w:t>
      </w:r>
    </w:p>
  </w:comment>
  <w:comment w:id="13" w:author="Bertin Mikolo" w:date="2026-05-07T08:32:00Z" w:initials="BM">
    <w:p w14:paraId="14283666" w14:textId="77777777" w:rsidR="002F35A7" w:rsidRDefault="002F35A7">
      <w:pPr>
        <w:pStyle w:val="Commentaire"/>
      </w:pPr>
      <w:r>
        <w:rPr>
          <w:rStyle w:val="Marquedecommentaire"/>
        </w:rPr>
        <w:annotationRef/>
      </w:r>
      <w:r w:rsidRPr="002F35A7">
        <w:t>Improve the transition to ginger and turmeric</w:t>
      </w:r>
      <w:r>
        <w:t>.</w:t>
      </w:r>
    </w:p>
    <w:p w14:paraId="4C82BEC5" w14:textId="7CD40AF1" w:rsidR="002F35A7" w:rsidRPr="002F35A7" w:rsidRDefault="002F35A7">
      <w:pPr>
        <w:pStyle w:val="Commentaire"/>
        <w:rPr>
          <w:lang w:val="fr-FR"/>
        </w:rPr>
      </w:pPr>
      <w:r>
        <w:t xml:space="preserve">Suggestion: </w:t>
      </w:r>
      <w:r w:rsidRPr="002F35A7">
        <w:rPr>
          <w:lang w:val="fr-FR"/>
        </w:rPr>
        <w:t>"Ginger (Zingiber officinale) and turmeric (Curcuma longa) are some of the most interesting natural functional ingredients that are widely used for food fortification due to their nutritional and health-promoting properties."</w:t>
      </w:r>
    </w:p>
  </w:comment>
  <w:comment w:id="12" w:author="Bertin Mikolo" w:date="2026-05-07T09:52:00Z" w:initials="BM">
    <w:p w14:paraId="646AA148" w14:textId="77777777" w:rsidR="00DD3BE0" w:rsidRDefault="00DD3BE0">
      <w:pPr>
        <w:pStyle w:val="Commentaire"/>
      </w:pPr>
      <w:r>
        <w:rPr>
          <w:rStyle w:val="Marquedecommentaire"/>
        </w:rPr>
        <w:annotationRef/>
      </w:r>
      <w:r>
        <w:t>I</w:t>
      </w:r>
      <w:r w:rsidRPr="00DD3BE0">
        <w:t>n place of the current second paragraph of the Introduction,</w:t>
      </w:r>
      <w:r>
        <w:t xml:space="preserve"> b</w:t>
      </w:r>
      <w:r w:rsidRPr="00DD3BE0">
        <w:t>riefly define functional foods once, then directly relate the concept to ginger and turmeric without repeating general health claims.</w:t>
      </w:r>
    </w:p>
    <w:p w14:paraId="01F3BC7C" w14:textId="77777777" w:rsidR="00A003A1" w:rsidRPr="00A003A1" w:rsidRDefault="00DD3BE0" w:rsidP="00A003A1">
      <w:pPr>
        <w:pStyle w:val="Commentaire"/>
        <w:rPr>
          <w:lang w:val="fr-FR"/>
        </w:rPr>
      </w:pPr>
      <w:r>
        <w:t xml:space="preserve">Suggestion: </w:t>
      </w:r>
      <w:r w:rsidR="00A003A1" w:rsidRPr="00A003A1">
        <w:rPr>
          <w:lang w:val="fr-FR"/>
        </w:rPr>
        <w:t>Functional foods are foods that contain bioactive compounds that provide health benefits beyond basic nutrition. Ginger (Zingiber officinale) and turmeric (Curcuma longa) are natural functional ingredients commonly used in food fortification. They are valued for their bioactive components, such as gingerol and curcumin, which give them nutritional and functional properties.</w:t>
      </w:r>
    </w:p>
    <w:p w14:paraId="42F60F92" w14:textId="7E929D83" w:rsidR="00DD3BE0" w:rsidRDefault="00DD3BE0">
      <w:pPr>
        <w:pStyle w:val="Commentaire"/>
      </w:pPr>
    </w:p>
  </w:comment>
  <w:comment w:id="14" w:author="Bertin Mikolo" w:date="2026-05-07T08:43:00Z" w:initials="BM">
    <w:p w14:paraId="42CE334F" w14:textId="77777777" w:rsidR="00E63C25" w:rsidRDefault="00E63C25">
      <w:pPr>
        <w:pStyle w:val="Commentaire"/>
      </w:pPr>
      <w:r>
        <w:rPr>
          <w:rStyle w:val="Marquedecommentaire"/>
        </w:rPr>
        <w:annotationRef/>
      </w:r>
      <w:r w:rsidRPr="00E63C25">
        <w:t>Introduce cassava and groundnut with a clearer rationale, highlighting their availability,</w:t>
      </w:r>
    </w:p>
    <w:p w14:paraId="200A2644" w14:textId="0E07D575" w:rsidR="00E63C25" w:rsidRDefault="00E63C25">
      <w:pPr>
        <w:pStyle w:val="Commentaire"/>
      </w:pPr>
      <w:r>
        <w:t xml:space="preserve">Suggestion: </w:t>
      </w:r>
      <w:r w:rsidRPr="00E63C25">
        <w:t>“Cassava and groundnut were selected for this study because they are widely available, affordable, and nutritionally complementary. Cassava provides a rich source of carbohydrates, while groundnut contributes protein, healthy fats, and essential micronutrients, making their combination suitable for the development of nutrient-dense snack products.”</w:t>
      </w:r>
    </w:p>
  </w:comment>
  <w:comment w:id="15" w:author="Bertin Mikolo" w:date="2026-05-07T11:28:00Z" w:initials="BM">
    <w:p w14:paraId="2CF0D068" w14:textId="06A447D8" w:rsidR="00833A7C" w:rsidRDefault="00833A7C">
      <w:pPr>
        <w:pStyle w:val="Commentaire"/>
      </w:pPr>
      <w:r>
        <w:rPr>
          <w:rStyle w:val="Marquedecommentaire"/>
        </w:rPr>
        <w:annotationRef/>
      </w:r>
      <w:r w:rsidRPr="00833A7C">
        <w:t>should be “presents”</w:t>
      </w:r>
    </w:p>
  </w:comment>
  <w:comment w:id="17" w:author="Bertin Mikolo" w:date="2026-05-07T09:23:00Z" w:initials="BM">
    <w:p w14:paraId="54FCBD5A" w14:textId="77777777" w:rsidR="00186B53" w:rsidRPr="00186B53" w:rsidRDefault="00186B53" w:rsidP="00186B53">
      <w:pPr>
        <w:pStyle w:val="Commentaire"/>
        <w:rPr>
          <w:lang w:val="fr-FR"/>
        </w:rPr>
      </w:pPr>
      <w:r>
        <w:rPr>
          <w:rStyle w:val="Marquedecommentaire"/>
        </w:rPr>
        <w:annotationRef/>
      </w:r>
      <w:r w:rsidRPr="00186B53">
        <w:rPr>
          <w:lang w:val="fr-FR"/>
        </w:rPr>
        <w:t>The introduction should end with a clear transition statement that shows how the identified research gap relates to the objective of developing fortified cassava-groundnut snack bars.</w:t>
      </w:r>
    </w:p>
    <w:p w14:paraId="16002404" w14:textId="64AE2125" w:rsidR="00186B53" w:rsidRPr="001A3F94" w:rsidRDefault="00186B53">
      <w:pPr>
        <w:pStyle w:val="Commentaire"/>
        <w:rPr>
          <w:lang w:val="fr-FR"/>
        </w:rPr>
      </w:pPr>
      <w:r>
        <w:t xml:space="preserve">Suggestion: </w:t>
      </w:r>
      <w:r w:rsidR="001A3F94" w:rsidRPr="001A3F94">
        <w:rPr>
          <w:lang w:val="fr-FR"/>
        </w:rPr>
        <w:t>“Although the interest in functional snack products is increasing, little is known about the nutritional and sensory properties of cassava-groundnut snack bars fortified with ginger and turmeric. Hence, the aim of this study was to develop and evaluate fortified cassava-groundnut snack bars with improved nutritional and sensory attributes.”</w:t>
      </w:r>
    </w:p>
  </w:comment>
  <w:comment w:id="16" w:author="Bertin Mikolo" w:date="2026-05-07T10:10:00Z" w:initials="BM">
    <w:p w14:paraId="0066847A" w14:textId="1F55373F" w:rsidR="00A26C44" w:rsidRDefault="00A26C44">
      <w:pPr>
        <w:pStyle w:val="Commentaire"/>
      </w:pPr>
      <w:r>
        <w:rPr>
          <w:rStyle w:val="Marquedecommentaire"/>
        </w:rPr>
        <w:annotationRef/>
      </w:r>
      <w:r>
        <w:t>Sugestion: “</w:t>
      </w:r>
      <w:r w:rsidRPr="00A26C44">
        <w:t>The objective of this research was to assess the nutritional and sensory qualities of ginger and turmeric fortified cassava-groundnut snack bars.</w:t>
      </w:r>
      <w:r>
        <w:t>”</w:t>
      </w:r>
    </w:p>
  </w:comment>
  <w:comment w:id="18" w:author="Bertin Mikolo" w:date="2026-05-07T12:26:00Z" w:initials="BM">
    <w:p w14:paraId="599D7F2D" w14:textId="4A23C743" w:rsidR="00060583" w:rsidRDefault="00060583">
      <w:pPr>
        <w:pStyle w:val="Commentaire"/>
      </w:pPr>
      <w:r>
        <w:rPr>
          <w:rStyle w:val="Marquedecommentaire"/>
        </w:rPr>
        <w:annotationRef/>
      </w:r>
      <w:r>
        <w:t>Remove the point.</w:t>
      </w:r>
    </w:p>
  </w:comment>
  <w:comment w:id="19" w:author="Bertin Mikolo" w:date="2026-05-07T12:28:00Z" w:initials="BM">
    <w:p w14:paraId="22244072" w14:textId="7A12B998" w:rsidR="00060583" w:rsidRDefault="00060583">
      <w:pPr>
        <w:pStyle w:val="Commentaire"/>
      </w:pPr>
      <w:r>
        <w:rPr>
          <w:rStyle w:val="Marquedecommentaire"/>
        </w:rPr>
        <w:annotationRef/>
      </w:r>
      <w:r>
        <w:t>5 g intead of 5g (check in all the manuscript)</w:t>
      </w:r>
    </w:p>
  </w:comment>
  <w:comment w:id="20" w:author="Bertin Mikolo" w:date="2026-05-07T11:50:00Z" w:initials="BM">
    <w:p w14:paraId="7EEE385D" w14:textId="45E89919" w:rsidR="004D521A" w:rsidRDefault="004D521A">
      <w:pPr>
        <w:pStyle w:val="Commentaire"/>
      </w:pPr>
      <w:r>
        <w:rPr>
          <w:rStyle w:val="Marquedecommentaire"/>
        </w:rPr>
        <w:annotationRef/>
      </w:r>
      <w:r w:rsidRPr="004D521A">
        <w:t>3, 5</w:t>
      </w:r>
      <w:r>
        <w:t>(missing space)</w:t>
      </w:r>
    </w:p>
  </w:comment>
  <w:comment w:id="21" w:author="Bertin Mikolo" w:date="2026-05-07T11:31:00Z" w:initials="BM">
    <w:p w14:paraId="443A6B50" w14:textId="2D411F73" w:rsidR="00833A7C" w:rsidRDefault="00833A7C">
      <w:pPr>
        <w:pStyle w:val="Commentaire"/>
      </w:pPr>
      <w:r>
        <w:rPr>
          <w:rStyle w:val="Marquedecommentaire"/>
        </w:rPr>
        <w:annotationRef/>
      </w:r>
      <w:r>
        <w:t>should be “warm”</w:t>
      </w:r>
    </w:p>
  </w:comment>
  <w:comment w:id="22" w:author="Bertin Mikolo" w:date="2026-05-07T11:32:00Z" w:initials="BM">
    <w:p w14:paraId="36605997" w14:textId="1FB13268" w:rsidR="00833A7C" w:rsidRDefault="00833A7C">
      <w:pPr>
        <w:pStyle w:val="Commentaire"/>
      </w:pPr>
      <w:r>
        <w:rPr>
          <w:rStyle w:val="Marquedecommentaire"/>
        </w:rPr>
        <w:annotationRef/>
      </w:r>
      <w:r>
        <w:t>Kingdom</w:t>
      </w:r>
    </w:p>
  </w:comment>
  <w:comment w:id="23" w:author="Bertin Mikolo" w:date="2026-05-07T11:39:00Z" w:initials="BM">
    <w:p w14:paraId="72DFFE6F" w14:textId="6BA8D6E6" w:rsidR="00FF75C9" w:rsidRDefault="00FF75C9">
      <w:pPr>
        <w:pStyle w:val="Commentaire"/>
      </w:pPr>
      <w:r>
        <w:rPr>
          <w:rStyle w:val="Marquedecommentaire"/>
        </w:rPr>
        <w:annotationRef/>
      </w:r>
      <w:r w:rsidRPr="00FF75C9">
        <w:t>110 °C</w:t>
      </w:r>
    </w:p>
  </w:comment>
  <w:comment w:id="25" w:author="Bertin Mikolo" w:date="2026-05-07T11:55:00Z" w:initials="BM">
    <w:p w14:paraId="3A99B837" w14:textId="09476B21" w:rsidR="00DE6735" w:rsidRDefault="00DE6735">
      <w:pPr>
        <w:pStyle w:val="Commentaire"/>
      </w:pPr>
      <w:r>
        <w:rPr>
          <w:rStyle w:val="Marquedecommentaire"/>
        </w:rPr>
        <w:annotationRef/>
      </w:r>
      <w:r w:rsidRPr="00DE6735">
        <w:t>Nitrogen = (Vs − Vb) × Nacid × 0.01401 × 100 / W</w:t>
      </w:r>
      <w:r>
        <w:t xml:space="preserve">(irregular </w:t>
      </w:r>
      <w:r w:rsidRPr="00DE6735">
        <w:t>spacing around the minus sign</w:t>
      </w:r>
      <w:r>
        <w:t>).</w:t>
      </w:r>
    </w:p>
  </w:comment>
  <w:comment w:id="26" w:author="Bertin Mikolo" w:date="2026-05-07T11:58:00Z" w:initials="BM">
    <w:p w14:paraId="13E57A80" w14:textId="5303F37F" w:rsidR="00DE6735" w:rsidRDefault="00DE6735">
      <w:pPr>
        <w:pStyle w:val="Commentaire"/>
      </w:pPr>
      <w:r>
        <w:rPr>
          <w:rStyle w:val="Marquedecommentaire"/>
        </w:rPr>
        <w:annotationRef/>
      </w:r>
      <w:r w:rsidR="00D97AFF" w:rsidRPr="00D97AFF">
        <w:t>% Carbohydrate = 100 − (% Protein + % Moisture + % Ash + % Fibre + % Fat)</w:t>
      </w:r>
      <w:r w:rsidR="00D97AFF">
        <w:t xml:space="preserve"> (</w:t>
      </w:r>
      <w:r w:rsidRPr="00DE6735">
        <w:t>inconsistent spacing after percentage symbols and around operators</w:t>
      </w:r>
      <w:r w:rsidR="00D97AFF">
        <w:t>)</w:t>
      </w:r>
      <w:r w:rsidRPr="00DE6735">
        <w:t>.</w:t>
      </w:r>
    </w:p>
  </w:comment>
  <w:comment w:id="28" w:author="Bertin Mikolo" w:date="2026-05-07T12:10:00Z" w:initials="BM">
    <w:p w14:paraId="098019C8" w14:textId="00C34AFC" w:rsidR="00A63948" w:rsidRDefault="00A63948">
      <w:pPr>
        <w:pStyle w:val="Commentaire"/>
      </w:pPr>
      <w:r>
        <w:rPr>
          <w:rStyle w:val="Marquedecommentaire"/>
        </w:rPr>
        <w:annotationRef/>
      </w:r>
      <w:r w:rsidRPr="00A63948">
        <w:t>The multiplication sign is written as “x” instead of the standard mathematical symbol “×”</w:t>
      </w:r>
    </w:p>
  </w:comment>
  <w:comment w:id="27" w:author="Bertin Mikolo" w:date="2026-05-07T12:22:00Z" w:initials="BM">
    <w:p w14:paraId="208ECB58" w14:textId="7CF4E260" w:rsidR="00060583" w:rsidRDefault="00060583">
      <w:pPr>
        <w:pStyle w:val="Commentaire"/>
      </w:pPr>
      <w:r>
        <w:rPr>
          <w:rStyle w:val="Marquedecommentaire"/>
        </w:rPr>
        <w:annotationRef/>
      </w:r>
      <w:r>
        <w:t>The fibres are ignored.</w:t>
      </w:r>
    </w:p>
  </w:comment>
  <w:comment w:id="29" w:author="Bertin Mikolo" w:date="2026-05-07T12:13:00Z" w:initials="BM">
    <w:p w14:paraId="17D27393" w14:textId="605F6821" w:rsidR="00DD2F87" w:rsidRDefault="00DD2F87">
      <w:pPr>
        <w:pStyle w:val="Commentaire"/>
      </w:pPr>
      <w:r>
        <w:rPr>
          <w:rStyle w:val="Marquedecommentaire"/>
        </w:rPr>
        <w:annotationRef/>
      </w:r>
      <w:r>
        <w:rPr>
          <w:iCs/>
          <w:sz w:val="24"/>
          <w:szCs w:val="24"/>
        </w:rPr>
        <w:t xml:space="preserve">(% Protein </w:t>
      </w:r>
      <w:r w:rsidRPr="00A63948">
        <w:t>×</w:t>
      </w:r>
      <w:r>
        <w:rPr>
          <w:iCs/>
          <w:sz w:val="24"/>
          <w:szCs w:val="24"/>
        </w:rPr>
        <w:t xml:space="preserve"> 4</w:t>
      </w:r>
      <w:r>
        <w:rPr>
          <w:iCs/>
          <w:sz w:val="24"/>
          <w:szCs w:val="24"/>
        </w:rPr>
        <w:t>)</w:t>
      </w:r>
      <w:r>
        <w:rPr>
          <w:iCs/>
          <w:sz w:val="24"/>
          <w:szCs w:val="24"/>
        </w:rPr>
        <w:t xml:space="preserve"> + </w:t>
      </w:r>
      <w:r>
        <w:rPr>
          <w:iCs/>
          <w:sz w:val="24"/>
          <w:szCs w:val="24"/>
        </w:rPr>
        <w:t>(</w:t>
      </w:r>
      <w:r>
        <w:rPr>
          <w:iCs/>
          <w:sz w:val="24"/>
          <w:szCs w:val="24"/>
        </w:rPr>
        <w:t>% Fat x 9</w:t>
      </w:r>
      <w:r>
        <w:rPr>
          <w:iCs/>
          <w:sz w:val="24"/>
          <w:szCs w:val="24"/>
        </w:rPr>
        <w:t>)</w:t>
      </w:r>
      <w:r>
        <w:rPr>
          <w:iCs/>
          <w:sz w:val="24"/>
          <w:szCs w:val="24"/>
        </w:rPr>
        <w:t xml:space="preserve"> + </w:t>
      </w:r>
      <w:r>
        <w:rPr>
          <w:iCs/>
          <w:sz w:val="24"/>
          <w:szCs w:val="24"/>
        </w:rPr>
        <w:t>(</w:t>
      </w:r>
      <w:r>
        <w:rPr>
          <w:iCs/>
          <w:sz w:val="24"/>
          <w:szCs w:val="24"/>
        </w:rPr>
        <w:t xml:space="preserve">% Carbohydrate </w:t>
      </w:r>
      <w:r w:rsidRPr="00A63948">
        <w:t>×</w:t>
      </w:r>
      <w:r>
        <w:rPr>
          <w:iCs/>
          <w:sz w:val="24"/>
          <w:szCs w:val="24"/>
        </w:rPr>
        <w:t xml:space="preserve"> 4)</w:t>
      </w:r>
      <w:r w:rsidRPr="00DD2F87">
        <w:t>Parentheses are not optimally arranged</w:t>
      </w:r>
      <w:r>
        <w:t>)</w:t>
      </w:r>
    </w:p>
  </w:comment>
  <w:comment w:id="30" w:author="Bertin Mikolo" w:date="2026-05-07T11:36:00Z" w:initials="BM">
    <w:p w14:paraId="32A18EA3" w14:textId="7532FF25" w:rsidR="002F34C8" w:rsidRDefault="002F34C8">
      <w:pPr>
        <w:pStyle w:val="Commentaire"/>
      </w:pPr>
      <w:r>
        <w:rPr>
          <w:rStyle w:val="Marquedecommentaire"/>
        </w:rPr>
        <w:annotationRef/>
      </w:r>
      <w:r w:rsidRPr="002F34C8">
        <w:t>Hedo</w:t>
      </w:r>
      <w:r>
        <w:t>n</w:t>
      </w:r>
      <w:r w:rsidRPr="002F34C8">
        <w:t>ic scale</w:t>
      </w:r>
    </w:p>
  </w:comment>
  <w:comment w:id="31" w:author="Bertin Mikolo" w:date="2026-05-07T14:12:00Z" w:initials="BM">
    <w:p w14:paraId="57590999" w14:textId="4A07DD3F" w:rsidR="0020086D" w:rsidRDefault="0020086D">
      <w:pPr>
        <w:pStyle w:val="Commentaire"/>
      </w:pPr>
      <w:r>
        <w:rPr>
          <w:rStyle w:val="Marquedecommentaire"/>
        </w:rPr>
        <w:annotationRef/>
      </w:r>
      <w:r>
        <w:rPr>
          <w:sz w:val="24"/>
          <w:szCs w:val="24"/>
        </w:rPr>
        <w:t>Table 1</w:t>
      </w:r>
      <w:r>
        <w:rPr>
          <w:sz w:val="24"/>
          <w:szCs w:val="24"/>
        </w:rPr>
        <w:t xml:space="preserve">.0 or </w:t>
      </w:r>
      <w:r>
        <w:rPr>
          <w:sz w:val="24"/>
          <w:szCs w:val="24"/>
        </w:rPr>
        <w:t>Table 1</w:t>
      </w:r>
      <w:r>
        <w:rPr>
          <w:sz w:val="24"/>
          <w:szCs w:val="24"/>
        </w:rPr>
        <w:t>? Harmonize.</w:t>
      </w:r>
    </w:p>
  </w:comment>
  <w:comment w:id="32" w:author="Bertin Mikolo" w:date="2026-05-07T11:33:00Z" w:initials="BM">
    <w:p w14:paraId="6BE778F3" w14:textId="094F122D" w:rsidR="00833A7C" w:rsidRDefault="00833A7C">
      <w:pPr>
        <w:pStyle w:val="Commentaire"/>
      </w:pPr>
      <w:r>
        <w:rPr>
          <w:rStyle w:val="Marquedecommentaire"/>
        </w:rPr>
        <w:annotationRef/>
      </w:r>
      <w:r w:rsidRPr="00833A7C">
        <w:t>S</w:t>
      </w:r>
      <w:r w:rsidRPr="00833A7C">
        <w:t>ample</w:t>
      </w:r>
      <w:r>
        <w:t xml:space="preserve"> G77</w:t>
      </w:r>
    </w:p>
  </w:comment>
  <w:comment w:id="33" w:author="Bertin Mikolo" w:date="2026-05-07T12:52:00Z" w:initials="BM">
    <w:p w14:paraId="59D81334" w14:textId="2679B5EA" w:rsidR="00692E7C" w:rsidRDefault="00692E7C">
      <w:pPr>
        <w:pStyle w:val="Commentaire"/>
      </w:pPr>
      <w:r>
        <w:rPr>
          <w:rStyle w:val="Marquedecommentaire"/>
        </w:rPr>
        <w:annotationRef/>
      </w:r>
      <w:r w:rsidRPr="00692E7C">
        <w:t>This sentence combines several ideas and sample descriptions, making it difficult to follow</w:t>
      </w:r>
      <w:r>
        <w:t>. Split.</w:t>
      </w:r>
    </w:p>
  </w:comment>
  <w:comment w:id="34" w:author="Bertin Mikolo" w:date="2026-05-07T12:56:00Z" w:initials="BM">
    <w:p w14:paraId="38E79B06" w14:textId="2C3809EE" w:rsidR="00434176" w:rsidRDefault="00434176" w:rsidP="00434176">
      <w:pPr>
        <w:pStyle w:val="Commentaire"/>
        <w:numPr>
          <w:ilvl w:val="0"/>
          <w:numId w:val="5"/>
        </w:numPr>
        <w:rPr>
          <w:lang w:val="fr-FR"/>
        </w:rPr>
      </w:pPr>
      <w:r>
        <w:rPr>
          <w:rStyle w:val="Marquedecommentaire"/>
        </w:rPr>
        <w:annotationRef/>
      </w:r>
      <w:r w:rsidRPr="00434176">
        <w:rPr>
          <w:lang w:val="fr-FR"/>
        </w:rPr>
        <w:t>The sentence is overloaded with explanations and sample details</w:t>
      </w:r>
      <w:r>
        <w:rPr>
          <w:lang w:val="fr-FR"/>
        </w:rPr>
        <w:t>.</w:t>
      </w:r>
    </w:p>
    <w:p w14:paraId="39B41C6C" w14:textId="3BF093E5" w:rsidR="00434176" w:rsidRPr="00434176" w:rsidRDefault="00434176" w:rsidP="00434176">
      <w:pPr>
        <w:pStyle w:val="Commentaire"/>
        <w:rPr>
          <w:lang w:val="fr-FR"/>
        </w:rPr>
      </w:pPr>
      <w:r>
        <w:rPr>
          <w:lang w:val="fr-FR"/>
        </w:rPr>
        <w:t>Suggestion : « </w:t>
      </w:r>
      <w:r w:rsidRPr="00434176">
        <w:t>Fat content ranged from 3.00% in sample GT7 to 7.29% in the control sample (CON). The control sample showed a significantly (P &lt; 0.05) higher fat content than the fortified samples.</w:t>
      </w:r>
    </w:p>
    <w:p w14:paraId="4578619E" w14:textId="28330C53" w:rsidR="00434176" w:rsidRDefault="00434176">
      <w:pPr>
        <w:pStyle w:val="Commentaire"/>
      </w:pPr>
    </w:p>
  </w:comment>
  <w:comment w:id="36" w:author="Bertin Mikolo" w:date="2026-05-07T11:33:00Z" w:initials="BM">
    <w:p w14:paraId="39790018" w14:textId="18B35E2F" w:rsidR="00833A7C" w:rsidRDefault="00833A7C">
      <w:pPr>
        <w:pStyle w:val="Commentaire"/>
      </w:pPr>
      <w:r>
        <w:rPr>
          <w:rStyle w:val="Marquedecommentaire"/>
        </w:rPr>
        <w:annotationRef/>
      </w:r>
      <w:r>
        <w:t>differences</w:t>
      </w:r>
    </w:p>
  </w:comment>
  <w:comment w:id="35" w:author="Bertin Mikolo" w:date="2026-05-07T13:02:00Z" w:initials="BM">
    <w:p w14:paraId="247142B2" w14:textId="77777777" w:rsidR="00C07250" w:rsidRDefault="00C07250" w:rsidP="00C07250">
      <w:pPr>
        <w:pStyle w:val="Commentaire"/>
      </w:pPr>
      <w:r>
        <w:rPr>
          <w:rStyle w:val="Marquedecommentaire"/>
        </w:rPr>
        <w:annotationRef/>
      </w:r>
      <w:r>
        <w:t>C</w:t>
      </w:r>
      <w:r w:rsidRPr="00C07250">
        <w:t>ould be shortened and merged more concisely.</w:t>
      </w:r>
      <w:r>
        <w:t xml:space="preserve"> </w:t>
      </w:r>
    </w:p>
    <w:p w14:paraId="626C35BC" w14:textId="035545B1" w:rsidR="00C07250" w:rsidRPr="00C07250" w:rsidRDefault="00C07250" w:rsidP="00C07250">
      <w:pPr>
        <w:pStyle w:val="Commentaire"/>
        <w:rPr>
          <w:lang w:val="fr-FR"/>
        </w:rPr>
      </w:pPr>
      <w:r>
        <w:t xml:space="preserve">Suggestion: </w:t>
      </w:r>
      <w:r w:rsidRPr="00C07250">
        <w:rPr>
          <w:lang w:val="fr-FR"/>
        </w:rPr>
        <w:t>“The formulated snack bars showed significant differences (P &lt; 0.05) in moisture content (Table 1). Moisture values ranged from 20.17% in G77 to 30.07% in G55, with turmeric-fortified samples generally showing higher moisture content than ginger-based samples.”</w:t>
      </w:r>
    </w:p>
    <w:p w14:paraId="788D7309" w14:textId="6C564DC4" w:rsidR="00C07250" w:rsidRDefault="00C07250">
      <w:pPr>
        <w:pStyle w:val="Commentaire"/>
      </w:pPr>
    </w:p>
    <w:p w14:paraId="26B86080" w14:textId="399E73B7" w:rsidR="00C07250" w:rsidRDefault="00C07250">
      <w:pPr>
        <w:pStyle w:val="Commentaire"/>
      </w:pPr>
    </w:p>
  </w:comment>
  <w:comment w:id="37" w:author="Bertin Mikolo" w:date="2026-05-07T11:35:00Z" w:initials="BM">
    <w:p w14:paraId="19082866" w14:textId="06A2E7C1" w:rsidR="002F34C8" w:rsidRDefault="002F34C8">
      <w:pPr>
        <w:pStyle w:val="Commentaire"/>
      </w:pPr>
      <w:r>
        <w:rPr>
          <w:rStyle w:val="Marquedecommentaire"/>
        </w:rPr>
        <w:annotationRef/>
      </w:r>
      <w:r w:rsidRPr="002F34C8">
        <w:t xml:space="preserve">resulting </w:t>
      </w:r>
      <w:r>
        <w:t>in</w:t>
      </w:r>
    </w:p>
  </w:comment>
  <w:comment w:id="38" w:author="Bertin Mikolo" w:date="2026-05-07T13:15:00Z" w:initials="BM">
    <w:p w14:paraId="6F13B0BF" w14:textId="77777777" w:rsidR="0062005E" w:rsidRDefault="0062005E">
      <w:pPr>
        <w:pStyle w:val="Commentaire"/>
      </w:pPr>
      <w:r>
        <w:rPr>
          <w:rStyle w:val="Marquedecommentaire"/>
        </w:rPr>
        <w:annotationRef/>
      </w:r>
      <w:r w:rsidRPr="0062005E">
        <w:t>The sentence is too long and contains repetitive explanations about flavour and consumer appeal.</w:t>
      </w:r>
    </w:p>
    <w:p w14:paraId="278A7861" w14:textId="4AF9E003" w:rsidR="0062005E" w:rsidRDefault="0062005E">
      <w:pPr>
        <w:pStyle w:val="Commentaire"/>
      </w:pPr>
      <w:r>
        <w:t xml:space="preserve">Suggestion: </w:t>
      </w:r>
      <w:r w:rsidRPr="0062005E">
        <w:t>The preference for sample G77 may be attributed to its higher ginger content, which likely enhanced the aroma and flavour of the snack bar, making it more appealing to consumers</w:t>
      </w:r>
      <w:r>
        <w:t>.</w:t>
      </w:r>
    </w:p>
  </w:comment>
  <w:comment w:id="39" w:author="Bertin Mikolo" w:date="2026-05-07T11:34:00Z" w:initials="BM">
    <w:p w14:paraId="3430F928" w14:textId="1728B87F" w:rsidR="00833A7C" w:rsidRDefault="00833A7C">
      <w:pPr>
        <w:pStyle w:val="Commentaire"/>
      </w:pPr>
      <w:r>
        <w:rPr>
          <w:rStyle w:val="Marquedecommentaire"/>
        </w:rPr>
        <w:annotationRef/>
      </w:r>
      <w:r w:rsidRPr="00833A7C">
        <w:t>earthy flavour</w:t>
      </w:r>
    </w:p>
  </w:comment>
  <w:comment w:id="40" w:author="Bertin Mikolo" w:date="2026-05-07T16:04:00Z" w:initials="BM">
    <w:p w14:paraId="54B51601" w14:textId="4219FAD5" w:rsidR="00AB3357" w:rsidRDefault="00AB3357">
      <w:pPr>
        <w:pStyle w:val="Commentaire"/>
      </w:pPr>
      <w:r>
        <w:rPr>
          <w:rStyle w:val="Marquedecommentaire"/>
        </w:rPr>
        <w:annotationRef/>
      </w:r>
    </w:p>
  </w:comment>
  <w:comment w:id="43" w:author="Bertin Mikolo" w:date="2026-05-07T13:43:00Z" w:initials="BM">
    <w:p w14:paraId="0D6A6CB1" w14:textId="77777777" w:rsidR="00A7025A" w:rsidRDefault="00A7025A">
      <w:pPr>
        <w:pStyle w:val="Commentaire"/>
      </w:pPr>
      <w:r>
        <w:rPr>
          <w:rStyle w:val="Marquedecommentaire"/>
        </w:rPr>
        <w:annotationRef/>
      </w:r>
      <w:r w:rsidRPr="00A7025A">
        <w:t>inconsistent spacing across the table columns</w:t>
      </w:r>
      <w:r>
        <w:t>.</w:t>
      </w:r>
    </w:p>
    <w:p w14:paraId="67EA8CFE" w14:textId="44BD5607" w:rsidR="00A7025A" w:rsidRDefault="00A7025A">
      <w:pPr>
        <w:pStyle w:val="Commentaire"/>
      </w:pPr>
      <w:r>
        <w:t xml:space="preserve">Suggestion: </w:t>
      </w:r>
      <w:r w:rsidRPr="00A7025A">
        <w:t>25.54ᵇᵉ ± 0.25</w:t>
      </w:r>
      <w:r>
        <w:t xml:space="preserve"> instead of </w:t>
      </w:r>
      <w:r w:rsidRPr="00A7025A">
        <w:t>25.54</w:t>
      </w:r>
      <w:r w:rsidRPr="00A7025A">
        <w:rPr>
          <w:vertAlign w:val="superscript"/>
        </w:rPr>
        <w:t>be</w:t>
      </w:r>
      <w:r w:rsidRPr="00A7025A">
        <w:t>±0.25</w:t>
      </w:r>
    </w:p>
  </w:comment>
  <w:comment w:id="44" w:author="Bertin Mikolo" w:date="2026-05-07T11:37:00Z" w:initials="BM">
    <w:p w14:paraId="4D0C5065" w14:textId="62F4DBAE" w:rsidR="009A0BA8" w:rsidRDefault="009A0BA8">
      <w:pPr>
        <w:pStyle w:val="Commentaire"/>
      </w:pPr>
      <w:r>
        <w:rPr>
          <w:rStyle w:val="Marquedecommentaire"/>
        </w:rPr>
        <w:annotationRef/>
      </w:r>
      <w:r w:rsidRPr="009A0BA8">
        <w:t>Carbo</w:t>
      </w:r>
      <w:r>
        <w:t>h</w:t>
      </w:r>
      <w:r w:rsidRPr="009A0BA8">
        <w:t>ydrate</w:t>
      </w:r>
    </w:p>
  </w:comment>
  <w:comment w:id="45" w:author="Bertin Mikolo" w:date="2026-05-07T13:50:00Z" w:initials="BM">
    <w:p w14:paraId="06BF85DF" w14:textId="59927593" w:rsidR="000F1508" w:rsidRDefault="000F1508">
      <w:pPr>
        <w:pStyle w:val="Commentaire"/>
      </w:pPr>
      <w:r>
        <w:rPr>
          <w:rStyle w:val="Marquedecommentaire"/>
        </w:rPr>
        <w:annotationRef/>
      </w:r>
      <w:r w:rsidRPr="000F1508">
        <w:t>G77: Cassava-groundnut snack bar with 7% ginger concentration</w:t>
      </w:r>
    </w:p>
  </w:comment>
  <w:comment w:id="46" w:author="Bertin Mikolo" w:date="2026-05-07T14:08:00Z" w:initials="BM">
    <w:p w14:paraId="014BF567" w14:textId="7555228A" w:rsidR="0020086D" w:rsidRDefault="0020086D">
      <w:pPr>
        <w:pStyle w:val="Commentaire"/>
      </w:pPr>
      <w:r>
        <w:rPr>
          <w:rStyle w:val="Marquedecommentaire"/>
        </w:rPr>
        <w:annotationRef/>
      </w:r>
      <w:r>
        <w:t>Some times “ …..</w:t>
      </w:r>
      <w:r w:rsidRPr="0020086D">
        <w:t>fortified with 7% ginger/turmeric</w:t>
      </w:r>
      <w:r>
        <w:t>.”</w:t>
      </w:r>
    </w:p>
  </w:comment>
  <w:comment w:id="47" w:author="Bertin Mikolo" w:date="2026-05-07T16:07:00Z" w:initials="BM">
    <w:p w14:paraId="79B88861" w14:textId="69D023B1" w:rsidR="00AB3357" w:rsidRDefault="00AB3357">
      <w:pPr>
        <w:pStyle w:val="Commentaire"/>
      </w:pPr>
      <w:r>
        <w:rPr>
          <w:rStyle w:val="Marquedecommentaire"/>
        </w:rPr>
        <w:annotationRef/>
      </w:r>
      <w:r>
        <w:t>Control intead of Control.</w:t>
      </w:r>
    </w:p>
  </w:comment>
  <w:comment w:id="48" w:author="Bertin Mikolo" w:date="2026-05-07T14:19:00Z" w:initials="BM">
    <w:p w14:paraId="6749C06D" w14:textId="79098301" w:rsidR="00020B98" w:rsidRDefault="00020B98">
      <w:pPr>
        <w:pStyle w:val="Commentaire"/>
      </w:pPr>
      <w:r>
        <w:rPr>
          <w:rStyle w:val="Marquedecommentaire"/>
        </w:rPr>
        <w:annotationRef/>
      </w:r>
      <w:r w:rsidRPr="00020B98">
        <w:t>Colour</w:t>
      </w:r>
      <w:r>
        <w:t xml:space="preserve"> </w:t>
      </w:r>
      <w:r w:rsidRPr="00020B98">
        <w:t>is not consistently discussed in the text</w:t>
      </w:r>
      <w:r>
        <w:t>.</w:t>
      </w:r>
    </w:p>
  </w:comment>
  <w:comment w:id="49" w:author="Bertin Mikolo" w:date="2026-05-07T15:24:00Z" w:initials="BM">
    <w:p w14:paraId="7AAF09FD" w14:textId="77777777" w:rsidR="00716D49" w:rsidRDefault="00716D49">
      <w:pPr>
        <w:pStyle w:val="Commentaire"/>
      </w:pPr>
      <w:r>
        <w:rPr>
          <w:rStyle w:val="Marquedecommentaire"/>
        </w:rPr>
        <w:annotationRef/>
      </w:r>
      <w:r>
        <w:t>N</w:t>
      </w:r>
      <w:r w:rsidRPr="00716D49">
        <w:t xml:space="preserve">ot all nutritional parameters </w:t>
      </w:r>
      <w:r>
        <w:t xml:space="preserve">have been </w:t>
      </w:r>
      <w:r w:rsidRPr="00716D49">
        <w:t>improved uniformly across all formulations</w:t>
      </w:r>
      <w:r>
        <w:t>.</w:t>
      </w:r>
    </w:p>
    <w:p w14:paraId="4E6DEA6F" w14:textId="6AA5B462" w:rsidR="00716D49" w:rsidRDefault="00716D49">
      <w:pPr>
        <w:pStyle w:val="Commentaire"/>
      </w:pPr>
      <w:r>
        <w:t>Suggestion: “</w:t>
      </w:r>
      <w:r w:rsidRPr="00716D49">
        <w:t>The inclusion of ginger and turmeric improved several nutritional and sensory properties of cassava-groundnut energy bars</w:t>
      </w:r>
      <w:r>
        <w:t>.”</w:t>
      </w:r>
    </w:p>
  </w:comment>
  <w:comment w:id="51" w:author="Bertin Mikolo" w:date="2026-05-07T16:00:00Z" w:initials="BM">
    <w:p w14:paraId="05E3BF8F" w14:textId="434AA261" w:rsidR="003A639A" w:rsidRDefault="003A639A">
      <w:pPr>
        <w:pStyle w:val="Commentaire"/>
      </w:pPr>
      <w:r>
        <w:rPr>
          <w:rStyle w:val="Marquedecommentaire"/>
        </w:rPr>
        <w:annotationRef/>
      </w:r>
      <w:r w:rsidRPr="003A639A">
        <w:t>“Sensory” should not be unnecessarily capitalized</w:t>
      </w:r>
      <w:r>
        <w:t>.</w:t>
      </w:r>
    </w:p>
  </w:comment>
  <w:comment w:id="50" w:author="Bertin Mikolo" w:date="2026-05-07T15:33:00Z" w:initials="BM">
    <w:p w14:paraId="356ADC26" w14:textId="77777777" w:rsidR="002272C8" w:rsidRDefault="002272C8">
      <w:pPr>
        <w:pStyle w:val="Commentaire"/>
      </w:pPr>
      <w:r>
        <w:rPr>
          <w:rStyle w:val="Marquedecommentaire"/>
        </w:rPr>
        <w:annotationRef/>
      </w:r>
      <w:r w:rsidRPr="002272C8">
        <w:t>The term “validated” may be an overstatement considering the small size of the sensory panel</w:t>
      </w:r>
      <w:r>
        <w:t>.</w:t>
      </w:r>
    </w:p>
    <w:p w14:paraId="304C87AB" w14:textId="1DADB411" w:rsidR="002272C8" w:rsidRDefault="002272C8">
      <w:pPr>
        <w:pStyle w:val="Commentaire"/>
      </w:pPr>
      <w:r>
        <w:t>Suggestion: “</w:t>
      </w:r>
      <w:r w:rsidRPr="002272C8">
        <w:t>The results of the sensory evaluation showed that the panelists appreciated the spiced energy bars.</w:t>
      </w:r>
      <w:r>
        <w:t>”</w:t>
      </w:r>
    </w:p>
  </w:comment>
  <w:comment w:id="53" w:author="Bertin Mikolo" w:date="2026-05-07T15:37:00Z" w:initials="BM">
    <w:p w14:paraId="3C7858A6" w14:textId="77777777" w:rsidR="003A43AE" w:rsidRDefault="003A43AE">
      <w:pPr>
        <w:pStyle w:val="Commentaire"/>
      </w:pPr>
      <w:r>
        <w:rPr>
          <w:rStyle w:val="Marquedecommentaire"/>
        </w:rPr>
        <w:annotationRef/>
      </w:r>
      <w:r w:rsidRPr="003A43AE">
        <w:t>Harmonious sensory experience” is somewhat subjective</w:t>
      </w:r>
      <w:r>
        <w:t>.</w:t>
      </w:r>
    </w:p>
    <w:p w14:paraId="64255778" w14:textId="2FBDEF09" w:rsidR="003A43AE" w:rsidRDefault="003A43AE">
      <w:pPr>
        <w:pStyle w:val="Commentaire"/>
      </w:pPr>
      <w:r>
        <w:t>Suggestion: “…</w:t>
      </w:r>
      <w:r w:rsidRPr="003A43AE">
        <w:t>“</w:t>
      </w:r>
      <w:r>
        <w:t>b</w:t>
      </w:r>
      <w:r w:rsidRPr="003A43AE">
        <w:t>alanced ginger–turmeric formulations (e.g., GT5 and GT7) showed favourable sensory scores for several attributes.”</w:t>
      </w:r>
    </w:p>
  </w:comment>
  <w:comment w:id="52" w:author="Bertin Mikolo" w:date="2026-05-07T15:42:00Z" w:initials="BM">
    <w:p w14:paraId="29B2D445" w14:textId="77777777" w:rsidR="0072766E" w:rsidRPr="0072766E" w:rsidRDefault="0072766E" w:rsidP="0072766E">
      <w:pPr>
        <w:pStyle w:val="Commentaire"/>
        <w:rPr>
          <w:lang w:val="fr-FR"/>
        </w:rPr>
      </w:pPr>
      <w:r>
        <w:rPr>
          <w:rStyle w:val="Marquedecommentaire"/>
        </w:rPr>
        <w:annotationRef/>
      </w:r>
      <w:r w:rsidRPr="0072766E">
        <w:rPr>
          <w:lang w:val="fr-FR"/>
        </w:rPr>
        <w:t>This should read that the conclusion is based on the sensory panel used in the study.</w:t>
      </w:r>
    </w:p>
    <w:p w14:paraId="26DC6C53" w14:textId="0B356C15" w:rsidR="0072766E" w:rsidRDefault="0072766E">
      <w:pPr>
        <w:pStyle w:val="Commentaire"/>
      </w:pPr>
      <w:r>
        <w:t xml:space="preserve">Suggestion: </w:t>
      </w:r>
      <w:r w:rsidRPr="0072766E">
        <w:t>“Moderate concentrations of turmeric and higher concentrations of ginger were generally preferred by the sensory panelists.”</w:t>
      </w:r>
    </w:p>
  </w:comment>
  <w:comment w:id="54" w:author="Bertin Mikolo" w:date="2026-05-07T15:10:00Z" w:initials="BM">
    <w:p w14:paraId="0F0E5931" w14:textId="174A22C3" w:rsidR="00EB11A6" w:rsidRDefault="00EB11A6">
      <w:pPr>
        <w:pStyle w:val="Commentaire"/>
      </w:pPr>
      <w:r>
        <w:rPr>
          <w:rStyle w:val="Marquedecommentaire"/>
        </w:rPr>
        <w:annotationRef/>
      </w:r>
      <w:r w:rsidRPr="00EB11A6">
        <w:t>This statement is too broad</w:t>
      </w:r>
      <w:r w:rsidR="007177F4">
        <w:t>. T</w:t>
      </w:r>
      <w:r w:rsidR="007177F4" w:rsidRPr="007177F4">
        <w:t>he study did not assess direct health outcomes.</w:t>
      </w:r>
    </w:p>
    <w:p w14:paraId="4814AAD5" w14:textId="5D7D39E3" w:rsidR="00EB11A6" w:rsidRDefault="00EB11A6">
      <w:pPr>
        <w:pStyle w:val="Commentaire"/>
      </w:pPr>
      <w:r>
        <w:t>Suggestion: “…</w:t>
      </w:r>
      <w:r w:rsidR="007177F4" w:rsidRPr="007177F4">
        <w:t>for developing nutritionally enriched snacks with enhanced sensory qualities.”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BBC9A" w15:done="0"/>
  <w15:commentEx w15:paraId="2EEB87B2" w15:done="0"/>
  <w15:commentEx w15:paraId="405A5FF6" w15:done="0"/>
  <w15:commentEx w15:paraId="0765CCAA" w15:done="0"/>
  <w15:commentEx w15:paraId="710A8EC4" w15:done="0"/>
  <w15:commentEx w15:paraId="08105521" w15:done="0"/>
  <w15:commentEx w15:paraId="7DDD6A59" w15:done="0"/>
  <w15:commentEx w15:paraId="0681C867" w15:done="0"/>
  <w15:commentEx w15:paraId="3EB95247" w15:done="0"/>
  <w15:commentEx w15:paraId="39052235" w15:done="0"/>
  <w15:commentEx w15:paraId="00DF8695" w15:done="0"/>
  <w15:commentEx w15:paraId="58B116C8" w15:done="0"/>
  <w15:commentEx w15:paraId="4C82BEC5" w15:done="0"/>
  <w15:commentEx w15:paraId="42F60F92" w15:done="0"/>
  <w15:commentEx w15:paraId="200A2644" w15:done="0"/>
  <w15:commentEx w15:paraId="2CF0D068" w15:done="0"/>
  <w15:commentEx w15:paraId="16002404" w15:done="0"/>
  <w15:commentEx w15:paraId="0066847A" w15:done="0"/>
  <w15:commentEx w15:paraId="599D7F2D" w15:done="0"/>
  <w15:commentEx w15:paraId="22244072" w15:done="0"/>
  <w15:commentEx w15:paraId="7EEE385D" w15:done="0"/>
  <w15:commentEx w15:paraId="443A6B50" w15:done="0"/>
  <w15:commentEx w15:paraId="36605997" w15:done="0"/>
  <w15:commentEx w15:paraId="72DFFE6F" w15:done="0"/>
  <w15:commentEx w15:paraId="3A99B837" w15:done="0"/>
  <w15:commentEx w15:paraId="13E57A80" w15:done="0"/>
  <w15:commentEx w15:paraId="098019C8" w15:done="0"/>
  <w15:commentEx w15:paraId="208ECB58" w15:done="0"/>
  <w15:commentEx w15:paraId="17D27393" w15:done="0"/>
  <w15:commentEx w15:paraId="32A18EA3" w15:done="0"/>
  <w15:commentEx w15:paraId="57590999" w15:done="0"/>
  <w15:commentEx w15:paraId="6BE778F3" w15:done="0"/>
  <w15:commentEx w15:paraId="59D81334" w15:done="0"/>
  <w15:commentEx w15:paraId="4578619E" w15:done="0"/>
  <w15:commentEx w15:paraId="39790018" w15:done="0"/>
  <w15:commentEx w15:paraId="26B86080" w15:done="0"/>
  <w15:commentEx w15:paraId="19082866" w15:done="0"/>
  <w15:commentEx w15:paraId="278A7861" w15:done="0"/>
  <w15:commentEx w15:paraId="3430F928" w15:done="0"/>
  <w15:commentEx w15:paraId="54B51601" w15:done="0"/>
  <w15:commentEx w15:paraId="67EA8CFE" w15:done="0"/>
  <w15:commentEx w15:paraId="4D0C5065" w15:done="0"/>
  <w15:commentEx w15:paraId="06BF85DF" w15:done="0"/>
  <w15:commentEx w15:paraId="014BF567" w15:done="0"/>
  <w15:commentEx w15:paraId="79B88861" w15:done="0"/>
  <w15:commentEx w15:paraId="6749C06D" w15:done="0"/>
  <w15:commentEx w15:paraId="4E6DEA6F" w15:done="0"/>
  <w15:commentEx w15:paraId="05E3BF8F" w15:done="0"/>
  <w15:commentEx w15:paraId="304C87AB" w15:done="0"/>
  <w15:commentEx w15:paraId="64255778" w15:done="0"/>
  <w15:commentEx w15:paraId="26DC6C53" w15:done="0"/>
  <w15:commentEx w15:paraId="4814AA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A3576" w16cex:dateUtc="2026-05-07T06:52:00Z"/>
  <w16cex:commentExtensible w16cex:durableId="20A2C78B" w16cex:dateUtc="2026-05-07T06:53:00Z"/>
  <w16cex:commentExtensible w16cex:durableId="636AC2DF" w16cex:dateUtc="2026-05-07T06:54:00Z"/>
  <w16cex:commentExtensible w16cex:durableId="53159661" w16cex:dateUtc="2026-05-07T07:13:00Z"/>
  <w16cex:commentExtensible w16cex:durableId="0AFAD707" w16cex:dateUtc="2026-05-07T07:15:00Z"/>
  <w16cex:commentExtensible w16cex:durableId="421E2B16" w16cex:dateUtc="2026-05-07T07:07:00Z"/>
  <w16cex:commentExtensible w16cex:durableId="62C00059" w16cex:dateUtc="2026-05-07T12:34:00Z"/>
  <w16cex:commentExtensible w16cex:durableId="1C3B530B" w16cex:dateUtc="2026-05-07T06:56:00Z"/>
  <w16cex:commentExtensible w16cex:durableId="0D097D45" w16cex:dateUtc="2026-05-07T07:00:00Z"/>
  <w16cex:commentExtensible w16cex:durableId="6DD26B9F" w16cex:dateUtc="2026-05-07T07:19:00Z"/>
  <w16cex:commentExtensible w16cex:durableId="2DA212CF" w16cex:dateUtc="2026-05-07T08:41:00Z"/>
  <w16cex:commentExtensible w16cex:durableId="1A19E8DB" w16cex:dateUtc="2026-05-07T07:28:00Z"/>
  <w16cex:commentExtensible w16cex:durableId="36A839F9" w16cex:dateUtc="2026-05-07T07:32:00Z"/>
  <w16cex:commentExtensible w16cex:durableId="1448E36D" w16cex:dateUtc="2026-05-07T08:52:00Z"/>
  <w16cex:commentExtensible w16cex:durableId="7437F745" w16cex:dateUtc="2026-05-07T07:43:00Z"/>
  <w16cex:commentExtensible w16cex:durableId="1C1A621B" w16cex:dateUtc="2026-05-07T10:28:00Z"/>
  <w16cex:commentExtensible w16cex:durableId="3A2AAF49" w16cex:dateUtc="2026-05-07T08:23:00Z"/>
  <w16cex:commentExtensible w16cex:durableId="5FEFBBFD" w16cex:dateUtc="2026-05-07T09:10:00Z"/>
  <w16cex:commentExtensible w16cex:durableId="24CC105D" w16cex:dateUtc="2026-05-07T11:26:00Z"/>
  <w16cex:commentExtensible w16cex:durableId="468A81CD" w16cex:dateUtc="2026-05-07T11:28:00Z"/>
  <w16cex:commentExtensible w16cex:durableId="78EE870F" w16cex:dateUtc="2026-05-07T10:50:00Z"/>
  <w16cex:commentExtensible w16cex:durableId="0EC695FB" w16cex:dateUtc="2026-05-07T10:31:00Z"/>
  <w16cex:commentExtensible w16cex:durableId="11FAB9D9" w16cex:dateUtc="2026-05-07T10:32:00Z"/>
  <w16cex:commentExtensible w16cex:durableId="0F68C96B" w16cex:dateUtc="2026-05-07T10:39:00Z"/>
  <w16cex:commentExtensible w16cex:durableId="23B83633" w16cex:dateUtc="2026-05-07T10:55:00Z"/>
  <w16cex:commentExtensible w16cex:durableId="6C0CABEE" w16cex:dateUtc="2026-05-07T10:58:00Z"/>
  <w16cex:commentExtensible w16cex:durableId="74D2488E" w16cex:dateUtc="2026-05-07T11:10:00Z"/>
  <w16cex:commentExtensible w16cex:durableId="67B8570C" w16cex:dateUtc="2026-05-07T11:22:00Z"/>
  <w16cex:commentExtensible w16cex:durableId="400D755D" w16cex:dateUtc="2026-05-07T11:13:00Z"/>
  <w16cex:commentExtensible w16cex:durableId="78D92792" w16cex:dateUtc="2026-05-07T10:36:00Z"/>
  <w16cex:commentExtensible w16cex:durableId="54AD1A4F" w16cex:dateUtc="2026-05-07T13:12:00Z"/>
  <w16cex:commentExtensible w16cex:durableId="0BB03D77" w16cex:dateUtc="2026-05-07T10:33:00Z"/>
  <w16cex:commentExtensible w16cex:durableId="243AF4B5" w16cex:dateUtc="2026-05-07T11:52:00Z"/>
  <w16cex:commentExtensible w16cex:durableId="2C10C914" w16cex:dateUtc="2026-05-07T11:56:00Z"/>
  <w16cex:commentExtensible w16cex:durableId="14B6CE78" w16cex:dateUtc="2026-05-07T10:33:00Z"/>
  <w16cex:commentExtensible w16cex:durableId="4B455338" w16cex:dateUtc="2026-05-07T12:02:00Z"/>
  <w16cex:commentExtensible w16cex:durableId="7030DFFA" w16cex:dateUtc="2026-05-07T10:35:00Z"/>
  <w16cex:commentExtensible w16cex:durableId="492A6A72" w16cex:dateUtc="2026-05-07T12:15:00Z"/>
  <w16cex:commentExtensible w16cex:durableId="7E069F97" w16cex:dateUtc="2026-05-07T10:34:00Z"/>
  <w16cex:commentExtensible w16cex:durableId="2C6EB8FB" w16cex:dateUtc="2026-05-07T15:04:00Z"/>
  <w16cex:commentExtensible w16cex:durableId="45F773A4" w16cex:dateUtc="2026-05-07T12:43:00Z"/>
  <w16cex:commentExtensible w16cex:durableId="40268814" w16cex:dateUtc="2026-05-07T10:37:00Z"/>
  <w16cex:commentExtensible w16cex:durableId="6D2B5233" w16cex:dateUtc="2026-05-07T12:50:00Z"/>
  <w16cex:commentExtensible w16cex:durableId="238D2852" w16cex:dateUtc="2026-05-07T13:08:00Z"/>
  <w16cex:commentExtensible w16cex:durableId="51537696" w16cex:dateUtc="2026-05-07T15:07:00Z"/>
  <w16cex:commentExtensible w16cex:durableId="6D7ED86A" w16cex:dateUtc="2026-05-07T13:19:00Z"/>
  <w16cex:commentExtensible w16cex:durableId="2D93D36D" w16cex:dateUtc="2026-05-07T14:24:00Z"/>
  <w16cex:commentExtensible w16cex:durableId="7EE1FDEE" w16cex:dateUtc="2026-05-07T15:00:00Z"/>
  <w16cex:commentExtensible w16cex:durableId="07D4B032" w16cex:dateUtc="2026-05-07T14:33:00Z"/>
  <w16cex:commentExtensible w16cex:durableId="03C622B1" w16cex:dateUtc="2026-05-07T14:37:00Z"/>
  <w16cex:commentExtensible w16cex:durableId="48A36CFC" w16cex:dateUtc="2026-05-07T14:42:00Z"/>
  <w16cex:commentExtensible w16cex:durableId="7317BB84" w16cex:dateUtc="2026-05-07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BBC9A" w16cid:durableId="241A3576"/>
  <w16cid:commentId w16cid:paraId="2EEB87B2" w16cid:durableId="20A2C78B"/>
  <w16cid:commentId w16cid:paraId="405A5FF6" w16cid:durableId="636AC2DF"/>
  <w16cid:commentId w16cid:paraId="0765CCAA" w16cid:durableId="53159661"/>
  <w16cid:commentId w16cid:paraId="710A8EC4" w16cid:durableId="0AFAD707"/>
  <w16cid:commentId w16cid:paraId="08105521" w16cid:durableId="421E2B16"/>
  <w16cid:commentId w16cid:paraId="7DDD6A59" w16cid:durableId="62C00059"/>
  <w16cid:commentId w16cid:paraId="0681C867" w16cid:durableId="1C3B530B"/>
  <w16cid:commentId w16cid:paraId="3EB95247" w16cid:durableId="0D097D45"/>
  <w16cid:commentId w16cid:paraId="39052235" w16cid:durableId="6DD26B9F"/>
  <w16cid:commentId w16cid:paraId="00DF8695" w16cid:durableId="2DA212CF"/>
  <w16cid:commentId w16cid:paraId="58B116C8" w16cid:durableId="1A19E8DB"/>
  <w16cid:commentId w16cid:paraId="4C82BEC5" w16cid:durableId="36A839F9"/>
  <w16cid:commentId w16cid:paraId="42F60F92" w16cid:durableId="1448E36D"/>
  <w16cid:commentId w16cid:paraId="200A2644" w16cid:durableId="7437F745"/>
  <w16cid:commentId w16cid:paraId="2CF0D068" w16cid:durableId="1C1A621B"/>
  <w16cid:commentId w16cid:paraId="16002404" w16cid:durableId="3A2AAF49"/>
  <w16cid:commentId w16cid:paraId="0066847A" w16cid:durableId="5FEFBBFD"/>
  <w16cid:commentId w16cid:paraId="599D7F2D" w16cid:durableId="24CC105D"/>
  <w16cid:commentId w16cid:paraId="22244072" w16cid:durableId="468A81CD"/>
  <w16cid:commentId w16cid:paraId="7EEE385D" w16cid:durableId="78EE870F"/>
  <w16cid:commentId w16cid:paraId="443A6B50" w16cid:durableId="0EC695FB"/>
  <w16cid:commentId w16cid:paraId="36605997" w16cid:durableId="11FAB9D9"/>
  <w16cid:commentId w16cid:paraId="72DFFE6F" w16cid:durableId="0F68C96B"/>
  <w16cid:commentId w16cid:paraId="3A99B837" w16cid:durableId="23B83633"/>
  <w16cid:commentId w16cid:paraId="13E57A80" w16cid:durableId="6C0CABEE"/>
  <w16cid:commentId w16cid:paraId="098019C8" w16cid:durableId="74D2488E"/>
  <w16cid:commentId w16cid:paraId="208ECB58" w16cid:durableId="67B8570C"/>
  <w16cid:commentId w16cid:paraId="17D27393" w16cid:durableId="400D755D"/>
  <w16cid:commentId w16cid:paraId="32A18EA3" w16cid:durableId="78D92792"/>
  <w16cid:commentId w16cid:paraId="57590999" w16cid:durableId="54AD1A4F"/>
  <w16cid:commentId w16cid:paraId="6BE778F3" w16cid:durableId="0BB03D77"/>
  <w16cid:commentId w16cid:paraId="59D81334" w16cid:durableId="243AF4B5"/>
  <w16cid:commentId w16cid:paraId="4578619E" w16cid:durableId="2C10C914"/>
  <w16cid:commentId w16cid:paraId="39790018" w16cid:durableId="14B6CE78"/>
  <w16cid:commentId w16cid:paraId="26B86080" w16cid:durableId="4B455338"/>
  <w16cid:commentId w16cid:paraId="19082866" w16cid:durableId="7030DFFA"/>
  <w16cid:commentId w16cid:paraId="278A7861" w16cid:durableId="492A6A72"/>
  <w16cid:commentId w16cid:paraId="3430F928" w16cid:durableId="7E069F97"/>
  <w16cid:commentId w16cid:paraId="54B51601" w16cid:durableId="2C6EB8FB"/>
  <w16cid:commentId w16cid:paraId="67EA8CFE" w16cid:durableId="45F773A4"/>
  <w16cid:commentId w16cid:paraId="4D0C5065" w16cid:durableId="40268814"/>
  <w16cid:commentId w16cid:paraId="06BF85DF" w16cid:durableId="6D2B5233"/>
  <w16cid:commentId w16cid:paraId="014BF567" w16cid:durableId="238D2852"/>
  <w16cid:commentId w16cid:paraId="79B88861" w16cid:durableId="51537696"/>
  <w16cid:commentId w16cid:paraId="6749C06D" w16cid:durableId="6D7ED86A"/>
  <w16cid:commentId w16cid:paraId="4E6DEA6F" w16cid:durableId="2D93D36D"/>
  <w16cid:commentId w16cid:paraId="05E3BF8F" w16cid:durableId="7EE1FDEE"/>
  <w16cid:commentId w16cid:paraId="304C87AB" w16cid:durableId="07D4B032"/>
  <w16cid:commentId w16cid:paraId="64255778" w16cid:durableId="03C622B1"/>
  <w16cid:commentId w16cid:paraId="26DC6C53" w16cid:durableId="48A36CFC"/>
  <w16cid:commentId w16cid:paraId="4814AAD5" w16cid:durableId="7317B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7A18" w14:textId="77777777" w:rsidR="00617BF6" w:rsidRDefault="00617BF6">
      <w:r>
        <w:separator/>
      </w:r>
    </w:p>
  </w:endnote>
  <w:endnote w:type="continuationSeparator" w:id="0">
    <w:p w14:paraId="3A741419" w14:textId="77777777" w:rsidR="00617BF6" w:rsidRDefault="0061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20BE" w14:textId="77777777" w:rsidR="00E55051" w:rsidRDefault="00E550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15EF" w14:textId="77777777" w:rsidR="001C1D18" w:rsidRDefault="001C1D18">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04C2" w14:textId="77777777" w:rsidR="00E55051" w:rsidRDefault="00E550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520DE" w14:textId="77777777" w:rsidR="00617BF6" w:rsidRDefault="00617BF6">
      <w:r>
        <w:separator/>
      </w:r>
    </w:p>
  </w:footnote>
  <w:footnote w:type="continuationSeparator" w:id="0">
    <w:p w14:paraId="4CBA2B82" w14:textId="77777777" w:rsidR="00617BF6" w:rsidRDefault="0061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EEFB" w14:textId="15554AE5" w:rsidR="00E55051" w:rsidRDefault="00000000">
    <w:pPr>
      <w:pStyle w:val="En-tte"/>
    </w:pPr>
    <w:r>
      <w:rPr>
        <w:noProof/>
      </w:rPr>
      <w:pict w14:anchorId="215D5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7" o:spid="_x0000_s1026"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2A8F" w14:textId="1F3A1FD1" w:rsidR="001C1D18" w:rsidRDefault="00000000">
    <w:pPr>
      <w:pStyle w:val="Corpsdetexte"/>
      <w:spacing w:line="14" w:lineRule="auto"/>
      <w:rPr>
        <w:sz w:val="20"/>
      </w:rPr>
    </w:pPr>
    <w:r>
      <w:rPr>
        <w:noProof/>
      </w:rPr>
      <w:pict w14:anchorId="7574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8" o:spid="_x0000_s1027"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826" w14:textId="56C476CF" w:rsidR="00E55051" w:rsidRDefault="00000000">
    <w:pPr>
      <w:pStyle w:val="En-tte"/>
    </w:pPr>
    <w:r>
      <w:rPr>
        <w:noProof/>
      </w:rPr>
      <w:pict w14:anchorId="28D3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6" o:spid="_x0000_s1025"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8E0B06"/>
    <w:lvl w:ilvl="0" w:tplc="36D610A6">
      <w:start w:val="2"/>
      <w:numFmt w:val="decimal"/>
      <w:lvlText w:val="%1"/>
      <w:lvlJc w:val="left"/>
      <w:pPr>
        <w:ind w:left="392" w:hanging="370"/>
      </w:pPr>
      <w:rPr>
        <w:rFonts w:hint="default"/>
        <w:lang w:val="en-US" w:eastAsia="en-US" w:bidi="ar-SA"/>
      </w:rPr>
    </w:lvl>
    <w:lvl w:ilvl="1" w:tplc="081ECD08">
      <w:start w:val="1"/>
      <w:numFmt w:val="none"/>
      <w:lvlText w:val=""/>
      <w:lvlJc w:val="left"/>
      <w:pPr>
        <w:tabs>
          <w:tab w:val="left" w:pos="360"/>
        </w:tabs>
      </w:pPr>
    </w:lvl>
    <w:lvl w:ilvl="2" w:tplc="2DC42708">
      <w:start w:val="1"/>
      <w:numFmt w:val="none"/>
      <w:lvlText w:val=""/>
      <w:lvlJc w:val="left"/>
      <w:pPr>
        <w:tabs>
          <w:tab w:val="left" w:pos="360"/>
        </w:tabs>
      </w:pPr>
    </w:lvl>
    <w:lvl w:ilvl="3" w:tplc="A60C8A62">
      <w:start w:val="1"/>
      <w:numFmt w:val="bullet"/>
      <w:lvlText w:val="•"/>
      <w:lvlJc w:val="left"/>
      <w:pPr>
        <w:ind w:left="439" w:hanging="610"/>
      </w:pPr>
      <w:rPr>
        <w:rFonts w:hint="default"/>
        <w:lang w:val="en-US" w:eastAsia="en-US" w:bidi="ar-SA"/>
      </w:rPr>
    </w:lvl>
    <w:lvl w:ilvl="4" w:tplc="36A009EA">
      <w:start w:val="1"/>
      <w:numFmt w:val="bullet"/>
      <w:lvlText w:val="•"/>
      <w:lvlJc w:val="left"/>
      <w:pPr>
        <w:ind w:left="338" w:hanging="610"/>
      </w:pPr>
      <w:rPr>
        <w:rFonts w:hint="default"/>
        <w:lang w:val="en-US" w:eastAsia="en-US" w:bidi="ar-SA"/>
      </w:rPr>
    </w:lvl>
    <w:lvl w:ilvl="5" w:tplc="A4722940">
      <w:start w:val="1"/>
      <w:numFmt w:val="bullet"/>
      <w:lvlText w:val="•"/>
      <w:lvlJc w:val="left"/>
      <w:pPr>
        <w:ind w:left="238" w:hanging="610"/>
      </w:pPr>
      <w:rPr>
        <w:rFonts w:hint="default"/>
        <w:lang w:val="en-US" w:eastAsia="en-US" w:bidi="ar-SA"/>
      </w:rPr>
    </w:lvl>
    <w:lvl w:ilvl="6" w:tplc="E0A85326">
      <w:start w:val="1"/>
      <w:numFmt w:val="bullet"/>
      <w:lvlText w:val="•"/>
      <w:lvlJc w:val="left"/>
      <w:pPr>
        <w:ind w:left="137" w:hanging="610"/>
      </w:pPr>
      <w:rPr>
        <w:rFonts w:hint="default"/>
        <w:lang w:val="en-US" w:eastAsia="en-US" w:bidi="ar-SA"/>
      </w:rPr>
    </w:lvl>
    <w:lvl w:ilvl="7" w:tplc="70A04CF2">
      <w:start w:val="1"/>
      <w:numFmt w:val="bullet"/>
      <w:lvlText w:val="•"/>
      <w:lvlJc w:val="left"/>
      <w:pPr>
        <w:ind w:left="37" w:hanging="610"/>
      </w:pPr>
      <w:rPr>
        <w:rFonts w:hint="default"/>
        <w:lang w:val="en-US" w:eastAsia="en-US" w:bidi="ar-SA"/>
      </w:rPr>
    </w:lvl>
    <w:lvl w:ilvl="8" w:tplc="5C6AE0EA">
      <w:start w:val="1"/>
      <w:numFmt w:val="bullet"/>
      <w:lvlText w:val="•"/>
      <w:lvlJc w:val="left"/>
      <w:pPr>
        <w:ind w:left="-64" w:hanging="610"/>
      </w:pPr>
      <w:rPr>
        <w:rFonts w:hint="default"/>
        <w:lang w:val="en-US" w:eastAsia="en-US" w:bidi="ar-SA"/>
      </w:rPr>
    </w:lvl>
  </w:abstractNum>
  <w:abstractNum w:abstractNumId="1" w15:restartNumberingAfterBreak="0">
    <w:nsid w:val="00000002"/>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start w:val="1"/>
      <w:numFmt w:val="bullet"/>
      <w:lvlText w:val="•"/>
      <w:lvlJc w:val="left"/>
      <w:pPr>
        <w:ind w:left="1368" w:hanging="360"/>
      </w:pPr>
      <w:rPr>
        <w:rFonts w:hint="default"/>
        <w:lang w:val="en-US" w:eastAsia="en-US" w:bidi="ar-SA"/>
      </w:rPr>
    </w:lvl>
    <w:lvl w:ilvl="2" w:tplc="3036FB68">
      <w:start w:val="1"/>
      <w:numFmt w:val="bullet"/>
      <w:lvlText w:val="•"/>
      <w:lvlJc w:val="left"/>
      <w:pPr>
        <w:ind w:left="2277" w:hanging="360"/>
      </w:pPr>
      <w:rPr>
        <w:rFonts w:hint="default"/>
        <w:lang w:val="en-US" w:eastAsia="en-US" w:bidi="ar-SA"/>
      </w:rPr>
    </w:lvl>
    <w:lvl w:ilvl="3" w:tplc="587C0062">
      <w:start w:val="1"/>
      <w:numFmt w:val="bullet"/>
      <w:lvlText w:val="•"/>
      <w:lvlJc w:val="left"/>
      <w:pPr>
        <w:ind w:left="3185" w:hanging="360"/>
      </w:pPr>
      <w:rPr>
        <w:rFonts w:hint="default"/>
        <w:lang w:val="en-US" w:eastAsia="en-US" w:bidi="ar-SA"/>
      </w:rPr>
    </w:lvl>
    <w:lvl w:ilvl="4" w:tplc="0906AB76">
      <w:start w:val="1"/>
      <w:numFmt w:val="bullet"/>
      <w:lvlText w:val="•"/>
      <w:lvlJc w:val="left"/>
      <w:pPr>
        <w:ind w:left="4094" w:hanging="360"/>
      </w:pPr>
      <w:rPr>
        <w:rFonts w:hint="default"/>
        <w:lang w:val="en-US" w:eastAsia="en-US" w:bidi="ar-SA"/>
      </w:rPr>
    </w:lvl>
    <w:lvl w:ilvl="5" w:tplc="44BC6D96">
      <w:start w:val="1"/>
      <w:numFmt w:val="bullet"/>
      <w:lvlText w:val="•"/>
      <w:lvlJc w:val="left"/>
      <w:pPr>
        <w:ind w:left="5003" w:hanging="360"/>
      </w:pPr>
      <w:rPr>
        <w:rFonts w:hint="default"/>
        <w:lang w:val="en-US" w:eastAsia="en-US" w:bidi="ar-SA"/>
      </w:rPr>
    </w:lvl>
    <w:lvl w:ilvl="6" w:tplc="6EE82D0A">
      <w:start w:val="1"/>
      <w:numFmt w:val="bullet"/>
      <w:lvlText w:val="•"/>
      <w:lvlJc w:val="left"/>
      <w:pPr>
        <w:ind w:left="5911" w:hanging="360"/>
      </w:pPr>
      <w:rPr>
        <w:rFonts w:hint="default"/>
        <w:lang w:val="en-US" w:eastAsia="en-US" w:bidi="ar-SA"/>
      </w:rPr>
    </w:lvl>
    <w:lvl w:ilvl="7" w:tplc="668C82D6">
      <w:start w:val="1"/>
      <w:numFmt w:val="bullet"/>
      <w:lvlText w:val="•"/>
      <w:lvlJc w:val="left"/>
      <w:pPr>
        <w:ind w:left="6820" w:hanging="360"/>
      </w:pPr>
      <w:rPr>
        <w:rFonts w:hint="default"/>
        <w:lang w:val="en-US" w:eastAsia="en-US" w:bidi="ar-SA"/>
      </w:rPr>
    </w:lvl>
    <w:lvl w:ilvl="8" w:tplc="C6C62F26">
      <w:start w:val="1"/>
      <w:numFmt w:val="bullet"/>
      <w:lvlText w:val="•"/>
      <w:lvlJc w:val="left"/>
      <w:pPr>
        <w:ind w:left="7729" w:hanging="360"/>
      </w:pPr>
      <w:rPr>
        <w:rFonts w:hint="default"/>
        <w:lang w:val="en-US" w:eastAsia="en-US" w:bidi="ar-SA"/>
      </w:rPr>
    </w:lvl>
  </w:abstractNum>
  <w:abstractNum w:abstractNumId="2" w15:restartNumberingAfterBreak="0">
    <w:nsid w:val="00000003"/>
    <w:multiLevelType w:val="hybridMultilevel"/>
    <w:tmpl w:val="6A6A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16C7C"/>
    <w:multiLevelType w:val="multilevel"/>
    <w:tmpl w:val="194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65F40"/>
    <w:multiLevelType w:val="singleLevel"/>
    <w:tmpl w:val="49C0DD04"/>
    <w:lvl w:ilvl="0">
      <w:start w:val="1"/>
      <w:numFmt w:val="lowerRoman"/>
      <w:lvlText w:val="%1."/>
      <w:lvlJc w:val="left"/>
      <w:pPr>
        <w:tabs>
          <w:tab w:val="left" w:pos="515"/>
        </w:tabs>
        <w:ind w:left="515" w:hanging="425"/>
      </w:pPr>
      <w:rPr>
        <w:rFonts w:hint="default"/>
      </w:rPr>
    </w:lvl>
  </w:abstractNum>
  <w:num w:numId="1" w16cid:durableId="769814639">
    <w:abstractNumId w:val="2"/>
  </w:num>
  <w:num w:numId="2" w16cid:durableId="222375926">
    <w:abstractNumId w:val="1"/>
  </w:num>
  <w:num w:numId="3" w16cid:durableId="2105563710">
    <w:abstractNumId w:val="0"/>
  </w:num>
  <w:num w:numId="4" w16cid:durableId="189683429">
    <w:abstractNumId w:val="4"/>
  </w:num>
  <w:num w:numId="5" w16cid:durableId="15358468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tin Mikolo">
    <w15:presenceInfo w15:providerId="Windows Live" w15:userId="dea9c870defdb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18"/>
    <w:rsid w:val="00020B98"/>
    <w:rsid w:val="00060583"/>
    <w:rsid w:val="000F1508"/>
    <w:rsid w:val="00186B53"/>
    <w:rsid w:val="001A3F94"/>
    <w:rsid w:val="001C1D18"/>
    <w:rsid w:val="0020086D"/>
    <w:rsid w:val="00217595"/>
    <w:rsid w:val="002272C8"/>
    <w:rsid w:val="0027345F"/>
    <w:rsid w:val="002F34C8"/>
    <w:rsid w:val="002F35A7"/>
    <w:rsid w:val="00315E95"/>
    <w:rsid w:val="003A43AE"/>
    <w:rsid w:val="003A639A"/>
    <w:rsid w:val="00434176"/>
    <w:rsid w:val="004D521A"/>
    <w:rsid w:val="00617BF6"/>
    <w:rsid w:val="0062005E"/>
    <w:rsid w:val="006657D9"/>
    <w:rsid w:val="00692E7C"/>
    <w:rsid w:val="007139D4"/>
    <w:rsid w:val="00716D49"/>
    <w:rsid w:val="007177F4"/>
    <w:rsid w:val="0072766E"/>
    <w:rsid w:val="00833A7C"/>
    <w:rsid w:val="00835E2E"/>
    <w:rsid w:val="0099448E"/>
    <w:rsid w:val="009A0BA8"/>
    <w:rsid w:val="00A003A1"/>
    <w:rsid w:val="00A26C44"/>
    <w:rsid w:val="00A631B1"/>
    <w:rsid w:val="00A63948"/>
    <w:rsid w:val="00A7025A"/>
    <w:rsid w:val="00AB3357"/>
    <w:rsid w:val="00B63863"/>
    <w:rsid w:val="00BE0E62"/>
    <w:rsid w:val="00BE51E2"/>
    <w:rsid w:val="00C07250"/>
    <w:rsid w:val="00C536A0"/>
    <w:rsid w:val="00D02C3F"/>
    <w:rsid w:val="00D417F6"/>
    <w:rsid w:val="00D97AFF"/>
    <w:rsid w:val="00DD2F87"/>
    <w:rsid w:val="00DD3BE0"/>
    <w:rsid w:val="00DD43B2"/>
    <w:rsid w:val="00DE6735"/>
    <w:rsid w:val="00E55051"/>
    <w:rsid w:val="00E63C25"/>
    <w:rsid w:val="00EB11A6"/>
    <w:rsid w:val="00F32881"/>
    <w:rsid w:val="00FF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9424B"/>
  <w15:docId w15:val="{2DFEBA25-A20C-46FF-999F-1D5F2900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rPr>
  </w:style>
  <w:style w:type="paragraph" w:styleId="Titre1">
    <w:name w:val="heading 1"/>
    <w:basedOn w:val="Normal"/>
    <w:next w:val="Normal"/>
    <w:link w:val="Titre1Car"/>
    <w:uiPriority w:val="9"/>
    <w:qFormat/>
    <w:pPr>
      <w:keepNext/>
      <w:keepLines/>
      <w:spacing w:before="480"/>
      <w:outlineLvl w:val="0"/>
    </w:pPr>
    <w:rPr>
      <w:rFonts w:ascii="Cambria" w:eastAsia="SimSun" w:hAnsi="Cambria" w:cs="SimSun"/>
      <w:b/>
      <w:bCs/>
      <w:color w:val="365F91"/>
      <w:sz w:val="28"/>
      <w:szCs w:val="28"/>
    </w:rPr>
  </w:style>
  <w:style w:type="paragraph" w:styleId="Titre2">
    <w:name w:val="heading 2"/>
    <w:basedOn w:val="Normal"/>
    <w:next w:val="Normal"/>
    <w:link w:val="Titre2Car"/>
    <w:uiPriority w:val="9"/>
    <w:semiHidden/>
    <w:unhideWhenUsed/>
    <w:qFormat/>
    <w:pPr>
      <w:keepNext/>
      <w:keepLines/>
      <w:spacing w:before="200"/>
      <w:outlineLvl w:val="1"/>
    </w:pPr>
    <w:rPr>
      <w:rFonts w:ascii="Cambria" w:eastAsia="SimSun" w:hAnsi="Cambria" w:cs="SimSun"/>
      <w:b/>
      <w:bCs/>
      <w:color w:val="4F81BD"/>
      <w:sz w:val="26"/>
      <w:szCs w:val="26"/>
    </w:rPr>
  </w:style>
  <w:style w:type="paragraph" w:styleId="Titre3">
    <w:name w:val="heading 3"/>
    <w:basedOn w:val="Normal"/>
    <w:next w:val="Normal"/>
    <w:link w:val="Titre3Car"/>
    <w:uiPriority w:val="9"/>
    <w:semiHidden/>
    <w:unhideWhenUsed/>
    <w:qFormat/>
    <w:pPr>
      <w:keepNext/>
      <w:keepLines/>
      <w:spacing w:before="280" w:after="80"/>
      <w:outlineLvl w:val="2"/>
    </w:pPr>
    <w:rPr>
      <w:b/>
      <w:sz w:val="28"/>
      <w:szCs w:val="28"/>
    </w:rPr>
  </w:style>
  <w:style w:type="paragraph" w:styleId="Titre4">
    <w:name w:val="heading 4"/>
    <w:basedOn w:val="Normal"/>
    <w:next w:val="Normal"/>
    <w:link w:val="Titre4Car"/>
    <w:uiPriority w:val="9"/>
    <w:semiHidden/>
    <w:unhideWhenUsed/>
    <w:qFormat/>
    <w:pPr>
      <w:keepNext/>
      <w:keepLines/>
      <w:spacing w:before="200"/>
      <w:outlineLvl w:val="3"/>
    </w:pPr>
    <w:rPr>
      <w:rFonts w:ascii="Cambria" w:eastAsia="SimSun" w:hAnsi="Cambria" w:cs="SimSun"/>
      <w:b/>
      <w:bCs/>
      <w:i/>
      <w:i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Pr>
      <w:rFonts w:ascii="Times New Roman" w:eastAsia="Times New Roman" w:hAnsi="Times New Roman" w:cs="Times New Roman"/>
      <w:b/>
      <w:sz w:val="28"/>
      <w:szCs w:val="28"/>
    </w:rPr>
  </w:style>
  <w:style w:type="paragraph" w:customStyle="1" w:styleId="TableParagraph">
    <w:name w:val="Table Paragraph"/>
    <w:basedOn w:val="Normal"/>
    <w:uiPriority w:val="1"/>
    <w:qFormat/>
    <w:pPr>
      <w:autoSpaceDE w:val="0"/>
      <w:autoSpaceDN w:val="0"/>
    </w:pPr>
  </w:style>
  <w:style w:type="character" w:customStyle="1" w:styleId="Titre1Car">
    <w:name w:val="Titre 1 Car"/>
    <w:basedOn w:val="Policepardfaut"/>
    <w:link w:val="Titre1"/>
    <w:uiPriority w:val="9"/>
    <w:rPr>
      <w:rFonts w:ascii="Cambria" w:eastAsia="SimSun" w:hAnsi="Cambria" w:cs="SimSun"/>
      <w:b/>
      <w:bCs/>
      <w:color w:val="365F91"/>
      <w:sz w:val="28"/>
      <w:szCs w:val="28"/>
    </w:rPr>
  </w:style>
  <w:style w:type="paragraph" w:styleId="Corpsdetexte">
    <w:name w:val="Body Text"/>
    <w:basedOn w:val="Normal"/>
    <w:link w:val="CorpsdetexteCar"/>
    <w:uiPriority w:val="1"/>
    <w:qFormat/>
    <w:pPr>
      <w:autoSpaceDE w:val="0"/>
      <w:autoSpaceDN w:val="0"/>
    </w:pPr>
    <w:rPr>
      <w:sz w:val="24"/>
      <w:szCs w:val="24"/>
    </w:rPr>
  </w:style>
  <w:style w:type="character" w:customStyle="1" w:styleId="CorpsdetexteCar">
    <w:name w:val="Corps de texte Car"/>
    <w:basedOn w:val="Policepardfaut"/>
    <w:link w:val="Corpsdetexte"/>
    <w:uiPriority w:val="1"/>
    <w:rPr>
      <w:rFonts w:ascii="Times New Roman" w:eastAsia="Times New Roman" w:hAnsi="Times New Roman" w:cs="Times New Roman"/>
      <w:sz w:val="24"/>
      <w:szCs w:val="24"/>
    </w:rPr>
  </w:style>
  <w:style w:type="character" w:customStyle="1" w:styleId="Titre4Car">
    <w:name w:val="Titre 4 Car"/>
    <w:basedOn w:val="Policepardfaut"/>
    <w:link w:val="Titre4"/>
    <w:uiPriority w:val="9"/>
    <w:qFormat/>
    <w:rPr>
      <w:rFonts w:ascii="Cambria" w:eastAsia="SimSun" w:hAnsi="Cambria" w:cs="SimSun"/>
      <w:b/>
      <w:bCs/>
      <w:i/>
      <w:iCs/>
      <w:color w:val="4F81BD"/>
    </w:rPr>
  </w:style>
  <w:style w:type="paragraph" w:styleId="NormalWeb">
    <w:name w:val="Normal (Web)"/>
    <w:basedOn w:val="Normal"/>
    <w:uiPriority w:val="99"/>
    <w:pPr>
      <w:widowControl/>
      <w:spacing w:before="100" w:beforeAutospacing="1" w:after="100" w:afterAutospacing="1"/>
    </w:pPr>
    <w:rPr>
      <w:sz w:val="24"/>
      <w:szCs w:val="24"/>
    </w:rPr>
  </w:style>
  <w:style w:type="paragraph" w:styleId="Paragraphedeliste">
    <w:name w:val="List Paragraph"/>
    <w:basedOn w:val="Normal"/>
    <w:uiPriority w:val="34"/>
    <w:qFormat/>
    <w:pPr>
      <w:autoSpaceDE w:val="0"/>
      <w:autoSpaceDN w:val="0"/>
      <w:ind w:left="460" w:right="418" w:hanging="360"/>
      <w:jc w:val="both"/>
    </w:pPr>
  </w:style>
  <w:style w:type="character" w:styleId="Lienhypertexte">
    <w:name w:val="Hyperlink"/>
    <w:basedOn w:val="Policepardfaut"/>
    <w:uiPriority w:val="99"/>
    <w:qFormat/>
    <w:rPr>
      <w:color w:val="0000FF"/>
      <w:u w:val="single"/>
    </w:rPr>
  </w:style>
  <w:style w:type="character" w:styleId="lev">
    <w:name w:val="Strong"/>
    <w:basedOn w:val="Policepardfaut"/>
    <w:uiPriority w:val="22"/>
    <w:qFormat/>
    <w:rPr>
      <w:b/>
      <w:bCs/>
    </w:rPr>
  </w:style>
  <w:style w:type="character" w:customStyle="1" w:styleId="name">
    <w:name w:val="name"/>
    <w:basedOn w:val="Policepardfau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Pr>
      <w:rFonts w:ascii="Cambria" w:eastAsia="SimSun" w:hAnsi="Cambria" w:cs="SimSun"/>
      <w:b/>
      <w:bCs/>
      <w:color w:val="4F81BD"/>
      <w:sz w:val="26"/>
      <w:szCs w:val="26"/>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eastAsia="Times New Roman" w:hAnsi="Tahoma" w:cs="Tahoma"/>
      <w:sz w:val="16"/>
      <w:szCs w:val="16"/>
    </w:rPr>
  </w:style>
  <w:style w:type="paragraph" w:styleId="Lgende">
    <w:name w:val="caption"/>
    <w:basedOn w:val="Normal"/>
    <w:next w:val="Normal"/>
    <w:qFormat/>
    <w:pPr>
      <w:spacing w:after="200"/>
    </w:pPr>
    <w:rPr>
      <w:b/>
      <w:bCs/>
      <w:color w:val="4F81BD"/>
      <w:sz w:val="18"/>
      <w:szCs w:val="18"/>
    </w:rPr>
  </w:style>
  <w:style w:type="paragraph" w:styleId="En-tte">
    <w:name w:val="header"/>
    <w:basedOn w:val="Normal"/>
    <w:link w:val="En-tteCar"/>
    <w:uiPriority w:val="99"/>
    <w:pPr>
      <w:tabs>
        <w:tab w:val="center" w:pos="4680"/>
        <w:tab w:val="right" w:pos="9360"/>
      </w:tabs>
    </w:pPr>
  </w:style>
  <w:style w:type="character" w:customStyle="1" w:styleId="En-tteCar">
    <w:name w:val="En-tête Car"/>
    <w:basedOn w:val="Policepardfaut"/>
    <w:link w:val="En-tte"/>
    <w:uiPriority w:val="99"/>
    <w:rPr>
      <w:rFonts w:ascii="Times New Roman" w:eastAsia="Times New Roman" w:hAnsi="Times New Roman" w:cs="Times New Roman"/>
    </w:rPr>
  </w:style>
  <w:style w:type="paragraph" w:styleId="Pieddepage">
    <w:name w:val="footer"/>
    <w:basedOn w:val="Normal"/>
    <w:link w:val="PieddepageCar"/>
    <w:uiPriority w:val="99"/>
    <w:pPr>
      <w:tabs>
        <w:tab w:val="center" w:pos="4680"/>
        <w:tab w:val="right" w:pos="9360"/>
      </w:tabs>
    </w:pPr>
  </w:style>
  <w:style w:type="character" w:customStyle="1" w:styleId="PieddepageCar">
    <w:name w:val="Pied de page Car"/>
    <w:basedOn w:val="Policepardfaut"/>
    <w:link w:val="Pieddepage"/>
    <w:uiPriority w:val="99"/>
    <w:rPr>
      <w:rFonts w:ascii="Times New Roman" w:eastAsia="Times New Roman" w:hAnsi="Times New Roman" w:cs="Times New Roman"/>
    </w:rPr>
  </w:style>
  <w:style w:type="character" w:styleId="Accentuation">
    <w:name w:val="Emphasis"/>
    <w:basedOn w:val="Policepardfaut"/>
    <w:uiPriority w:val="20"/>
    <w:qFormat/>
    <w:rPr>
      <w:i/>
      <w:iCs/>
    </w:rPr>
  </w:style>
  <w:style w:type="character" w:styleId="Lienhypertextesuivivisit">
    <w:name w:val="FollowedHyperlink"/>
    <w:basedOn w:val="Policepardfaut"/>
    <w:uiPriority w:val="99"/>
    <w:qFormat/>
    <w:rPr>
      <w:color w:val="800080"/>
      <w:u w:val="single"/>
    </w:rPr>
  </w:style>
  <w:style w:type="table" w:styleId="Grilledutableau">
    <w:name w:val="Table Grid"/>
    <w:basedOn w:val="TableauNormal"/>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rPr>
      <w:color w:val="605E5C"/>
      <w:shd w:val="clear" w:color="auto" w:fill="E1DFDD"/>
    </w:rPr>
  </w:style>
  <w:style w:type="character" w:styleId="Marquedecommentaire">
    <w:name w:val="annotation reference"/>
    <w:basedOn w:val="Policepardfaut"/>
    <w:uiPriority w:val="99"/>
    <w:semiHidden/>
    <w:unhideWhenUsed/>
    <w:rsid w:val="00835E2E"/>
    <w:rPr>
      <w:sz w:val="16"/>
      <w:szCs w:val="16"/>
    </w:rPr>
  </w:style>
  <w:style w:type="paragraph" w:styleId="Commentaire">
    <w:name w:val="annotation text"/>
    <w:basedOn w:val="Normal"/>
    <w:link w:val="CommentaireCar"/>
    <w:uiPriority w:val="99"/>
    <w:semiHidden/>
    <w:unhideWhenUsed/>
    <w:rsid w:val="00835E2E"/>
    <w:rPr>
      <w:sz w:val="20"/>
      <w:szCs w:val="20"/>
    </w:rPr>
  </w:style>
  <w:style w:type="character" w:customStyle="1" w:styleId="CommentaireCar">
    <w:name w:val="Commentaire Car"/>
    <w:basedOn w:val="Policepardfaut"/>
    <w:link w:val="Commentaire"/>
    <w:uiPriority w:val="99"/>
    <w:semiHidden/>
    <w:rsid w:val="00835E2E"/>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835E2E"/>
    <w:rPr>
      <w:b/>
      <w:bCs/>
    </w:rPr>
  </w:style>
  <w:style w:type="character" w:customStyle="1" w:styleId="ObjetducommentaireCar">
    <w:name w:val="Objet du commentaire Car"/>
    <w:basedOn w:val="CommentaireCar"/>
    <w:link w:val="Objetducommentaire"/>
    <w:uiPriority w:val="99"/>
    <w:semiHidden/>
    <w:rsid w:val="00835E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07/s44187-025-00280-2"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8.jpe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3389/fnut.2022.10120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D1D0-A895-45DC-99EB-CECC8D60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12</Pages>
  <Words>4948</Words>
  <Characters>27214</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Bertin Mikolo</cp:lastModifiedBy>
  <cp:revision>21</cp:revision>
  <dcterms:created xsi:type="dcterms:W3CDTF">2026-05-07T06:30:00Z</dcterms:created>
  <dcterms:modified xsi:type="dcterms:W3CDTF">2026-05-07T16:01:00Z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c72c988228b743b180906c54c8776619</vt:lpwstr>
  </property>
</Properties>
</file>