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D404B" w:rsidRPr="006478F5" w14:paraId="1F9E7577" w14:textId="77777777">
        <w:trPr>
          <w:trHeight w:val="20"/>
          <w:jc w:val="center"/>
        </w:trPr>
        <w:tc>
          <w:tcPr>
            <w:tcW w:w="1186" w:type="pct"/>
          </w:tcPr>
          <w:p w14:paraId="20A24D55" w14:textId="77777777" w:rsidR="004D404B" w:rsidRPr="006478F5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7D6BD5" w14:textId="77777777" w:rsidR="004D404B" w:rsidRPr="006478F5" w:rsidRDefault="000253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478F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4D404B" w:rsidRPr="006478F5" w14:paraId="54B6B22B" w14:textId="77777777">
        <w:trPr>
          <w:trHeight w:val="20"/>
          <w:jc w:val="center"/>
        </w:trPr>
        <w:tc>
          <w:tcPr>
            <w:tcW w:w="1186" w:type="pct"/>
          </w:tcPr>
          <w:p w14:paraId="1D0D1AB8" w14:textId="77777777" w:rsidR="004D404B" w:rsidRPr="006478F5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C6B912" w14:textId="77777777" w:rsidR="004D404B" w:rsidRPr="006478F5" w:rsidRDefault="001E66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Ms_JAFSAT_14918</w:t>
            </w:r>
          </w:p>
        </w:tc>
      </w:tr>
      <w:tr w:rsidR="004D404B" w:rsidRPr="006478F5" w14:paraId="1642317C" w14:textId="77777777">
        <w:trPr>
          <w:trHeight w:val="20"/>
          <w:jc w:val="center"/>
        </w:trPr>
        <w:tc>
          <w:tcPr>
            <w:tcW w:w="1186" w:type="pct"/>
          </w:tcPr>
          <w:p w14:paraId="7FDDF229" w14:textId="77777777" w:rsidR="004D404B" w:rsidRPr="006478F5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A0073C" w14:textId="77777777" w:rsidR="004D404B" w:rsidRPr="006478F5" w:rsidRDefault="001E66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and Sensory Evaluation of Ginger and Turmeric Fortified Cassava -Groundnut Snack Bar</w:t>
            </w:r>
          </w:p>
        </w:tc>
      </w:tr>
      <w:tr w:rsidR="004D404B" w:rsidRPr="006478F5" w14:paraId="132706EE" w14:textId="77777777">
        <w:trPr>
          <w:trHeight w:val="20"/>
          <w:jc w:val="center"/>
        </w:trPr>
        <w:tc>
          <w:tcPr>
            <w:tcW w:w="1186" w:type="pct"/>
          </w:tcPr>
          <w:p w14:paraId="04712DBB" w14:textId="77777777" w:rsidR="004D404B" w:rsidRPr="006478F5" w:rsidRDefault="00025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F40916" w14:textId="77777777" w:rsidR="004D404B" w:rsidRPr="006478F5" w:rsidRDefault="000253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0D37EB" w14:textId="77777777" w:rsidR="004D404B" w:rsidRPr="006478F5" w:rsidRDefault="004D40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6FFF5F" w14:textId="77777777" w:rsidR="004D404B" w:rsidRPr="006478F5" w:rsidRDefault="004D404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5A4BC20" w14:textId="77777777" w:rsidR="004D404B" w:rsidRPr="006478F5" w:rsidRDefault="0002530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478F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478F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BD1DE94" w14:textId="77777777" w:rsidR="004D404B" w:rsidRPr="006478F5" w:rsidRDefault="004D404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4D404B" w:rsidRPr="006478F5" w14:paraId="622312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54D47D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A68C202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FE7B7A5" w14:textId="77777777" w:rsidR="004D404B" w:rsidRPr="006478F5" w:rsidRDefault="0002530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78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78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7D0485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1226E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7824E2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A2BD9B9" w14:textId="77777777" w:rsidR="004D404B" w:rsidRPr="006478F5" w:rsidRDefault="000253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F3C8D00" w14:textId="77777777" w:rsidR="00620D96" w:rsidRPr="006478F5" w:rsidRDefault="00620D96" w:rsidP="00620D9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significance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this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investigation lies in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that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turmeric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can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nutritional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value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sensory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acceptability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snack bars. This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study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also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promotes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development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healthier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snacks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using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locally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available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crops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natural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ingredients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7F4C9680" w14:textId="77777777" w:rsidR="004D404B" w:rsidRPr="006478F5" w:rsidRDefault="004D40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3695ED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2E675D" w14:textId="77777777" w:rsidR="004D404B" w:rsidRPr="006478F5" w:rsidRDefault="004D404B">
      <w:pPr>
        <w:rPr>
          <w:rFonts w:ascii="Arial" w:hAnsi="Arial" w:cs="Arial"/>
          <w:sz w:val="20"/>
          <w:szCs w:val="20"/>
          <w:lang w:val="en-GB"/>
        </w:rPr>
      </w:pPr>
    </w:p>
    <w:p w14:paraId="794049AD" w14:textId="77777777" w:rsidR="004D404B" w:rsidRPr="006478F5" w:rsidRDefault="000253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478F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576B75" w14:textId="77777777" w:rsidR="004D404B" w:rsidRPr="006478F5" w:rsidRDefault="004D40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5"/>
        <w:gridCol w:w="5252"/>
        <w:gridCol w:w="3863"/>
      </w:tblGrid>
      <w:tr w:rsidR="004D404B" w:rsidRPr="006478F5" w14:paraId="24BDEE0B" w14:textId="77777777" w:rsidTr="00530C9E">
        <w:trPr>
          <w:trHeight w:val="20"/>
          <w:jc w:val="center"/>
        </w:trPr>
        <w:tc>
          <w:tcPr>
            <w:tcW w:w="1666" w:type="pct"/>
            <w:noWrap/>
          </w:tcPr>
          <w:p w14:paraId="5EC239D9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1" w:type="pct"/>
            <w:hideMark/>
          </w:tcPr>
          <w:p w14:paraId="5C322B92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414" w:type="pct"/>
            <w:hideMark/>
          </w:tcPr>
          <w:p w14:paraId="0BBE75E8" w14:textId="77777777" w:rsidR="004D404B" w:rsidRPr="006478F5" w:rsidRDefault="0002530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78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D404B" w:rsidRPr="006478F5" w14:paraId="30B09D1B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61EEA5" w14:textId="77777777" w:rsidR="004D404B" w:rsidRPr="006478F5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0CF0D4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FDA65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03EA2551" w14:textId="3BA9CDFC" w:rsidR="004D404B" w:rsidRPr="006478F5" w:rsidRDefault="00620D96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414" w:type="pct"/>
          </w:tcPr>
          <w:p w14:paraId="48A658FC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AAB5B42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87DB52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30F58958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2C36C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0699F39A" w14:textId="77777777" w:rsidR="004D404B" w:rsidRPr="006478F5" w:rsidRDefault="005D1FF1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EBD9871" w14:textId="77777777" w:rsidR="005D1FF1" w:rsidRPr="006478F5" w:rsidRDefault="005D1FF1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could be improved.</w:t>
            </w:r>
          </w:p>
          <w:p w14:paraId="429E74AB" w14:textId="15C435DF" w:rsidR="005D1FF1" w:rsidRPr="006478F5" w:rsidRDefault="005D1FF1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</w:t>
            </w:r>
            <w:r w:rsidR="00782462"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(See comments in the manuscript)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3D2FD788" w14:textId="2255FC41" w:rsidR="005D1FF1" w:rsidRPr="006478F5" w:rsidRDefault="005D1FF1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Pr="006478F5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Reduce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numbers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too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much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for a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better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understanding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br/>
              <w:t xml:space="preserve">2.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Enhance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grammar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sentence flow.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br/>
              <w:t xml:space="preserve">3.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Ensure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that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abstract and the main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results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are consistent</w:t>
            </w:r>
            <w:r w:rsidR="00782462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(</w:t>
            </w:r>
            <w:r w:rsidR="00782462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inconsistencies between the abstract and Table 1/Results section)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br/>
              <w:t xml:space="preserve">4.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Include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practical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significance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study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1414" w:type="pct"/>
          </w:tcPr>
          <w:p w14:paraId="6F6C5951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70D9A653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D8BCEF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7D4DB04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2F926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71D1B720" w14:textId="77777777" w:rsidR="004D404B" w:rsidRPr="006478F5" w:rsidRDefault="00782462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D7D18B2" w14:textId="23E00889" w:rsidR="00782462" w:rsidRPr="006478F5" w:rsidRDefault="00782462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adding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terms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such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as “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foods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,” “fortification,” or “snack bars”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could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discoverability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indexing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1414" w:type="pct"/>
          </w:tcPr>
          <w:p w14:paraId="53294219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69AD60AA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CEB7E9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7245ED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17E9A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4A603D14" w14:textId="77777777" w:rsidR="004D404B" w:rsidRPr="006478F5" w:rsidRDefault="00DE0B68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D3EDBDC" w14:textId="77777777" w:rsidR="00DE0B68" w:rsidRPr="006478F5" w:rsidRDefault="00DE0B6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However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the flow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between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paragraphs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could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have been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strengthen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section.</w:t>
            </w:r>
          </w:p>
          <w:p w14:paraId="629283D4" w14:textId="198CE521" w:rsidR="00DE0B68" w:rsidRPr="006478F5" w:rsidRDefault="00DE0B6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4" w:type="pct"/>
          </w:tcPr>
          <w:p w14:paraId="29D84A76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3A1EF3A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6244C2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3F488A3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ABDF8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73C43527" w14:textId="77777777" w:rsidR="004D404B" w:rsidRPr="006478F5" w:rsidRDefault="006B38E8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D2474F0" w14:textId="77777777" w:rsidR="006B38E8" w:rsidRPr="006478F5" w:rsidRDefault="006B38E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But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would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by a more concise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statement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the objective and a more explicit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statement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a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research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hypothesis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expected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outcome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5DC68405" w14:textId="741FAA74" w:rsidR="006B38E8" w:rsidRPr="006478F5" w:rsidRDefault="006B38E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Add a hypothesis.</w:t>
            </w:r>
          </w:p>
        </w:tc>
        <w:tc>
          <w:tcPr>
            <w:tcW w:w="1414" w:type="pct"/>
          </w:tcPr>
          <w:p w14:paraId="23C3A51C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3DC111F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63458F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9704F58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0DF59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68B79BA8" w14:textId="77777777" w:rsidR="004D404B" w:rsidRPr="006478F5" w:rsidRDefault="00A86855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0C0FEF9" w14:textId="77777777" w:rsidR="00A86855" w:rsidRPr="006478F5" w:rsidRDefault="00A86855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However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review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can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strengthened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including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more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studies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specifically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fortified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snack bars,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snack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development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sensory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evaluation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spice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enriched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food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products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296ADFB4" w14:textId="77777777" w:rsidR="00A86855" w:rsidRPr="006478F5" w:rsidRDefault="002A3B4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Suggestions:</w:t>
            </w:r>
          </w:p>
          <w:p w14:paraId="30932BB8" w14:textId="77777777" w:rsidR="002A3B48" w:rsidRPr="006478F5" w:rsidRDefault="002A3B4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Sangma, J. J. D. (2026). Future Trends in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Foods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Nutraceutical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Development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Journal of Food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Biotechnology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105-4.</w:t>
            </w:r>
          </w:p>
          <w:p w14:paraId="09AE289B" w14:textId="77777777" w:rsidR="002A3B48" w:rsidRPr="006478F5" w:rsidRDefault="002A3B48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</w:t>
            </w:r>
            <w:r w:rsidR="00035491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Vivian, V., &amp; </w:t>
            </w:r>
            <w:proofErr w:type="spellStart"/>
            <w:r w:rsidR="00035491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Aripradono</w:t>
            </w:r>
            <w:proofErr w:type="spellEnd"/>
            <w:r w:rsidR="00035491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 H. W. (2025). Analysis of Consumer Perceptions of Healthy Snacks. </w:t>
            </w:r>
            <w:proofErr w:type="spellStart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Almana</w:t>
            </w:r>
            <w:proofErr w:type="spellEnd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Jurnal</w:t>
            </w:r>
            <w:proofErr w:type="spellEnd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Manajemen</w:t>
            </w:r>
            <w:proofErr w:type="spellEnd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Bisnis</w:t>
            </w:r>
            <w:proofErr w:type="spellEnd"/>
            <w:r w:rsidR="00035491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 </w:t>
            </w:r>
            <w:r w:rsidR="00035491"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35491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(3), 489-498.</w:t>
            </w:r>
          </w:p>
          <w:p w14:paraId="0748D3D0" w14:textId="77777777" w:rsidR="00035491" w:rsidRPr="006478F5" w:rsidRDefault="00035491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6478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Edo, G. I.,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Igbuku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U. A., Makia, R. S.,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Isoje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E. F.,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Gaaz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 T. S., Yousif, E., ... &amp; Umar, H. (2025). Phytochemical profile, therapeutic potentials, nutritional composition, and food applications of ginger: a comprehensive review. </w:t>
            </w:r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Discover Food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 </w:t>
            </w:r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(1), 25. </w:t>
            </w:r>
          </w:p>
          <w:p w14:paraId="568CAC9C" w14:textId="77777777" w:rsidR="00035491" w:rsidRPr="006478F5" w:rsidRDefault="00035491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check this reference </w:t>
            </w:r>
            <w:r w:rsidR="00DA57AB"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 and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title.</w:t>
            </w:r>
          </w:p>
          <w:p w14:paraId="7B766F0F" w14:textId="77777777" w:rsidR="00DA57AB" w:rsidRPr="006478F5" w:rsidRDefault="00DA57A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Pr="006478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Boukid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F., Klerks, M., Pellegrini, N., Fogliano, V., Sanchez-Siles, L., Roman, S., &amp;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Vittadini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 E. (2022). Current and emerging trends in cereal snack bars: implications for new product development. </w:t>
            </w:r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International journal of food sciences and nutrition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 </w:t>
            </w:r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(5), 610-629.</w:t>
            </w:r>
          </w:p>
          <w:p w14:paraId="1C953BC2" w14:textId="77777777" w:rsidR="00DA57AB" w:rsidRPr="006478F5" w:rsidRDefault="00DA57A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Pr="006478F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Vivian, V., &amp;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Aripradono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 H. W. (2025). Analysis of Consumer Perceptions of Healthy Snacks. </w:t>
            </w:r>
            <w:proofErr w:type="spellStart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Almana</w:t>
            </w:r>
            <w:proofErr w:type="spellEnd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Jurnal</w:t>
            </w:r>
            <w:proofErr w:type="spellEnd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Manajemen</w:t>
            </w:r>
            <w:proofErr w:type="spellEnd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dan </w:t>
            </w:r>
            <w:proofErr w:type="spellStart"/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Bisnis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, </w:t>
            </w:r>
            <w:r w:rsidRPr="006478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(3), 489-498.</w:t>
            </w:r>
          </w:p>
          <w:p w14:paraId="0AA54741" w14:textId="78F5942A" w:rsidR="00485D14" w:rsidRPr="006478F5" w:rsidRDefault="00485D14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ordered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author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name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alphabetized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so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numbering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should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removed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unless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this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referencing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style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required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by the journal.</w:t>
            </w:r>
          </w:p>
        </w:tc>
        <w:tc>
          <w:tcPr>
            <w:tcW w:w="1414" w:type="pct"/>
          </w:tcPr>
          <w:p w14:paraId="01AB4E00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158BEB33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8991CE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lastRenderedPageBreak/>
              <w:t>7. Is the research methodology appropriate for the study?</w:t>
            </w:r>
          </w:p>
          <w:p w14:paraId="54AB5783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927F6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4B3BB787" w14:textId="77777777" w:rsidR="004D404B" w:rsidRPr="006478F5" w:rsidRDefault="00AE01BB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D4C24D7" w14:textId="77777777" w:rsidR="00AE01BB" w:rsidRPr="006478F5" w:rsidRDefault="00AE01B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However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some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parts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need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more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clearly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presented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correction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typographical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errors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better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explanation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experimental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design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formulation.</w:t>
            </w:r>
          </w:p>
          <w:p w14:paraId="2D8C3D03" w14:textId="77777777" w:rsidR="00AE01BB" w:rsidRPr="006478F5" w:rsidRDefault="00AE01B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The description of the 3 × 3 experimental design.</w:t>
            </w:r>
          </w:p>
          <w:p w14:paraId="5D2B6118" w14:textId="77777777" w:rsidR="00AE01BB" w:rsidRPr="006478F5" w:rsidRDefault="00AE01B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2. The sample formulation and coding system (G33, T55, GT7, etc.).</w:t>
            </w:r>
          </w:p>
          <w:p w14:paraId="1CCD9F7E" w14:textId="77777777" w:rsidR="008A2CF0" w:rsidRPr="006478F5" w:rsidRDefault="00AE01B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parameters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are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subscripted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equations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but not in the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legends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(i.e. the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numbers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are not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subscripted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).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Please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use consistent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formatting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Please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use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automatic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equation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numbering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as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well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(1.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2. Insert </w:t>
            </w:r>
            <w:proofErr w:type="spellStart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Caption</w:t>
            </w:r>
            <w:proofErr w:type="spellEnd"/>
            <w:r w:rsidR="008A2CF0"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3. Figure).</w:t>
            </w:r>
          </w:p>
          <w:p w14:paraId="0B74C903" w14:textId="600088A3" w:rsidR="00AB3476" w:rsidRPr="006478F5" w:rsidRDefault="008A2CF0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="00AB3476" w:rsidRPr="006478F5">
              <w:rPr>
                <w:rFonts w:ascii="Arial" w:hAnsi="Arial" w:cs="Arial"/>
                <w:b/>
                <w:bCs/>
                <w:sz w:val="20"/>
                <w:szCs w:val="20"/>
                <w:lang w:val="fr-FR" w:eastAsia="fr-FR"/>
              </w:rPr>
              <w:t>Flowchart</w:t>
            </w:r>
            <w:proofErr w:type="spellEnd"/>
          </w:p>
          <w:p w14:paraId="22C5E178" w14:textId="39E3D995" w:rsidR="008A2CF0" w:rsidRPr="006478F5" w:rsidRDefault="008A2CF0" w:rsidP="000B72B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Better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alignment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readability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flowchart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</w:p>
          <w:p w14:paraId="468A21A2" w14:textId="7B2E5D83" w:rsidR="008A2CF0" w:rsidRPr="006478F5" w:rsidRDefault="008A2CF0" w:rsidP="000B72B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Use consistent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arrows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space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between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processing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steps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</w:p>
          <w:p w14:paraId="793A8062" w14:textId="20140D59" w:rsidR="008A2CF0" w:rsidRPr="006478F5" w:rsidRDefault="008A2CF0" w:rsidP="000B72B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Add a short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caption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state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clearly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main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processing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conditions.</w:t>
            </w:r>
          </w:p>
          <w:p w14:paraId="3A1CE96B" w14:textId="7935EC78" w:rsidR="00AB3476" w:rsidRPr="006478F5" w:rsidRDefault="00AB3476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5.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Statiscal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analysis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55A90E00" w14:textId="62005573" w:rsidR="00AB3476" w:rsidRPr="006478F5" w:rsidRDefault="00AB3476" w:rsidP="000B7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Clearly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describe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treatment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groups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comparisons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</w:p>
          <w:p w14:paraId="518AE92B" w14:textId="3A7F3955" w:rsidR="00AB3476" w:rsidRPr="006478F5" w:rsidRDefault="00AB3476" w:rsidP="000B7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State 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significance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level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number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replicates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used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. </w:t>
            </w:r>
          </w:p>
          <w:p w14:paraId="1EC7CD45" w14:textId="20C050BB" w:rsidR="00AB3476" w:rsidRPr="006478F5" w:rsidRDefault="00AB3476" w:rsidP="000B7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Clarify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application of ANOVA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Fisher’s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LSD test.</w:t>
            </w:r>
          </w:p>
          <w:p w14:paraId="2680583E" w14:textId="0E562932" w:rsidR="00AE01BB" w:rsidRPr="006478F5" w:rsidRDefault="007A221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Typological issues</w:t>
            </w:r>
            <w:r w:rsidR="00315463"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(see the manuscript)</w:t>
            </w:r>
          </w:p>
          <w:p w14:paraId="6FEF23B9" w14:textId="77777777" w:rsidR="007A221B" w:rsidRPr="006478F5" w:rsidRDefault="007A221B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“present” → should be “presents” in “The incorporation of ginger and turmeric into cassava-groundnut snack bars present a viable strategy…”</w:t>
            </w:r>
          </w:p>
          <w:p w14:paraId="6CEEAD59" w14:textId="77777777" w:rsidR="007A221B" w:rsidRPr="006478F5" w:rsidRDefault="00315463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6.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Inconsistent use of spacing (e.g., “P&lt;0.05” vs “P &lt; 0.05”)</w:t>
            </w:r>
            <w:r w:rsidR="00443236"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52585A4D" w14:textId="77777777" w:rsidR="00443236" w:rsidRPr="006478F5" w:rsidRDefault="00443236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7.Describe sufficiently the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relationship between ginger, turmeric, and ginger–turmeric blend treatments.</w:t>
            </w:r>
          </w:p>
          <w:p w14:paraId="7DB362AF" w14:textId="77777777" w:rsidR="003B2120" w:rsidRPr="006478F5" w:rsidRDefault="003B2120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8. Include the experimental matrix to better understand the experiment design.</w:t>
            </w:r>
          </w:p>
          <w:p w14:paraId="3F661AFF" w14:textId="77777777" w:rsidR="003B2120" w:rsidRPr="006478F5" w:rsidRDefault="003B2120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9. Clarify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whether the percentages of ginger and turmeric were calculated based on total flour weight or total formulation weight.</w:t>
            </w:r>
          </w:p>
          <w:p w14:paraId="749A6A11" w14:textId="77777777" w:rsidR="003B2120" w:rsidRPr="006478F5" w:rsidRDefault="003B2120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10. Clearly the r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eplication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sample preparation.</w:t>
            </w:r>
          </w:p>
          <w:p w14:paraId="1162B345" w14:textId="77777777" w:rsidR="003B2120" w:rsidRPr="006478F5" w:rsidRDefault="003B2120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11. C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learly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indicate whether the control sample underwent the same processing conditions as the fortified samples.</w:t>
            </w:r>
          </w:p>
          <w:p w14:paraId="2D8EED5F" w14:textId="46AA1039" w:rsidR="003B2120" w:rsidRPr="006478F5" w:rsidRDefault="003B2120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12. Provide the </w:t>
            </w: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sufficient detail on mixing consistency,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mould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dimensions, and storage conditions before analysis.</w:t>
            </w:r>
          </w:p>
        </w:tc>
        <w:tc>
          <w:tcPr>
            <w:tcW w:w="1414" w:type="pct"/>
          </w:tcPr>
          <w:p w14:paraId="5F3529A8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61427FA2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CABCD9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BBA8F4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D3D21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5F6D508D" w14:textId="77777777" w:rsidR="004D404B" w:rsidRPr="006478F5" w:rsidRDefault="00B264F4" w:rsidP="000B72B5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B2F0670" w14:textId="5FDFCD18" w:rsidR="00B264F4" w:rsidRPr="006478F5" w:rsidRDefault="00B264F4" w:rsidP="000B72B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The section looks good, but it’s missing a quick mention of things like ethical approval and participant consent. Adding a brief note on how you handled confidentiality would really level up the credibility of the whole study.</w:t>
            </w:r>
          </w:p>
        </w:tc>
        <w:tc>
          <w:tcPr>
            <w:tcW w:w="1414" w:type="pct"/>
          </w:tcPr>
          <w:p w14:paraId="7616BC4B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4C20903E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274364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512F7E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7B849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2C207E4D" w14:textId="77777777" w:rsidR="00A41522" w:rsidRPr="006478F5" w:rsidRDefault="00A41522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158F3CE" w14:textId="77777777" w:rsidR="00A41522" w:rsidRPr="006478F5" w:rsidRDefault="00A41522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Av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oid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repeating detailed numerical values already shown in the tables. </w:t>
            </w:r>
          </w:p>
          <w:p w14:paraId="5C8E0644" w14:textId="77777777" w:rsidR="00A41522" w:rsidRPr="006478F5" w:rsidRDefault="00A41522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Highlight only the main findings and trends in the text. </w:t>
            </w:r>
          </w:p>
          <w:p w14:paraId="4F935623" w14:textId="77777777" w:rsidR="00A41522" w:rsidRPr="006478F5" w:rsidRDefault="00A41522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Focus the Discussion on interpretation rather than restating results.</w:t>
            </w:r>
          </w:p>
          <w:p w14:paraId="19A109D3" w14:textId="54E87F22" w:rsidR="00E96A78" w:rsidRPr="006478F5" w:rsidRDefault="00E96A78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Simplify the overly long result sentences.</w:t>
            </w:r>
          </w:p>
          <w:p w14:paraId="65CCA5DB" w14:textId="77777777" w:rsidR="003D7D2C" w:rsidRPr="006478F5" w:rsidRDefault="003D7D2C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Define sample codes once before the Results section. </w:t>
            </w:r>
          </w:p>
          <w:p w14:paraId="7703AF34" w14:textId="77777777" w:rsidR="003D7D2C" w:rsidRPr="006478F5" w:rsidRDefault="003D7D2C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 only the codes in the Results and Discussion to improve readability. </w:t>
            </w:r>
          </w:p>
          <w:p w14:paraId="63654644" w14:textId="77777777" w:rsidR="003D7D2C" w:rsidRPr="006478F5" w:rsidRDefault="003D7D2C" w:rsidP="000B72B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Avoid repeating long sample descriptions and ensure consistent formatting.</w:t>
            </w:r>
          </w:p>
          <w:p w14:paraId="4F4A904F" w14:textId="77777777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Examples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repeated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long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descriptions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include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:</w:t>
            </w:r>
          </w:p>
          <w:p w14:paraId="7A8EFCA4" w14:textId="77777777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“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G77 (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7% concentration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)” </w:t>
            </w:r>
          </w:p>
          <w:p w14:paraId="5A7F0687" w14:textId="77777777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“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T55 (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5% concentration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turmeric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)” </w:t>
            </w:r>
          </w:p>
          <w:p w14:paraId="562A590F" w14:textId="77777777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“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GT7 (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fortified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7%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/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turmeric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)” </w:t>
            </w:r>
          </w:p>
          <w:p w14:paraId="31A7837F" w14:textId="77777777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“control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-CON (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without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fortification)”</w:t>
            </w:r>
          </w:p>
          <w:p w14:paraId="65FF65AA" w14:textId="77777777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Examples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inconsistent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spacing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around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hyphens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colons in the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sample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code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definitions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include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:</w:t>
            </w:r>
          </w:p>
          <w:p w14:paraId="11EC13BC" w14:textId="77777777" w:rsidR="00F13D3E" w:rsidRPr="006478F5" w:rsidRDefault="00F13D3E" w:rsidP="000B72B5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“G33:-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3% concentration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,” </w:t>
            </w:r>
          </w:p>
          <w:p w14:paraId="28BDD922" w14:textId="77777777" w:rsidR="00F13D3E" w:rsidRPr="006478F5" w:rsidRDefault="00F13D3E" w:rsidP="000B72B5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“G77-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7% concentration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,” </w:t>
            </w:r>
          </w:p>
          <w:p w14:paraId="163FABEB" w14:textId="77777777" w:rsidR="00F13D3E" w:rsidRPr="006478F5" w:rsidRDefault="00F13D3E" w:rsidP="000B72B5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“GT7-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7% concentration of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/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turmeric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blend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,” </w:t>
            </w:r>
          </w:p>
          <w:p w14:paraId="23B3238D" w14:textId="77777777" w:rsidR="00F13D3E" w:rsidRPr="006478F5" w:rsidRDefault="00F13D3E" w:rsidP="000B72B5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lastRenderedPageBreak/>
              <w:t>“CON:-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without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fortification (Control)”</w:t>
            </w:r>
          </w:p>
          <w:p w14:paraId="336B63F4" w14:textId="6773F22D" w:rsidR="00F13D3E" w:rsidRPr="006478F5" w:rsidRDefault="00F13D3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Suggestions : </w:t>
            </w:r>
          </w:p>
          <w:p w14:paraId="13329CF3" w14:textId="01CDFA92" w:rsidR="00F13D3E" w:rsidRPr="006478F5" w:rsidRDefault="00F13D3E" w:rsidP="000B72B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“G33: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3%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” </w:t>
            </w:r>
          </w:p>
          <w:p w14:paraId="17BBD525" w14:textId="1FA809B6" w:rsidR="00F13D3E" w:rsidRPr="006478F5" w:rsidRDefault="00F13D3E" w:rsidP="000B72B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“G77: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7%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” </w:t>
            </w:r>
          </w:p>
          <w:p w14:paraId="1BECAF21" w14:textId="42BFC99A" w:rsidR="00F13D3E" w:rsidRPr="006478F5" w:rsidRDefault="00F13D3E" w:rsidP="000B72B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“GT7: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7%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–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turmeric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blend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” </w:t>
            </w:r>
          </w:p>
          <w:p w14:paraId="18859540" w14:textId="6539FC8C" w:rsidR="00A41522" w:rsidRPr="006478F5" w:rsidRDefault="00F13D3E" w:rsidP="000B72B5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“CON: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Cassava-groundnut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bar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without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fortification (control)”</w:t>
            </w:r>
          </w:p>
        </w:tc>
        <w:tc>
          <w:tcPr>
            <w:tcW w:w="1414" w:type="pct"/>
          </w:tcPr>
          <w:p w14:paraId="57BB6BBA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D038625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4A73EA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4DA63B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F178C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B674847" w14:textId="77777777" w:rsidR="004D404B" w:rsidRPr="006478F5" w:rsidRDefault="004D40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44C8D5B" w14:textId="77777777" w:rsidR="004D404B" w:rsidRPr="006478F5" w:rsidRDefault="004D4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21" w:type="pct"/>
          </w:tcPr>
          <w:p w14:paraId="03EEF9F0" w14:textId="61731042" w:rsidR="002A3819" w:rsidRPr="006478F5" w:rsidRDefault="002A3819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 xml:space="preserve">         4 </w:t>
            </w:r>
          </w:p>
          <w:p w14:paraId="77D7B36C" w14:textId="1591072A" w:rsidR="004D404B" w:rsidRPr="006478F5" w:rsidRDefault="002A3819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 xml:space="preserve">The tables and figure are relevant and useful, but formatting, spacing, consistency, and the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</w:rPr>
              <w:t>flowchert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</w:rPr>
              <w:t xml:space="preserve"> visual presentation should be improved for better clarity.</w:t>
            </w:r>
          </w:p>
        </w:tc>
        <w:tc>
          <w:tcPr>
            <w:tcW w:w="1414" w:type="pct"/>
          </w:tcPr>
          <w:p w14:paraId="290B2E7F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3F916AD8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3E0245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EA0030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5F34C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07B022FE" w14:textId="77777777" w:rsidR="004D404B" w:rsidRPr="006478F5" w:rsidRDefault="0080097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4738D84" w14:textId="20ADC472" w:rsidR="0080097E" w:rsidRPr="006478F5" w:rsidRDefault="0080097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paper can be improved with a more critical comparison and inclusion of more recent studies and a stronger discussion and practical implications of the study.</w:t>
            </w:r>
          </w:p>
          <w:p w14:paraId="2383AD19" w14:textId="1677FFF0" w:rsidR="00022C19" w:rsidRPr="006478F5" w:rsidRDefault="00022C19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Suggestions:</w:t>
            </w:r>
          </w:p>
          <w:p w14:paraId="23926A8B" w14:textId="77777777" w:rsidR="00022C19" w:rsidRPr="006478F5" w:rsidRDefault="00022C19" w:rsidP="000B72B5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Compare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findings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more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critically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previous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studies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. </w:t>
            </w:r>
          </w:p>
          <w:p w14:paraId="430E0BB2" w14:textId="77777777" w:rsidR="00022C19" w:rsidRPr="006478F5" w:rsidRDefault="00022C19" w:rsidP="000B72B5">
            <w:pPr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Include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more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on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fortified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snacks. </w:t>
            </w:r>
          </w:p>
          <w:p w14:paraId="0CE38428" w14:textId="1F3A752B" w:rsidR="00022C19" w:rsidRPr="006478F5" w:rsidRDefault="00022C19" w:rsidP="00D37393">
            <w:pPr>
              <w:ind w:left="36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0986CCA3" w14:textId="05A6DC26" w:rsidR="0080097E" w:rsidRPr="006478F5" w:rsidRDefault="0080097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Examples:</w:t>
            </w:r>
          </w:p>
          <w:p w14:paraId="58074141" w14:textId="43D1C8D6" w:rsidR="0080097E" w:rsidRPr="006478F5" w:rsidRDefault="0080097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“…</w:t>
            </w:r>
            <w:r w:rsidRPr="00647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F5">
              <w:rPr>
                <w:rFonts w:ascii="Arial" w:hAnsi="Arial" w:cs="Arial"/>
                <w:bCs/>
                <w:sz w:val="20"/>
                <w:szCs w:val="20"/>
              </w:rPr>
              <w:t>turmeric-fortified samples agrees with the findings of….”</w:t>
            </w:r>
          </w:p>
          <w:p w14:paraId="4B4560D2" w14:textId="227122DF" w:rsidR="0080097E" w:rsidRPr="006478F5" w:rsidRDefault="0080097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>“The reduced fat content in fortified samples is consistent with….”</w:t>
            </w:r>
          </w:p>
          <w:p w14:paraId="383A4BB9" w14:textId="77777777" w:rsidR="0080097E" w:rsidRPr="006478F5" w:rsidRDefault="0080097E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>“The higher sensory acceptability of ginger-fortified samples differs from…”</w:t>
            </w:r>
          </w:p>
          <w:p w14:paraId="51C8FDC8" w14:textId="77777777" w:rsidR="0055053B" w:rsidRPr="006478F5" w:rsidRDefault="0055053B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>“The moisture content recorded in turmeric-based samples was higher than values…”</w:t>
            </w:r>
          </w:p>
          <w:p w14:paraId="0B2F0008" w14:textId="45D1702A" w:rsidR="008350BF" w:rsidRPr="006478F5" w:rsidRDefault="008350BF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 xml:space="preserve">“The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</w:rPr>
              <w:t>findigs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</w:rPr>
              <w:t xml:space="preserve"> demonstrate the potentiality of the affordable to produce functional snack products with improved nutritional quality…” </w:t>
            </w:r>
          </w:p>
          <w:p w14:paraId="3F95E270" w14:textId="77777777" w:rsidR="008350BF" w:rsidRPr="006478F5" w:rsidRDefault="008350BF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>“The developed snack bars could contribute to healthier dietary choices…”</w:t>
            </w:r>
          </w:p>
          <w:p w14:paraId="0906C49D" w14:textId="77777777" w:rsidR="008350BF" w:rsidRPr="006478F5" w:rsidRDefault="008350BF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>“The study supports food security and local agro-industrial development…”</w:t>
            </w:r>
          </w:p>
          <w:p w14:paraId="15239DDA" w14:textId="416089A3" w:rsidR="008350BF" w:rsidRPr="006478F5" w:rsidRDefault="008350BF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“…</w:t>
            </w:r>
            <w:r w:rsidRPr="006478F5">
              <w:rPr>
                <w:rFonts w:ascii="Arial" w:hAnsi="Arial" w:cs="Arial"/>
                <w:bCs/>
                <w:sz w:val="20"/>
                <w:szCs w:val="20"/>
              </w:rPr>
              <w:t>consumer acceptance and future commercialization of the fortified snack bars.”</w:t>
            </w:r>
          </w:p>
        </w:tc>
        <w:tc>
          <w:tcPr>
            <w:tcW w:w="1414" w:type="pct"/>
          </w:tcPr>
          <w:p w14:paraId="126B75C3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0340C010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BCB25D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138815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84F7E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2A686F8F" w14:textId="77777777" w:rsidR="004D404B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4D6280C5" w14:textId="77777777" w:rsidR="00BC3C51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some statements could have been expressed more cautiously and more in line with the study scope, especially claims related to health benefits.</w:t>
            </w:r>
          </w:p>
          <w:p w14:paraId="7A1FC1EA" w14:textId="7A2F7A65" w:rsidR="00BC3C51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Suggestions:</w:t>
            </w:r>
          </w:p>
          <w:p w14:paraId="0D183BA0" w14:textId="77777777" w:rsidR="00BC3C51" w:rsidRPr="006478F5" w:rsidRDefault="00BC3C51" w:rsidP="000B72B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cautious language and avoid overstating health effects.</w:t>
            </w:r>
          </w:p>
          <w:p w14:paraId="30DF2BC5" w14:textId="77777777" w:rsidR="00BC3C51" w:rsidRPr="006478F5" w:rsidRDefault="00BC3C51" w:rsidP="000B72B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Link conclusions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directly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nutritional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sensory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data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obtained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.</w:t>
            </w:r>
          </w:p>
          <w:p w14:paraId="18EE61A7" w14:textId="7F92FC68" w:rsidR="00BC3C51" w:rsidRPr="006478F5" w:rsidRDefault="00BC3C51" w:rsidP="000B72B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objective statements based on sensory scores instead of subjective expressions.</w:t>
            </w:r>
          </w:p>
        </w:tc>
        <w:tc>
          <w:tcPr>
            <w:tcW w:w="1414" w:type="pct"/>
          </w:tcPr>
          <w:p w14:paraId="0C250515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3EA4B063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4D996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EC3D0A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E888B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21" w:type="pct"/>
          </w:tcPr>
          <w:p w14:paraId="5CCCD6A1" w14:textId="7B86782D" w:rsidR="004D404B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2</w:t>
            </w:r>
          </w:p>
          <w:p w14:paraId="3EF90327" w14:textId="5A965641" w:rsidR="00BC3C51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</w:rPr>
              <w:t xml:space="preserve">But, the discussion of study limitations is limited. </w:t>
            </w: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such as the small sensory panel, the lack of shelf-life studies, the lack of analysis of bioactive compounds, and the limited evaluation of consumers should be noted.</w:t>
            </w:r>
          </w:p>
        </w:tc>
        <w:tc>
          <w:tcPr>
            <w:tcW w:w="1414" w:type="pct"/>
          </w:tcPr>
          <w:p w14:paraId="71FAD405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4E7B931E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0FA772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97A652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44C77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863F4E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921" w:type="pct"/>
          </w:tcPr>
          <w:p w14:paraId="0D3E896B" w14:textId="77777777" w:rsidR="004D404B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  <w:p w14:paraId="1C608665" w14:textId="77777777" w:rsidR="00BC3C51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However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the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can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improved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including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more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on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snack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development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spice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fortified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foods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sensory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evaluation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>food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fortification technologies.</w:t>
            </w:r>
          </w:p>
          <w:p w14:paraId="4A377784" w14:textId="605C8464" w:rsidR="00BC3C51" w:rsidRPr="006478F5" w:rsidRDefault="00BC3C5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14" w:type="pct"/>
          </w:tcPr>
          <w:p w14:paraId="4CF0D72C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46CD6CA0" w14:textId="77777777" w:rsidTr="00530C9E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C7C175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55A45C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F24D3" w14:textId="77777777" w:rsidR="004D404B" w:rsidRPr="006478F5" w:rsidRDefault="00025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84B6D3" w14:textId="77777777" w:rsidR="004D404B" w:rsidRPr="006478F5" w:rsidRDefault="00025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921" w:type="pct"/>
          </w:tcPr>
          <w:p w14:paraId="5764197A" w14:textId="77777777" w:rsidR="004D404B" w:rsidRPr="006478F5" w:rsidRDefault="003546C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B66A660" w14:textId="671ED095" w:rsidR="003546C1" w:rsidRPr="006478F5" w:rsidRDefault="003546C1" w:rsidP="000B72B5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However, there some </w:t>
            </w:r>
            <w:proofErr w:type="spellStart"/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langage</w:t>
            </w:r>
            <w:proofErr w:type="spellEnd"/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grammatical issues to be improved.</w:t>
            </w:r>
          </w:p>
        </w:tc>
        <w:tc>
          <w:tcPr>
            <w:tcW w:w="1414" w:type="pct"/>
          </w:tcPr>
          <w:p w14:paraId="6C099607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9717AA" w14:textId="77777777" w:rsidR="004D404B" w:rsidRPr="006478F5" w:rsidRDefault="004D404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73A1B5" w14:textId="77777777" w:rsidR="004D404B" w:rsidRPr="006478F5" w:rsidRDefault="000253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478F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B0F8B7F" w14:textId="77777777" w:rsidR="004D404B" w:rsidRPr="006478F5" w:rsidRDefault="004D40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D404B" w:rsidRPr="006478F5" w14:paraId="014688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6772CE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AC49B6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994B524" w14:textId="77777777" w:rsidR="004D404B" w:rsidRPr="006478F5" w:rsidRDefault="004D4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F600BE" w14:textId="77777777" w:rsidR="004D404B" w:rsidRPr="006478F5" w:rsidRDefault="0002530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78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78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874A9F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695E37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E3456D" w14:textId="77777777" w:rsidR="004D404B" w:rsidRPr="006478F5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EB0B9C" w14:textId="77777777" w:rsidR="004D404B" w:rsidRPr="006478F5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296109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If your answer is NO, please provide a brief, clear suggestion for improvement.</w:t>
            </w:r>
          </w:p>
          <w:p w14:paraId="307C7428" w14:textId="77777777" w:rsidR="004D404B" w:rsidRPr="006478F5" w:rsidRDefault="004D40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180ECDC" w14:textId="069D6BE9" w:rsidR="004D404B" w:rsidRPr="006478F5" w:rsidRDefault="0015258F" w:rsidP="007347C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Yes.</w:t>
            </w:r>
          </w:p>
        </w:tc>
        <w:tc>
          <w:tcPr>
            <w:tcW w:w="1667" w:type="pct"/>
          </w:tcPr>
          <w:p w14:paraId="3A0B94F4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378CA0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74877B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77E6BE0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FD4353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A0C7D8E" w14:textId="77777777" w:rsidR="004D404B" w:rsidRPr="006478F5" w:rsidRDefault="004D40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C5A11B" w14:textId="77777777" w:rsidR="004D404B" w:rsidRPr="006478F5" w:rsidRDefault="0015258F" w:rsidP="007347C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6C395F1D" w14:textId="68895354" w:rsidR="0015258F" w:rsidRPr="006478F5" w:rsidRDefault="0015258F" w:rsidP="007347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can be improved by correcting inconsistencies in reported values, reducing excessive numerical detail and presenting the key results and conclusions more concisely and clearly.</w:t>
            </w:r>
          </w:p>
        </w:tc>
        <w:tc>
          <w:tcPr>
            <w:tcW w:w="1667" w:type="pct"/>
          </w:tcPr>
          <w:p w14:paraId="7002D404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49336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FC029B" w14:textId="77777777" w:rsidR="004D404B" w:rsidRPr="006478F5" w:rsidRDefault="000253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478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6FCC946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AC281E3" w14:textId="77777777" w:rsidR="004D404B" w:rsidRPr="006478F5" w:rsidRDefault="00025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A99D14C" w14:textId="5DB41B7E" w:rsidR="004D404B" w:rsidRPr="006478F5" w:rsidRDefault="00D50C8F" w:rsidP="007347CD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62FD93D1" w14:textId="568A1698" w:rsidR="00D50C8F" w:rsidRPr="006478F5" w:rsidRDefault="00D50C8F" w:rsidP="007347CD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</w:rPr>
              <w:t>It requires clearer methodology, consistent presentation of data, better formatting of equations and tables, and more cautious interpretation of conclusions.</w:t>
            </w:r>
          </w:p>
        </w:tc>
        <w:tc>
          <w:tcPr>
            <w:tcW w:w="1667" w:type="pct"/>
          </w:tcPr>
          <w:p w14:paraId="351C952A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151BED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A7B944" w14:textId="77777777" w:rsidR="004D404B" w:rsidRPr="006478F5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7B3FEB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4FE885" w14:textId="77777777" w:rsidR="004D404B" w:rsidRPr="006478F5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982177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548A254" w14:textId="77777777" w:rsidR="004D404B" w:rsidRPr="006478F5" w:rsidRDefault="004D40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A318C0" w14:textId="5EA792B5" w:rsidR="007347CD" w:rsidRPr="006478F5" w:rsidRDefault="007347CD" w:rsidP="007347CD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2E885106" w14:textId="03E76202" w:rsidR="004D404B" w:rsidRPr="006478F5" w:rsidRDefault="007347CD" w:rsidP="007347CD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references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are relevant but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should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supported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by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recent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studies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(last 3–5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years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) on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functional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snack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development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foods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fortified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with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ginger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turmeric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sensory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evaluation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food</w:t>
            </w:r>
            <w:proofErr w:type="spellEnd"/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fortification technologies.</w:t>
            </w:r>
          </w:p>
        </w:tc>
        <w:tc>
          <w:tcPr>
            <w:tcW w:w="1667" w:type="pct"/>
          </w:tcPr>
          <w:p w14:paraId="3E992B39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04B" w:rsidRPr="006478F5" w14:paraId="25001C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76A96C" w14:textId="77777777" w:rsidR="004D404B" w:rsidRPr="006478F5" w:rsidRDefault="00025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4E7FD5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8AE1EC" w14:textId="77777777" w:rsidR="004D404B" w:rsidRPr="006478F5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A08E1" w14:textId="77777777" w:rsidR="004D404B" w:rsidRPr="006478F5" w:rsidRDefault="000253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037A08" w14:textId="77777777" w:rsidR="004D404B" w:rsidRPr="006478F5" w:rsidRDefault="004D40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A5C982" w14:textId="77777777" w:rsidR="007347CD" w:rsidRPr="006478F5" w:rsidRDefault="007347CD" w:rsidP="007347CD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  <w:p w14:paraId="076D33AA" w14:textId="4F65E241" w:rsidR="004D404B" w:rsidRPr="006478F5" w:rsidRDefault="007347CD" w:rsidP="007347CD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78F5">
              <w:rPr>
                <w:rFonts w:ascii="Arial" w:hAnsi="Arial" w:cs="Arial"/>
                <w:b/>
                <w:sz w:val="20"/>
                <w:szCs w:val="20"/>
              </w:rPr>
              <w:t>No major ethical issues were identified, but the manuscript should clarify ethical approval and informed consent for the sensory evaluation.</w:t>
            </w:r>
          </w:p>
        </w:tc>
        <w:tc>
          <w:tcPr>
            <w:tcW w:w="1667" w:type="pct"/>
          </w:tcPr>
          <w:p w14:paraId="0363C16D" w14:textId="77777777" w:rsidR="004D404B" w:rsidRPr="006478F5" w:rsidRDefault="004D40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68E603" w14:textId="77777777" w:rsidR="00FD4A87" w:rsidRPr="006478F5" w:rsidRDefault="00FD4A87" w:rsidP="00FD4A87">
      <w:pPr>
        <w:rPr>
          <w:rFonts w:ascii="Arial" w:hAnsi="Arial" w:cs="Arial"/>
          <w:b/>
          <w:sz w:val="20"/>
          <w:szCs w:val="20"/>
        </w:rPr>
      </w:pPr>
    </w:p>
    <w:p w14:paraId="294CDC94" w14:textId="77777777" w:rsidR="00FD4A87" w:rsidRPr="006478F5" w:rsidRDefault="00FD4A87" w:rsidP="00FD4A87">
      <w:pPr>
        <w:rPr>
          <w:rFonts w:ascii="Arial" w:hAnsi="Arial" w:cs="Arial"/>
          <w:b/>
          <w:sz w:val="20"/>
          <w:szCs w:val="20"/>
          <w:u w:val="single"/>
        </w:rPr>
      </w:pPr>
      <w:r w:rsidRPr="006478F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B6EB4B" w14:textId="77777777" w:rsidR="00FD4A87" w:rsidRPr="006478F5" w:rsidRDefault="00FD4A87" w:rsidP="00FD4A87">
      <w:pPr>
        <w:rPr>
          <w:rFonts w:ascii="Arial" w:hAnsi="Arial" w:cs="Arial"/>
          <w:sz w:val="20"/>
          <w:szCs w:val="20"/>
        </w:rPr>
      </w:pPr>
      <w:r w:rsidRPr="006478F5">
        <w:rPr>
          <w:rFonts w:ascii="Arial" w:hAnsi="Arial" w:cs="Arial"/>
          <w:color w:val="000000"/>
          <w:sz w:val="20"/>
          <w:szCs w:val="20"/>
        </w:rPr>
        <w:t>Bertin Mikolo, Marien Ngouabi University, Republic of the Congo</w:t>
      </w:r>
    </w:p>
    <w:p w14:paraId="786D4155" w14:textId="77777777" w:rsidR="00FD4A87" w:rsidRPr="006478F5" w:rsidRDefault="00FD4A87" w:rsidP="00FD4A87">
      <w:pPr>
        <w:rPr>
          <w:rFonts w:ascii="Arial" w:hAnsi="Arial" w:cs="Arial"/>
          <w:b/>
          <w:sz w:val="20"/>
          <w:szCs w:val="20"/>
        </w:rPr>
      </w:pPr>
    </w:p>
    <w:p w14:paraId="105A28BE" w14:textId="77777777" w:rsidR="004D404B" w:rsidRPr="006478F5" w:rsidRDefault="004D40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D404B" w:rsidRPr="006478F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2D67" w14:textId="77777777" w:rsidR="009C2712" w:rsidRDefault="009C2712">
      <w:r>
        <w:separator/>
      </w:r>
    </w:p>
  </w:endnote>
  <w:endnote w:type="continuationSeparator" w:id="0">
    <w:p w14:paraId="7F670AD2" w14:textId="77777777" w:rsidR="009C2712" w:rsidRDefault="009C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9393" w14:textId="77777777" w:rsidR="004D404B" w:rsidRDefault="004D404B">
    <w:pPr>
      <w:pStyle w:val="Footer"/>
      <w:jc w:val="right"/>
    </w:pPr>
  </w:p>
  <w:p w14:paraId="183F37C3" w14:textId="2E506FBC" w:rsidR="004D404B" w:rsidRDefault="0002530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4035D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4035D">
      <w:rPr>
        <w:b/>
        <w:noProof/>
        <w:sz w:val="20"/>
      </w:rPr>
      <w:t>5</w:t>
    </w:r>
    <w:r>
      <w:rPr>
        <w:b/>
        <w:sz w:val="20"/>
      </w:rPr>
      <w:fldChar w:fldCharType="end"/>
    </w:r>
  </w:p>
  <w:p w14:paraId="4C4AE0A6" w14:textId="77777777" w:rsidR="004D404B" w:rsidRDefault="0002530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990B9B" w14:textId="77777777" w:rsidR="004D404B" w:rsidRDefault="004D404B">
    <w:pPr>
      <w:pStyle w:val="Footer"/>
      <w:jc w:val="right"/>
    </w:pPr>
  </w:p>
  <w:p w14:paraId="5D5F2833" w14:textId="77777777" w:rsidR="004D404B" w:rsidRDefault="004D40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B8D0" w14:textId="77777777" w:rsidR="009C2712" w:rsidRDefault="009C2712">
      <w:r>
        <w:separator/>
      </w:r>
    </w:p>
  </w:footnote>
  <w:footnote w:type="continuationSeparator" w:id="0">
    <w:p w14:paraId="022EC2FF" w14:textId="77777777" w:rsidR="009C2712" w:rsidRDefault="009C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FA18" w14:textId="77777777" w:rsidR="004D404B" w:rsidRDefault="004D404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B44395" w14:textId="77777777" w:rsidR="004D404B" w:rsidRDefault="0002530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666"/>
    <w:multiLevelType w:val="hybridMultilevel"/>
    <w:tmpl w:val="4DD6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22456"/>
    <w:multiLevelType w:val="multilevel"/>
    <w:tmpl w:val="5E4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B247A"/>
    <w:multiLevelType w:val="hybridMultilevel"/>
    <w:tmpl w:val="318E7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B767BE"/>
    <w:multiLevelType w:val="hybridMultilevel"/>
    <w:tmpl w:val="62829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70C"/>
    <w:multiLevelType w:val="multilevel"/>
    <w:tmpl w:val="273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239D"/>
    <w:multiLevelType w:val="multilevel"/>
    <w:tmpl w:val="106A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94B2298"/>
    <w:multiLevelType w:val="hybridMultilevel"/>
    <w:tmpl w:val="2916B7D4"/>
    <w:lvl w:ilvl="0" w:tplc="DE2604E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104C1"/>
    <w:multiLevelType w:val="hybridMultilevel"/>
    <w:tmpl w:val="3430A72E"/>
    <w:lvl w:ilvl="0" w:tplc="DE2604E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93C9C"/>
    <w:multiLevelType w:val="hybridMultilevel"/>
    <w:tmpl w:val="C720A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500774"/>
    <w:multiLevelType w:val="hybridMultilevel"/>
    <w:tmpl w:val="A78085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3A60"/>
    <w:multiLevelType w:val="multilevel"/>
    <w:tmpl w:val="75F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B24A5F"/>
    <w:multiLevelType w:val="multilevel"/>
    <w:tmpl w:val="B288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B432A"/>
    <w:multiLevelType w:val="multilevel"/>
    <w:tmpl w:val="B90A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04871">
    <w:abstractNumId w:val="4"/>
  </w:num>
  <w:num w:numId="2" w16cid:durableId="1730424174">
    <w:abstractNumId w:val="14"/>
  </w:num>
  <w:num w:numId="3" w16cid:durableId="110324656">
    <w:abstractNumId w:val="13"/>
  </w:num>
  <w:num w:numId="4" w16cid:durableId="128136852">
    <w:abstractNumId w:val="16"/>
  </w:num>
  <w:num w:numId="5" w16cid:durableId="1851404789">
    <w:abstractNumId w:val="9"/>
  </w:num>
  <w:num w:numId="6" w16cid:durableId="1780684676">
    <w:abstractNumId w:val="0"/>
  </w:num>
  <w:num w:numId="7" w16cid:durableId="1216042885">
    <w:abstractNumId w:val="3"/>
  </w:num>
  <w:num w:numId="8" w16cid:durableId="190605485">
    <w:abstractNumId w:val="22"/>
  </w:num>
  <w:num w:numId="9" w16cid:durableId="1156649973">
    <w:abstractNumId w:val="19"/>
  </w:num>
  <w:num w:numId="10" w16cid:durableId="1567641015">
    <w:abstractNumId w:val="2"/>
  </w:num>
  <w:num w:numId="11" w16cid:durableId="1137642588">
    <w:abstractNumId w:val="1"/>
  </w:num>
  <w:num w:numId="12" w16cid:durableId="260188718">
    <w:abstractNumId w:val="7"/>
  </w:num>
  <w:num w:numId="13" w16cid:durableId="1350647091">
    <w:abstractNumId w:val="10"/>
  </w:num>
  <w:num w:numId="14" w16cid:durableId="1244953668">
    <w:abstractNumId w:val="15"/>
  </w:num>
  <w:num w:numId="15" w16cid:durableId="208685548">
    <w:abstractNumId w:val="17"/>
  </w:num>
  <w:num w:numId="16" w16cid:durableId="1679887556">
    <w:abstractNumId w:val="20"/>
  </w:num>
  <w:num w:numId="17" w16cid:durableId="197164854">
    <w:abstractNumId w:val="21"/>
  </w:num>
  <w:num w:numId="18" w16cid:durableId="47461852">
    <w:abstractNumId w:val="12"/>
  </w:num>
  <w:num w:numId="19" w16cid:durableId="577983517">
    <w:abstractNumId w:val="8"/>
  </w:num>
  <w:num w:numId="20" w16cid:durableId="223570622">
    <w:abstractNumId w:val="11"/>
  </w:num>
  <w:num w:numId="21" w16cid:durableId="595796625">
    <w:abstractNumId w:val="24"/>
  </w:num>
  <w:num w:numId="22" w16cid:durableId="2108116514">
    <w:abstractNumId w:val="5"/>
  </w:num>
  <w:num w:numId="23" w16cid:durableId="1379433828">
    <w:abstractNumId w:val="6"/>
  </w:num>
  <w:num w:numId="24" w16cid:durableId="1695955063">
    <w:abstractNumId w:val="23"/>
  </w:num>
  <w:num w:numId="25" w16cid:durableId="171141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4B"/>
    <w:rsid w:val="00022C19"/>
    <w:rsid w:val="0002530B"/>
    <w:rsid w:val="00035491"/>
    <w:rsid w:val="00084775"/>
    <w:rsid w:val="000B72B5"/>
    <w:rsid w:val="0015258F"/>
    <w:rsid w:val="001E66A1"/>
    <w:rsid w:val="002A3819"/>
    <w:rsid w:val="002A3B48"/>
    <w:rsid w:val="00315463"/>
    <w:rsid w:val="003546C1"/>
    <w:rsid w:val="00386FCF"/>
    <w:rsid w:val="003B2120"/>
    <w:rsid w:val="003C00D4"/>
    <w:rsid w:val="003D7D2C"/>
    <w:rsid w:val="00413DD6"/>
    <w:rsid w:val="00443236"/>
    <w:rsid w:val="00444059"/>
    <w:rsid w:val="00485D14"/>
    <w:rsid w:val="004D404B"/>
    <w:rsid w:val="00530C9E"/>
    <w:rsid w:val="0055053B"/>
    <w:rsid w:val="005D1FF1"/>
    <w:rsid w:val="00620D96"/>
    <w:rsid w:val="006478F5"/>
    <w:rsid w:val="00660FEE"/>
    <w:rsid w:val="00667E73"/>
    <w:rsid w:val="006B38E8"/>
    <w:rsid w:val="007347CD"/>
    <w:rsid w:val="00782462"/>
    <w:rsid w:val="007A221B"/>
    <w:rsid w:val="0080097E"/>
    <w:rsid w:val="00806C99"/>
    <w:rsid w:val="00813456"/>
    <w:rsid w:val="00826B93"/>
    <w:rsid w:val="008350BF"/>
    <w:rsid w:val="008A2CF0"/>
    <w:rsid w:val="00976F9B"/>
    <w:rsid w:val="0099448E"/>
    <w:rsid w:val="009C2712"/>
    <w:rsid w:val="00A41522"/>
    <w:rsid w:val="00A84CFB"/>
    <w:rsid w:val="00A86855"/>
    <w:rsid w:val="00AB3476"/>
    <w:rsid w:val="00AE01BB"/>
    <w:rsid w:val="00B264F4"/>
    <w:rsid w:val="00B43947"/>
    <w:rsid w:val="00BC3C51"/>
    <w:rsid w:val="00D37393"/>
    <w:rsid w:val="00D42130"/>
    <w:rsid w:val="00D50C8F"/>
    <w:rsid w:val="00DA57AB"/>
    <w:rsid w:val="00DE0B68"/>
    <w:rsid w:val="00E230F3"/>
    <w:rsid w:val="00E4035D"/>
    <w:rsid w:val="00E96A78"/>
    <w:rsid w:val="00F13D3E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3A1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2026-05-07T06:36:00Z</dcterms:created>
  <dcterms:modified xsi:type="dcterms:W3CDTF">2026-05-19T07:09:00Z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