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7E384E" w:rsidRPr="00C17027" w14:paraId="48DD3766" w14:textId="77777777">
        <w:trPr>
          <w:trHeight w:val="20"/>
          <w:jc w:val="center"/>
        </w:trPr>
        <w:tc>
          <w:tcPr>
            <w:tcW w:w="1186" w:type="pct"/>
          </w:tcPr>
          <w:p w14:paraId="15CB55D6" w14:textId="77777777" w:rsidR="007E384E" w:rsidRPr="00C17027" w:rsidRDefault="00311DE4">
            <w:pPr>
              <w:pStyle w:val="BodyText"/>
              <w:ind w:left="90"/>
              <w:jc w:val="left"/>
              <w:rPr>
                <w:rFonts w:ascii="Arial" w:hAnsi="Arial" w:cs="Arial"/>
                <w:bCs/>
                <w:sz w:val="20"/>
                <w:szCs w:val="20"/>
                <w:lang w:val="en-GB" w:eastAsia="en-US"/>
              </w:rPr>
            </w:pPr>
            <w:bookmarkStart w:id="0" w:name="_GoBack"/>
            <w:r w:rsidRPr="00C17027">
              <w:rPr>
                <w:rFonts w:ascii="Arial" w:hAnsi="Arial" w:cs="Arial"/>
                <w:bCs/>
                <w:sz w:val="20"/>
                <w:szCs w:val="20"/>
                <w:lang w:val="en-GB" w:eastAsia="en-US"/>
              </w:rPr>
              <w:t>Journal Name:</w:t>
            </w:r>
          </w:p>
        </w:tc>
        <w:tc>
          <w:tcPr>
            <w:tcW w:w="3814" w:type="pct"/>
          </w:tcPr>
          <w:p w14:paraId="34A8C012" w14:textId="77777777" w:rsidR="007E384E" w:rsidRPr="00C17027" w:rsidRDefault="005F5F61">
            <w:pPr>
              <w:rPr>
                <w:rFonts w:ascii="Arial" w:hAnsi="Arial" w:cs="Arial"/>
                <w:b/>
                <w:bCs/>
                <w:color w:val="0000FF"/>
                <w:sz w:val="20"/>
                <w:szCs w:val="20"/>
                <w:lang w:val="en-GB"/>
              </w:rPr>
            </w:pPr>
            <w:hyperlink r:id="rId7" w:history="1">
              <w:r w:rsidR="00311DE4" w:rsidRPr="00C17027">
                <w:rPr>
                  <w:rFonts w:ascii="Arial" w:hAnsi="Arial" w:cs="Arial"/>
                  <w:color w:val="0000FF"/>
                  <w:sz w:val="20"/>
                  <w:szCs w:val="20"/>
                  <w:u w:val="single"/>
                </w:rPr>
                <w:t>Asian Journal of Mathematics and Computer Research</w:t>
              </w:r>
            </w:hyperlink>
          </w:p>
        </w:tc>
      </w:tr>
      <w:tr w:rsidR="007E384E" w:rsidRPr="00C17027" w14:paraId="0AA6C8B9" w14:textId="77777777">
        <w:trPr>
          <w:trHeight w:val="20"/>
          <w:jc w:val="center"/>
        </w:trPr>
        <w:tc>
          <w:tcPr>
            <w:tcW w:w="1186" w:type="pct"/>
          </w:tcPr>
          <w:p w14:paraId="69A31B1F" w14:textId="77777777" w:rsidR="007E384E" w:rsidRPr="00C17027" w:rsidRDefault="00311DE4">
            <w:pPr>
              <w:pStyle w:val="BodyText"/>
              <w:ind w:left="90"/>
              <w:jc w:val="left"/>
              <w:rPr>
                <w:rFonts w:ascii="Arial" w:hAnsi="Arial" w:cs="Arial"/>
                <w:bCs/>
                <w:sz w:val="20"/>
                <w:szCs w:val="20"/>
                <w:lang w:val="en-GB" w:eastAsia="en-US"/>
              </w:rPr>
            </w:pPr>
            <w:r w:rsidRPr="00C17027">
              <w:rPr>
                <w:rFonts w:ascii="Arial" w:hAnsi="Arial" w:cs="Arial"/>
                <w:bCs/>
                <w:sz w:val="20"/>
                <w:szCs w:val="20"/>
                <w:lang w:val="en-GB" w:eastAsia="en-US"/>
              </w:rPr>
              <w:t>Manuscript Number:</w:t>
            </w:r>
          </w:p>
        </w:tc>
        <w:tc>
          <w:tcPr>
            <w:tcW w:w="3814" w:type="pct"/>
          </w:tcPr>
          <w:p w14:paraId="315450A6" w14:textId="77777777" w:rsidR="007E384E" w:rsidRPr="00C17027" w:rsidRDefault="00740856">
            <w:pPr>
              <w:pStyle w:val="NormalWeb"/>
              <w:spacing w:before="0" w:beforeAutospacing="0" w:after="0" w:afterAutospacing="0"/>
              <w:rPr>
                <w:rFonts w:ascii="Arial" w:hAnsi="Arial" w:cs="Arial"/>
                <w:b/>
                <w:bCs/>
                <w:sz w:val="20"/>
                <w:szCs w:val="20"/>
                <w:lang w:val="en-GB"/>
              </w:rPr>
            </w:pPr>
            <w:r w:rsidRPr="00C17027">
              <w:rPr>
                <w:rFonts w:ascii="Arial" w:hAnsi="Arial" w:cs="Arial"/>
                <w:b/>
                <w:bCs/>
                <w:sz w:val="20"/>
                <w:szCs w:val="20"/>
                <w:lang w:val="en-GB"/>
              </w:rPr>
              <w:t>Ms_AJOMCOR_14978</w:t>
            </w:r>
          </w:p>
        </w:tc>
      </w:tr>
      <w:tr w:rsidR="007E384E" w:rsidRPr="00C17027" w14:paraId="73312278" w14:textId="77777777">
        <w:trPr>
          <w:trHeight w:val="20"/>
          <w:jc w:val="center"/>
        </w:trPr>
        <w:tc>
          <w:tcPr>
            <w:tcW w:w="1186" w:type="pct"/>
          </w:tcPr>
          <w:p w14:paraId="3B6F2192" w14:textId="77777777" w:rsidR="007E384E" w:rsidRPr="00C17027" w:rsidRDefault="00311DE4">
            <w:pPr>
              <w:pStyle w:val="BodyText"/>
              <w:ind w:left="90"/>
              <w:jc w:val="left"/>
              <w:rPr>
                <w:rFonts w:ascii="Arial" w:hAnsi="Arial" w:cs="Arial"/>
                <w:bCs/>
                <w:sz w:val="20"/>
                <w:szCs w:val="20"/>
                <w:lang w:val="en-GB" w:eastAsia="en-US"/>
              </w:rPr>
            </w:pPr>
            <w:r w:rsidRPr="00C17027">
              <w:rPr>
                <w:rFonts w:ascii="Arial" w:hAnsi="Arial" w:cs="Arial"/>
                <w:bCs/>
                <w:sz w:val="20"/>
                <w:szCs w:val="20"/>
                <w:lang w:val="en-GB" w:eastAsia="en-US"/>
              </w:rPr>
              <w:t xml:space="preserve">Title of the Manuscript: </w:t>
            </w:r>
          </w:p>
        </w:tc>
        <w:tc>
          <w:tcPr>
            <w:tcW w:w="3814" w:type="pct"/>
          </w:tcPr>
          <w:p w14:paraId="3167B901" w14:textId="77777777" w:rsidR="007E384E" w:rsidRPr="00C17027" w:rsidRDefault="00740856">
            <w:pPr>
              <w:pStyle w:val="NormalWeb"/>
              <w:spacing w:before="0" w:beforeAutospacing="0" w:after="0" w:afterAutospacing="0"/>
              <w:rPr>
                <w:rFonts w:ascii="Arial" w:hAnsi="Arial" w:cs="Arial"/>
                <w:b/>
                <w:sz w:val="20"/>
                <w:szCs w:val="20"/>
                <w:lang w:val="en-GB"/>
              </w:rPr>
            </w:pPr>
            <w:r w:rsidRPr="00C17027">
              <w:rPr>
                <w:rFonts w:ascii="Arial" w:hAnsi="Arial" w:cs="Arial"/>
                <w:b/>
                <w:sz w:val="20"/>
                <w:szCs w:val="20"/>
                <w:lang w:val="en-GB"/>
              </w:rPr>
              <w:t>A Generalized Quadrature Rule using Anti-Gaussian Techniques</w:t>
            </w:r>
          </w:p>
        </w:tc>
      </w:tr>
      <w:tr w:rsidR="007E384E" w:rsidRPr="00C17027" w14:paraId="1F5657E8" w14:textId="77777777">
        <w:trPr>
          <w:trHeight w:val="20"/>
          <w:jc w:val="center"/>
        </w:trPr>
        <w:tc>
          <w:tcPr>
            <w:tcW w:w="1186" w:type="pct"/>
          </w:tcPr>
          <w:p w14:paraId="3F043DE5" w14:textId="77777777" w:rsidR="007E384E" w:rsidRPr="00C17027" w:rsidRDefault="00311DE4">
            <w:pPr>
              <w:pStyle w:val="BodyText"/>
              <w:ind w:left="90"/>
              <w:jc w:val="left"/>
              <w:rPr>
                <w:rFonts w:ascii="Arial" w:hAnsi="Arial" w:cs="Arial"/>
                <w:bCs/>
                <w:sz w:val="20"/>
                <w:szCs w:val="20"/>
                <w:lang w:val="en-GB" w:eastAsia="en-US"/>
              </w:rPr>
            </w:pPr>
            <w:r w:rsidRPr="00C17027">
              <w:rPr>
                <w:rFonts w:ascii="Arial" w:hAnsi="Arial" w:cs="Arial"/>
                <w:bCs/>
                <w:sz w:val="20"/>
                <w:szCs w:val="20"/>
                <w:lang w:val="en-GB" w:eastAsia="en-US"/>
              </w:rPr>
              <w:t>Type of the Article</w:t>
            </w:r>
          </w:p>
        </w:tc>
        <w:tc>
          <w:tcPr>
            <w:tcW w:w="3814" w:type="pct"/>
          </w:tcPr>
          <w:p w14:paraId="20C74E0A" w14:textId="77777777" w:rsidR="007E384E" w:rsidRPr="00C17027" w:rsidRDefault="00311DE4">
            <w:pPr>
              <w:pStyle w:val="NormalWeb"/>
              <w:spacing w:before="0" w:beforeAutospacing="0" w:after="0" w:afterAutospacing="0"/>
              <w:rPr>
                <w:rFonts w:ascii="Arial" w:hAnsi="Arial" w:cs="Arial"/>
                <w:b/>
                <w:sz w:val="20"/>
                <w:szCs w:val="20"/>
                <w:lang w:val="en-GB"/>
              </w:rPr>
            </w:pPr>
            <w:r w:rsidRPr="00C17027">
              <w:rPr>
                <w:rFonts w:ascii="Arial" w:hAnsi="Arial" w:cs="Arial"/>
                <w:b/>
                <w:sz w:val="20"/>
                <w:szCs w:val="20"/>
                <w:lang w:val="en-GB"/>
              </w:rPr>
              <w:t>Research Article</w:t>
            </w:r>
          </w:p>
          <w:p w14:paraId="190992ED" w14:textId="77777777" w:rsidR="007E384E" w:rsidRPr="00C17027" w:rsidRDefault="007E384E">
            <w:pPr>
              <w:pStyle w:val="NormalWeb"/>
              <w:spacing w:before="0" w:beforeAutospacing="0" w:after="0" w:afterAutospacing="0"/>
              <w:rPr>
                <w:rFonts w:ascii="Arial" w:hAnsi="Arial" w:cs="Arial"/>
                <w:b/>
                <w:sz w:val="20"/>
                <w:szCs w:val="20"/>
                <w:lang w:val="en-GB"/>
              </w:rPr>
            </w:pPr>
          </w:p>
        </w:tc>
      </w:tr>
    </w:tbl>
    <w:p w14:paraId="48E3E127" w14:textId="77777777" w:rsidR="007E384E" w:rsidRPr="00C17027" w:rsidRDefault="00311DE4">
      <w:pPr>
        <w:jc w:val="both"/>
        <w:rPr>
          <w:rFonts w:ascii="Arial" w:eastAsia="MS Mincho" w:hAnsi="Arial" w:cs="Arial"/>
          <w:b/>
          <w:sz w:val="20"/>
          <w:szCs w:val="20"/>
          <w:u w:val="single"/>
          <w:lang w:val="en-GB" w:eastAsia="x-none"/>
        </w:rPr>
      </w:pPr>
      <w:r w:rsidRPr="00C17027">
        <w:rPr>
          <w:rFonts w:ascii="Arial" w:eastAsia="MS Mincho" w:hAnsi="Arial" w:cs="Arial"/>
          <w:b/>
          <w:sz w:val="20"/>
          <w:szCs w:val="20"/>
          <w:highlight w:val="yellow"/>
          <w:u w:val="single"/>
          <w:lang w:val="en-GB" w:eastAsia="x-none"/>
        </w:rPr>
        <w:t>PART 1 (Importance of the manuscript)</w:t>
      </w:r>
      <w:r w:rsidRPr="00C17027">
        <w:rPr>
          <w:rFonts w:ascii="Arial" w:eastAsia="MS Mincho" w:hAnsi="Arial" w:cs="Arial"/>
          <w:b/>
          <w:sz w:val="20"/>
          <w:szCs w:val="20"/>
          <w:u w:val="single"/>
          <w:lang w:val="en-GB" w:eastAsia="x-none"/>
        </w:rPr>
        <w:t xml:space="preserve"> </w:t>
      </w:r>
    </w:p>
    <w:p w14:paraId="69416D35" w14:textId="77777777" w:rsidR="007E384E" w:rsidRPr="00C17027" w:rsidRDefault="007E384E">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7235"/>
        <w:gridCol w:w="1871"/>
      </w:tblGrid>
      <w:tr w:rsidR="007E384E" w:rsidRPr="00C17027" w14:paraId="083AEC1B" w14:textId="77777777" w:rsidTr="00B65778">
        <w:trPr>
          <w:trHeight w:val="20"/>
          <w:jc w:val="center"/>
        </w:trPr>
        <w:tc>
          <w:tcPr>
            <w:tcW w:w="1666" w:type="pct"/>
            <w:noWrap/>
          </w:tcPr>
          <w:p w14:paraId="0E077481" w14:textId="77777777" w:rsidR="007E384E" w:rsidRPr="00C17027" w:rsidRDefault="007E384E">
            <w:pPr>
              <w:keepNext/>
              <w:outlineLvl w:val="1"/>
              <w:rPr>
                <w:rFonts w:ascii="Arial" w:eastAsia="MS Mincho" w:hAnsi="Arial" w:cs="Arial"/>
                <w:b/>
                <w:bCs/>
                <w:sz w:val="20"/>
                <w:szCs w:val="20"/>
                <w:lang w:val="en-GB"/>
              </w:rPr>
            </w:pPr>
          </w:p>
        </w:tc>
        <w:tc>
          <w:tcPr>
            <w:tcW w:w="2649" w:type="pct"/>
            <w:hideMark/>
          </w:tcPr>
          <w:p w14:paraId="4F0D4211" w14:textId="77777777" w:rsidR="007E384E" w:rsidRPr="00C17027" w:rsidRDefault="00311DE4">
            <w:pPr>
              <w:keepNext/>
              <w:outlineLvl w:val="1"/>
              <w:rPr>
                <w:rFonts w:ascii="Arial" w:eastAsia="MS Mincho" w:hAnsi="Arial" w:cs="Arial"/>
                <w:b/>
                <w:bCs/>
                <w:sz w:val="20"/>
                <w:szCs w:val="20"/>
                <w:lang w:val="en-GB"/>
              </w:rPr>
            </w:pPr>
            <w:r w:rsidRPr="00C17027">
              <w:rPr>
                <w:rFonts w:ascii="Arial" w:eastAsia="MS Mincho" w:hAnsi="Arial" w:cs="Arial"/>
                <w:b/>
                <w:bCs/>
                <w:sz w:val="20"/>
                <w:szCs w:val="20"/>
                <w:lang w:val="en-GB"/>
              </w:rPr>
              <w:t>Comments of the Reviewers</w:t>
            </w:r>
          </w:p>
        </w:tc>
        <w:tc>
          <w:tcPr>
            <w:tcW w:w="685" w:type="pct"/>
          </w:tcPr>
          <w:p w14:paraId="4AAC71C6" w14:textId="77777777" w:rsidR="007E384E" w:rsidRPr="00C17027" w:rsidRDefault="00311DE4">
            <w:pPr>
              <w:spacing w:after="160" w:line="256" w:lineRule="auto"/>
              <w:rPr>
                <w:rFonts w:ascii="Arial" w:eastAsia="Calibri" w:hAnsi="Arial" w:cs="Arial"/>
                <w:kern w:val="2"/>
                <w:sz w:val="20"/>
                <w:szCs w:val="20"/>
                <w:lang w:val="en-GB"/>
              </w:rPr>
            </w:pPr>
            <w:r w:rsidRPr="00C17027">
              <w:rPr>
                <w:rFonts w:ascii="Arial" w:eastAsia="Calibri" w:hAnsi="Arial" w:cs="Arial"/>
                <w:b/>
                <w:kern w:val="2"/>
                <w:sz w:val="20"/>
                <w:szCs w:val="20"/>
                <w:lang w:val="en-GB"/>
              </w:rPr>
              <w:t>Author’s Feedback</w:t>
            </w:r>
            <w:r w:rsidRPr="00C17027">
              <w:rPr>
                <w:rFonts w:ascii="Arial" w:eastAsia="Calibri" w:hAnsi="Arial" w:cs="Arial"/>
                <w:kern w:val="2"/>
                <w:sz w:val="20"/>
                <w:szCs w:val="20"/>
                <w:lang w:val="en-GB"/>
              </w:rPr>
              <w:t xml:space="preserve"> </w:t>
            </w:r>
          </w:p>
          <w:p w14:paraId="54958C79" w14:textId="77777777" w:rsidR="007E384E" w:rsidRPr="00C17027" w:rsidRDefault="007E384E">
            <w:pPr>
              <w:keepNext/>
              <w:outlineLvl w:val="1"/>
              <w:rPr>
                <w:rFonts w:ascii="Arial" w:eastAsia="MS Mincho" w:hAnsi="Arial" w:cs="Arial"/>
                <w:bCs/>
                <w:sz w:val="20"/>
                <w:szCs w:val="20"/>
                <w:lang w:val="en-GB"/>
              </w:rPr>
            </w:pPr>
          </w:p>
        </w:tc>
      </w:tr>
      <w:tr w:rsidR="007E384E" w:rsidRPr="00C17027" w14:paraId="4F3B4061" w14:textId="77777777" w:rsidTr="00B65778">
        <w:trPr>
          <w:trHeight w:val="20"/>
          <w:jc w:val="center"/>
        </w:trPr>
        <w:tc>
          <w:tcPr>
            <w:tcW w:w="1666" w:type="pct"/>
            <w:noWrap/>
            <w:hideMark/>
          </w:tcPr>
          <w:p w14:paraId="57807BBC" w14:textId="77777777" w:rsidR="007E384E" w:rsidRPr="00C17027" w:rsidRDefault="00311DE4">
            <w:pPr>
              <w:rPr>
                <w:rFonts w:ascii="Arial" w:hAnsi="Arial" w:cs="Arial"/>
                <w:bCs/>
                <w:sz w:val="20"/>
                <w:szCs w:val="20"/>
                <w:lang w:val="en-GB"/>
              </w:rPr>
            </w:pPr>
            <w:r w:rsidRPr="00C17027">
              <w:rPr>
                <w:rFonts w:ascii="Arial" w:hAnsi="Arial" w:cs="Arial"/>
                <w:b/>
                <w:bCs/>
                <w:sz w:val="20"/>
                <w:szCs w:val="20"/>
                <w:lang w:val="en-GB"/>
              </w:rPr>
              <w:t>Please write a few sentences regarding the importance of this manuscript for the scientific community.</w:t>
            </w:r>
            <w:r w:rsidRPr="00C17027">
              <w:rPr>
                <w:rFonts w:ascii="Arial" w:hAnsi="Arial" w:cs="Arial"/>
                <w:bCs/>
                <w:sz w:val="20"/>
                <w:szCs w:val="20"/>
                <w:lang w:val="en-GB"/>
              </w:rPr>
              <w:t xml:space="preserve"> A minimum of 3-4 sentences may </w:t>
            </w:r>
          </w:p>
          <w:p w14:paraId="7717B06A" w14:textId="77777777" w:rsidR="007E384E" w:rsidRPr="00C17027" w:rsidRDefault="00311DE4">
            <w:pPr>
              <w:rPr>
                <w:rFonts w:ascii="Arial" w:eastAsia="MS Mincho" w:hAnsi="Arial" w:cs="Arial"/>
                <w:bCs/>
                <w:sz w:val="20"/>
                <w:szCs w:val="20"/>
                <w:lang w:val="en-GB"/>
              </w:rPr>
            </w:pPr>
            <w:r w:rsidRPr="00C17027">
              <w:rPr>
                <w:rFonts w:ascii="Arial" w:hAnsi="Arial" w:cs="Arial"/>
                <w:bCs/>
                <w:sz w:val="20"/>
                <w:szCs w:val="20"/>
                <w:lang w:val="en-GB"/>
              </w:rPr>
              <w:t>be required for this part.</w:t>
            </w:r>
          </w:p>
        </w:tc>
        <w:tc>
          <w:tcPr>
            <w:tcW w:w="2649" w:type="pct"/>
          </w:tcPr>
          <w:p w14:paraId="62D7B988" w14:textId="7F753DE9" w:rsidR="007E384E" w:rsidRPr="00C17027" w:rsidRDefault="00CB5734">
            <w:pPr>
              <w:contextualSpacing/>
              <w:rPr>
                <w:rFonts w:ascii="Arial" w:hAnsi="Arial" w:cs="Arial"/>
                <w:sz w:val="20"/>
                <w:szCs w:val="20"/>
                <w:lang w:val="en-GB"/>
              </w:rPr>
            </w:pPr>
            <w:r w:rsidRPr="00C17027">
              <w:rPr>
                <w:rFonts w:ascii="Arial" w:hAnsi="Arial" w:cs="Arial"/>
                <w:sz w:val="20"/>
                <w:szCs w:val="20"/>
                <w:lang w:val="en-GB"/>
              </w:rPr>
              <w:t xml:space="preserve">The author successfully constructs a novel generalized quadrature rule </w:t>
            </w:r>
            <m:oMath>
              <m:sSub>
                <m:sSubPr>
                  <m:ctrlPr>
                    <w:rPr>
                      <w:rFonts w:ascii="Cambria Math" w:hAnsi="Cambria Math" w:cs="Arial"/>
                      <w:i/>
                      <w:sz w:val="20"/>
                      <w:szCs w:val="20"/>
                    </w:rPr>
                  </m:ctrlPr>
                </m:sSubPr>
                <m:e>
                  <m:r>
                    <w:rPr>
                      <w:rFonts w:ascii="Cambria Math" w:hAnsi="Cambria Math" w:cs="Arial"/>
                      <w:sz w:val="20"/>
                      <w:szCs w:val="20"/>
                    </w:rPr>
                    <m:t>SM</m:t>
                  </m:r>
                </m:e>
                <m:sub>
                  <m:r>
                    <w:rPr>
                      <w:rFonts w:ascii="Cambria Math" w:hAnsi="Cambria Math" w:cs="Arial"/>
                      <w:sz w:val="20"/>
                      <w:szCs w:val="20"/>
                    </w:rPr>
                    <m:t>15</m:t>
                  </m:r>
                </m:sub>
              </m:sSub>
              <m:d>
                <m:dPr>
                  <m:ctrlPr>
                    <w:rPr>
                      <w:rFonts w:ascii="Cambria Math" w:eastAsiaTheme="minorEastAsia" w:hAnsi="Cambria Math" w:cs="Arial"/>
                      <w:i/>
                      <w:sz w:val="20"/>
                      <w:szCs w:val="20"/>
                    </w:rPr>
                  </m:ctrlPr>
                </m:dPr>
                <m:e>
                  <m:r>
                    <w:rPr>
                      <w:rFonts w:ascii="Cambria Math" w:eastAsiaTheme="minorEastAsia" w:hAnsi="Cambria Math" w:cs="Arial"/>
                      <w:sz w:val="20"/>
                      <w:szCs w:val="20"/>
                    </w:rPr>
                    <m:t>f</m:t>
                  </m:r>
                </m:e>
              </m:d>
            </m:oMath>
            <w:r w:rsidRPr="00C17027">
              <w:rPr>
                <w:rFonts w:ascii="Arial" w:hAnsi="Arial" w:cs="Arial"/>
                <w:sz w:val="20"/>
                <w:szCs w:val="20"/>
                <w:lang w:val="en-GB"/>
              </w:rPr>
              <w:t xml:space="preserve"> by ingeniously combining the Anti-Lobatto 4point rule and the Anti-Gauss 3point rule. The theoretical framework is meticulously established utilizing Taylor and Maclaurin series expansions to mathematically guarantee the cancellation of lower-order trunca</w:t>
            </w:r>
            <w:proofErr w:type="spellStart"/>
            <w:r w:rsidRPr="00C17027">
              <w:rPr>
                <w:rFonts w:ascii="Arial" w:hAnsi="Arial" w:cs="Arial"/>
                <w:sz w:val="20"/>
                <w:szCs w:val="20"/>
                <w:lang w:val="en-GB"/>
              </w:rPr>
              <w:t>tion</w:t>
            </w:r>
            <w:proofErr w:type="spellEnd"/>
            <w:r w:rsidRPr="00C17027">
              <w:rPr>
                <w:rFonts w:ascii="Arial" w:hAnsi="Arial" w:cs="Arial"/>
                <w:sz w:val="20"/>
                <w:szCs w:val="20"/>
                <w:lang w:val="en-GB"/>
              </w:rPr>
              <w:t xml:space="preserve"> errors.</w:t>
            </w:r>
          </w:p>
        </w:tc>
        <w:tc>
          <w:tcPr>
            <w:tcW w:w="685" w:type="pct"/>
          </w:tcPr>
          <w:p w14:paraId="08F58D52" w14:textId="77777777" w:rsidR="007E384E" w:rsidRPr="00C17027" w:rsidRDefault="007E384E">
            <w:pPr>
              <w:keepNext/>
              <w:outlineLvl w:val="1"/>
              <w:rPr>
                <w:rFonts w:ascii="Arial" w:eastAsia="MS Mincho" w:hAnsi="Arial" w:cs="Arial"/>
                <w:bCs/>
                <w:sz w:val="20"/>
                <w:szCs w:val="20"/>
                <w:lang w:val="en-GB"/>
              </w:rPr>
            </w:pPr>
          </w:p>
        </w:tc>
      </w:tr>
    </w:tbl>
    <w:p w14:paraId="3A403381" w14:textId="77777777" w:rsidR="007E384E" w:rsidRPr="00C17027" w:rsidRDefault="007E384E">
      <w:pPr>
        <w:rPr>
          <w:rFonts w:ascii="Arial" w:hAnsi="Arial" w:cs="Arial"/>
          <w:sz w:val="20"/>
          <w:szCs w:val="20"/>
          <w:lang w:val="en-GB"/>
        </w:rPr>
      </w:pPr>
    </w:p>
    <w:p w14:paraId="4C04B64D" w14:textId="77777777" w:rsidR="007E384E" w:rsidRPr="00C17027" w:rsidRDefault="00311DE4">
      <w:pPr>
        <w:keepNext/>
        <w:outlineLvl w:val="1"/>
        <w:rPr>
          <w:rFonts w:ascii="Arial" w:eastAsia="MS Mincho" w:hAnsi="Arial" w:cs="Arial"/>
          <w:b/>
          <w:bCs/>
          <w:sz w:val="20"/>
          <w:szCs w:val="20"/>
          <w:highlight w:val="yellow"/>
          <w:u w:val="single"/>
          <w:lang w:val="en-GB"/>
        </w:rPr>
      </w:pPr>
      <w:r w:rsidRPr="00C17027">
        <w:rPr>
          <w:rFonts w:ascii="Arial" w:eastAsia="MS Mincho" w:hAnsi="Arial" w:cs="Arial"/>
          <w:b/>
          <w:bCs/>
          <w:sz w:val="20"/>
          <w:szCs w:val="20"/>
          <w:highlight w:val="yellow"/>
          <w:u w:val="single"/>
          <w:lang w:val="en-GB"/>
        </w:rPr>
        <w:t>PART 2.1 (Objective Evaluation)</w:t>
      </w:r>
    </w:p>
    <w:p w14:paraId="6BD28B07" w14:textId="77777777" w:rsidR="007E384E" w:rsidRPr="00C17027" w:rsidRDefault="007E38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5"/>
        <w:gridCol w:w="7231"/>
        <w:gridCol w:w="1884"/>
      </w:tblGrid>
      <w:tr w:rsidR="007E384E" w:rsidRPr="00C17027" w14:paraId="18F8DDCA" w14:textId="77777777" w:rsidTr="00B65778">
        <w:trPr>
          <w:trHeight w:val="215"/>
          <w:jc w:val="center"/>
        </w:trPr>
        <w:tc>
          <w:tcPr>
            <w:tcW w:w="1666" w:type="pct"/>
            <w:noWrap/>
          </w:tcPr>
          <w:p w14:paraId="072C6A55" w14:textId="77777777" w:rsidR="007E384E" w:rsidRPr="00C17027" w:rsidRDefault="007E384E">
            <w:pPr>
              <w:keepNext/>
              <w:outlineLvl w:val="1"/>
              <w:rPr>
                <w:rFonts w:ascii="Arial" w:eastAsia="MS Mincho" w:hAnsi="Arial" w:cs="Arial"/>
                <w:b/>
                <w:bCs/>
                <w:sz w:val="20"/>
                <w:szCs w:val="20"/>
                <w:lang w:val="en-GB"/>
              </w:rPr>
            </w:pPr>
          </w:p>
        </w:tc>
        <w:tc>
          <w:tcPr>
            <w:tcW w:w="2644" w:type="pct"/>
            <w:hideMark/>
          </w:tcPr>
          <w:p w14:paraId="4DF7E9D0" w14:textId="77777777" w:rsidR="007E384E" w:rsidRPr="00C17027" w:rsidRDefault="00311DE4">
            <w:pPr>
              <w:keepNext/>
              <w:outlineLvl w:val="1"/>
              <w:rPr>
                <w:rFonts w:ascii="Arial" w:eastAsia="MS Mincho" w:hAnsi="Arial" w:cs="Arial"/>
                <w:b/>
                <w:bCs/>
                <w:sz w:val="20"/>
                <w:szCs w:val="20"/>
                <w:lang w:val="en-GB"/>
              </w:rPr>
            </w:pPr>
            <w:r w:rsidRPr="00C17027">
              <w:rPr>
                <w:rFonts w:ascii="Arial" w:eastAsia="MS Mincho" w:hAnsi="Arial" w:cs="Arial"/>
                <w:b/>
                <w:bCs/>
                <w:sz w:val="20"/>
                <w:szCs w:val="20"/>
                <w:lang w:val="en-GB"/>
              </w:rPr>
              <w:t>Rating of the Reviewers</w:t>
            </w:r>
          </w:p>
        </w:tc>
        <w:tc>
          <w:tcPr>
            <w:tcW w:w="689" w:type="pct"/>
            <w:hideMark/>
          </w:tcPr>
          <w:p w14:paraId="3AD1AD79" w14:textId="77777777" w:rsidR="007E384E" w:rsidRPr="00C17027" w:rsidRDefault="00311DE4">
            <w:pPr>
              <w:spacing w:after="160" w:line="256" w:lineRule="auto"/>
              <w:rPr>
                <w:rFonts w:ascii="Arial" w:hAnsi="Arial" w:cs="Arial"/>
                <w:b/>
                <w:sz w:val="20"/>
                <w:szCs w:val="20"/>
                <w:lang w:val="en-GB"/>
              </w:rPr>
            </w:pPr>
            <w:r w:rsidRPr="00C17027">
              <w:rPr>
                <w:rFonts w:ascii="Arial" w:eastAsia="Calibri" w:hAnsi="Arial" w:cs="Arial"/>
                <w:b/>
                <w:kern w:val="2"/>
                <w:sz w:val="20"/>
                <w:szCs w:val="20"/>
                <w:lang w:val="en-GB"/>
              </w:rPr>
              <w:t>Author’s Feedback</w:t>
            </w:r>
            <w:r w:rsidRPr="00C17027">
              <w:rPr>
                <w:rFonts w:ascii="Arial" w:eastAsia="Calibri" w:hAnsi="Arial" w:cs="Arial"/>
                <w:kern w:val="2"/>
                <w:sz w:val="20"/>
                <w:szCs w:val="20"/>
                <w:lang w:val="en-GB"/>
              </w:rPr>
              <w:t xml:space="preserve"> </w:t>
            </w:r>
          </w:p>
        </w:tc>
      </w:tr>
      <w:tr w:rsidR="007E384E" w:rsidRPr="00C17027" w14:paraId="18BBA2B4" w14:textId="77777777" w:rsidTr="00B65778">
        <w:trPr>
          <w:trHeight w:val="20"/>
          <w:jc w:val="center"/>
        </w:trPr>
        <w:tc>
          <w:tcPr>
            <w:tcW w:w="1666" w:type="pct"/>
            <w:noWrap/>
            <w:hideMark/>
          </w:tcPr>
          <w:p w14:paraId="1E615844" w14:textId="77777777" w:rsidR="007E384E" w:rsidRPr="00C17027" w:rsidRDefault="00311DE4">
            <w:pPr>
              <w:rPr>
                <w:rFonts w:ascii="Arial" w:hAnsi="Arial" w:cs="Arial"/>
                <w:b/>
                <w:bCs/>
                <w:sz w:val="20"/>
                <w:szCs w:val="20"/>
                <w:lang w:val="en-GB"/>
              </w:rPr>
            </w:pPr>
            <w:r w:rsidRPr="00C17027">
              <w:rPr>
                <w:rFonts w:ascii="Arial" w:hAnsi="Arial" w:cs="Arial"/>
                <w:b/>
                <w:bCs/>
                <w:sz w:val="20"/>
                <w:szCs w:val="20"/>
                <w:lang w:val="en-GB"/>
              </w:rPr>
              <w:t xml:space="preserve">1. Is the title clear and appropriate for the study? </w:t>
            </w:r>
          </w:p>
          <w:p w14:paraId="1783DFEE" w14:textId="77777777" w:rsidR="007E384E" w:rsidRPr="00C17027" w:rsidRDefault="00311DE4">
            <w:pPr>
              <w:rPr>
                <w:rFonts w:ascii="Arial" w:hAnsi="Arial" w:cs="Arial"/>
                <w:color w:val="404040"/>
                <w:sz w:val="20"/>
                <w:szCs w:val="20"/>
                <w:shd w:val="clear" w:color="auto" w:fill="FFFFFF"/>
                <w:lang w:val="en-GB"/>
              </w:rPr>
            </w:pPr>
            <w:r w:rsidRPr="00C17027">
              <w:rPr>
                <w:rFonts w:ascii="Arial" w:hAnsi="Arial" w:cs="Arial"/>
                <w:color w:val="404040"/>
                <w:sz w:val="20"/>
                <w:szCs w:val="20"/>
                <w:shd w:val="clear" w:color="auto" w:fill="FFFFFF"/>
                <w:lang w:val="en-GB"/>
              </w:rPr>
              <w:t xml:space="preserve">Rating Scale: </w:t>
            </w:r>
          </w:p>
          <w:p w14:paraId="39325BEB" w14:textId="77777777" w:rsidR="007E384E" w:rsidRPr="00C17027" w:rsidRDefault="00311DE4">
            <w:pPr>
              <w:rPr>
                <w:rFonts w:ascii="Arial" w:hAnsi="Arial" w:cs="Arial"/>
                <w:sz w:val="20"/>
                <w:szCs w:val="20"/>
                <w:u w:val="single"/>
                <w:lang w:val="en-GB"/>
              </w:rPr>
            </w:pPr>
            <w:r w:rsidRPr="00C17027">
              <w:rPr>
                <w:rFonts w:ascii="Arial" w:hAnsi="Arial" w:cs="Arial"/>
                <w:color w:val="404040"/>
                <w:sz w:val="20"/>
                <w:szCs w:val="20"/>
                <w:shd w:val="clear" w:color="auto" w:fill="FFFFFF"/>
                <w:lang w:val="en-GB"/>
              </w:rPr>
              <w:t>5 = Excellent 4 = Good 3 = Satisfactory 2 = Needs Improvement 1 = Poor N/A = Not Applicable</w:t>
            </w:r>
          </w:p>
        </w:tc>
        <w:tc>
          <w:tcPr>
            <w:tcW w:w="2644" w:type="pct"/>
          </w:tcPr>
          <w:p w14:paraId="2AC215B4" w14:textId="77777777" w:rsidR="007E384E" w:rsidRPr="00C17027" w:rsidRDefault="00141464">
            <w:pPr>
              <w:ind w:left="360"/>
              <w:rPr>
                <w:rFonts w:ascii="Arial" w:hAnsi="Arial" w:cs="Arial"/>
                <w:b/>
                <w:bCs/>
                <w:sz w:val="20"/>
                <w:szCs w:val="20"/>
                <w:lang w:val="en-GB"/>
              </w:rPr>
            </w:pPr>
            <w:r w:rsidRPr="00C17027">
              <w:rPr>
                <w:rFonts w:ascii="Arial" w:hAnsi="Arial" w:cs="Arial"/>
                <w:b/>
                <w:bCs/>
                <w:sz w:val="20"/>
                <w:szCs w:val="20"/>
                <w:rtl/>
                <w:lang w:val="en-GB"/>
              </w:rPr>
              <w:t>5</w:t>
            </w:r>
          </w:p>
          <w:p w14:paraId="5BFD1186" w14:textId="72C76458" w:rsidR="00345756" w:rsidRPr="00C17027" w:rsidRDefault="00345756">
            <w:pPr>
              <w:ind w:left="360"/>
              <w:rPr>
                <w:rFonts w:ascii="Arial" w:hAnsi="Arial" w:cs="Arial"/>
                <w:b/>
                <w:bCs/>
                <w:sz w:val="20"/>
                <w:szCs w:val="20"/>
                <w:lang w:val="en-GB"/>
              </w:rPr>
            </w:pPr>
            <w:r w:rsidRPr="00C17027">
              <w:rPr>
                <w:rFonts w:ascii="Arial" w:eastAsia="MS Mincho" w:hAnsi="Arial" w:cs="Arial"/>
                <w:bCs/>
                <w:sz w:val="20"/>
                <w:szCs w:val="20"/>
                <w:lang w:val="en-GB"/>
              </w:rPr>
              <w:t>The generalized squaring rule using anti-Gaussian techniques is highly efficient and accurate. It clearly defines the mathematical methodology of anti-Gaussian techniques and the specific result of the research which is a generalized squaring rule</w:t>
            </w:r>
          </w:p>
        </w:tc>
        <w:tc>
          <w:tcPr>
            <w:tcW w:w="689" w:type="pct"/>
          </w:tcPr>
          <w:p w14:paraId="169622A4" w14:textId="5A4DA369" w:rsidR="007E384E" w:rsidRPr="00C17027" w:rsidRDefault="007E384E">
            <w:pPr>
              <w:keepNext/>
              <w:outlineLvl w:val="1"/>
              <w:rPr>
                <w:rFonts w:ascii="Arial" w:eastAsia="MS Mincho" w:hAnsi="Arial" w:cs="Arial"/>
                <w:bCs/>
                <w:sz w:val="20"/>
                <w:szCs w:val="20"/>
                <w:lang w:val="en-GB"/>
              </w:rPr>
            </w:pPr>
          </w:p>
        </w:tc>
      </w:tr>
      <w:tr w:rsidR="007E384E" w:rsidRPr="00C17027" w14:paraId="745BF636" w14:textId="77777777" w:rsidTr="00B65778">
        <w:trPr>
          <w:trHeight w:val="20"/>
          <w:jc w:val="center"/>
        </w:trPr>
        <w:tc>
          <w:tcPr>
            <w:tcW w:w="1666" w:type="pct"/>
            <w:noWrap/>
            <w:hideMark/>
          </w:tcPr>
          <w:p w14:paraId="715DA4E9" w14:textId="77777777" w:rsidR="007E384E" w:rsidRPr="00C17027" w:rsidRDefault="00311DE4">
            <w:pPr>
              <w:keepNext/>
              <w:outlineLvl w:val="1"/>
              <w:rPr>
                <w:rFonts w:ascii="Arial" w:eastAsia="MS Mincho" w:hAnsi="Arial" w:cs="Arial"/>
                <w:b/>
                <w:bCs/>
                <w:sz w:val="20"/>
                <w:szCs w:val="20"/>
                <w:lang w:val="en-GB"/>
              </w:rPr>
            </w:pPr>
            <w:r w:rsidRPr="00C17027">
              <w:rPr>
                <w:rFonts w:ascii="Arial" w:eastAsia="MS Mincho" w:hAnsi="Arial" w:cs="Arial"/>
                <w:b/>
                <w:bCs/>
                <w:sz w:val="20"/>
                <w:szCs w:val="20"/>
                <w:lang w:val="en-GB"/>
              </w:rPr>
              <w:t xml:space="preserve">2. Is the abstract of the article comprehensive? </w:t>
            </w:r>
          </w:p>
          <w:p w14:paraId="308C7076" w14:textId="77777777" w:rsidR="007E384E" w:rsidRPr="00C17027" w:rsidRDefault="00311DE4">
            <w:pPr>
              <w:rPr>
                <w:rFonts w:ascii="Arial" w:hAnsi="Arial" w:cs="Arial"/>
                <w:color w:val="404040"/>
                <w:sz w:val="20"/>
                <w:szCs w:val="20"/>
                <w:shd w:val="clear" w:color="auto" w:fill="FFFFFF"/>
                <w:lang w:val="en-GB"/>
              </w:rPr>
            </w:pPr>
            <w:r w:rsidRPr="00C17027">
              <w:rPr>
                <w:rFonts w:ascii="Arial" w:hAnsi="Arial" w:cs="Arial"/>
                <w:color w:val="404040"/>
                <w:sz w:val="20"/>
                <w:szCs w:val="20"/>
                <w:shd w:val="clear" w:color="auto" w:fill="FFFFFF"/>
                <w:lang w:val="en-GB"/>
              </w:rPr>
              <w:t xml:space="preserve">Rating Scale: </w:t>
            </w:r>
          </w:p>
          <w:p w14:paraId="16C3356A" w14:textId="77777777" w:rsidR="007E384E" w:rsidRPr="00C17027" w:rsidRDefault="00311DE4">
            <w:pPr>
              <w:rPr>
                <w:rFonts w:ascii="Arial" w:hAnsi="Arial" w:cs="Arial"/>
                <w:sz w:val="20"/>
                <w:szCs w:val="20"/>
                <w:lang w:val="en-GB"/>
              </w:rPr>
            </w:pPr>
            <w:r w:rsidRPr="00C17027">
              <w:rPr>
                <w:rFonts w:ascii="Arial" w:hAnsi="Arial" w:cs="Arial"/>
                <w:color w:val="404040"/>
                <w:sz w:val="20"/>
                <w:szCs w:val="20"/>
                <w:shd w:val="clear" w:color="auto" w:fill="FFFFFF"/>
                <w:lang w:val="en-GB"/>
              </w:rPr>
              <w:t>5 = Excellent 4 = Good 3 = Satisfactory 2 = Needs Improvement 1 = Poor N/A = Not Applicable</w:t>
            </w:r>
          </w:p>
        </w:tc>
        <w:tc>
          <w:tcPr>
            <w:tcW w:w="2644" w:type="pct"/>
          </w:tcPr>
          <w:p w14:paraId="33C83640" w14:textId="77777777" w:rsidR="007E384E" w:rsidRPr="00C17027" w:rsidRDefault="00141464">
            <w:pPr>
              <w:ind w:left="360"/>
              <w:rPr>
                <w:rFonts w:ascii="Arial" w:hAnsi="Arial" w:cs="Arial"/>
                <w:b/>
                <w:bCs/>
                <w:sz w:val="20"/>
                <w:szCs w:val="20"/>
                <w:lang w:val="en-GB"/>
              </w:rPr>
            </w:pPr>
            <w:r w:rsidRPr="00C17027">
              <w:rPr>
                <w:rFonts w:ascii="Arial" w:hAnsi="Arial" w:cs="Arial"/>
                <w:b/>
                <w:bCs/>
                <w:sz w:val="20"/>
                <w:szCs w:val="20"/>
                <w:rtl/>
                <w:lang w:val="en-GB"/>
              </w:rPr>
              <w:t>5</w:t>
            </w:r>
          </w:p>
          <w:p w14:paraId="59E4CF1D" w14:textId="22D616F5" w:rsidR="00345756" w:rsidRPr="00C17027" w:rsidRDefault="00345756">
            <w:pPr>
              <w:ind w:left="360"/>
              <w:rPr>
                <w:rFonts w:ascii="Arial" w:hAnsi="Arial" w:cs="Arial"/>
                <w:b/>
                <w:bCs/>
                <w:sz w:val="20"/>
                <w:szCs w:val="20"/>
                <w:lang w:val="en-GB"/>
              </w:rPr>
            </w:pPr>
            <w:r w:rsidRPr="00C17027">
              <w:rPr>
                <w:rFonts w:ascii="Arial" w:eastAsia="MS Mincho" w:hAnsi="Arial" w:cs="Arial"/>
                <w:bCs/>
                <w:sz w:val="20"/>
                <w:szCs w:val="20"/>
                <w:lang w:val="en-GB"/>
              </w:rPr>
              <w:t xml:space="preserve">It introduces the novel rule </w:t>
            </w:r>
            <m:oMath>
              <m:sSub>
                <m:sSubPr>
                  <m:ctrlPr>
                    <w:rPr>
                      <w:rFonts w:ascii="Cambria Math" w:hAnsi="Cambria Math" w:cs="Arial"/>
                      <w:i/>
                      <w:sz w:val="20"/>
                      <w:szCs w:val="20"/>
                    </w:rPr>
                  </m:ctrlPr>
                </m:sSubPr>
                <m:e>
                  <m:r>
                    <w:rPr>
                      <w:rFonts w:ascii="Cambria Math" w:hAnsi="Cambria Math" w:cs="Arial"/>
                      <w:sz w:val="20"/>
                      <w:szCs w:val="20"/>
                    </w:rPr>
                    <m:t>SM</m:t>
                  </m:r>
                </m:e>
                <m:sub>
                  <m:r>
                    <w:rPr>
                      <w:rFonts w:ascii="Cambria Math" w:hAnsi="Cambria Math" w:cs="Arial"/>
                      <w:sz w:val="20"/>
                      <w:szCs w:val="20"/>
                    </w:rPr>
                    <m:t>15</m:t>
                  </m:r>
                </m:sub>
              </m:sSub>
              <m:r>
                <w:rPr>
                  <w:rFonts w:ascii="Cambria Math" w:eastAsiaTheme="minorEastAsia" w:hAnsi="Cambria Math" w:cs="Arial"/>
                  <w:sz w:val="20"/>
                  <w:szCs w:val="20"/>
                </w:rPr>
                <m:t>(f)</m:t>
              </m:r>
            </m:oMath>
            <w:r w:rsidRPr="00C17027">
              <w:rPr>
                <w:rFonts w:ascii="Arial" w:eastAsia="MS Mincho" w:hAnsi="Arial" w:cs="Arial"/>
                <w:bCs/>
                <w:sz w:val="20"/>
                <w:szCs w:val="20"/>
                <w:lang w:val="en-GB"/>
              </w:rPr>
              <w:t>mentions the convergence and error analysis states the primary finding regarding higher accuracy and confirms that theoretical claims are backed by numerical experiments</w:t>
            </w:r>
            <w:r w:rsidRPr="00C17027">
              <w:rPr>
                <w:rFonts w:ascii="Arial" w:eastAsia="MS Mincho" w:hAnsi="Arial" w:cs="Arial"/>
                <w:bCs/>
                <w:sz w:val="20"/>
                <w:szCs w:val="20"/>
              </w:rPr>
              <w:t>.</w:t>
            </w:r>
          </w:p>
        </w:tc>
        <w:tc>
          <w:tcPr>
            <w:tcW w:w="689" w:type="pct"/>
          </w:tcPr>
          <w:p w14:paraId="39EA80CC" w14:textId="212B3A76" w:rsidR="007E384E" w:rsidRPr="00C17027" w:rsidRDefault="007E384E">
            <w:pPr>
              <w:keepNext/>
              <w:outlineLvl w:val="1"/>
              <w:rPr>
                <w:rFonts w:ascii="Arial" w:eastAsia="MS Mincho" w:hAnsi="Arial" w:cs="Arial"/>
                <w:bCs/>
                <w:sz w:val="20"/>
                <w:szCs w:val="20"/>
              </w:rPr>
            </w:pPr>
          </w:p>
        </w:tc>
      </w:tr>
      <w:tr w:rsidR="007E384E" w:rsidRPr="00C17027" w14:paraId="567D2F81" w14:textId="77777777" w:rsidTr="00B65778">
        <w:trPr>
          <w:trHeight w:val="20"/>
          <w:jc w:val="center"/>
        </w:trPr>
        <w:tc>
          <w:tcPr>
            <w:tcW w:w="1666" w:type="pct"/>
            <w:noWrap/>
            <w:hideMark/>
          </w:tcPr>
          <w:p w14:paraId="0701693C" w14:textId="77777777" w:rsidR="007E384E" w:rsidRPr="00C17027" w:rsidRDefault="00311DE4">
            <w:pPr>
              <w:keepNext/>
              <w:outlineLvl w:val="1"/>
              <w:rPr>
                <w:rFonts w:ascii="Arial" w:eastAsia="MS Mincho" w:hAnsi="Arial" w:cs="Arial"/>
                <w:b/>
                <w:bCs/>
                <w:sz w:val="20"/>
                <w:szCs w:val="20"/>
                <w:lang w:val="en-GB" w:eastAsia="x-none"/>
              </w:rPr>
            </w:pPr>
            <w:r w:rsidRPr="00C17027">
              <w:rPr>
                <w:rFonts w:ascii="Arial" w:eastAsia="MS Mincho" w:hAnsi="Arial" w:cs="Arial"/>
                <w:b/>
                <w:bCs/>
                <w:sz w:val="20"/>
                <w:szCs w:val="20"/>
                <w:lang w:val="en-GB" w:eastAsia="x-none"/>
              </w:rPr>
              <w:t>3. Are the keywords appropriate and useful?</w:t>
            </w:r>
          </w:p>
          <w:p w14:paraId="5C2EE0C3" w14:textId="77777777" w:rsidR="007E384E" w:rsidRPr="00C17027" w:rsidRDefault="00311DE4">
            <w:pPr>
              <w:rPr>
                <w:rFonts w:ascii="Arial" w:hAnsi="Arial" w:cs="Arial"/>
                <w:color w:val="404040"/>
                <w:sz w:val="20"/>
                <w:szCs w:val="20"/>
                <w:shd w:val="clear" w:color="auto" w:fill="FFFFFF"/>
                <w:lang w:val="en-GB"/>
              </w:rPr>
            </w:pPr>
            <w:r w:rsidRPr="00C17027">
              <w:rPr>
                <w:rFonts w:ascii="Arial" w:hAnsi="Arial" w:cs="Arial"/>
                <w:color w:val="404040"/>
                <w:sz w:val="20"/>
                <w:szCs w:val="20"/>
                <w:shd w:val="clear" w:color="auto" w:fill="FFFFFF"/>
                <w:lang w:val="en-GB"/>
              </w:rPr>
              <w:t xml:space="preserve">Rating Scale: </w:t>
            </w:r>
          </w:p>
          <w:p w14:paraId="0D717B00" w14:textId="77777777" w:rsidR="007E384E" w:rsidRPr="00C17027" w:rsidRDefault="00311DE4">
            <w:pPr>
              <w:rPr>
                <w:rFonts w:ascii="Arial" w:hAnsi="Arial" w:cs="Arial"/>
                <w:sz w:val="20"/>
                <w:szCs w:val="20"/>
                <w:lang w:val="en-GB" w:eastAsia="x-none"/>
              </w:rPr>
            </w:pPr>
            <w:r w:rsidRPr="00C17027">
              <w:rPr>
                <w:rFonts w:ascii="Arial" w:hAnsi="Arial" w:cs="Arial"/>
                <w:color w:val="404040"/>
                <w:sz w:val="20"/>
                <w:szCs w:val="20"/>
                <w:shd w:val="clear" w:color="auto" w:fill="FFFFFF"/>
                <w:lang w:val="en-GB"/>
              </w:rPr>
              <w:t>5 = Excellent 4 = Good 3 = Satisfactory 2 = Needs Improvement 1 = Poor N/A = Not Applicable</w:t>
            </w:r>
          </w:p>
        </w:tc>
        <w:tc>
          <w:tcPr>
            <w:tcW w:w="2644" w:type="pct"/>
          </w:tcPr>
          <w:p w14:paraId="1B30427A" w14:textId="77777777" w:rsidR="007E384E" w:rsidRPr="00C17027" w:rsidRDefault="005C0770">
            <w:pPr>
              <w:ind w:left="360"/>
              <w:rPr>
                <w:rFonts w:ascii="Arial" w:hAnsi="Arial" w:cs="Arial"/>
                <w:b/>
                <w:bCs/>
                <w:sz w:val="20"/>
                <w:szCs w:val="20"/>
                <w:lang w:val="en-GB"/>
              </w:rPr>
            </w:pPr>
            <w:r w:rsidRPr="00C17027">
              <w:rPr>
                <w:rFonts w:ascii="Arial" w:hAnsi="Arial" w:cs="Arial"/>
                <w:b/>
                <w:bCs/>
                <w:sz w:val="20"/>
                <w:szCs w:val="20"/>
                <w:lang w:val="en-GB"/>
              </w:rPr>
              <w:t>5</w:t>
            </w:r>
          </w:p>
          <w:p w14:paraId="55886087" w14:textId="257301C9" w:rsidR="00345756" w:rsidRPr="00C17027" w:rsidRDefault="00345756">
            <w:pPr>
              <w:ind w:left="360"/>
              <w:rPr>
                <w:rFonts w:ascii="Arial" w:hAnsi="Arial" w:cs="Arial"/>
                <w:b/>
                <w:bCs/>
                <w:sz w:val="20"/>
                <w:szCs w:val="20"/>
                <w:lang w:val="en-GB"/>
              </w:rPr>
            </w:pPr>
            <w:r w:rsidRPr="00C17027">
              <w:rPr>
                <w:rFonts w:ascii="Arial" w:eastAsia="MS Mincho" w:hAnsi="Arial" w:cs="Arial"/>
                <w:bCs/>
                <w:sz w:val="20"/>
                <w:szCs w:val="20"/>
                <w:lang w:val="en-GB"/>
              </w:rPr>
              <w:t>Terms like Anti-Gauss 3-point rule, Anti-</w:t>
            </w:r>
            <w:proofErr w:type="spellStart"/>
            <w:r w:rsidRPr="00C17027">
              <w:rPr>
                <w:rFonts w:ascii="Arial" w:eastAsia="MS Mincho" w:hAnsi="Arial" w:cs="Arial"/>
                <w:bCs/>
                <w:sz w:val="20"/>
                <w:szCs w:val="20"/>
                <w:lang w:val="en-GB"/>
              </w:rPr>
              <w:t>Lobatto</w:t>
            </w:r>
            <w:proofErr w:type="spellEnd"/>
            <w:r w:rsidRPr="00C17027">
              <w:rPr>
                <w:rFonts w:ascii="Arial" w:eastAsia="MS Mincho" w:hAnsi="Arial" w:cs="Arial"/>
                <w:bCs/>
                <w:sz w:val="20"/>
                <w:szCs w:val="20"/>
                <w:lang w:val="en-GB"/>
              </w:rPr>
              <w:t xml:space="preserve"> 4-point rule and Error Analysis perfectly align with the mathematical operations performed in the text.</w:t>
            </w:r>
          </w:p>
        </w:tc>
        <w:tc>
          <w:tcPr>
            <w:tcW w:w="689" w:type="pct"/>
          </w:tcPr>
          <w:p w14:paraId="6BEBF75A" w14:textId="1E676458" w:rsidR="007E384E" w:rsidRPr="00C17027" w:rsidRDefault="007E384E">
            <w:pPr>
              <w:keepNext/>
              <w:outlineLvl w:val="1"/>
              <w:rPr>
                <w:rFonts w:ascii="Arial" w:eastAsia="MS Mincho" w:hAnsi="Arial" w:cs="Arial"/>
                <w:bCs/>
                <w:sz w:val="20"/>
                <w:szCs w:val="20"/>
                <w:lang w:val="en-GB"/>
              </w:rPr>
            </w:pPr>
          </w:p>
        </w:tc>
      </w:tr>
      <w:tr w:rsidR="007E384E" w:rsidRPr="00C17027" w14:paraId="1D488F51" w14:textId="77777777" w:rsidTr="00B65778">
        <w:trPr>
          <w:trHeight w:val="20"/>
          <w:jc w:val="center"/>
        </w:trPr>
        <w:tc>
          <w:tcPr>
            <w:tcW w:w="1666" w:type="pct"/>
            <w:noWrap/>
            <w:hideMark/>
          </w:tcPr>
          <w:p w14:paraId="1B9452CA" w14:textId="77777777" w:rsidR="007E384E" w:rsidRPr="00C17027" w:rsidRDefault="00311DE4">
            <w:pPr>
              <w:keepNext/>
              <w:outlineLvl w:val="1"/>
              <w:rPr>
                <w:rFonts w:ascii="Arial" w:eastAsia="MS Mincho" w:hAnsi="Arial" w:cs="Arial"/>
                <w:b/>
                <w:bCs/>
                <w:sz w:val="20"/>
                <w:szCs w:val="20"/>
                <w:lang w:val="en-GB" w:eastAsia="x-none"/>
              </w:rPr>
            </w:pPr>
            <w:r w:rsidRPr="00C17027">
              <w:rPr>
                <w:rFonts w:ascii="Arial" w:eastAsia="MS Mincho" w:hAnsi="Arial" w:cs="Arial"/>
                <w:b/>
                <w:bCs/>
                <w:sz w:val="20"/>
                <w:szCs w:val="20"/>
                <w:lang w:val="en-GB" w:eastAsia="x-none"/>
              </w:rPr>
              <w:t>4. Is the background information of the paper sufficient and well organized?</w:t>
            </w:r>
          </w:p>
          <w:p w14:paraId="2438CA94" w14:textId="77777777" w:rsidR="007E384E" w:rsidRPr="00C17027" w:rsidRDefault="00311DE4">
            <w:pPr>
              <w:rPr>
                <w:rFonts w:ascii="Arial" w:hAnsi="Arial" w:cs="Arial"/>
                <w:color w:val="404040"/>
                <w:sz w:val="20"/>
                <w:szCs w:val="20"/>
                <w:shd w:val="clear" w:color="auto" w:fill="FFFFFF"/>
                <w:lang w:val="en-GB"/>
              </w:rPr>
            </w:pPr>
            <w:r w:rsidRPr="00C17027">
              <w:rPr>
                <w:rFonts w:ascii="Arial" w:hAnsi="Arial" w:cs="Arial"/>
                <w:color w:val="404040"/>
                <w:sz w:val="20"/>
                <w:szCs w:val="20"/>
                <w:shd w:val="clear" w:color="auto" w:fill="FFFFFF"/>
                <w:lang w:val="en-GB"/>
              </w:rPr>
              <w:t xml:space="preserve">Rating Scale: </w:t>
            </w:r>
          </w:p>
          <w:p w14:paraId="31C05646" w14:textId="77777777" w:rsidR="007E384E" w:rsidRPr="00C17027" w:rsidRDefault="00311DE4">
            <w:pPr>
              <w:rPr>
                <w:rFonts w:ascii="Arial" w:hAnsi="Arial" w:cs="Arial"/>
                <w:sz w:val="20"/>
                <w:szCs w:val="20"/>
                <w:lang w:val="en-GB" w:eastAsia="x-none"/>
              </w:rPr>
            </w:pPr>
            <w:r w:rsidRPr="00C17027">
              <w:rPr>
                <w:rFonts w:ascii="Arial" w:hAnsi="Arial" w:cs="Arial"/>
                <w:color w:val="404040"/>
                <w:sz w:val="20"/>
                <w:szCs w:val="20"/>
                <w:shd w:val="clear" w:color="auto" w:fill="FFFFFF"/>
                <w:lang w:val="en-GB"/>
              </w:rPr>
              <w:t>5 = Excellent 4 = Good 3 = Satisfactory 2 = Needs Improvement 1 = Poor N/A = Not Applicable</w:t>
            </w:r>
          </w:p>
        </w:tc>
        <w:tc>
          <w:tcPr>
            <w:tcW w:w="2644" w:type="pct"/>
          </w:tcPr>
          <w:p w14:paraId="034CA6B6" w14:textId="77777777" w:rsidR="007E384E" w:rsidRPr="00C17027" w:rsidRDefault="0037488F">
            <w:pPr>
              <w:ind w:left="360"/>
              <w:rPr>
                <w:rFonts w:ascii="Arial" w:hAnsi="Arial" w:cs="Arial"/>
                <w:b/>
                <w:bCs/>
                <w:sz w:val="20"/>
                <w:szCs w:val="20"/>
                <w:lang w:val="en-GB"/>
              </w:rPr>
            </w:pPr>
            <w:r w:rsidRPr="00C17027">
              <w:rPr>
                <w:rFonts w:ascii="Arial" w:hAnsi="Arial" w:cs="Arial"/>
                <w:b/>
                <w:bCs/>
                <w:sz w:val="20"/>
                <w:szCs w:val="20"/>
                <w:lang w:val="en-GB"/>
              </w:rPr>
              <w:t>5</w:t>
            </w:r>
          </w:p>
          <w:p w14:paraId="3ABA9259" w14:textId="2EA43696" w:rsidR="004D0B0C" w:rsidRPr="00C17027" w:rsidRDefault="004D0B0C">
            <w:pPr>
              <w:ind w:left="360"/>
              <w:rPr>
                <w:rFonts w:ascii="Arial" w:hAnsi="Arial" w:cs="Arial"/>
                <w:b/>
                <w:bCs/>
                <w:sz w:val="20"/>
                <w:szCs w:val="20"/>
                <w:lang w:val="en-GB"/>
              </w:rPr>
            </w:pPr>
            <w:r w:rsidRPr="00C17027">
              <w:rPr>
                <w:rFonts w:ascii="Arial" w:eastAsia="MS Mincho" w:hAnsi="Arial" w:cs="Arial"/>
                <w:bCs/>
                <w:sz w:val="20"/>
                <w:szCs w:val="20"/>
                <w:lang w:val="en-GB"/>
              </w:rPr>
              <w:t xml:space="preserve">The introduction provides a </w:t>
            </w:r>
            <w:proofErr w:type="spellStart"/>
            <w:r w:rsidRPr="00C17027">
              <w:rPr>
                <w:rFonts w:ascii="Arial" w:eastAsia="MS Mincho" w:hAnsi="Arial" w:cs="Arial"/>
                <w:bCs/>
                <w:sz w:val="20"/>
                <w:szCs w:val="20"/>
                <w:lang w:val="en-GB"/>
              </w:rPr>
              <w:t>well organized</w:t>
            </w:r>
            <w:proofErr w:type="spellEnd"/>
            <w:r w:rsidRPr="00C17027">
              <w:rPr>
                <w:rFonts w:ascii="Arial" w:eastAsia="MS Mincho" w:hAnsi="Arial" w:cs="Arial"/>
                <w:bCs/>
                <w:sz w:val="20"/>
                <w:szCs w:val="20"/>
                <w:lang w:val="en-GB"/>
              </w:rPr>
              <w:t xml:space="preserve"> sequence from general concepts to specific gaps. It begins with the fundamental role of numerical integration then moves to the specific contributions of Mohanty and Dash regarding generalized squaring and effectively incorporates Lowry's anti-Gaussian concept to pave the way for the present study.</w:t>
            </w:r>
          </w:p>
        </w:tc>
        <w:tc>
          <w:tcPr>
            <w:tcW w:w="689" w:type="pct"/>
          </w:tcPr>
          <w:p w14:paraId="228D2EC9" w14:textId="0C36C86D" w:rsidR="007E384E" w:rsidRPr="00C17027" w:rsidRDefault="007E384E">
            <w:pPr>
              <w:keepNext/>
              <w:outlineLvl w:val="1"/>
              <w:rPr>
                <w:rFonts w:ascii="Arial" w:eastAsia="MS Mincho" w:hAnsi="Arial" w:cs="Arial"/>
                <w:bCs/>
                <w:sz w:val="20"/>
                <w:szCs w:val="20"/>
                <w:lang w:val="en-GB"/>
              </w:rPr>
            </w:pPr>
          </w:p>
        </w:tc>
      </w:tr>
      <w:tr w:rsidR="007E384E" w:rsidRPr="00C17027" w14:paraId="552ADAB4" w14:textId="77777777" w:rsidTr="00B65778">
        <w:trPr>
          <w:trHeight w:val="20"/>
          <w:jc w:val="center"/>
        </w:trPr>
        <w:tc>
          <w:tcPr>
            <w:tcW w:w="1666" w:type="pct"/>
            <w:noWrap/>
            <w:hideMark/>
          </w:tcPr>
          <w:p w14:paraId="03AED60B" w14:textId="77777777" w:rsidR="007E384E" w:rsidRPr="00C17027" w:rsidRDefault="00311DE4">
            <w:pPr>
              <w:keepNext/>
              <w:outlineLvl w:val="1"/>
              <w:rPr>
                <w:rFonts w:ascii="Arial" w:eastAsia="MS Mincho" w:hAnsi="Arial" w:cs="Arial"/>
                <w:b/>
                <w:bCs/>
                <w:sz w:val="20"/>
                <w:szCs w:val="20"/>
                <w:lang w:val="en-GB" w:eastAsia="x-none"/>
              </w:rPr>
            </w:pPr>
            <w:r w:rsidRPr="00C17027">
              <w:rPr>
                <w:rFonts w:ascii="Arial" w:eastAsia="MS Mincho" w:hAnsi="Arial" w:cs="Arial"/>
                <w:b/>
                <w:bCs/>
                <w:sz w:val="20"/>
                <w:szCs w:val="20"/>
                <w:lang w:val="en-GB" w:eastAsia="x-none"/>
              </w:rPr>
              <w:t>5. Are the research objectives/hypotheses clearly stated?</w:t>
            </w:r>
          </w:p>
          <w:p w14:paraId="65561FA3" w14:textId="77777777" w:rsidR="007E384E" w:rsidRPr="00C17027" w:rsidRDefault="00311DE4">
            <w:pPr>
              <w:rPr>
                <w:rFonts w:ascii="Arial" w:hAnsi="Arial" w:cs="Arial"/>
                <w:color w:val="404040"/>
                <w:sz w:val="20"/>
                <w:szCs w:val="20"/>
                <w:shd w:val="clear" w:color="auto" w:fill="FFFFFF"/>
                <w:lang w:val="en-GB"/>
              </w:rPr>
            </w:pPr>
            <w:r w:rsidRPr="00C17027">
              <w:rPr>
                <w:rFonts w:ascii="Arial" w:hAnsi="Arial" w:cs="Arial"/>
                <w:color w:val="404040"/>
                <w:sz w:val="20"/>
                <w:szCs w:val="20"/>
                <w:shd w:val="clear" w:color="auto" w:fill="FFFFFF"/>
                <w:lang w:val="en-GB"/>
              </w:rPr>
              <w:t xml:space="preserve">Rating Scale: </w:t>
            </w:r>
          </w:p>
          <w:p w14:paraId="3408A089" w14:textId="77777777" w:rsidR="007E384E" w:rsidRPr="00C17027" w:rsidRDefault="00311DE4">
            <w:pPr>
              <w:rPr>
                <w:rFonts w:ascii="Arial" w:hAnsi="Arial" w:cs="Arial"/>
                <w:sz w:val="20"/>
                <w:szCs w:val="20"/>
                <w:lang w:val="en-GB" w:eastAsia="x-none"/>
              </w:rPr>
            </w:pPr>
            <w:r w:rsidRPr="00C17027">
              <w:rPr>
                <w:rFonts w:ascii="Arial" w:hAnsi="Arial" w:cs="Arial"/>
                <w:color w:val="404040"/>
                <w:sz w:val="20"/>
                <w:szCs w:val="20"/>
                <w:shd w:val="clear" w:color="auto" w:fill="FFFFFF"/>
                <w:lang w:val="en-GB"/>
              </w:rPr>
              <w:t>5 = Excellent 4 = Good 3 = Satisfactory 2 = Needs Improvement 1 = Poor N/A = Not Applicable</w:t>
            </w:r>
          </w:p>
        </w:tc>
        <w:tc>
          <w:tcPr>
            <w:tcW w:w="2644" w:type="pct"/>
          </w:tcPr>
          <w:p w14:paraId="0198C2C0" w14:textId="77777777" w:rsidR="007E384E" w:rsidRPr="00C17027" w:rsidRDefault="006253ED">
            <w:pPr>
              <w:ind w:left="360"/>
              <w:rPr>
                <w:rFonts w:ascii="Arial" w:hAnsi="Arial" w:cs="Arial"/>
                <w:b/>
                <w:bCs/>
                <w:sz w:val="20"/>
                <w:szCs w:val="20"/>
                <w:lang w:val="en-GB"/>
              </w:rPr>
            </w:pPr>
            <w:r w:rsidRPr="00C17027">
              <w:rPr>
                <w:rFonts w:ascii="Arial" w:hAnsi="Arial" w:cs="Arial"/>
                <w:b/>
                <w:bCs/>
                <w:sz w:val="20"/>
                <w:szCs w:val="20"/>
                <w:lang w:val="en-GB"/>
              </w:rPr>
              <w:t>5</w:t>
            </w:r>
          </w:p>
          <w:p w14:paraId="4A0365F6" w14:textId="25DFB5D3" w:rsidR="006253ED" w:rsidRPr="00C17027" w:rsidRDefault="006253ED">
            <w:pPr>
              <w:ind w:left="360"/>
              <w:rPr>
                <w:rFonts w:ascii="Arial" w:hAnsi="Arial" w:cs="Arial"/>
                <w:sz w:val="20"/>
                <w:szCs w:val="20"/>
                <w:lang w:val="en-GB"/>
              </w:rPr>
            </w:pPr>
            <w:r w:rsidRPr="00C17027">
              <w:rPr>
                <w:rFonts w:ascii="Arial" w:hAnsi="Arial" w:cs="Arial"/>
                <w:sz w:val="20"/>
                <w:szCs w:val="20"/>
                <w:lang w:val="en-GB"/>
              </w:rPr>
              <w:t>The primary objective is stated with absolute clarity in the Introduction.</w:t>
            </w:r>
          </w:p>
        </w:tc>
        <w:tc>
          <w:tcPr>
            <w:tcW w:w="689" w:type="pct"/>
          </w:tcPr>
          <w:p w14:paraId="7F6B5F10" w14:textId="77777777" w:rsidR="007E384E" w:rsidRPr="00C17027" w:rsidRDefault="007E384E">
            <w:pPr>
              <w:keepNext/>
              <w:outlineLvl w:val="1"/>
              <w:rPr>
                <w:rFonts w:ascii="Arial" w:eastAsia="MS Mincho" w:hAnsi="Arial" w:cs="Arial"/>
                <w:bCs/>
                <w:sz w:val="20"/>
                <w:szCs w:val="20"/>
                <w:lang w:val="en-GB"/>
              </w:rPr>
            </w:pPr>
          </w:p>
        </w:tc>
      </w:tr>
      <w:tr w:rsidR="007E384E" w:rsidRPr="00C17027" w14:paraId="44EFAC36" w14:textId="77777777" w:rsidTr="00B65778">
        <w:trPr>
          <w:trHeight w:val="20"/>
          <w:jc w:val="center"/>
        </w:trPr>
        <w:tc>
          <w:tcPr>
            <w:tcW w:w="1666" w:type="pct"/>
            <w:noWrap/>
            <w:hideMark/>
          </w:tcPr>
          <w:p w14:paraId="681508D3" w14:textId="77777777" w:rsidR="007E384E" w:rsidRPr="00C17027" w:rsidRDefault="00311DE4">
            <w:pPr>
              <w:keepNext/>
              <w:outlineLvl w:val="1"/>
              <w:rPr>
                <w:rFonts w:ascii="Arial" w:eastAsia="MS Mincho" w:hAnsi="Arial" w:cs="Arial"/>
                <w:b/>
                <w:bCs/>
                <w:sz w:val="20"/>
                <w:szCs w:val="20"/>
                <w:lang w:val="en-GB" w:eastAsia="x-none"/>
              </w:rPr>
            </w:pPr>
            <w:r w:rsidRPr="00C17027">
              <w:rPr>
                <w:rFonts w:ascii="Arial" w:eastAsia="MS Mincho" w:hAnsi="Arial" w:cs="Arial"/>
                <w:b/>
                <w:bCs/>
                <w:sz w:val="20"/>
                <w:szCs w:val="20"/>
                <w:lang w:val="en-GB" w:eastAsia="x-none"/>
              </w:rPr>
              <w:t>6. Is the literature review relevant and up to date?</w:t>
            </w:r>
          </w:p>
          <w:p w14:paraId="0A0073E7" w14:textId="77777777" w:rsidR="007E384E" w:rsidRPr="00C17027" w:rsidRDefault="00311DE4">
            <w:pPr>
              <w:rPr>
                <w:rFonts w:ascii="Arial" w:hAnsi="Arial" w:cs="Arial"/>
                <w:color w:val="404040"/>
                <w:sz w:val="20"/>
                <w:szCs w:val="20"/>
                <w:shd w:val="clear" w:color="auto" w:fill="FFFFFF"/>
                <w:lang w:val="en-GB"/>
              </w:rPr>
            </w:pPr>
            <w:r w:rsidRPr="00C17027">
              <w:rPr>
                <w:rFonts w:ascii="Arial" w:hAnsi="Arial" w:cs="Arial"/>
                <w:color w:val="404040"/>
                <w:sz w:val="20"/>
                <w:szCs w:val="20"/>
                <w:shd w:val="clear" w:color="auto" w:fill="FFFFFF"/>
                <w:lang w:val="en-GB"/>
              </w:rPr>
              <w:t xml:space="preserve">Rating Scale: </w:t>
            </w:r>
          </w:p>
          <w:p w14:paraId="4E6B11F3" w14:textId="77777777" w:rsidR="007E384E" w:rsidRPr="00C17027" w:rsidRDefault="00311DE4">
            <w:pPr>
              <w:rPr>
                <w:rFonts w:ascii="Arial" w:hAnsi="Arial" w:cs="Arial"/>
                <w:sz w:val="20"/>
                <w:szCs w:val="20"/>
                <w:lang w:val="en-GB" w:eastAsia="x-none"/>
              </w:rPr>
            </w:pPr>
            <w:r w:rsidRPr="00C17027">
              <w:rPr>
                <w:rFonts w:ascii="Arial" w:hAnsi="Arial" w:cs="Arial"/>
                <w:color w:val="404040"/>
                <w:sz w:val="20"/>
                <w:szCs w:val="20"/>
                <w:shd w:val="clear" w:color="auto" w:fill="FFFFFF"/>
                <w:lang w:val="en-GB"/>
              </w:rPr>
              <w:t>5 = Excellent 4 = Good 3 = Satisfactory 2 = Needs Improvement 1 = Poor N/A = Not Applicable</w:t>
            </w:r>
          </w:p>
        </w:tc>
        <w:tc>
          <w:tcPr>
            <w:tcW w:w="2644" w:type="pct"/>
          </w:tcPr>
          <w:p w14:paraId="5639F1EF" w14:textId="77777777" w:rsidR="007E384E" w:rsidRPr="00C17027" w:rsidRDefault="008524D4">
            <w:pPr>
              <w:ind w:left="360"/>
              <w:rPr>
                <w:rFonts w:ascii="Arial" w:hAnsi="Arial" w:cs="Arial"/>
                <w:b/>
                <w:bCs/>
                <w:sz w:val="20"/>
                <w:szCs w:val="20"/>
                <w:rtl/>
                <w:lang w:val="en-GB"/>
              </w:rPr>
            </w:pPr>
            <w:r w:rsidRPr="00C17027">
              <w:rPr>
                <w:rFonts w:ascii="Arial" w:hAnsi="Arial" w:cs="Arial"/>
                <w:b/>
                <w:bCs/>
                <w:sz w:val="20"/>
                <w:szCs w:val="20"/>
                <w:rtl/>
                <w:lang w:val="en-GB"/>
              </w:rPr>
              <w:t>5</w:t>
            </w:r>
          </w:p>
          <w:p w14:paraId="7C9C777B" w14:textId="65E06C7D" w:rsidR="008524D4" w:rsidRPr="00C17027" w:rsidRDefault="008524D4" w:rsidP="008524D4">
            <w:pPr>
              <w:ind w:left="360"/>
              <w:rPr>
                <w:rFonts w:ascii="Arial" w:hAnsi="Arial" w:cs="Arial"/>
                <w:sz w:val="20"/>
                <w:szCs w:val="20"/>
                <w:lang w:val="en-GB"/>
              </w:rPr>
            </w:pPr>
            <w:r w:rsidRPr="00C17027">
              <w:rPr>
                <w:rFonts w:ascii="Arial" w:hAnsi="Arial" w:cs="Arial"/>
                <w:sz w:val="20"/>
                <w:szCs w:val="20"/>
              </w:rPr>
              <w:t>These citations demonstrate an understanding of both literature and recent developments. It cites classical foundational work like Atkinson 2012 and Laurie 1996, while heavily anchoring the methodology in recent highly relevant publications by Mohanty and Dash from 2021 to 2024 .</w:t>
            </w:r>
          </w:p>
        </w:tc>
        <w:tc>
          <w:tcPr>
            <w:tcW w:w="689" w:type="pct"/>
          </w:tcPr>
          <w:p w14:paraId="19A0B295" w14:textId="77777777" w:rsidR="007E384E" w:rsidRPr="00C17027" w:rsidRDefault="007E384E">
            <w:pPr>
              <w:keepNext/>
              <w:outlineLvl w:val="1"/>
              <w:rPr>
                <w:rFonts w:ascii="Arial" w:eastAsia="MS Mincho" w:hAnsi="Arial" w:cs="Arial"/>
                <w:bCs/>
                <w:sz w:val="20"/>
                <w:szCs w:val="20"/>
                <w:lang w:val="en-GB"/>
              </w:rPr>
            </w:pPr>
          </w:p>
        </w:tc>
      </w:tr>
      <w:tr w:rsidR="007E384E" w:rsidRPr="00C17027" w14:paraId="533A4543" w14:textId="77777777" w:rsidTr="00B65778">
        <w:trPr>
          <w:trHeight w:val="20"/>
          <w:jc w:val="center"/>
        </w:trPr>
        <w:tc>
          <w:tcPr>
            <w:tcW w:w="1666" w:type="pct"/>
            <w:noWrap/>
            <w:hideMark/>
          </w:tcPr>
          <w:p w14:paraId="39AE624B" w14:textId="77777777" w:rsidR="007E384E" w:rsidRPr="00C17027" w:rsidRDefault="00311DE4">
            <w:pPr>
              <w:keepNext/>
              <w:outlineLvl w:val="1"/>
              <w:rPr>
                <w:rFonts w:ascii="Arial" w:eastAsia="MS Mincho" w:hAnsi="Arial" w:cs="Arial"/>
                <w:b/>
                <w:bCs/>
                <w:sz w:val="20"/>
                <w:szCs w:val="20"/>
                <w:lang w:val="en-GB" w:eastAsia="x-none"/>
              </w:rPr>
            </w:pPr>
            <w:r w:rsidRPr="00C17027">
              <w:rPr>
                <w:rFonts w:ascii="Arial" w:eastAsia="MS Mincho" w:hAnsi="Arial" w:cs="Arial"/>
                <w:b/>
                <w:bCs/>
                <w:sz w:val="20"/>
                <w:szCs w:val="20"/>
                <w:lang w:val="en-GB" w:eastAsia="x-none"/>
              </w:rPr>
              <w:t>7. Is the research methodology appropriate for the study?</w:t>
            </w:r>
          </w:p>
          <w:p w14:paraId="71FDA671" w14:textId="77777777" w:rsidR="007E384E" w:rsidRPr="00C17027" w:rsidRDefault="00311DE4">
            <w:pPr>
              <w:rPr>
                <w:rFonts w:ascii="Arial" w:hAnsi="Arial" w:cs="Arial"/>
                <w:color w:val="404040"/>
                <w:sz w:val="20"/>
                <w:szCs w:val="20"/>
                <w:shd w:val="clear" w:color="auto" w:fill="FFFFFF"/>
                <w:lang w:val="en-GB"/>
              </w:rPr>
            </w:pPr>
            <w:r w:rsidRPr="00C17027">
              <w:rPr>
                <w:rFonts w:ascii="Arial" w:hAnsi="Arial" w:cs="Arial"/>
                <w:color w:val="404040"/>
                <w:sz w:val="20"/>
                <w:szCs w:val="20"/>
                <w:shd w:val="clear" w:color="auto" w:fill="FFFFFF"/>
                <w:lang w:val="en-GB"/>
              </w:rPr>
              <w:t xml:space="preserve">Rating Scale: </w:t>
            </w:r>
          </w:p>
          <w:p w14:paraId="2AE73D08" w14:textId="77777777" w:rsidR="007E384E" w:rsidRPr="00C17027" w:rsidRDefault="00311DE4">
            <w:pPr>
              <w:rPr>
                <w:rFonts w:ascii="Arial" w:hAnsi="Arial" w:cs="Arial"/>
                <w:sz w:val="20"/>
                <w:szCs w:val="20"/>
                <w:lang w:val="en-GB"/>
              </w:rPr>
            </w:pPr>
            <w:r w:rsidRPr="00C17027">
              <w:rPr>
                <w:rFonts w:ascii="Arial" w:hAnsi="Arial" w:cs="Arial"/>
                <w:color w:val="404040"/>
                <w:sz w:val="20"/>
                <w:szCs w:val="20"/>
                <w:shd w:val="clear" w:color="auto" w:fill="FFFFFF"/>
                <w:lang w:val="en-GB"/>
              </w:rPr>
              <w:t>5 = Excellent 4 = Good 3 = Satisfactory 2 = Needs Improvement 1 = Poor N/A = Not Applicable</w:t>
            </w:r>
          </w:p>
        </w:tc>
        <w:tc>
          <w:tcPr>
            <w:tcW w:w="2644" w:type="pct"/>
          </w:tcPr>
          <w:p w14:paraId="46EAB172" w14:textId="77777777" w:rsidR="007E384E" w:rsidRPr="00C17027" w:rsidRDefault="001F1903">
            <w:pPr>
              <w:ind w:left="360"/>
              <w:rPr>
                <w:rFonts w:ascii="Arial" w:hAnsi="Arial" w:cs="Arial"/>
                <w:b/>
                <w:bCs/>
                <w:sz w:val="20"/>
                <w:szCs w:val="20"/>
                <w:rtl/>
                <w:lang w:val="en-GB"/>
              </w:rPr>
            </w:pPr>
            <w:r w:rsidRPr="00C17027">
              <w:rPr>
                <w:rFonts w:ascii="Arial" w:hAnsi="Arial" w:cs="Arial"/>
                <w:b/>
                <w:bCs/>
                <w:sz w:val="20"/>
                <w:szCs w:val="20"/>
                <w:rtl/>
                <w:lang w:val="en-GB"/>
              </w:rPr>
              <w:t>5</w:t>
            </w:r>
          </w:p>
          <w:p w14:paraId="041D18AD" w14:textId="26741FD4" w:rsidR="001F1903" w:rsidRPr="00C17027" w:rsidRDefault="001F1903">
            <w:pPr>
              <w:ind w:left="360"/>
              <w:rPr>
                <w:rFonts w:ascii="Arial" w:hAnsi="Arial" w:cs="Arial"/>
                <w:sz w:val="20"/>
                <w:szCs w:val="20"/>
                <w:lang w:val="en-GB"/>
              </w:rPr>
            </w:pPr>
            <w:r w:rsidRPr="00C17027">
              <w:rPr>
                <w:rFonts w:ascii="Arial" w:hAnsi="Arial" w:cs="Arial"/>
                <w:sz w:val="20"/>
                <w:szCs w:val="20"/>
                <w:lang w:val="en-GB"/>
              </w:rPr>
              <w:t>The author correctly defines the SR-conditions for the generalized rule.</w:t>
            </w:r>
          </w:p>
        </w:tc>
        <w:tc>
          <w:tcPr>
            <w:tcW w:w="689" w:type="pct"/>
          </w:tcPr>
          <w:p w14:paraId="6B48643C" w14:textId="77777777" w:rsidR="007E384E" w:rsidRPr="00C17027" w:rsidRDefault="007E384E">
            <w:pPr>
              <w:keepNext/>
              <w:outlineLvl w:val="1"/>
              <w:rPr>
                <w:rFonts w:ascii="Arial" w:eastAsia="MS Mincho" w:hAnsi="Arial" w:cs="Arial"/>
                <w:bCs/>
                <w:sz w:val="20"/>
                <w:szCs w:val="20"/>
                <w:lang w:val="en-GB"/>
              </w:rPr>
            </w:pPr>
          </w:p>
        </w:tc>
      </w:tr>
      <w:tr w:rsidR="007E384E" w:rsidRPr="00C17027" w14:paraId="55C3B2E5" w14:textId="77777777" w:rsidTr="00B65778">
        <w:trPr>
          <w:trHeight w:val="20"/>
          <w:jc w:val="center"/>
        </w:trPr>
        <w:tc>
          <w:tcPr>
            <w:tcW w:w="1666" w:type="pct"/>
            <w:noWrap/>
            <w:hideMark/>
          </w:tcPr>
          <w:p w14:paraId="7D7FF1BB" w14:textId="77777777" w:rsidR="007E384E" w:rsidRPr="00C17027" w:rsidRDefault="00311DE4">
            <w:pPr>
              <w:keepNext/>
              <w:outlineLvl w:val="1"/>
              <w:rPr>
                <w:rFonts w:ascii="Arial" w:eastAsia="MS Mincho" w:hAnsi="Arial" w:cs="Arial"/>
                <w:b/>
                <w:bCs/>
                <w:sz w:val="20"/>
                <w:szCs w:val="20"/>
                <w:lang w:val="en-GB" w:eastAsia="x-none"/>
              </w:rPr>
            </w:pPr>
            <w:r w:rsidRPr="00C17027">
              <w:rPr>
                <w:rFonts w:ascii="Arial" w:eastAsia="MS Mincho" w:hAnsi="Arial" w:cs="Arial"/>
                <w:b/>
                <w:bCs/>
                <w:sz w:val="20"/>
                <w:szCs w:val="20"/>
                <w:lang w:val="en-GB" w:eastAsia="x-none"/>
              </w:rPr>
              <w:t>8. Were ethical issues properly addressed (if applicable)?</w:t>
            </w:r>
          </w:p>
          <w:p w14:paraId="30697D55" w14:textId="77777777" w:rsidR="007E384E" w:rsidRPr="00C17027" w:rsidRDefault="00311DE4">
            <w:pPr>
              <w:rPr>
                <w:rFonts w:ascii="Arial" w:hAnsi="Arial" w:cs="Arial"/>
                <w:color w:val="404040"/>
                <w:sz w:val="20"/>
                <w:szCs w:val="20"/>
                <w:shd w:val="clear" w:color="auto" w:fill="FFFFFF"/>
                <w:lang w:val="en-GB"/>
              </w:rPr>
            </w:pPr>
            <w:r w:rsidRPr="00C17027">
              <w:rPr>
                <w:rFonts w:ascii="Arial" w:hAnsi="Arial" w:cs="Arial"/>
                <w:color w:val="404040"/>
                <w:sz w:val="20"/>
                <w:szCs w:val="20"/>
                <w:shd w:val="clear" w:color="auto" w:fill="FFFFFF"/>
                <w:lang w:val="en-GB"/>
              </w:rPr>
              <w:t xml:space="preserve">Rating Scale: </w:t>
            </w:r>
          </w:p>
          <w:p w14:paraId="59F9FD05" w14:textId="77777777" w:rsidR="007E384E" w:rsidRPr="00C17027" w:rsidRDefault="00311DE4">
            <w:pPr>
              <w:rPr>
                <w:rFonts w:ascii="Arial" w:hAnsi="Arial" w:cs="Arial"/>
                <w:sz w:val="20"/>
                <w:szCs w:val="20"/>
                <w:lang w:val="en-GB" w:eastAsia="x-none"/>
              </w:rPr>
            </w:pPr>
            <w:r w:rsidRPr="00C17027">
              <w:rPr>
                <w:rFonts w:ascii="Arial" w:hAnsi="Arial" w:cs="Arial"/>
                <w:color w:val="404040"/>
                <w:sz w:val="20"/>
                <w:szCs w:val="20"/>
                <w:shd w:val="clear" w:color="auto" w:fill="FFFFFF"/>
                <w:lang w:val="en-GB"/>
              </w:rPr>
              <w:t>5 = Excellent 4 = Good 3 = Satisfactory 2 = Needs Improvement 1 = Poor N/A = Not Applicable</w:t>
            </w:r>
          </w:p>
        </w:tc>
        <w:tc>
          <w:tcPr>
            <w:tcW w:w="2644" w:type="pct"/>
          </w:tcPr>
          <w:p w14:paraId="666C8C2B" w14:textId="763B87D3" w:rsidR="007E384E" w:rsidRPr="00C17027" w:rsidRDefault="004D42DE">
            <w:pPr>
              <w:ind w:left="360"/>
              <w:rPr>
                <w:rFonts w:ascii="Arial" w:hAnsi="Arial" w:cs="Arial"/>
                <w:b/>
                <w:bCs/>
                <w:sz w:val="20"/>
                <w:szCs w:val="20"/>
                <w:lang w:val="en-GB"/>
              </w:rPr>
            </w:pPr>
            <w:r w:rsidRPr="00C17027">
              <w:rPr>
                <w:rFonts w:ascii="Arial" w:hAnsi="Arial" w:cs="Arial"/>
                <w:b/>
                <w:bCs/>
                <w:sz w:val="20"/>
                <w:szCs w:val="20"/>
                <w:lang w:val="en-GB"/>
              </w:rPr>
              <w:t>5</w:t>
            </w:r>
          </w:p>
        </w:tc>
        <w:tc>
          <w:tcPr>
            <w:tcW w:w="689" w:type="pct"/>
          </w:tcPr>
          <w:p w14:paraId="6D4A4847" w14:textId="77777777" w:rsidR="007E384E" w:rsidRPr="00C17027" w:rsidRDefault="007E384E">
            <w:pPr>
              <w:keepNext/>
              <w:outlineLvl w:val="1"/>
              <w:rPr>
                <w:rFonts w:ascii="Arial" w:eastAsia="MS Mincho" w:hAnsi="Arial" w:cs="Arial"/>
                <w:bCs/>
                <w:sz w:val="20"/>
                <w:szCs w:val="20"/>
                <w:lang w:val="en-GB"/>
              </w:rPr>
            </w:pPr>
          </w:p>
        </w:tc>
      </w:tr>
      <w:tr w:rsidR="007E384E" w:rsidRPr="00C17027" w14:paraId="4104B068" w14:textId="77777777" w:rsidTr="00B65778">
        <w:trPr>
          <w:trHeight w:val="20"/>
          <w:jc w:val="center"/>
        </w:trPr>
        <w:tc>
          <w:tcPr>
            <w:tcW w:w="1666" w:type="pct"/>
            <w:noWrap/>
            <w:hideMark/>
          </w:tcPr>
          <w:p w14:paraId="4FB2D2A2" w14:textId="77777777" w:rsidR="007E384E" w:rsidRPr="00C17027" w:rsidRDefault="00311DE4">
            <w:pPr>
              <w:rPr>
                <w:rFonts w:ascii="Arial" w:hAnsi="Arial" w:cs="Arial"/>
                <w:b/>
                <w:sz w:val="20"/>
                <w:szCs w:val="20"/>
                <w:lang w:val="en-GB"/>
              </w:rPr>
            </w:pPr>
            <w:r w:rsidRPr="00C17027">
              <w:rPr>
                <w:rFonts w:ascii="Arial" w:hAnsi="Arial" w:cs="Arial"/>
                <w:b/>
                <w:sz w:val="20"/>
                <w:szCs w:val="20"/>
                <w:lang w:val="en-GB"/>
              </w:rPr>
              <w:t xml:space="preserve">9. Are the results presented clearly? </w:t>
            </w:r>
          </w:p>
          <w:p w14:paraId="1A4769B8" w14:textId="77777777" w:rsidR="007E384E" w:rsidRPr="00C17027" w:rsidRDefault="00311DE4">
            <w:pPr>
              <w:rPr>
                <w:rFonts w:ascii="Arial" w:hAnsi="Arial" w:cs="Arial"/>
                <w:color w:val="404040"/>
                <w:sz w:val="20"/>
                <w:szCs w:val="20"/>
                <w:shd w:val="clear" w:color="auto" w:fill="FFFFFF"/>
                <w:lang w:val="en-GB"/>
              </w:rPr>
            </w:pPr>
            <w:r w:rsidRPr="00C17027">
              <w:rPr>
                <w:rFonts w:ascii="Arial" w:hAnsi="Arial" w:cs="Arial"/>
                <w:color w:val="404040"/>
                <w:sz w:val="20"/>
                <w:szCs w:val="20"/>
                <w:shd w:val="clear" w:color="auto" w:fill="FFFFFF"/>
                <w:lang w:val="en-GB"/>
              </w:rPr>
              <w:t xml:space="preserve">Rating Scale: </w:t>
            </w:r>
          </w:p>
          <w:p w14:paraId="40AF7BA7" w14:textId="77777777" w:rsidR="007E384E" w:rsidRPr="00C17027" w:rsidRDefault="00311DE4">
            <w:pPr>
              <w:rPr>
                <w:rFonts w:ascii="Arial" w:hAnsi="Arial" w:cs="Arial"/>
                <w:bCs/>
                <w:sz w:val="20"/>
                <w:szCs w:val="20"/>
                <w:lang w:val="en-GB"/>
              </w:rPr>
            </w:pPr>
            <w:r w:rsidRPr="00C17027">
              <w:rPr>
                <w:rFonts w:ascii="Arial" w:hAnsi="Arial" w:cs="Arial"/>
                <w:color w:val="404040"/>
                <w:sz w:val="20"/>
                <w:szCs w:val="20"/>
                <w:shd w:val="clear" w:color="auto" w:fill="FFFFFF"/>
                <w:lang w:val="en-GB"/>
              </w:rPr>
              <w:t>5 = Excellent 4 = Good 3 = Satisfactory 2 = Needs Improvement 1 = Poor N/A = Not Applicable</w:t>
            </w:r>
          </w:p>
        </w:tc>
        <w:tc>
          <w:tcPr>
            <w:tcW w:w="2644" w:type="pct"/>
          </w:tcPr>
          <w:p w14:paraId="16A9AD0E" w14:textId="77777777" w:rsidR="007E384E" w:rsidRPr="00C17027" w:rsidRDefault="00255ACD">
            <w:pPr>
              <w:contextualSpacing/>
              <w:rPr>
                <w:rFonts w:ascii="Arial" w:hAnsi="Arial" w:cs="Arial"/>
                <w:bCs/>
                <w:sz w:val="20"/>
                <w:szCs w:val="20"/>
                <w:lang w:val="en-GB"/>
              </w:rPr>
            </w:pPr>
            <w:r w:rsidRPr="00C17027">
              <w:rPr>
                <w:rFonts w:ascii="Arial" w:hAnsi="Arial" w:cs="Arial"/>
                <w:bCs/>
                <w:sz w:val="20"/>
                <w:szCs w:val="20"/>
                <w:lang w:val="en-GB"/>
              </w:rPr>
              <w:t>5</w:t>
            </w:r>
          </w:p>
          <w:p w14:paraId="27279E45" w14:textId="6A661CDB" w:rsidR="00255ACD" w:rsidRPr="00C17027" w:rsidRDefault="00255ACD">
            <w:pPr>
              <w:contextualSpacing/>
              <w:rPr>
                <w:rFonts w:ascii="Arial" w:hAnsi="Arial" w:cs="Arial"/>
                <w:bCs/>
                <w:sz w:val="20"/>
                <w:szCs w:val="20"/>
                <w:lang w:val="en-GB"/>
              </w:rPr>
            </w:pPr>
            <w:r w:rsidRPr="00C17027">
              <w:rPr>
                <w:rFonts w:ascii="Arial" w:hAnsi="Arial" w:cs="Arial"/>
                <w:bCs/>
                <w:sz w:val="20"/>
                <w:szCs w:val="20"/>
                <w:lang w:val="en-GB"/>
              </w:rPr>
              <w:t>The results are presented with excellent clarity.</w:t>
            </w:r>
          </w:p>
        </w:tc>
        <w:tc>
          <w:tcPr>
            <w:tcW w:w="689" w:type="pct"/>
          </w:tcPr>
          <w:p w14:paraId="35EF866C" w14:textId="77777777" w:rsidR="007E384E" w:rsidRPr="00C17027" w:rsidRDefault="007E384E">
            <w:pPr>
              <w:keepNext/>
              <w:outlineLvl w:val="1"/>
              <w:rPr>
                <w:rFonts w:ascii="Arial" w:eastAsia="MS Mincho" w:hAnsi="Arial" w:cs="Arial"/>
                <w:bCs/>
                <w:sz w:val="20"/>
                <w:szCs w:val="20"/>
                <w:lang w:val="en-GB"/>
              </w:rPr>
            </w:pPr>
          </w:p>
        </w:tc>
      </w:tr>
      <w:tr w:rsidR="007E384E" w:rsidRPr="00C17027" w14:paraId="526F6F20" w14:textId="77777777" w:rsidTr="00B65778">
        <w:trPr>
          <w:trHeight w:val="20"/>
          <w:jc w:val="center"/>
        </w:trPr>
        <w:tc>
          <w:tcPr>
            <w:tcW w:w="1666" w:type="pct"/>
            <w:noWrap/>
            <w:hideMark/>
          </w:tcPr>
          <w:p w14:paraId="6BF05115" w14:textId="77777777" w:rsidR="007E384E" w:rsidRPr="00C17027" w:rsidRDefault="00311DE4">
            <w:pPr>
              <w:rPr>
                <w:rFonts w:ascii="Arial" w:hAnsi="Arial" w:cs="Arial"/>
                <w:b/>
                <w:sz w:val="20"/>
                <w:szCs w:val="20"/>
                <w:lang w:val="en-GB"/>
              </w:rPr>
            </w:pPr>
            <w:r w:rsidRPr="00C17027">
              <w:rPr>
                <w:rFonts w:ascii="Arial" w:hAnsi="Arial" w:cs="Arial"/>
                <w:b/>
                <w:sz w:val="20"/>
                <w:szCs w:val="20"/>
                <w:lang w:val="en-GB"/>
              </w:rPr>
              <w:t>10. Are tables and figures clear, relevant, and necessary?</w:t>
            </w:r>
          </w:p>
          <w:p w14:paraId="7D638185" w14:textId="77777777" w:rsidR="007E384E" w:rsidRPr="00C17027" w:rsidRDefault="00311DE4">
            <w:pPr>
              <w:rPr>
                <w:rFonts w:ascii="Arial" w:hAnsi="Arial" w:cs="Arial"/>
                <w:color w:val="404040"/>
                <w:sz w:val="20"/>
                <w:szCs w:val="20"/>
                <w:shd w:val="clear" w:color="auto" w:fill="FFFFFF"/>
                <w:lang w:val="en-GB"/>
              </w:rPr>
            </w:pPr>
            <w:r w:rsidRPr="00C17027">
              <w:rPr>
                <w:rFonts w:ascii="Arial" w:hAnsi="Arial" w:cs="Arial"/>
                <w:color w:val="404040"/>
                <w:sz w:val="20"/>
                <w:szCs w:val="20"/>
                <w:shd w:val="clear" w:color="auto" w:fill="FFFFFF"/>
                <w:lang w:val="en-GB"/>
              </w:rPr>
              <w:t xml:space="preserve">Rating Scale: </w:t>
            </w:r>
          </w:p>
          <w:p w14:paraId="6D6CC4EC" w14:textId="77777777" w:rsidR="007E384E" w:rsidRPr="00C17027" w:rsidRDefault="00311DE4">
            <w:pPr>
              <w:rPr>
                <w:rFonts w:ascii="Arial" w:hAnsi="Arial" w:cs="Arial"/>
                <w:color w:val="404040"/>
                <w:sz w:val="20"/>
                <w:szCs w:val="20"/>
                <w:shd w:val="clear" w:color="auto" w:fill="FFFFFF"/>
                <w:lang w:val="en-GB"/>
              </w:rPr>
            </w:pPr>
            <w:r w:rsidRPr="00C17027">
              <w:rPr>
                <w:rFonts w:ascii="Arial" w:hAnsi="Arial" w:cs="Arial"/>
                <w:color w:val="404040"/>
                <w:sz w:val="20"/>
                <w:szCs w:val="20"/>
                <w:shd w:val="clear" w:color="auto" w:fill="FFFFFF"/>
                <w:lang w:val="en-GB"/>
              </w:rPr>
              <w:t>5 = Excellent 4 = Good 3 = Satisfactory 2 = Needs Improvement 1 = Poor N/A = Not Applicable</w:t>
            </w:r>
          </w:p>
          <w:p w14:paraId="00CB8A73" w14:textId="77777777" w:rsidR="007E384E" w:rsidRPr="00C17027" w:rsidRDefault="007E384E">
            <w:pPr>
              <w:rPr>
                <w:rFonts w:ascii="Arial" w:hAnsi="Arial" w:cs="Arial"/>
                <w:color w:val="404040"/>
                <w:sz w:val="20"/>
                <w:szCs w:val="20"/>
                <w:shd w:val="clear" w:color="auto" w:fill="FFFFFF"/>
                <w:lang w:val="en-GB"/>
              </w:rPr>
            </w:pPr>
          </w:p>
          <w:p w14:paraId="1B8B02DF" w14:textId="77777777" w:rsidR="007E384E" w:rsidRPr="00C17027" w:rsidRDefault="007E384E">
            <w:pPr>
              <w:rPr>
                <w:rFonts w:ascii="Arial" w:hAnsi="Arial" w:cs="Arial"/>
                <w:sz w:val="20"/>
                <w:szCs w:val="20"/>
                <w:lang w:val="en-GB"/>
              </w:rPr>
            </w:pPr>
          </w:p>
        </w:tc>
        <w:tc>
          <w:tcPr>
            <w:tcW w:w="2644" w:type="pct"/>
          </w:tcPr>
          <w:p w14:paraId="515D94D8" w14:textId="0E240D52" w:rsidR="00456FD2" w:rsidRPr="00C17027" w:rsidRDefault="00456FD2">
            <w:pPr>
              <w:contextualSpacing/>
              <w:rPr>
                <w:rFonts w:ascii="Arial" w:hAnsi="Arial" w:cs="Arial"/>
                <w:bCs/>
                <w:sz w:val="20"/>
                <w:szCs w:val="20"/>
                <w:lang w:val="en-GB"/>
              </w:rPr>
            </w:pPr>
            <w:r w:rsidRPr="00C17027">
              <w:rPr>
                <w:rFonts w:ascii="Arial" w:hAnsi="Arial" w:cs="Arial"/>
                <w:bCs/>
                <w:sz w:val="20"/>
                <w:szCs w:val="20"/>
                <w:lang w:val="en-GB"/>
              </w:rPr>
              <w:t>5</w:t>
            </w:r>
          </w:p>
          <w:p w14:paraId="3EF9D51E" w14:textId="02A00E9F" w:rsidR="007E384E" w:rsidRPr="00C17027" w:rsidRDefault="00456FD2">
            <w:pPr>
              <w:contextualSpacing/>
              <w:rPr>
                <w:rFonts w:ascii="Arial" w:hAnsi="Arial" w:cs="Arial"/>
                <w:bCs/>
                <w:sz w:val="20"/>
                <w:szCs w:val="20"/>
                <w:lang w:val="en-GB"/>
              </w:rPr>
            </w:pPr>
            <w:r w:rsidRPr="00C17027">
              <w:rPr>
                <w:rFonts w:ascii="Arial" w:hAnsi="Arial" w:cs="Arial"/>
                <w:bCs/>
                <w:sz w:val="20"/>
                <w:szCs w:val="20"/>
                <w:lang w:val="en-GB"/>
              </w:rPr>
              <w:t>The visual data is highly beneficial.</w:t>
            </w:r>
          </w:p>
        </w:tc>
        <w:tc>
          <w:tcPr>
            <w:tcW w:w="689" w:type="pct"/>
          </w:tcPr>
          <w:p w14:paraId="1171B668" w14:textId="77777777" w:rsidR="007E384E" w:rsidRPr="00C17027" w:rsidRDefault="007E384E">
            <w:pPr>
              <w:keepNext/>
              <w:outlineLvl w:val="1"/>
              <w:rPr>
                <w:rFonts w:ascii="Arial" w:eastAsia="MS Mincho" w:hAnsi="Arial" w:cs="Arial"/>
                <w:bCs/>
                <w:sz w:val="20"/>
                <w:szCs w:val="20"/>
                <w:lang w:val="en-GB"/>
              </w:rPr>
            </w:pPr>
          </w:p>
        </w:tc>
      </w:tr>
      <w:tr w:rsidR="007E384E" w:rsidRPr="00C17027" w14:paraId="75668DE8" w14:textId="77777777" w:rsidTr="00B65778">
        <w:trPr>
          <w:trHeight w:val="20"/>
          <w:jc w:val="center"/>
        </w:trPr>
        <w:tc>
          <w:tcPr>
            <w:tcW w:w="1666" w:type="pct"/>
            <w:noWrap/>
            <w:hideMark/>
          </w:tcPr>
          <w:p w14:paraId="1806F312" w14:textId="77777777" w:rsidR="007E384E" w:rsidRPr="00C17027" w:rsidRDefault="00311DE4">
            <w:pPr>
              <w:rPr>
                <w:rFonts w:ascii="Arial" w:hAnsi="Arial" w:cs="Arial"/>
                <w:b/>
                <w:sz w:val="20"/>
                <w:szCs w:val="20"/>
                <w:lang w:val="en-GB"/>
              </w:rPr>
            </w:pPr>
            <w:r w:rsidRPr="00C17027">
              <w:rPr>
                <w:rFonts w:ascii="Arial" w:hAnsi="Arial" w:cs="Arial"/>
                <w:b/>
                <w:sz w:val="20"/>
                <w:szCs w:val="20"/>
                <w:lang w:val="en-GB"/>
              </w:rPr>
              <w:t>11. Does the discussion relate findings to existing literature?</w:t>
            </w:r>
          </w:p>
          <w:p w14:paraId="5DA7C836" w14:textId="77777777" w:rsidR="007E384E" w:rsidRPr="00C17027" w:rsidRDefault="00311DE4">
            <w:pPr>
              <w:rPr>
                <w:rFonts w:ascii="Arial" w:hAnsi="Arial" w:cs="Arial"/>
                <w:color w:val="404040"/>
                <w:sz w:val="20"/>
                <w:szCs w:val="20"/>
                <w:shd w:val="clear" w:color="auto" w:fill="FFFFFF"/>
                <w:lang w:val="en-GB"/>
              </w:rPr>
            </w:pPr>
            <w:r w:rsidRPr="00C17027">
              <w:rPr>
                <w:rFonts w:ascii="Arial" w:hAnsi="Arial" w:cs="Arial"/>
                <w:color w:val="404040"/>
                <w:sz w:val="20"/>
                <w:szCs w:val="20"/>
                <w:shd w:val="clear" w:color="auto" w:fill="FFFFFF"/>
                <w:lang w:val="en-GB"/>
              </w:rPr>
              <w:t xml:space="preserve">Rating Scale: </w:t>
            </w:r>
          </w:p>
          <w:p w14:paraId="08B8B52F" w14:textId="77777777" w:rsidR="007E384E" w:rsidRPr="00C17027" w:rsidRDefault="00311DE4">
            <w:pPr>
              <w:rPr>
                <w:rFonts w:ascii="Arial" w:hAnsi="Arial" w:cs="Arial"/>
                <w:sz w:val="20"/>
                <w:szCs w:val="20"/>
                <w:lang w:val="en-GB"/>
              </w:rPr>
            </w:pPr>
            <w:r w:rsidRPr="00C17027">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2644" w:type="pct"/>
          </w:tcPr>
          <w:p w14:paraId="4EB89EE8" w14:textId="77777777" w:rsidR="007E384E" w:rsidRPr="00C17027" w:rsidRDefault="008229B0">
            <w:pPr>
              <w:contextualSpacing/>
              <w:rPr>
                <w:rFonts w:ascii="Arial" w:hAnsi="Arial" w:cs="Arial"/>
                <w:bCs/>
                <w:sz w:val="20"/>
                <w:szCs w:val="20"/>
                <w:lang w:val="en-GB"/>
              </w:rPr>
            </w:pPr>
            <w:r w:rsidRPr="00C17027">
              <w:rPr>
                <w:rFonts w:ascii="Arial" w:hAnsi="Arial" w:cs="Arial"/>
                <w:bCs/>
                <w:sz w:val="20"/>
                <w:szCs w:val="20"/>
                <w:lang w:val="en-GB"/>
              </w:rPr>
              <w:lastRenderedPageBreak/>
              <w:t>5</w:t>
            </w:r>
          </w:p>
          <w:p w14:paraId="310B7F54" w14:textId="4F93AA21" w:rsidR="008229B0" w:rsidRPr="00C17027" w:rsidRDefault="008229B0" w:rsidP="008229B0">
            <w:pPr>
              <w:contextualSpacing/>
              <w:rPr>
                <w:rFonts w:ascii="Arial" w:hAnsi="Arial" w:cs="Arial"/>
                <w:bCs/>
                <w:sz w:val="20"/>
                <w:szCs w:val="20"/>
                <w:lang w:val="en-GB"/>
              </w:rPr>
            </w:pPr>
            <w:r w:rsidRPr="00C17027">
              <w:rPr>
                <w:rFonts w:ascii="Arial" w:hAnsi="Arial" w:cs="Arial"/>
                <w:bCs/>
                <w:sz w:val="20"/>
                <w:szCs w:val="20"/>
              </w:rPr>
              <w:t xml:space="preserve">The Conclusion effectively summarizes the manuscript's achievements noting that the proposed rule outperforms the basic quadrature rules. However, the rating is slightly lower because the discussion does not heavily contrast the </w:t>
            </w:r>
            <w:r w:rsidRPr="00C17027">
              <w:rPr>
                <w:rFonts w:ascii="Arial" w:hAnsi="Arial" w:cs="Arial"/>
                <w:bCs/>
                <w:sz w:val="20"/>
                <w:szCs w:val="20"/>
              </w:rPr>
              <w:lastRenderedPageBreak/>
              <w:t>final numerical results against the specific error margins found in the directly cited prior works of Mohanty or Laurie.</w:t>
            </w:r>
          </w:p>
        </w:tc>
        <w:tc>
          <w:tcPr>
            <w:tcW w:w="689" w:type="pct"/>
          </w:tcPr>
          <w:p w14:paraId="21207649" w14:textId="77777777" w:rsidR="007E384E" w:rsidRPr="00C17027" w:rsidRDefault="007E384E">
            <w:pPr>
              <w:keepNext/>
              <w:outlineLvl w:val="1"/>
              <w:rPr>
                <w:rFonts w:ascii="Arial" w:eastAsia="MS Mincho" w:hAnsi="Arial" w:cs="Arial"/>
                <w:bCs/>
                <w:sz w:val="20"/>
                <w:szCs w:val="20"/>
                <w:lang w:val="en-GB"/>
              </w:rPr>
            </w:pPr>
          </w:p>
        </w:tc>
      </w:tr>
      <w:tr w:rsidR="007E384E" w:rsidRPr="00C17027" w14:paraId="25C06A5B" w14:textId="77777777" w:rsidTr="00B65778">
        <w:trPr>
          <w:trHeight w:val="20"/>
          <w:jc w:val="center"/>
        </w:trPr>
        <w:tc>
          <w:tcPr>
            <w:tcW w:w="1666" w:type="pct"/>
            <w:noWrap/>
            <w:hideMark/>
          </w:tcPr>
          <w:p w14:paraId="7A5EF0BE" w14:textId="77777777" w:rsidR="007E384E" w:rsidRPr="00C17027" w:rsidRDefault="00311DE4">
            <w:pPr>
              <w:rPr>
                <w:rFonts w:ascii="Arial" w:hAnsi="Arial" w:cs="Arial"/>
                <w:b/>
                <w:sz w:val="20"/>
                <w:szCs w:val="20"/>
                <w:lang w:val="en-GB"/>
              </w:rPr>
            </w:pPr>
            <w:r w:rsidRPr="00C17027">
              <w:rPr>
                <w:rFonts w:ascii="Arial" w:hAnsi="Arial" w:cs="Arial"/>
                <w:b/>
                <w:sz w:val="20"/>
                <w:szCs w:val="20"/>
                <w:lang w:val="en-GB"/>
              </w:rPr>
              <w:t>12. Are the conclusions supported by the data?</w:t>
            </w:r>
          </w:p>
          <w:p w14:paraId="2746A5C8" w14:textId="77777777" w:rsidR="007E384E" w:rsidRPr="00C17027" w:rsidRDefault="00311DE4">
            <w:pPr>
              <w:rPr>
                <w:rFonts w:ascii="Arial" w:hAnsi="Arial" w:cs="Arial"/>
                <w:color w:val="404040"/>
                <w:sz w:val="20"/>
                <w:szCs w:val="20"/>
                <w:shd w:val="clear" w:color="auto" w:fill="FFFFFF"/>
                <w:lang w:val="en-GB"/>
              </w:rPr>
            </w:pPr>
            <w:r w:rsidRPr="00C17027">
              <w:rPr>
                <w:rFonts w:ascii="Arial" w:hAnsi="Arial" w:cs="Arial"/>
                <w:color w:val="404040"/>
                <w:sz w:val="20"/>
                <w:szCs w:val="20"/>
                <w:shd w:val="clear" w:color="auto" w:fill="FFFFFF"/>
                <w:lang w:val="en-GB"/>
              </w:rPr>
              <w:t xml:space="preserve">Rating Scale: </w:t>
            </w:r>
          </w:p>
          <w:p w14:paraId="5C52ADC4" w14:textId="77777777" w:rsidR="007E384E" w:rsidRPr="00C17027" w:rsidRDefault="00311DE4">
            <w:pPr>
              <w:rPr>
                <w:rFonts w:ascii="Arial" w:hAnsi="Arial" w:cs="Arial"/>
                <w:sz w:val="20"/>
                <w:szCs w:val="20"/>
                <w:lang w:val="en-GB"/>
              </w:rPr>
            </w:pPr>
            <w:r w:rsidRPr="00C17027">
              <w:rPr>
                <w:rFonts w:ascii="Arial" w:hAnsi="Arial" w:cs="Arial"/>
                <w:color w:val="404040"/>
                <w:sz w:val="20"/>
                <w:szCs w:val="20"/>
                <w:shd w:val="clear" w:color="auto" w:fill="FFFFFF"/>
                <w:lang w:val="en-GB"/>
              </w:rPr>
              <w:t>5 = Excellent 4 = Good 3 = Satisfactory 2 = Needs Improvement 1 = Poor N/A = Not Applicable</w:t>
            </w:r>
          </w:p>
        </w:tc>
        <w:tc>
          <w:tcPr>
            <w:tcW w:w="2644" w:type="pct"/>
          </w:tcPr>
          <w:p w14:paraId="6853C983" w14:textId="77777777" w:rsidR="007E384E" w:rsidRPr="00C17027" w:rsidRDefault="008A47DC">
            <w:pPr>
              <w:contextualSpacing/>
              <w:rPr>
                <w:rFonts w:ascii="Arial" w:hAnsi="Arial" w:cs="Arial"/>
                <w:bCs/>
                <w:sz w:val="20"/>
                <w:szCs w:val="20"/>
                <w:rtl/>
                <w:lang w:val="en-GB"/>
              </w:rPr>
            </w:pPr>
            <w:r w:rsidRPr="00C17027">
              <w:rPr>
                <w:rFonts w:ascii="Arial" w:hAnsi="Arial" w:cs="Arial"/>
                <w:bCs/>
                <w:sz w:val="20"/>
                <w:szCs w:val="20"/>
                <w:rtl/>
                <w:lang w:val="en-GB"/>
              </w:rPr>
              <w:t>5</w:t>
            </w:r>
          </w:p>
          <w:p w14:paraId="6AE11650" w14:textId="20937CAA" w:rsidR="008A47DC" w:rsidRPr="00C17027" w:rsidRDefault="008A47DC" w:rsidP="008A47DC">
            <w:pPr>
              <w:contextualSpacing/>
              <w:rPr>
                <w:rFonts w:ascii="Arial" w:hAnsi="Arial" w:cs="Arial"/>
                <w:bCs/>
                <w:sz w:val="20"/>
                <w:szCs w:val="20"/>
                <w:lang w:val="en-GB"/>
              </w:rPr>
            </w:pPr>
            <w:r w:rsidRPr="00C17027">
              <w:rPr>
                <w:rFonts w:ascii="Arial" w:hAnsi="Arial" w:cs="Arial"/>
                <w:bCs/>
                <w:sz w:val="20"/>
                <w:szCs w:val="20"/>
              </w:rPr>
              <w:t>The conclusion that the hybrid approach achieves higher accuracy.</w:t>
            </w:r>
          </w:p>
        </w:tc>
        <w:tc>
          <w:tcPr>
            <w:tcW w:w="689" w:type="pct"/>
          </w:tcPr>
          <w:p w14:paraId="5821DA4C" w14:textId="77777777" w:rsidR="007E384E" w:rsidRPr="00C17027" w:rsidRDefault="007E384E">
            <w:pPr>
              <w:keepNext/>
              <w:outlineLvl w:val="1"/>
              <w:rPr>
                <w:rFonts w:ascii="Arial" w:eastAsia="MS Mincho" w:hAnsi="Arial" w:cs="Arial"/>
                <w:bCs/>
                <w:sz w:val="20"/>
                <w:szCs w:val="20"/>
                <w:lang w:val="en-GB"/>
              </w:rPr>
            </w:pPr>
          </w:p>
        </w:tc>
      </w:tr>
      <w:tr w:rsidR="007E384E" w:rsidRPr="00C17027" w14:paraId="0F674FFA" w14:textId="77777777" w:rsidTr="00B65778">
        <w:trPr>
          <w:trHeight w:val="20"/>
          <w:jc w:val="center"/>
        </w:trPr>
        <w:tc>
          <w:tcPr>
            <w:tcW w:w="1666" w:type="pct"/>
            <w:noWrap/>
            <w:hideMark/>
          </w:tcPr>
          <w:p w14:paraId="61BCE93E" w14:textId="77777777" w:rsidR="007E384E" w:rsidRPr="00C17027" w:rsidRDefault="00311DE4">
            <w:pPr>
              <w:rPr>
                <w:rFonts w:ascii="Arial" w:hAnsi="Arial" w:cs="Arial"/>
                <w:b/>
                <w:sz w:val="20"/>
                <w:szCs w:val="20"/>
                <w:lang w:val="en-GB"/>
              </w:rPr>
            </w:pPr>
            <w:r w:rsidRPr="00C17027">
              <w:rPr>
                <w:rFonts w:ascii="Arial" w:hAnsi="Arial" w:cs="Arial"/>
                <w:b/>
                <w:sz w:val="20"/>
                <w:szCs w:val="20"/>
                <w:lang w:val="en-GB"/>
              </w:rPr>
              <w:t>13. Are the limitations of the study discussed?</w:t>
            </w:r>
          </w:p>
          <w:p w14:paraId="274CD49B" w14:textId="77777777" w:rsidR="007E384E" w:rsidRPr="00C17027" w:rsidRDefault="00311DE4">
            <w:pPr>
              <w:rPr>
                <w:rFonts w:ascii="Arial" w:hAnsi="Arial" w:cs="Arial"/>
                <w:color w:val="404040"/>
                <w:sz w:val="20"/>
                <w:szCs w:val="20"/>
                <w:shd w:val="clear" w:color="auto" w:fill="FFFFFF"/>
                <w:lang w:val="en-GB"/>
              </w:rPr>
            </w:pPr>
            <w:r w:rsidRPr="00C17027">
              <w:rPr>
                <w:rFonts w:ascii="Arial" w:hAnsi="Arial" w:cs="Arial"/>
                <w:color w:val="404040"/>
                <w:sz w:val="20"/>
                <w:szCs w:val="20"/>
                <w:shd w:val="clear" w:color="auto" w:fill="FFFFFF"/>
                <w:lang w:val="en-GB"/>
              </w:rPr>
              <w:t xml:space="preserve">Rating Scale: </w:t>
            </w:r>
          </w:p>
          <w:p w14:paraId="4984F30F" w14:textId="77777777" w:rsidR="007E384E" w:rsidRPr="00C17027" w:rsidRDefault="00311DE4">
            <w:pPr>
              <w:rPr>
                <w:rFonts w:ascii="Arial" w:hAnsi="Arial" w:cs="Arial"/>
                <w:sz w:val="20"/>
                <w:szCs w:val="20"/>
                <w:lang w:val="en-GB"/>
              </w:rPr>
            </w:pPr>
            <w:r w:rsidRPr="00C17027">
              <w:rPr>
                <w:rFonts w:ascii="Arial" w:hAnsi="Arial" w:cs="Arial"/>
                <w:color w:val="404040"/>
                <w:sz w:val="20"/>
                <w:szCs w:val="20"/>
                <w:shd w:val="clear" w:color="auto" w:fill="FFFFFF"/>
                <w:lang w:val="en-GB"/>
              </w:rPr>
              <w:t>5 = Excellent 4 = Good 3 = Satisfactory 2 = Needs Improvement 1 = Poor N/A = Not Applicable</w:t>
            </w:r>
          </w:p>
        </w:tc>
        <w:tc>
          <w:tcPr>
            <w:tcW w:w="2644" w:type="pct"/>
          </w:tcPr>
          <w:p w14:paraId="5DDD1D54" w14:textId="77777777" w:rsidR="00623110" w:rsidRPr="00C17027" w:rsidRDefault="00623110" w:rsidP="00623110">
            <w:pPr>
              <w:contextualSpacing/>
              <w:rPr>
                <w:rFonts w:ascii="Arial" w:hAnsi="Arial" w:cs="Arial"/>
                <w:bCs/>
                <w:sz w:val="20"/>
                <w:szCs w:val="20"/>
                <w:rtl/>
                <w:lang w:val="en-GB"/>
              </w:rPr>
            </w:pPr>
            <w:r w:rsidRPr="00C17027">
              <w:rPr>
                <w:rFonts w:ascii="Arial" w:hAnsi="Arial" w:cs="Arial"/>
                <w:bCs/>
                <w:sz w:val="20"/>
                <w:szCs w:val="20"/>
                <w:rtl/>
                <w:lang w:val="en-GB"/>
              </w:rPr>
              <w:t>2</w:t>
            </w:r>
          </w:p>
          <w:p w14:paraId="0C6D5B7F" w14:textId="5D332107" w:rsidR="00623110" w:rsidRPr="00C17027" w:rsidRDefault="00623110" w:rsidP="00623110">
            <w:pPr>
              <w:contextualSpacing/>
              <w:rPr>
                <w:rFonts w:ascii="Arial" w:hAnsi="Arial" w:cs="Arial"/>
                <w:bCs/>
                <w:sz w:val="20"/>
                <w:szCs w:val="20"/>
                <w:lang w:val="en-GB"/>
              </w:rPr>
            </w:pPr>
            <w:r w:rsidRPr="00C17027">
              <w:rPr>
                <w:rFonts w:ascii="Arial" w:hAnsi="Arial" w:cs="Arial"/>
                <w:bCs/>
                <w:sz w:val="20"/>
                <w:szCs w:val="20"/>
                <w:lang w:val="en-GB"/>
              </w:rPr>
              <w:t>The manuscript lacks a critical discussion of its limitations. While the Introduction mentions outlining possible future research directions in Section 6 the actual Conclusion section only highlights the method's successes</w:t>
            </w:r>
          </w:p>
        </w:tc>
        <w:tc>
          <w:tcPr>
            <w:tcW w:w="689" w:type="pct"/>
          </w:tcPr>
          <w:p w14:paraId="5A5BD0D5" w14:textId="77777777" w:rsidR="007E384E" w:rsidRPr="00C17027" w:rsidRDefault="007E384E">
            <w:pPr>
              <w:keepNext/>
              <w:outlineLvl w:val="1"/>
              <w:rPr>
                <w:rFonts w:ascii="Arial" w:eastAsia="MS Mincho" w:hAnsi="Arial" w:cs="Arial"/>
                <w:bCs/>
                <w:sz w:val="20"/>
                <w:szCs w:val="20"/>
                <w:lang w:val="en-GB"/>
              </w:rPr>
            </w:pPr>
          </w:p>
        </w:tc>
      </w:tr>
      <w:tr w:rsidR="007E384E" w:rsidRPr="00C17027" w14:paraId="0E6D2A63" w14:textId="77777777" w:rsidTr="00B65778">
        <w:trPr>
          <w:trHeight w:val="20"/>
          <w:jc w:val="center"/>
        </w:trPr>
        <w:tc>
          <w:tcPr>
            <w:tcW w:w="1666" w:type="pct"/>
            <w:noWrap/>
            <w:hideMark/>
          </w:tcPr>
          <w:p w14:paraId="0973E012" w14:textId="77777777" w:rsidR="007E384E" w:rsidRPr="00C17027" w:rsidRDefault="00311DE4">
            <w:pPr>
              <w:rPr>
                <w:rFonts w:ascii="Arial" w:hAnsi="Arial" w:cs="Arial"/>
                <w:b/>
                <w:sz w:val="20"/>
                <w:szCs w:val="20"/>
                <w:lang w:val="en-GB"/>
              </w:rPr>
            </w:pPr>
            <w:r w:rsidRPr="00C17027">
              <w:rPr>
                <w:rFonts w:ascii="Arial" w:hAnsi="Arial" w:cs="Arial"/>
                <w:b/>
                <w:sz w:val="20"/>
                <w:szCs w:val="20"/>
                <w:lang w:val="en-GB"/>
              </w:rPr>
              <w:t>14. Are the references relevant and sufficient (in number)?</w:t>
            </w:r>
          </w:p>
          <w:p w14:paraId="3D67D97F" w14:textId="77777777" w:rsidR="007E384E" w:rsidRPr="00C17027" w:rsidRDefault="00311DE4">
            <w:pPr>
              <w:rPr>
                <w:rFonts w:ascii="Arial" w:hAnsi="Arial" w:cs="Arial"/>
                <w:color w:val="404040"/>
                <w:sz w:val="20"/>
                <w:szCs w:val="20"/>
                <w:shd w:val="clear" w:color="auto" w:fill="FFFFFF"/>
                <w:lang w:val="en-GB"/>
              </w:rPr>
            </w:pPr>
            <w:r w:rsidRPr="00C17027">
              <w:rPr>
                <w:rFonts w:ascii="Arial" w:hAnsi="Arial" w:cs="Arial"/>
                <w:color w:val="404040"/>
                <w:sz w:val="20"/>
                <w:szCs w:val="20"/>
                <w:shd w:val="clear" w:color="auto" w:fill="FFFFFF"/>
                <w:lang w:val="en-GB"/>
              </w:rPr>
              <w:t xml:space="preserve">Rating Scale: </w:t>
            </w:r>
          </w:p>
          <w:p w14:paraId="540FB780" w14:textId="77777777" w:rsidR="007E384E" w:rsidRPr="00C17027" w:rsidRDefault="00311DE4">
            <w:pPr>
              <w:rPr>
                <w:rFonts w:ascii="Arial" w:hAnsi="Arial" w:cs="Arial"/>
                <w:color w:val="404040"/>
                <w:sz w:val="20"/>
                <w:szCs w:val="20"/>
                <w:shd w:val="clear" w:color="auto" w:fill="FFFFFF"/>
                <w:lang w:val="en-GB"/>
              </w:rPr>
            </w:pPr>
            <w:r w:rsidRPr="00C17027">
              <w:rPr>
                <w:rFonts w:ascii="Arial" w:hAnsi="Arial" w:cs="Arial"/>
                <w:color w:val="404040"/>
                <w:sz w:val="20"/>
                <w:szCs w:val="20"/>
                <w:shd w:val="clear" w:color="auto" w:fill="FFFFFF"/>
                <w:lang w:val="en-GB"/>
              </w:rPr>
              <w:t xml:space="preserve">5 = Excellent 4 = Good 3 = Satisfactory 2 = Needs Improvement 1 = Poor </w:t>
            </w:r>
          </w:p>
          <w:p w14:paraId="79FF8595" w14:textId="77777777" w:rsidR="007E384E" w:rsidRPr="00C17027" w:rsidRDefault="00311DE4">
            <w:pPr>
              <w:rPr>
                <w:rFonts w:ascii="Arial" w:hAnsi="Arial" w:cs="Arial"/>
                <w:sz w:val="20"/>
                <w:szCs w:val="20"/>
                <w:lang w:val="en-GB"/>
              </w:rPr>
            </w:pPr>
            <w:r w:rsidRPr="00C17027">
              <w:rPr>
                <w:rFonts w:ascii="Arial" w:hAnsi="Arial" w:cs="Arial"/>
                <w:color w:val="404040"/>
                <w:sz w:val="20"/>
                <w:szCs w:val="20"/>
                <w:shd w:val="clear" w:color="auto" w:fill="FFFFFF"/>
                <w:lang w:val="en-GB"/>
              </w:rPr>
              <w:t>N/A = Not Applicable</w:t>
            </w:r>
          </w:p>
        </w:tc>
        <w:tc>
          <w:tcPr>
            <w:tcW w:w="2644" w:type="pct"/>
          </w:tcPr>
          <w:p w14:paraId="4092E718" w14:textId="77777777" w:rsidR="007E384E" w:rsidRPr="00C17027" w:rsidRDefault="0037055C">
            <w:pPr>
              <w:contextualSpacing/>
              <w:rPr>
                <w:rFonts w:ascii="Arial" w:hAnsi="Arial" w:cs="Arial"/>
                <w:bCs/>
                <w:sz w:val="20"/>
                <w:szCs w:val="20"/>
                <w:rtl/>
                <w:lang w:val="en-GB"/>
              </w:rPr>
            </w:pPr>
            <w:r w:rsidRPr="00C17027">
              <w:rPr>
                <w:rFonts w:ascii="Arial" w:hAnsi="Arial" w:cs="Arial"/>
                <w:bCs/>
                <w:sz w:val="20"/>
                <w:szCs w:val="20"/>
                <w:rtl/>
                <w:lang w:val="en-GB"/>
              </w:rPr>
              <w:t>5</w:t>
            </w:r>
          </w:p>
          <w:p w14:paraId="5AB4AE65" w14:textId="725571A9" w:rsidR="0037055C" w:rsidRPr="00C17027" w:rsidRDefault="0037055C">
            <w:pPr>
              <w:contextualSpacing/>
              <w:rPr>
                <w:rFonts w:ascii="Arial" w:hAnsi="Arial" w:cs="Arial"/>
                <w:bCs/>
                <w:sz w:val="20"/>
                <w:szCs w:val="20"/>
                <w:lang w:val="en-GB"/>
              </w:rPr>
            </w:pPr>
            <w:r w:rsidRPr="00C17027">
              <w:rPr>
                <w:rFonts w:ascii="Arial" w:hAnsi="Arial" w:cs="Arial"/>
                <w:bCs/>
                <w:sz w:val="20"/>
                <w:szCs w:val="20"/>
                <w:lang w:val="en-GB"/>
              </w:rPr>
              <w:t xml:space="preserve">The bibliography contains 12 distinct sources </w:t>
            </w:r>
            <w:proofErr w:type="spellStart"/>
            <w:r w:rsidRPr="00C17027">
              <w:rPr>
                <w:rFonts w:ascii="Arial" w:hAnsi="Arial" w:cs="Arial"/>
                <w:bCs/>
                <w:sz w:val="20"/>
                <w:szCs w:val="20"/>
                <w:lang w:val="en-GB"/>
              </w:rPr>
              <w:t>hich</w:t>
            </w:r>
            <w:proofErr w:type="spellEnd"/>
            <w:r w:rsidRPr="00C17027">
              <w:rPr>
                <w:rFonts w:ascii="Arial" w:hAnsi="Arial" w:cs="Arial"/>
                <w:bCs/>
                <w:sz w:val="20"/>
                <w:szCs w:val="20"/>
                <w:lang w:val="en-GB"/>
              </w:rPr>
              <w:t xml:space="preserve"> is highly sufficient for a focused mathematical paper of this scope.</w:t>
            </w:r>
          </w:p>
        </w:tc>
        <w:tc>
          <w:tcPr>
            <w:tcW w:w="689" w:type="pct"/>
          </w:tcPr>
          <w:p w14:paraId="60934FE7" w14:textId="77777777" w:rsidR="007E384E" w:rsidRPr="00C17027" w:rsidRDefault="007E384E">
            <w:pPr>
              <w:keepNext/>
              <w:outlineLvl w:val="1"/>
              <w:rPr>
                <w:rFonts w:ascii="Arial" w:eastAsia="MS Mincho" w:hAnsi="Arial" w:cs="Arial"/>
                <w:bCs/>
                <w:sz w:val="20"/>
                <w:szCs w:val="20"/>
                <w:lang w:val="en-GB"/>
              </w:rPr>
            </w:pPr>
          </w:p>
        </w:tc>
      </w:tr>
      <w:tr w:rsidR="007E384E" w:rsidRPr="00C17027" w14:paraId="34C82CB5" w14:textId="77777777" w:rsidTr="00B65778">
        <w:trPr>
          <w:trHeight w:val="20"/>
          <w:jc w:val="center"/>
        </w:trPr>
        <w:tc>
          <w:tcPr>
            <w:tcW w:w="1666" w:type="pct"/>
            <w:noWrap/>
            <w:hideMark/>
          </w:tcPr>
          <w:p w14:paraId="0CFFC6CC" w14:textId="77777777" w:rsidR="007E384E" w:rsidRPr="00C17027" w:rsidRDefault="00311DE4">
            <w:pPr>
              <w:rPr>
                <w:rFonts w:ascii="Arial" w:hAnsi="Arial" w:cs="Arial"/>
                <w:b/>
                <w:sz w:val="20"/>
                <w:szCs w:val="20"/>
                <w:lang w:val="en-GB"/>
              </w:rPr>
            </w:pPr>
            <w:r w:rsidRPr="00C17027">
              <w:rPr>
                <w:rFonts w:ascii="Arial" w:hAnsi="Arial" w:cs="Arial"/>
                <w:b/>
                <w:sz w:val="20"/>
                <w:szCs w:val="20"/>
                <w:lang w:val="en-GB"/>
              </w:rPr>
              <w:t>15. Is the manuscript written in clear and understandable language?</w:t>
            </w:r>
          </w:p>
          <w:p w14:paraId="4B7A47BE" w14:textId="77777777" w:rsidR="007E384E" w:rsidRPr="00C17027" w:rsidRDefault="00311DE4">
            <w:pPr>
              <w:rPr>
                <w:rFonts w:ascii="Arial" w:hAnsi="Arial" w:cs="Arial"/>
                <w:color w:val="404040"/>
                <w:sz w:val="20"/>
                <w:szCs w:val="20"/>
                <w:shd w:val="clear" w:color="auto" w:fill="FFFFFF"/>
                <w:lang w:val="en-GB"/>
              </w:rPr>
            </w:pPr>
            <w:r w:rsidRPr="00C17027">
              <w:rPr>
                <w:rFonts w:ascii="Arial" w:hAnsi="Arial" w:cs="Arial"/>
                <w:color w:val="404040"/>
                <w:sz w:val="20"/>
                <w:szCs w:val="20"/>
                <w:shd w:val="clear" w:color="auto" w:fill="FFFFFF"/>
                <w:lang w:val="en-GB"/>
              </w:rPr>
              <w:t xml:space="preserve">Rating Scale: </w:t>
            </w:r>
          </w:p>
          <w:p w14:paraId="2D1F1060" w14:textId="77777777" w:rsidR="007E384E" w:rsidRPr="00C17027" w:rsidRDefault="00311DE4">
            <w:pPr>
              <w:rPr>
                <w:rFonts w:ascii="Arial" w:hAnsi="Arial" w:cs="Arial"/>
                <w:color w:val="404040"/>
                <w:sz w:val="20"/>
                <w:szCs w:val="20"/>
                <w:shd w:val="clear" w:color="auto" w:fill="FFFFFF"/>
                <w:lang w:val="en-GB"/>
              </w:rPr>
            </w:pPr>
            <w:r w:rsidRPr="00C17027">
              <w:rPr>
                <w:rFonts w:ascii="Arial" w:hAnsi="Arial" w:cs="Arial"/>
                <w:color w:val="404040"/>
                <w:sz w:val="20"/>
                <w:szCs w:val="20"/>
                <w:shd w:val="clear" w:color="auto" w:fill="FFFFFF"/>
                <w:lang w:val="en-GB"/>
              </w:rPr>
              <w:t xml:space="preserve">5 = Excellent 4 = Good 3 = Satisfactory 2 = Needs Improvement 1 = Poor </w:t>
            </w:r>
          </w:p>
          <w:p w14:paraId="1BC4103D" w14:textId="77777777" w:rsidR="007E384E" w:rsidRPr="00C17027" w:rsidRDefault="00311DE4">
            <w:pPr>
              <w:rPr>
                <w:rFonts w:ascii="Arial" w:hAnsi="Arial" w:cs="Arial"/>
                <w:sz w:val="20"/>
                <w:szCs w:val="20"/>
                <w:lang w:val="en-GB"/>
              </w:rPr>
            </w:pPr>
            <w:r w:rsidRPr="00C17027">
              <w:rPr>
                <w:rFonts w:ascii="Arial" w:hAnsi="Arial" w:cs="Arial"/>
                <w:color w:val="404040"/>
                <w:sz w:val="20"/>
                <w:szCs w:val="20"/>
                <w:shd w:val="clear" w:color="auto" w:fill="FFFFFF"/>
                <w:lang w:val="en-GB"/>
              </w:rPr>
              <w:t>N/A = Not Applicable</w:t>
            </w:r>
          </w:p>
        </w:tc>
        <w:tc>
          <w:tcPr>
            <w:tcW w:w="2644" w:type="pct"/>
          </w:tcPr>
          <w:p w14:paraId="5EB1F60E" w14:textId="77777777" w:rsidR="007E384E" w:rsidRPr="00C17027" w:rsidRDefault="00356AC5">
            <w:pPr>
              <w:contextualSpacing/>
              <w:rPr>
                <w:rFonts w:ascii="Arial" w:hAnsi="Arial" w:cs="Arial"/>
                <w:bCs/>
                <w:sz w:val="20"/>
                <w:szCs w:val="20"/>
                <w:lang w:val="en-GB"/>
              </w:rPr>
            </w:pPr>
            <w:r w:rsidRPr="00C17027">
              <w:rPr>
                <w:rFonts w:ascii="Arial" w:hAnsi="Arial" w:cs="Arial"/>
                <w:bCs/>
                <w:sz w:val="20"/>
                <w:szCs w:val="20"/>
                <w:lang w:val="en-GB"/>
              </w:rPr>
              <w:t>5</w:t>
            </w:r>
          </w:p>
          <w:p w14:paraId="4BAFB413" w14:textId="6C3972CA" w:rsidR="004D6076" w:rsidRPr="00C17027" w:rsidRDefault="004D6076">
            <w:pPr>
              <w:contextualSpacing/>
              <w:rPr>
                <w:rFonts w:ascii="Arial" w:hAnsi="Arial" w:cs="Arial"/>
                <w:bCs/>
                <w:sz w:val="20"/>
                <w:szCs w:val="20"/>
                <w:lang w:val="en-GB"/>
              </w:rPr>
            </w:pPr>
            <w:r w:rsidRPr="00C17027">
              <w:rPr>
                <w:rFonts w:ascii="Arial" w:eastAsia="MS Mincho" w:hAnsi="Arial" w:cs="Arial"/>
                <w:bCs/>
                <w:sz w:val="20"/>
                <w:szCs w:val="20"/>
              </w:rPr>
              <w:t>The manuscript is written academic English. The transition between theoretical proofs and numerical explanations is smooth and the mathematical notation is consistently applied throughout the theorems and proofs .</w:t>
            </w:r>
          </w:p>
        </w:tc>
        <w:tc>
          <w:tcPr>
            <w:tcW w:w="689" w:type="pct"/>
          </w:tcPr>
          <w:p w14:paraId="2E9C146C" w14:textId="12558A18" w:rsidR="007E384E" w:rsidRPr="00C17027" w:rsidRDefault="007E384E" w:rsidP="00356AC5">
            <w:pPr>
              <w:keepNext/>
              <w:outlineLvl w:val="1"/>
              <w:rPr>
                <w:rFonts w:ascii="Arial" w:eastAsia="MS Mincho" w:hAnsi="Arial" w:cs="Arial"/>
                <w:bCs/>
                <w:sz w:val="20"/>
                <w:szCs w:val="20"/>
                <w:lang w:val="en-GB"/>
              </w:rPr>
            </w:pPr>
          </w:p>
        </w:tc>
      </w:tr>
    </w:tbl>
    <w:p w14:paraId="715A6706" w14:textId="77777777" w:rsidR="007E384E" w:rsidRPr="00C17027" w:rsidRDefault="007E384E">
      <w:pPr>
        <w:jc w:val="both"/>
        <w:rPr>
          <w:rFonts w:ascii="Arial" w:eastAsia="MS Mincho" w:hAnsi="Arial" w:cs="Arial"/>
          <w:b/>
          <w:bCs/>
          <w:sz w:val="20"/>
          <w:szCs w:val="20"/>
          <w:u w:val="single"/>
          <w:lang w:val="en-GB" w:eastAsia="x-none"/>
        </w:rPr>
      </w:pPr>
    </w:p>
    <w:p w14:paraId="342F3D74" w14:textId="77777777" w:rsidR="007E384E" w:rsidRPr="00C17027" w:rsidRDefault="00311DE4">
      <w:pPr>
        <w:keepNext/>
        <w:outlineLvl w:val="1"/>
        <w:rPr>
          <w:rFonts w:ascii="Arial" w:eastAsia="MS Mincho" w:hAnsi="Arial" w:cs="Arial"/>
          <w:b/>
          <w:bCs/>
          <w:sz w:val="20"/>
          <w:szCs w:val="20"/>
          <w:u w:val="single"/>
          <w:lang w:val="en-GB"/>
        </w:rPr>
      </w:pPr>
      <w:r w:rsidRPr="00C17027">
        <w:rPr>
          <w:rFonts w:ascii="Arial" w:eastAsia="MS Mincho" w:hAnsi="Arial" w:cs="Arial"/>
          <w:b/>
          <w:bCs/>
          <w:sz w:val="20"/>
          <w:szCs w:val="20"/>
          <w:highlight w:val="yellow"/>
          <w:u w:val="single"/>
          <w:lang w:val="en-GB"/>
        </w:rPr>
        <w:t>PART 2.2 (Subjective Evaluation)</w:t>
      </w:r>
    </w:p>
    <w:p w14:paraId="135550C1" w14:textId="77777777" w:rsidR="007E384E" w:rsidRPr="00C17027" w:rsidRDefault="007E38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5"/>
        <w:gridCol w:w="5971"/>
        <w:gridCol w:w="3144"/>
      </w:tblGrid>
      <w:tr w:rsidR="007E384E" w:rsidRPr="00C17027" w14:paraId="7849DEC7" w14:textId="77777777" w:rsidTr="00063D68">
        <w:trPr>
          <w:trHeight w:val="20"/>
          <w:jc w:val="center"/>
        </w:trPr>
        <w:tc>
          <w:tcPr>
            <w:tcW w:w="1666" w:type="pct"/>
            <w:noWrap/>
          </w:tcPr>
          <w:p w14:paraId="4B07A5C6" w14:textId="77777777" w:rsidR="007E384E" w:rsidRPr="00C17027" w:rsidRDefault="007E384E">
            <w:pPr>
              <w:keepNext/>
              <w:outlineLvl w:val="1"/>
              <w:rPr>
                <w:rFonts w:ascii="Arial" w:eastAsia="MS Mincho" w:hAnsi="Arial" w:cs="Arial"/>
                <w:b/>
                <w:bCs/>
                <w:sz w:val="20"/>
                <w:szCs w:val="20"/>
                <w:lang w:val="en-GB"/>
              </w:rPr>
            </w:pPr>
          </w:p>
        </w:tc>
        <w:tc>
          <w:tcPr>
            <w:tcW w:w="2184" w:type="pct"/>
          </w:tcPr>
          <w:p w14:paraId="7F6F7677" w14:textId="77777777" w:rsidR="007E384E" w:rsidRPr="00C17027" w:rsidRDefault="00311DE4" w:rsidP="00063D68">
            <w:pPr>
              <w:keepNext/>
              <w:jc w:val="center"/>
              <w:outlineLvl w:val="1"/>
              <w:rPr>
                <w:rFonts w:ascii="Arial" w:eastAsia="MS Mincho" w:hAnsi="Arial" w:cs="Arial"/>
                <w:b/>
                <w:bCs/>
                <w:sz w:val="20"/>
                <w:szCs w:val="20"/>
                <w:lang w:val="en-GB"/>
              </w:rPr>
            </w:pPr>
            <w:r w:rsidRPr="00C17027">
              <w:rPr>
                <w:rFonts w:ascii="Arial" w:eastAsia="MS Mincho" w:hAnsi="Arial" w:cs="Arial"/>
                <w:b/>
                <w:bCs/>
                <w:sz w:val="20"/>
                <w:szCs w:val="20"/>
                <w:lang w:val="en-GB"/>
              </w:rPr>
              <w:t>Reviewer’s comment</w:t>
            </w:r>
          </w:p>
          <w:p w14:paraId="7220B5C1" w14:textId="77777777" w:rsidR="007E384E" w:rsidRPr="00C17027" w:rsidRDefault="007E384E" w:rsidP="00063D68">
            <w:pPr>
              <w:jc w:val="center"/>
              <w:rPr>
                <w:rFonts w:ascii="Arial" w:hAnsi="Arial" w:cs="Arial"/>
                <w:sz w:val="20"/>
                <w:szCs w:val="20"/>
                <w:lang w:val="en-GB"/>
              </w:rPr>
            </w:pPr>
          </w:p>
        </w:tc>
        <w:tc>
          <w:tcPr>
            <w:tcW w:w="1150" w:type="pct"/>
          </w:tcPr>
          <w:p w14:paraId="6BE99722" w14:textId="77777777" w:rsidR="007E384E" w:rsidRPr="00C17027" w:rsidRDefault="00311DE4">
            <w:pPr>
              <w:spacing w:after="160" w:line="256" w:lineRule="auto"/>
              <w:rPr>
                <w:rFonts w:ascii="Arial" w:eastAsia="Calibri" w:hAnsi="Arial" w:cs="Arial"/>
                <w:kern w:val="2"/>
                <w:sz w:val="20"/>
                <w:szCs w:val="20"/>
                <w:lang w:val="en-IN"/>
              </w:rPr>
            </w:pPr>
            <w:r w:rsidRPr="00C17027">
              <w:rPr>
                <w:rFonts w:ascii="Arial" w:eastAsia="Calibri" w:hAnsi="Arial" w:cs="Arial"/>
                <w:b/>
                <w:kern w:val="2"/>
                <w:sz w:val="20"/>
                <w:szCs w:val="20"/>
                <w:lang w:val="en-IN"/>
              </w:rPr>
              <w:t>Author’s Feedback</w:t>
            </w:r>
            <w:r w:rsidRPr="00C17027">
              <w:rPr>
                <w:rFonts w:ascii="Arial" w:eastAsia="Calibri" w:hAnsi="Arial" w:cs="Arial"/>
                <w:kern w:val="2"/>
                <w:sz w:val="20"/>
                <w:szCs w:val="20"/>
                <w:lang w:val="en-IN"/>
              </w:rPr>
              <w:t xml:space="preserve"> (It is mandatory that authors should write his/her feedback here)</w:t>
            </w:r>
          </w:p>
          <w:p w14:paraId="7B57F473" w14:textId="77777777" w:rsidR="007E384E" w:rsidRPr="00C17027" w:rsidRDefault="007E384E">
            <w:pPr>
              <w:keepNext/>
              <w:outlineLvl w:val="1"/>
              <w:rPr>
                <w:rFonts w:ascii="Arial" w:eastAsia="MS Mincho" w:hAnsi="Arial" w:cs="Arial"/>
                <w:bCs/>
                <w:sz w:val="20"/>
                <w:szCs w:val="20"/>
                <w:lang w:val="en-GB"/>
              </w:rPr>
            </w:pPr>
          </w:p>
        </w:tc>
      </w:tr>
      <w:tr w:rsidR="00341579" w:rsidRPr="00C17027" w14:paraId="3BFD40BC" w14:textId="77777777" w:rsidTr="00063D68">
        <w:trPr>
          <w:trHeight w:val="20"/>
          <w:jc w:val="center"/>
        </w:trPr>
        <w:tc>
          <w:tcPr>
            <w:tcW w:w="1666" w:type="pct"/>
            <w:noWrap/>
          </w:tcPr>
          <w:p w14:paraId="44F47400" w14:textId="77777777" w:rsidR="00341579" w:rsidRPr="00C17027" w:rsidRDefault="00341579" w:rsidP="00341579">
            <w:pPr>
              <w:rPr>
                <w:rFonts w:ascii="Arial" w:hAnsi="Arial" w:cs="Arial"/>
                <w:b/>
                <w:bCs/>
                <w:sz w:val="20"/>
                <w:szCs w:val="20"/>
                <w:lang w:val="en-GB"/>
              </w:rPr>
            </w:pPr>
            <w:r w:rsidRPr="00C17027">
              <w:rPr>
                <w:rFonts w:ascii="Arial" w:hAnsi="Arial" w:cs="Arial"/>
                <w:b/>
                <w:bCs/>
                <w:sz w:val="20"/>
                <w:szCs w:val="20"/>
                <w:lang w:val="en-GB"/>
              </w:rPr>
              <w:t>Is the title of the article suitable?</w:t>
            </w:r>
          </w:p>
          <w:p w14:paraId="7112F9A4" w14:textId="77777777" w:rsidR="00341579" w:rsidRPr="00C17027" w:rsidRDefault="00341579" w:rsidP="00341579">
            <w:pPr>
              <w:rPr>
                <w:rFonts w:ascii="Arial" w:hAnsi="Arial" w:cs="Arial"/>
                <w:bCs/>
                <w:sz w:val="20"/>
                <w:szCs w:val="20"/>
                <w:lang w:val="en-GB"/>
              </w:rPr>
            </w:pPr>
          </w:p>
          <w:p w14:paraId="7FFFFA04" w14:textId="77777777" w:rsidR="00341579" w:rsidRPr="00C17027" w:rsidRDefault="00341579" w:rsidP="00341579">
            <w:pPr>
              <w:rPr>
                <w:rFonts w:ascii="Arial" w:hAnsi="Arial" w:cs="Arial"/>
                <w:bCs/>
                <w:sz w:val="20"/>
                <w:szCs w:val="20"/>
                <w:lang w:val="en-GB"/>
              </w:rPr>
            </w:pPr>
            <w:r w:rsidRPr="00C17027">
              <w:rPr>
                <w:rFonts w:ascii="Arial" w:hAnsi="Arial" w:cs="Arial"/>
                <w:bCs/>
                <w:sz w:val="20"/>
                <w:szCs w:val="20"/>
                <w:lang w:val="en-GB"/>
              </w:rPr>
              <w:t>If your answer is NO, please provide a brief, clear suggestion for improvement.</w:t>
            </w:r>
          </w:p>
          <w:p w14:paraId="1A276BF5" w14:textId="77777777" w:rsidR="00341579" w:rsidRPr="00C17027" w:rsidRDefault="00341579" w:rsidP="00341579">
            <w:pPr>
              <w:rPr>
                <w:rFonts w:ascii="Arial" w:hAnsi="Arial" w:cs="Arial"/>
                <w:sz w:val="20"/>
                <w:szCs w:val="20"/>
                <w:u w:val="single"/>
                <w:lang w:val="en-GB"/>
              </w:rPr>
            </w:pPr>
          </w:p>
        </w:tc>
        <w:tc>
          <w:tcPr>
            <w:tcW w:w="2184" w:type="pct"/>
          </w:tcPr>
          <w:p w14:paraId="75655D42" w14:textId="3F393B55" w:rsidR="00341579" w:rsidRPr="00C17027" w:rsidRDefault="00341579" w:rsidP="00063D68">
            <w:pPr>
              <w:ind w:left="360"/>
              <w:jc w:val="center"/>
              <w:rPr>
                <w:rFonts w:ascii="Arial" w:hAnsi="Arial" w:cs="Arial"/>
                <w:b/>
                <w:bCs/>
                <w:sz w:val="20"/>
                <w:szCs w:val="20"/>
                <w:lang w:val="en-GB"/>
              </w:rPr>
            </w:pPr>
            <w:r w:rsidRPr="00C17027">
              <w:rPr>
                <w:rFonts w:ascii="Arial" w:hAnsi="Arial" w:cs="Arial"/>
                <w:bCs/>
                <w:sz w:val="20"/>
                <w:szCs w:val="20"/>
                <w:lang w:val="en-GB"/>
              </w:rPr>
              <w:t>Yes</w:t>
            </w:r>
          </w:p>
        </w:tc>
        <w:tc>
          <w:tcPr>
            <w:tcW w:w="1150" w:type="pct"/>
          </w:tcPr>
          <w:p w14:paraId="4CB7A337" w14:textId="77777777" w:rsidR="00341579" w:rsidRPr="00C17027" w:rsidRDefault="00341579" w:rsidP="00341579">
            <w:pPr>
              <w:keepNext/>
              <w:outlineLvl w:val="1"/>
              <w:rPr>
                <w:rFonts w:ascii="Arial" w:eastAsia="MS Mincho" w:hAnsi="Arial" w:cs="Arial"/>
                <w:bCs/>
                <w:sz w:val="20"/>
                <w:szCs w:val="20"/>
                <w:lang w:val="en-GB"/>
              </w:rPr>
            </w:pPr>
          </w:p>
        </w:tc>
      </w:tr>
      <w:tr w:rsidR="00341579" w:rsidRPr="00C17027" w14:paraId="63284C75" w14:textId="77777777" w:rsidTr="00063D68">
        <w:trPr>
          <w:trHeight w:val="20"/>
          <w:jc w:val="center"/>
        </w:trPr>
        <w:tc>
          <w:tcPr>
            <w:tcW w:w="1666" w:type="pct"/>
            <w:noWrap/>
          </w:tcPr>
          <w:p w14:paraId="7DA93845" w14:textId="77777777" w:rsidR="00341579" w:rsidRPr="00C17027" w:rsidRDefault="00341579" w:rsidP="00341579">
            <w:pPr>
              <w:keepNext/>
              <w:outlineLvl w:val="1"/>
              <w:rPr>
                <w:rFonts w:ascii="Arial" w:eastAsia="MS Mincho" w:hAnsi="Arial" w:cs="Arial"/>
                <w:b/>
                <w:bCs/>
                <w:sz w:val="20"/>
                <w:szCs w:val="20"/>
                <w:lang w:val="en-GB"/>
              </w:rPr>
            </w:pPr>
            <w:r w:rsidRPr="00C17027">
              <w:rPr>
                <w:rFonts w:ascii="Arial" w:eastAsia="MS Mincho" w:hAnsi="Arial" w:cs="Arial"/>
                <w:b/>
                <w:bCs/>
                <w:sz w:val="20"/>
                <w:szCs w:val="20"/>
                <w:lang w:val="en-GB"/>
              </w:rPr>
              <w:t xml:space="preserve">Is the abstract of the article comprehensive? </w:t>
            </w:r>
          </w:p>
          <w:p w14:paraId="5FE0B64F" w14:textId="77777777" w:rsidR="00341579" w:rsidRPr="00C17027" w:rsidRDefault="00341579" w:rsidP="00341579">
            <w:pPr>
              <w:rPr>
                <w:rFonts w:ascii="Arial" w:hAnsi="Arial" w:cs="Arial"/>
                <w:bCs/>
                <w:sz w:val="20"/>
                <w:szCs w:val="20"/>
                <w:lang w:val="en-GB"/>
              </w:rPr>
            </w:pPr>
            <w:r w:rsidRPr="00C17027">
              <w:rPr>
                <w:rFonts w:ascii="Arial" w:hAnsi="Arial" w:cs="Arial"/>
                <w:bCs/>
                <w:sz w:val="20"/>
                <w:szCs w:val="20"/>
                <w:lang w:val="en-GB"/>
              </w:rPr>
              <w:t>s</w:t>
            </w:r>
          </w:p>
          <w:p w14:paraId="4ABEEFA8" w14:textId="77777777" w:rsidR="00341579" w:rsidRPr="00C17027" w:rsidRDefault="00341579" w:rsidP="00341579">
            <w:pPr>
              <w:rPr>
                <w:rFonts w:ascii="Arial" w:hAnsi="Arial" w:cs="Arial"/>
                <w:bCs/>
                <w:sz w:val="20"/>
                <w:szCs w:val="20"/>
                <w:lang w:val="en-GB"/>
              </w:rPr>
            </w:pPr>
            <w:r w:rsidRPr="00C17027">
              <w:rPr>
                <w:rFonts w:ascii="Arial" w:hAnsi="Arial" w:cs="Arial"/>
                <w:bCs/>
                <w:sz w:val="20"/>
                <w:szCs w:val="20"/>
                <w:lang w:val="en-GB"/>
              </w:rPr>
              <w:t>If your answer is NO, please provide a brief, clear suggestion for improvement.</w:t>
            </w:r>
          </w:p>
          <w:p w14:paraId="19FCDCA5" w14:textId="77777777" w:rsidR="00341579" w:rsidRPr="00C17027" w:rsidRDefault="00341579" w:rsidP="00341579">
            <w:pPr>
              <w:rPr>
                <w:rFonts w:ascii="Arial" w:hAnsi="Arial" w:cs="Arial"/>
                <w:sz w:val="20"/>
                <w:szCs w:val="20"/>
                <w:lang w:val="en-GB"/>
              </w:rPr>
            </w:pPr>
          </w:p>
        </w:tc>
        <w:tc>
          <w:tcPr>
            <w:tcW w:w="2184" w:type="pct"/>
          </w:tcPr>
          <w:p w14:paraId="14A96CE7" w14:textId="3CE3CDF5" w:rsidR="00341579" w:rsidRPr="00C17027" w:rsidRDefault="00341579" w:rsidP="00063D68">
            <w:pPr>
              <w:ind w:left="360"/>
              <w:jc w:val="center"/>
              <w:rPr>
                <w:rFonts w:ascii="Arial" w:hAnsi="Arial" w:cs="Arial"/>
                <w:b/>
                <w:bCs/>
                <w:sz w:val="20"/>
                <w:szCs w:val="20"/>
                <w:lang w:val="en-GB"/>
              </w:rPr>
            </w:pPr>
            <w:r w:rsidRPr="00C17027">
              <w:rPr>
                <w:rFonts w:ascii="Arial" w:hAnsi="Arial" w:cs="Arial"/>
                <w:bCs/>
                <w:sz w:val="20"/>
                <w:szCs w:val="20"/>
                <w:lang w:val="en-GB"/>
              </w:rPr>
              <w:t>Yes</w:t>
            </w:r>
          </w:p>
        </w:tc>
        <w:tc>
          <w:tcPr>
            <w:tcW w:w="1150" w:type="pct"/>
          </w:tcPr>
          <w:p w14:paraId="42C38DEB" w14:textId="77777777" w:rsidR="00341579" w:rsidRPr="00C17027" w:rsidRDefault="00341579" w:rsidP="00341579">
            <w:pPr>
              <w:keepNext/>
              <w:outlineLvl w:val="1"/>
              <w:rPr>
                <w:rFonts w:ascii="Arial" w:eastAsia="MS Mincho" w:hAnsi="Arial" w:cs="Arial"/>
                <w:bCs/>
                <w:sz w:val="20"/>
                <w:szCs w:val="20"/>
                <w:lang w:val="en-GB"/>
              </w:rPr>
            </w:pPr>
          </w:p>
        </w:tc>
      </w:tr>
      <w:tr w:rsidR="007E384E" w:rsidRPr="00C17027" w14:paraId="198AAC28" w14:textId="77777777" w:rsidTr="00063D68">
        <w:trPr>
          <w:trHeight w:val="20"/>
          <w:jc w:val="center"/>
        </w:trPr>
        <w:tc>
          <w:tcPr>
            <w:tcW w:w="1666" w:type="pct"/>
            <w:noWrap/>
            <w:hideMark/>
          </w:tcPr>
          <w:p w14:paraId="1C0A0769" w14:textId="77777777" w:rsidR="007E384E" w:rsidRPr="00C17027" w:rsidRDefault="00311DE4">
            <w:pPr>
              <w:keepNext/>
              <w:outlineLvl w:val="1"/>
              <w:rPr>
                <w:rFonts w:ascii="Arial" w:eastAsia="MS Mincho" w:hAnsi="Arial" w:cs="Arial"/>
                <w:bCs/>
                <w:sz w:val="20"/>
                <w:szCs w:val="20"/>
                <w:lang w:val="en-GB"/>
              </w:rPr>
            </w:pPr>
            <w:r w:rsidRPr="00C17027">
              <w:rPr>
                <w:rFonts w:ascii="Arial" w:eastAsia="MS Mincho" w:hAnsi="Arial" w:cs="Arial"/>
                <w:b/>
                <w:bCs/>
                <w:sz w:val="20"/>
                <w:szCs w:val="20"/>
                <w:lang w:val="en-GB"/>
              </w:rPr>
              <w:t xml:space="preserve">Is the manuscript scientifically correct? </w:t>
            </w:r>
            <w:r w:rsidRPr="00C17027">
              <w:rPr>
                <w:rFonts w:ascii="Arial" w:eastAsia="MS Mincho" w:hAnsi="Arial" w:cs="Arial"/>
                <w:b/>
                <w:bCs/>
                <w:sz w:val="20"/>
                <w:szCs w:val="20"/>
                <w:lang w:val="en-GB"/>
              </w:rPr>
              <w:br/>
            </w:r>
          </w:p>
          <w:p w14:paraId="47CB17FE" w14:textId="77777777" w:rsidR="007E384E" w:rsidRPr="00C17027" w:rsidRDefault="00311DE4">
            <w:pPr>
              <w:rPr>
                <w:rFonts w:ascii="Arial" w:hAnsi="Arial" w:cs="Arial"/>
                <w:bCs/>
                <w:sz w:val="20"/>
                <w:szCs w:val="20"/>
                <w:lang w:val="en-GB"/>
              </w:rPr>
            </w:pPr>
            <w:r w:rsidRPr="00C17027">
              <w:rPr>
                <w:rFonts w:ascii="Arial" w:hAnsi="Arial" w:cs="Arial"/>
                <w:bCs/>
                <w:sz w:val="20"/>
                <w:szCs w:val="20"/>
                <w:lang w:val="en-GB"/>
              </w:rPr>
              <w:t>If your answer is NO, please provide a brief, clear suggestion for improvement</w:t>
            </w:r>
          </w:p>
          <w:p w14:paraId="556444BD" w14:textId="77777777" w:rsidR="007E384E" w:rsidRPr="00C17027" w:rsidRDefault="00311DE4">
            <w:pPr>
              <w:rPr>
                <w:rFonts w:ascii="Arial" w:hAnsi="Arial" w:cs="Arial"/>
                <w:b/>
                <w:sz w:val="20"/>
                <w:szCs w:val="20"/>
                <w:lang w:val="en-GB"/>
              </w:rPr>
            </w:pPr>
            <w:r w:rsidRPr="00C17027">
              <w:rPr>
                <w:rFonts w:ascii="Arial" w:hAnsi="Arial" w:cs="Arial"/>
                <w:bCs/>
                <w:sz w:val="20"/>
                <w:szCs w:val="20"/>
                <w:lang w:val="en-GB"/>
              </w:rPr>
              <w:t>.</w:t>
            </w:r>
          </w:p>
        </w:tc>
        <w:tc>
          <w:tcPr>
            <w:tcW w:w="2184" w:type="pct"/>
          </w:tcPr>
          <w:p w14:paraId="02ADDBDC" w14:textId="05D95ED1" w:rsidR="007E384E" w:rsidRPr="00C17027" w:rsidRDefault="00341579" w:rsidP="00063D68">
            <w:pPr>
              <w:contextualSpacing/>
              <w:jc w:val="center"/>
              <w:rPr>
                <w:rFonts w:ascii="Arial" w:hAnsi="Arial" w:cs="Arial"/>
                <w:bCs/>
                <w:sz w:val="20"/>
                <w:szCs w:val="20"/>
                <w:lang w:val="en-GB"/>
              </w:rPr>
            </w:pPr>
            <w:r w:rsidRPr="00C17027">
              <w:rPr>
                <w:rFonts w:ascii="Arial" w:hAnsi="Arial" w:cs="Arial"/>
                <w:bCs/>
                <w:sz w:val="20"/>
                <w:szCs w:val="20"/>
                <w:lang w:val="en-GB"/>
              </w:rPr>
              <w:t>Yes</w:t>
            </w:r>
          </w:p>
        </w:tc>
        <w:tc>
          <w:tcPr>
            <w:tcW w:w="1150" w:type="pct"/>
          </w:tcPr>
          <w:p w14:paraId="62D82830" w14:textId="77777777" w:rsidR="007E384E" w:rsidRPr="00C17027" w:rsidRDefault="007E384E">
            <w:pPr>
              <w:keepNext/>
              <w:outlineLvl w:val="1"/>
              <w:rPr>
                <w:rFonts w:ascii="Arial" w:eastAsia="MS Mincho" w:hAnsi="Arial" w:cs="Arial"/>
                <w:bCs/>
                <w:sz w:val="20"/>
                <w:szCs w:val="20"/>
                <w:lang w:val="en-GB"/>
              </w:rPr>
            </w:pPr>
          </w:p>
        </w:tc>
      </w:tr>
      <w:tr w:rsidR="007E384E" w:rsidRPr="00C17027" w14:paraId="36985B80" w14:textId="77777777" w:rsidTr="00063D68">
        <w:trPr>
          <w:trHeight w:val="20"/>
          <w:jc w:val="center"/>
        </w:trPr>
        <w:tc>
          <w:tcPr>
            <w:tcW w:w="1666" w:type="pct"/>
            <w:noWrap/>
          </w:tcPr>
          <w:p w14:paraId="77FB4887" w14:textId="77777777" w:rsidR="007E384E" w:rsidRPr="00C17027" w:rsidRDefault="00311DE4">
            <w:pPr>
              <w:rPr>
                <w:rFonts w:ascii="Arial" w:hAnsi="Arial" w:cs="Arial"/>
                <w:b/>
                <w:bCs/>
                <w:sz w:val="20"/>
                <w:szCs w:val="20"/>
                <w:lang w:val="en-GB"/>
              </w:rPr>
            </w:pPr>
            <w:r w:rsidRPr="00C17027">
              <w:rPr>
                <w:rFonts w:ascii="Arial" w:hAnsi="Arial" w:cs="Arial"/>
                <w:b/>
                <w:bCs/>
                <w:sz w:val="20"/>
                <w:szCs w:val="20"/>
                <w:lang w:val="en-GB"/>
              </w:rPr>
              <w:t xml:space="preserve">Are the references sufficient and recent? </w:t>
            </w:r>
          </w:p>
          <w:p w14:paraId="7E1A669D" w14:textId="77777777" w:rsidR="007E384E" w:rsidRPr="00C17027" w:rsidRDefault="00311DE4">
            <w:pPr>
              <w:rPr>
                <w:rFonts w:ascii="Arial" w:hAnsi="Arial" w:cs="Arial"/>
                <w:bCs/>
                <w:sz w:val="20"/>
                <w:szCs w:val="20"/>
                <w:lang w:val="en-GB"/>
              </w:rPr>
            </w:pPr>
            <w:r w:rsidRPr="00C17027">
              <w:rPr>
                <w:rFonts w:ascii="Arial" w:hAnsi="Arial" w:cs="Arial"/>
                <w:bCs/>
                <w:sz w:val="20"/>
                <w:szCs w:val="20"/>
                <w:lang w:val="en-GB"/>
              </w:rPr>
              <w:t>(YES or NO)</w:t>
            </w:r>
          </w:p>
          <w:p w14:paraId="55DF93BD" w14:textId="77777777" w:rsidR="007E384E" w:rsidRPr="00C17027" w:rsidRDefault="007E384E">
            <w:pPr>
              <w:rPr>
                <w:rFonts w:ascii="Arial" w:hAnsi="Arial" w:cs="Arial"/>
                <w:bCs/>
                <w:sz w:val="20"/>
                <w:szCs w:val="20"/>
                <w:lang w:val="en-GB"/>
              </w:rPr>
            </w:pPr>
          </w:p>
          <w:p w14:paraId="7D33997D" w14:textId="77777777" w:rsidR="007E384E" w:rsidRPr="00C17027" w:rsidRDefault="00311DE4">
            <w:pPr>
              <w:rPr>
                <w:rFonts w:ascii="Arial" w:hAnsi="Arial" w:cs="Arial"/>
                <w:bCs/>
                <w:sz w:val="20"/>
                <w:szCs w:val="20"/>
                <w:lang w:val="en-GB"/>
              </w:rPr>
            </w:pPr>
            <w:r w:rsidRPr="00C17027">
              <w:rPr>
                <w:rFonts w:ascii="Arial" w:hAnsi="Arial" w:cs="Arial"/>
                <w:bCs/>
                <w:sz w:val="20"/>
                <w:szCs w:val="20"/>
                <w:lang w:val="en-GB"/>
              </w:rPr>
              <w:t>If your answer is NO, please provide clear suggestion for improvement.</w:t>
            </w:r>
          </w:p>
          <w:p w14:paraId="3F945CD3" w14:textId="77777777" w:rsidR="007E384E" w:rsidRPr="00C17027" w:rsidRDefault="007E384E">
            <w:pPr>
              <w:rPr>
                <w:rFonts w:ascii="Arial" w:hAnsi="Arial" w:cs="Arial"/>
                <w:b/>
                <w:bCs/>
                <w:sz w:val="20"/>
                <w:szCs w:val="20"/>
                <w:lang w:val="en-GB"/>
              </w:rPr>
            </w:pPr>
          </w:p>
        </w:tc>
        <w:tc>
          <w:tcPr>
            <w:tcW w:w="2184" w:type="pct"/>
          </w:tcPr>
          <w:p w14:paraId="39B9F3C7" w14:textId="06E0C348" w:rsidR="007E384E" w:rsidRPr="00C17027" w:rsidRDefault="00341579" w:rsidP="00063D68">
            <w:pPr>
              <w:contextualSpacing/>
              <w:jc w:val="center"/>
              <w:rPr>
                <w:rFonts w:ascii="Arial" w:hAnsi="Arial" w:cs="Arial"/>
                <w:bCs/>
                <w:sz w:val="20"/>
                <w:szCs w:val="20"/>
                <w:lang w:val="en-GB"/>
              </w:rPr>
            </w:pPr>
            <w:r w:rsidRPr="00C17027">
              <w:rPr>
                <w:rFonts w:ascii="Arial" w:hAnsi="Arial" w:cs="Arial"/>
                <w:bCs/>
                <w:sz w:val="20"/>
                <w:szCs w:val="20"/>
                <w:lang w:val="en-GB"/>
              </w:rPr>
              <w:t>Yes</w:t>
            </w:r>
          </w:p>
        </w:tc>
        <w:tc>
          <w:tcPr>
            <w:tcW w:w="1150" w:type="pct"/>
          </w:tcPr>
          <w:p w14:paraId="2DC9ED10" w14:textId="77777777" w:rsidR="007E384E" w:rsidRPr="00C17027" w:rsidRDefault="007E384E">
            <w:pPr>
              <w:keepNext/>
              <w:outlineLvl w:val="1"/>
              <w:rPr>
                <w:rFonts w:ascii="Arial" w:eastAsia="MS Mincho" w:hAnsi="Arial" w:cs="Arial"/>
                <w:bCs/>
                <w:sz w:val="20"/>
                <w:szCs w:val="20"/>
                <w:lang w:val="en-GB"/>
              </w:rPr>
            </w:pPr>
          </w:p>
        </w:tc>
      </w:tr>
      <w:tr w:rsidR="007E384E" w:rsidRPr="00C17027" w14:paraId="04C23883" w14:textId="77777777" w:rsidTr="00063D68">
        <w:trPr>
          <w:trHeight w:val="20"/>
          <w:jc w:val="center"/>
        </w:trPr>
        <w:tc>
          <w:tcPr>
            <w:tcW w:w="1666" w:type="pct"/>
            <w:noWrap/>
          </w:tcPr>
          <w:p w14:paraId="0DFB0B6E" w14:textId="77777777" w:rsidR="007E384E" w:rsidRPr="00C17027" w:rsidRDefault="00311DE4">
            <w:pPr>
              <w:rPr>
                <w:rFonts w:ascii="Arial" w:hAnsi="Arial" w:cs="Arial"/>
                <w:b/>
                <w:bCs/>
                <w:sz w:val="20"/>
                <w:szCs w:val="20"/>
                <w:lang w:val="en-GB"/>
              </w:rPr>
            </w:pPr>
            <w:r w:rsidRPr="00C17027">
              <w:rPr>
                <w:rFonts w:ascii="Arial" w:hAnsi="Arial" w:cs="Arial"/>
                <w:b/>
                <w:bCs/>
                <w:sz w:val="20"/>
                <w:szCs w:val="20"/>
                <w:lang w:val="en-GB"/>
              </w:rPr>
              <w:t>Are there ethical issues in this manuscript?</w:t>
            </w:r>
          </w:p>
          <w:p w14:paraId="72F22AD6" w14:textId="77777777" w:rsidR="007E384E" w:rsidRPr="00C17027" w:rsidRDefault="00311DE4">
            <w:pPr>
              <w:rPr>
                <w:rFonts w:ascii="Arial" w:hAnsi="Arial" w:cs="Arial"/>
                <w:bCs/>
                <w:sz w:val="20"/>
                <w:szCs w:val="20"/>
                <w:lang w:val="en-GB"/>
              </w:rPr>
            </w:pPr>
            <w:r w:rsidRPr="00C17027">
              <w:rPr>
                <w:rFonts w:ascii="Arial" w:hAnsi="Arial" w:cs="Arial"/>
                <w:bCs/>
                <w:sz w:val="20"/>
                <w:szCs w:val="20"/>
                <w:lang w:val="en-GB"/>
              </w:rPr>
              <w:t>(YES or NO)</w:t>
            </w:r>
          </w:p>
          <w:p w14:paraId="4F625691" w14:textId="77777777" w:rsidR="007E384E" w:rsidRPr="00C17027" w:rsidRDefault="007E384E">
            <w:pPr>
              <w:rPr>
                <w:rFonts w:ascii="Arial" w:hAnsi="Arial" w:cs="Arial"/>
                <w:bCs/>
                <w:sz w:val="20"/>
                <w:szCs w:val="20"/>
                <w:lang w:val="en-GB"/>
              </w:rPr>
            </w:pPr>
          </w:p>
          <w:p w14:paraId="0A9FD837" w14:textId="77777777" w:rsidR="007E384E" w:rsidRPr="00C17027" w:rsidRDefault="00311DE4">
            <w:pPr>
              <w:rPr>
                <w:rFonts w:ascii="Arial" w:hAnsi="Arial" w:cs="Arial"/>
                <w:bCs/>
                <w:sz w:val="20"/>
                <w:szCs w:val="20"/>
                <w:lang w:val="en-GB"/>
              </w:rPr>
            </w:pPr>
            <w:r w:rsidRPr="00C17027">
              <w:rPr>
                <w:rFonts w:ascii="Arial" w:hAnsi="Arial" w:cs="Arial"/>
                <w:bCs/>
                <w:sz w:val="20"/>
                <w:szCs w:val="20"/>
                <w:lang w:val="en-GB"/>
              </w:rPr>
              <w:t>(If yes, kindly please write down the ethical issues here in details)</w:t>
            </w:r>
          </w:p>
          <w:p w14:paraId="313659CC" w14:textId="77777777" w:rsidR="007E384E" w:rsidRPr="00C17027" w:rsidRDefault="007E384E">
            <w:pPr>
              <w:rPr>
                <w:rFonts w:ascii="Arial" w:hAnsi="Arial" w:cs="Arial"/>
                <w:bCs/>
                <w:sz w:val="20"/>
                <w:szCs w:val="20"/>
                <w:lang w:val="en-GB"/>
              </w:rPr>
            </w:pPr>
          </w:p>
        </w:tc>
        <w:tc>
          <w:tcPr>
            <w:tcW w:w="2184" w:type="pct"/>
          </w:tcPr>
          <w:p w14:paraId="0D1FBA35" w14:textId="0BB369DB" w:rsidR="007E384E" w:rsidRPr="00C17027" w:rsidRDefault="00341579" w:rsidP="00063D68">
            <w:pPr>
              <w:contextualSpacing/>
              <w:jc w:val="center"/>
              <w:rPr>
                <w:rFonts w:ascii="Arial" w:hAnsi="Arial" w:cs="Arial"/>
                <w:bCs/>
                <w:sz w:val="20"/>
                <w:szCs w:val="20"/>
                <w:lang w:val="en-GB"/>
              </w:rPr>
            </w:pPr>
            <w:r w:rsidRPr="00C17027">
              <w:rPr>
                <w:rFonts w:ascii="Arial" w:hAnsi="Arial" w:cs="Arial"/>
                <w:bCs/>
                <w:sz w:val="20"/>
                <w:szCs w:val="20"/>
                <w:lang w:val="en-GB"/>
              </w:rPr>
              <w:t>No</w:t>
            </w:r>
          </w:p>
        </w:tc>
        <w:tc>
          <w:tcPr>
            <w:tcW w:w="1150" w:type="pct"/>
          </w:tcPr>
          <w:p w14:paraId="15374797" w14:textId="77777777" w:rsidR="007E384E" w:rsidRPr="00C17027" w:rsidRDefault="007E384E">
            <w:pPr>
              <w:keepNext/>
              <w:outlineLvl w:val="1"/>
              <w:rPr>
                <w:rFonts w:ascii="Arial" w:eastAsia="MS Mincho" w:hAnsi="Arial" w:cs="Arial"/>
                <w:bCs/>
                <w:sz w:val="20"/>
                <w:szCs w:val="20"/>
                <w:lang w:val="en-GB"/>
              </w:rPr>
            </w:pPr>
          </w:p>
        </w:tc>
      </w:tr>
    </w:tbl>
    <w:p w14:paraId="2D39A63F" w14:textId="77777777" w:rsidR="00730628" w:rsidRPr="00730628" w:rsidRDefault="00730628" w:rsidP="00730628">
      <w:pPr>
        <w:rPr>
          <w:rFonts w:ascii="Arial" w:hAnsi="Arial" w:cs="Arial"/>
          <w:b/>
          <w:sz w:val="20"/>
          <w:szCs w:val="20"/>
          <w:u w:val="single"/>
        </w:rPr>
      </w:pPr>
      <w:r w:rsidRPr="00730628">
        <w:rPr>
          <w:rFonts w:ascii="Arial" w:hAnsi="Arial" w:cs="Arial"/>
          <w:b/>
          <w:sz w:val="20"/>
          <w:szCs w:val="20"/>
          <w:u w:val="single"/>
        </w:rPr>
        <w:t>Reviewer details:</w:t>
      </w:r>
    </w:p>
    <w:p w14:paraId="17AB815A" w14:textId="77777777" w:rsidR="00730628" w:rsidRPr="00730628" w:rsidRDefault="00730628" w:rsidP="00730628">
      <w:pPr>
        <w:rPr>
          <w:rFonts w:ascii="Arial" w:hAnsi="Arial" w:cs="Arial"/>
          <w:sz w:val="20"/>
          <w:szCs w:val="20"/>
        </w:rPr>
      </w:pPr>
      <w:proofErr w:type="spellStart"/>
      <w:r w:rsidRPr="00730628">
        <w:rPr>
          <w:rFonts w:ascii="Arial" w:hAnsi="Arial" w:cs="Arial"/>
          <w:color w:val="0D0D0D"/>
          <w:sz w:val="20"/>
          <w:szCs w:val="20"/>
        </w:rPr>
        <w:t>Dalal</w:t>
      </w:r>
      <w:proofErr w:type="spellEnd"/>
      <w:r w:rsidRPr="00730628">
        <w:rPr>
          <w:rFonts w:ascii="Arial" w:hAnsi="Arial" w:cs="Arial"/>
          <w:color w:val="0D0D0D"/>
          <w:sz w:val="20"/>
          <w:szCs w:val="20"/>
        </w:rPr>
        <w:t xml:space="preserve"> Adnan Amer </w:t>
      </w:r>
      <w:proofErr w:type="spellStart"/>
      <w:r w:rsidRPr="00730628">
        <w:rPr>
          <w:rFonts w:ascii="Arial" w:hAnsi="Arial" w:cs="Arial"/>
          <w:color w:val="0D0D0D"/>
          <w:sz w:val="20"/>
          <w:szCs w:val="20"/>
        </w:rPr>
        <w:t>Maturi</w:t>
      </w:r>
      <w:proofErr w:type="spellEnd"/>
      <w:r w:rsidRPr="00730628">
        <w:rPr>
          <w:rFonts w:ascii="Arial" w:hAnsi="Arial" w:cs="Arial"/>
          <w:color w:val="0D0D0D"/>
          <w:sz w:val="20"/>
          <w:szCs w:val="20"/>
        </w:rPr>
        <w:t xml:space="preserve">, King </w:t>
      </w:r>
      <w:proofErr w:type="spellStart"/>
      <w:r w:rsidRPr="00730628">
        <w:rPr>
          <w:rFonts w:ascii="Arial" w:hAnsi="Arial" w:cs="Arial"/>
          <w:color w:val="0D0D0D"/>
          <w:sz w:val="20"/>
          <w:szCs w:val="20"/>
        </w:rPr>
        <w:t>Abdulaziz</w:t>
      </w:r>
      <w:proofErr w:type="spellEnd"/>
      <w:r w:rsidRPr="00730628">
        <w:rPr>
          <w:rFonts w:ascii="Arial" w:hAnsi="Arial" w:cs="Arial"/>
          <w:color w:val="0D0D0D"/>
          <w:sz w:val="20"/>
          <w:szCs w:val="20"/>
        </w:rPr>
        <w:t xml:space="preserve"> University-Jeddah, Saudi Arabia</w:t>
      </w:r>
    </w:p>
    <w:bookmarkEnd w:id="0"/>
    <w:p w14:paraId="3A8F972B" w14:textId="77777777" w:rsidR="007E384E" w:rsidRPr="00C17027" w:rsidRDefault="007E384E" w:rsidP="00724D5C">
      <w:pPr>
        <w:keepNext/>
        <w:outlineLvl w:val="1"/>
        <w:rPr>
          <w:rFonts w:ascii="Arial" w:hAnsi="Arial" w:cs="Arial"/>
          <w:i/>
          <w:sz w:val="20"/>
          <w:szCs w:val="20"/>
          <w:u w:val="single"/>
          <w:lang w:val="en-GB"/>
        </w:rPr>
      </w:pPr>
    </w:p>
    <w:sectPr w:rsidR="007E384E" w:rsidRPr="00C1702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6CF42" w14:textId="77777777" w:rsidR="005F5F61" w:rsidRDefault="005F5F61">
      <w:r>
        <w:separator/>
      </w:r>
    </w:p>
  </w:endnote>
  <w:endnote w:type="continuationSeparator" w:id="0">
    <w:p w14:paraId="1FF5E5B5" w14:textId="77777777" w:rsidR="005F5F61" w:rsidRDefault="005F5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58652" w14:textId="77777777" w:rsidR="007E384E" w:rsidRDefault="007E384E">
    <w:pPr>
      <w:pStyle w:val="Footer"/>
      <w:jc w:val="right"/>
    </w:pPr>
  </w:p>
  <w:p w14:paraId="5ECEBDEC" w14:textId="49323FA9" w:rsidR="007E384E" w:rsidRDefault="00311DE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24D5C">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24D5C">
      <w:rPr>
        <w:b/>
        <w:noProof/>
        <w:sz w:val="20"/>
      </w:rPr>
      <w:t>2</w:t>
    </w:r>
    <w:r>
      <w:rPr>
        <w:b/>
        <w:sz w:val="20"/>
      </w:rPr>
      <w:fldChar w:fldCharType="end"/>
    </w:r>
  </w:p>
  <w:p w14:paraId="3C58E12C" w14:textId="77777777" w:rsidR="007E384E" w:rsidRDefault="00311DE4">
    <w:pPr>
      <w:pStyle w:val="Footer"/>
      <w:jc w:val="right"/>
      <w:rPr>
        <w:b/>
        <w:sz w:val="20"/>
      </w:rPr>
    </w:pPr>
    <w:r>
      <w:rPr>
        <w:b/>
        <w:sz w:val="20"/>
      </w:rPr>
      <w:t>V240326</w:t>
    </w:r>
  </w:p>
  <w:p w14:paraId="38C3380A" w14:textId="77777777" w:rsidR="007E384E" w:rsidRDefault="007E384E">
    <w:pPr>
      <w:pStyle w:val="Footer"/>
      <w:jc w:val="right"/>
    </w:pPr>
  </w:p>
  <w:p w14:paraId="3449B66B" w14:textId="77777777" w:rsidR="007E384E" w:rsidRDefault="007E384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DA596" w14:textId="77777777" w:rsidR="005F5F61" w:rsidRDefault="005F5F61">
      <w:r>
        <w:separator/>
      </w:r>
    </w:p>
  </w:footnote>
  <w:footnote w:type="continuationSeparator" w:id="0">
    <w:p w14:paraId="00B9E920" w14:textId="77777777" w:rsidR="005F5F61" w:rsidRDefault="005F5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D1305" w14:textId="77777777" w:rsidR="007E384E" w:rsidRDefault="007E384E">
    <w:pPr>
      <w:spacing w:before="100" w:beforeAutospacing="1" w:after="100" w:afterAutospacing="1"/>
      <w:jc w:val="center"/>
      <w:rPr>
        <w:b/>
        <w:bCs/>
        <w:color w:val="003399"/>
        <w:szCs w:val="20"/>
        <w:u w:val="single"/>
        <w:lang w:val="en-GB"/>
      </w:rPr>
    </w:pPr>
  </w:p>
  <w:p w14:paraId="0A3F5101" w14:textId="77777777" w:rsidR="007E384E" w:rsidRDefault="00311DE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84E"/>
    <w:rsid w:val="0004575E"/>
    <w:rsid w:val="00063D68"/>
    <w:rsid w:val="00141464"/>
    <w:rsid w:val="001C4838"/>
    <w:rsid w:val="001C6A1B"/>
    <w:rsid w:val="001F1903"/>
    <w:rsid w:val="0020305E"/>
    <w:rsid w:val="00255ACD"/>
    <w:rsid w:val="00291671"/>
    <w:rsid w:val="00311DE4"/>
    <w:rsid w:val="00341579"/>
    <w:rsid w:val="00345756"/>
    <w:rsid w:val="00356AC5"/>
    <w:rsid w:val="0037055C"/>
    <w:rsid w:val="0037488F"/>
    <w:rsid w:val="00456FD2"/>
    <w:rsid w:val="004D0B0C"/>
    <w:rsid w:val="004D42DE"/>
    <w:rsid w:val="004D6076"/>
    <w:rsid w:val="00522C83"/>
    <w:rsid w:val="0058751B"/>
    <w:rsid w:val="005C0770"/>
    <w:rsid w:val="005F5F61"/>
    <w:rsid w:val="00623110"/>
    <w:rsid w:val="006253ED"/>
    <w:rsid w:val="0065018D"/>
    <w:rsid w:val="00724D5C"/>
    <w:rsid w:val="00730628"/>
    <w:rsid w:val="00740856"/>
    <w:rsid w:val="007C0F50"/>
    <w:rsid w:val="007E384E"/>
    <w:rsid w:val="008229B0"/>
    <w:rsid w:val="008524D4"/>
    <w:rsid w:val="008950A0"/>
    <w:rsid w:val="008A47DC"/>
    <w:rsid w:val="008D5889"/>
    <w:rsid w:val="009A6A74"/>
    <w:rsid w:val="00A225C9"/>
    <w:rsid w:val="00B65778"/>
    <w:rsid w:val="00BC528F"/>
    <w:rsid w:val="00C17027"/>
    <w:rsid w:val="00CB5734"/>
    <w:rsid w:val="00D1339D"/>
    <w:rsid w:val="00DC7DBE"/>
    <w:rsid w:val="00E01E74"/>
    <w:rsid w:val="00F821DF"/>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D67D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67343761">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61455714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omco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2</Pages>
  <Words>1018</Words>
  <Characters>5803</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6808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44</cp:revision>
  <dcterms:created xsi:type="dcterms:W3CDTF">2026-05-14T17:19:00Z</dcterms:created>
  <dcterms:modified xsi:type="dcterms:W3CDTF">2026-05-16T08:28:00Z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