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D884" w14:textId="10370585" w:rsidR="00C16543" w:rsidRPr="00952307" w:rsidRDefault="00FA5243" w:rsidP="00E81B83">
      <w:pPr>
        <w:spacing w:after="0" w:line="360" w:lineRule="auto"/>
        <w:jc w:val="both"/>
        <w:rPr>
          <w:rFonts w:ascii="Times New Roman" w:hAnsi="Times New Roman" w:cs="Times New Roman"/>
          <w:b/>
          <w:bCs/>
        </w:rPr>
      </w:pPr>
      <w:r w:rsidRPr="00952307">
        <w:rPr>
          <w:rFonts w:ascii="Times New Roman" w:hAnsi="Times New Roman" w:cs="Times New Roman"/>
          <w:b/>
          <w:bCs/>
        </w:rPr>
        <w:t>Predictive Modeling of Stature from Arm Length, Shoulder Breadth, and Foot Length among the Yoruba Ethnic Group in Nigeria</w:t>
      </w:r>
    </w:p>
    <w:p w14:paraId="52446152" w14:textId="77777777" w:rsidR="00B114F0" w:rsidRPr="00952307" w:rsidRDefault="00B114F0" w:rsidP="00E81B83">
      <w:pPr>
        <w:spacing w:after="0" w:line="360" w:lineRule="auto"/>
        <w:jc w:val="both"/>
        <w:rPr>
          <w:rFonts w:ascii="Times New Roman" w:hAnsi="Times New Roman" w:cs="Times New Roman"/>
          <w:b/>
          <w:bCs/>
        </w:rPr>
      </w:pPr>
    </w:p>
    <w:p w14:paraId="69F72098" w14:textId="77777777" w:rsidR="00927063" w:rsidRDefault="00927063" w:rsidP="00E81B83">
      <w:pPr>
        <w:spacing w:after="0" w:line="360" w:lineRule="auto"/>
        <w:jc w:val="both"/>
        <w:rPr>
          <w:rFonts w:ascii="Times New Roman" w:hAnsi="Times New Roman" w:cs="Times New Roman"/>
          <w:b/>
          <w:bCs/>
        </w:rPr>
      </w:pPr>
    </w:p>
    <w:p w14:paraId="4C656ADF" w14:textId="77777777" w:rsidR="00927063" w:rsidRDefault="00927063" w:rsidP="00E81B83">
      <w:pPr>
        <w:spacing w:after="0" w:line="360" w:lineRule="auto"/>
        <w:jc w:val="both"/>
        <w:rPr>
          <w:rFonts w:ascii="Times New Roman" w:hAnsi="Times New Roman" w:cs="Times New Roman"/>
          <w:b/>
          <w:bCs/>
        </w:rPr>
      </w:pPr>
    </w:p>
    <w:p w14:paraId="1E798C50" w14:textId="48AA6805" w:rsidR="00E81B83" w:rsidRPr="00952307" w:rsidRDefault="00E81B83" w:rsidP="00E81B83">
      <w:pPr>
        <w:spacing w:after="0" w:line="360" w:lineRule="auto"/>
        <w:jc w:val="both"/>
        <w:rPr>
          <w:rFonts w:ascii="Times New Roman" w:hAnsi="Times New Roman" w:cs="Times New Roman"/>
          <w:b/>
          <w:bCs/>
        </w:rPr>
      </w:pPr>
      <w:r w:rsidRPr="00952307">
        <w:rPr>
          <w:rFonts w:ascii="Times New Roman" w:hAnsi="Times New Roman" w:cs="Times New Roman"/>
          <w:b/>
          <w:bCs/>
        </w:rPr>
        <w:t>Abstract</w:t>
      </w:r>
    </w:p>
    <w:p w14:paraId="2BD1A9D9" w14:textId="77777777" w:rsidR="00BA0067" w:rsidRPr="00952307" w:rsidRDefault="00E81B83" w:rsidP="00BA0067">
      <w:pPr>
        <w:spacing w:line="360" w:lineRule="auto"/>
        <w:jc w:val="both"/>
        <w:rPr>
          <w:rFonts w:ascii="Times New Roman" w:hAnsi="Times New Roman" w:cs="Times New Roman"/>
        </w:rPr>
      </w:pPr>
      <w:r w:rsidRPr="00952307">
        <w:rPr>
          <w:rFonts w:ascii="Times New Roman" w:hAnsi="Times New Roman" w:cs="Times New Roman"/>
          <w:b/>
          <w:bCs/>
        </w:rPr>
        <w:t xml:space="preserve">Background: </w:t>
      </w:r>
      <w:r w:rsidR="00BA0067" w:rsidRPr="00952307">
        <w:rPr>
          <w:rFonts w:ascii="Times New Roman" w:hAnsi="Times New Roman" w:cs="Times New Roman"/>
        </w:rPr>
        <w:t>In the fields of bioarchaeology, forensic science, and physical anthropology, stature estimation is essential. It entails using quantifiable body factors to estimate or anticipate a person's height.</w:t>
      </w:r>
    </w:p>
    <w:p w14:paraId="3F4B8A88" w14:textId="2CC44725" w:rsidR="00E81B83" w:rsidRPr="00952307" w:rsidRDefault="00E81B83" w:rsidP="00E81B83">
      <w:pPr>
        <w:spacing w:line="360" w:lineRule="auto"/>
        <w:jc w:val="both"/>
        <w:rPr>
          <w:rFonts w:ascii="Times New Roman" w:hAnsi="Times New Roman" w:cs="Times New Roman"/>
          <w:bCs/>
        </w:rPr>
      </w:pPr>
      <w:r w:rsidRPr="00952307">
        <w:rPr>
          <w:rFonts w:ascii="Times New Roman" w:hAnsi="Times New Roman" w:cs="Times New Roman"/>
          <w:b/>
        </w:rPr>
        <w:t xml:space="preserve">Aim:  </w:t>
      </w:r>
      <w:r w:rsidRPr="00952307">
        <w:rPr>
          <w:rFonts w:ascii="Times New Roman" w:hAnsi="Times New Roman" w:cs="Times New Roman"/>
        </w:rPr>
        <w:t xml:space="preserve">This study aims to </w:t>
      </w:r>
      <w:r w:rsidR="00BA0067" w:rsidRPr="00952307">
        <w:rPr>
          <w:rFonts w:ascii="Times New Roman" w:hAnsi="Times New Roman" w:cs="Times New Roman"/>
        </w:rPr>
        <w:t>examine</w:t>
      </w:r>
      <w:r w:rsidR="00D5754F" w:rsidRPr="00952307">
        <w:rPr>
          <w:rFonts w:ascii="Times New Roman" w:hAnsi="Times New Roman" w:cs="Times New Roman"/>
        </w:rPr>
        <w:t xml:space="preserve"> whether </w:t>
      </w:r>
      <w:r w:rsidRPr="00952307">
        <w:rPr>
          <w:rFonts w:ascii="Times New Roman" w:hAnsi="Times New Roman" w:cs="Times New Roman"/>
        </w:rPr>
        <w:t xml:space="preserve">arm </w:t>
      </w:r>
      <w:r w:rsidR="00BA0067" w:rsidRPr="00952307">
        <w:rPr>
          <w:rFonts w:ascii="Times New Roman" w:hAnsi="Times New Roman" w:cs="Times New Roman"/>
        </w:rPr>
        <w:t>length, shoulder breadth</w:t>
      </w:r>
      <w:r w:rsidRPr="00952307">
        <w:rPr>
          <w:rFonts w:ascii="Times New Roman" w:hAnsi="Times New Roman" w:cs="Times New Roman"/>
        </w:rPr>
        <w:t xml:space="preserve"> and foot length can be used to predict stature among </w:t>
      </w:r>
      <w:r w:rsidR="00BA0067" w:rsidRPr="00952307">
        <w:rPr>
          <w:rFonts w:ascii="Times New Roman" w:hAnsi="Times New Roman" w:cs="Times New Roman"/>
        </w:rPr>
        <w:t>the indigenous people of Yoruba in Ibadan</w:t>
      </w:r>
      <w:r w:rsidRPr="00952307">
        <w:rPr>
          <w:rFonts w:ascii="Times New Roman" w:hAnsi="Times New Roman" w:cs="Times New Roman"/>
        </w:rPr>
        <w:t>,</w:t>
      </w:r>
      <w:r w:rsidR="00BA0067" w:rsidRPr="00952307">
        <w:rPr>
          <w:rFonts w:ascii="Times New Roman" w:hAnsi="Times New Roman" w:cs="Times New Roman"/>
        </w:rPr>
        <w:t xml:space="preserve"> Oyo State,</w:t>
      </w:r>
      <w:r w:rsidRPr="00952307">
        <w:rPr>
          <w:rFonts w:ascii="Times New Roman" w:hAnsi="Times New Roman" w:cs="Times New Roman"/>
        </w:rPr>
        <w:t xml:space="preserve"> Nigeria.</w:t>
      </w:r>
    </w:p>
    <w:p w14:paraId="500E5F91" w14:textId="1068B030" w:rsidR="00E81B83" w:rsidRPr="00952307" w:rsidRDefault="00EB4548" w:rsidP="00E81B83">
      <w:pPr>
        <w:spacing w:line="360" w:lineRule="auto"/>
        <w:jc w:val="both"/>
        <w:rPr>
          <w:rFonts w:ascii="Times New Roman" w:hAnsi="Times New Roman" w:cs="Times New Roman"/>
        </w:rPr>
      </w:pPr>
      <w:bookmarkStart w:id="0" w:name="_Hlk143039653"/>
      <w:r w:rsidRPr="00952307">
        <w:rPr>
          <w:rFonts w:ascii="Times New Roman" w:hAnsi="Times New Roman" w:cs="Times New Roman"/>
          <w:b/>
          <w:bCs/>
        </w:rPr>
        <w:t>Method</w:t>
      </w:r>
      <w:r w:rsidRPr="00952307">
        <w:rPr>
          <w:rFonts w:ascii="Times New Roman" w:hAnsi="Times New Roman" w:cs="Times New Roman"/>
        </w:rPr>
        <w:t>: The study utilised a descriptive cross-sectional design and included 300 subjects (150 males and 150 females) aged 18 to 35 years. The anthropometric characteristics were measured using a mega-size calliper. The data were analysed using an IBM version of the Statistical Package for the Social Sciences (SPSS, version 23). Linear regression was employed to estimate gender and stature. A probability less than 0.05 (p&lt;0.05) was considered statistically significant, with a 95% confidence level.</w:t>
      </w:r>
    </w:p>
    <w:bookmarkEnd w:id="0"/>
    <w:p w14:paraId="5275278C" w14:textId="7FEB8678"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Result: </w:t>
      </w:r>
      <w:r w:rsidRPr="00952307">
        <w:rPr>
          <w:rFonts w:ascii="Times New Roman" w:hAnsi="Times New Roman" w:cs="Times New Roman"/>
        </w:rPr>
        <w:t xml:space="preserve">A strong positive correlation existed in all subjects between stature, arm </w:t>
      </w:r>
      <w:r w:rsidR="00BA0067" w:rsidRPr="00952307">
        <w:rPr>
          <w:rFonts w:ascii="Times New Roman" w:hAnsi="Times New Roman" w:cs="Times New Roman"/>
        </w:rPr>
        <w:t>length, shoulder breadth</w:t>
      </w:r>
      <w:r w:rsidRPr="00952307">
        <w:rPr>
          <w:rFonts w:ascii="Times New Roman" w:hAnsi="Times New Roman" w:cs="Times New Roman"/>
        </w:rPr>
        <w:t>, and foot length (R = 0.</w:t>
      </w:r>
      <w:r w:rsidR="00BA0067" w:rsidRPr="00952307">
        <w:rPr>
          <w:rFonts w:ascii="Times New Roman" w:hAnsi="Times New Roman" w:cs="Times New Roman"/>
        </w:rPr>
        <w:t>78, SEE = 4.968</w:t>
      </w:r>
      <w:r w:rsidRPr="00952307">
        <w:rPr>
          <w:rFonts w:ascii="Times New Roman" w:hAnsi="Times New Roman" w:cs="Times New Roman"/>
        </w:rPr>
        <w:t>). The stature predictive power of males (R = 0.</w:t>
      </w:r>
      <w:r w:rsidR="00BA0067" w:rsidRPr="00952307">
        <w:rPr>
          <w:rFonts w:ascii="Times New Roman" w:hAnsi="Times New Roman" w:cs="Times New Roman"/>
        </w:rPr>
        <w:t>65</w:t>
      </w:r>
      <w:r w:rsidRPr="00952307">
        <w:rPr>
          <w:rFonts w:ascii="Times New Roman" w:hAnsi="Times New Roman" w:cs="Times New Roman"/>
        </w:rPr>
        <w:t>) and females (R =0.7</w:t>
      </w:r>
      <w:r w:rsidR="00BA0067" w:rsidRPr="00952307">
        <w:rPr>
          <w:rFonts w:ascii="Times New Roman" w:hAnsi="Times New Roman" w:cs="Times New Roman"/>
        </w:rPr>
        <w:t>3</w:t>
      </w:r>
      <w:r w:rsidRPr="00952307">
        <w:rPr>
          <w:rFonts w:ascii="Times New Roman" w:hAnsi="Times New Roman" w:cs="Times New Roman"/>
        </w:rPr>
        <w:t xml:space="preserve">). Significant sexual dimorphism was noted in all parameters.    </w:t>
      </w:r>
    </w:p>
    <w:p w14:paraId="737B18F2" w14:textId="7835C80D"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rPr>
        <w:t>Conclusion:</w:t>
      </w:r>
      <w:r w:rsidRPr="00952307">
        <w:rPr>
          <w:rFonts w:ascii="Times New Roman" w:hAnsi="Times New Roman" w:cs="Times New Roman"/>
        </w:rPr>
        <w:t xml:space="preserve"> This shows a strong positive correlation between the subjects. These findings will be useful in forensic sciences, anthropology, medical sciences, and bioarchaeology. </w:t>
      </w:r>
    </w:p>
    <w:p w14:paraId="5478FC1E" w14:textId="5515025C"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Keywords:</w:t>
      </w:r>
      <w:r w:rsidRPr="00952307">
        <w:rPr>
          <w:rFonts w:ascii="Times New Roman" w:hAnsi="Times New Roman" w:cs="Times New Roman"/>
        </w:rPr>
        <w:t xml:space="preserve"> Arm </w:t>
      </w:r>
      <w:r w:rsidR="00BA0067" w:rsidRPr="00952307">
        <w:rPr>
          <w:rFonts w:ascii="Times New Roman" w:hAnsi="Times New Roman" w:cs="Times New Roman"/>
        </w:rPr>
        <w:t>Length</w:t>
      </w:r>
      <w:r w:rsidRPr="00952307">
        <w:rPr>
          <w:rFonts w:ascii="Times New Roman" w:hAnsi="Times New Roman" w:cs="Times New Roman"/>
        </w:rPr>
        <w:t>; Foot Length;</w:t>
      </w:r>
      <w:r w:rsidR="00BA0067" w:rsidRPr="00952307">
        <w:rPr>
          <w:rFonts w:ascii="Times New Roman" w:hAnsi="Times New Roman" w:cs="Times New Roman"/>
        </w:rPr>
        <w:t xml:space="preserve"> Yoruba</w:t>
      </w:r>
    </w:p>
    <w:p w14:paraId="406CDCA5" w14:textId="77777777" w:rsidR="00E81B83" w:rsidRPr="00952307" w:rsidRDefault="00E81B83" w:rsidP="00E81B83">
      <w:pPr>
        <w:spacing w:line="360" w:lineRule="auto"/>
        <w:rPr>
          <w:rFonts w:ascii="Times New Roman" w:hAnsi="Times New Roman" w:cs="Times New Roman"/>
        </w:rPr>
      </w:pPr>
    </w:p>
    <w:p w14:paraId="2B59864D" w14:textId="77777777" w:rsidR="00E81B83" w:rsidRPr="00952307" w:rsidRDefault="00E81B83" w:rsidP="00E81B83">
      <w:pPr>
        <w:pStyle w:val="ListParagraph"/>
        <w:numPr>
          <w:ilvl w:val="0"/>
          <w:numId w:val="1"/>
        </w:numPr>
        <w:spacing w:line="360" w:lineRule="auto"/>
        <w:jc w:val="both"/>
        <w:rPr>
          <w:rFonts w:ascii="Times New Roman" w:hAnsi="Times New Roman" w:cs="Times New Roman"/>
          <w:b/>
          <w:bCs/>
        </w:rPr>
      </w:pPr>
      <w:r w:rsidRPr="00952307">
        <w:rPr>
          <w:rFonts w:ascii="Times New Roman" w:hAnsi="Times New Roman" w:cs="Times New Roman"/>
          <w:b/>
          <w:bCs/>
        </w:rPr>
        <w:t xml:space="preserve">INTRODUCTION </w:t>
      </w:r>
    </w:p>
    <w:p w14:paraId="64784A14" w14:textId="4921A28D"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Estimating stature from body measurements is a vital part of forensic anthropology, ergonomics, and clinical assessment, providing essential information when complete skeletal remains or full measurements of living individuals are unavailable</w:t>
      </w:r>
      <w:r w:rsidR="00291F58" w:rsidRPr="00952307">
        <w:rPr>
          <w:rFonts w:ascii="Times New Roman" w:hAnsi="Times New Roman" w:cs="Times New Roman"/>
        </w:rPr>
        <w:t xml:space="preserve"> [1,2,3]</w:t>
      </w:r>
      <w:r w:rsidRPr="00952307">
        <w:rPr>
          <w:rFonts w:ascii="Times New Roman" w:hAnsi="Times New Roman" w:cs="Times New Roman"/>
        </w:rPr>
        <w:t xml:space="preserve">. Among various anthropometric </w:t>
      </w:r>
      <w:r w:rsidRPr="00952307">
        <w:rPr>
          <w:rFonts w:ascii="Times New Roman" w:hAnsi="Times New Roman" w:cs="Times New Roman"/>
        </w:rPr>
        <w:lastRenderedPageBreak/>
        <w:t xml:space="preserve">parameters, arm length, shoulder breadth, and foot length have been shown to have strong correlations with stature, making them dependable predictors in population-specific studies. The Yoruba population of Nigeria, one of the largest ethnic groups in West Africa, exhibits distinct anthropometric features shaped by </w:t>
      </w:r>
      <w:hyperlink r:id="rId7" w:history="1">
        <w:r w:rsidRPr="007D537E">
          <w:rPr>
            <w:rStyle w:val="Hyperlink"/>
            <w:rFonts w:ascii="Times New Roman" w:hAnsi="Times New Roman" w:cs="Times New Roman"/>
          </w:rPr>
          <w:t>genetic</w:t>
        </w:r>
      </w:hyperlink>
      <w:r w:rsidRPr="00952307">
        <w:rPr>
          <w:rFonts w:ascii="Times New Roman" w:hAnsi="Times New Roman" w:cs="Times New Roman"/>
        </w:rPr>
        <w:t>, environmental, and nutritional factors</w:t>
      </w:r>
      <w:r w:rsidR="00291F58" w:rsidRPr="00952307">
        <w:rPr>
          <w:rFonts w:ascii="Times New Roman" w:hAnsi="Times New Roman" w:cs="Times New Roman"/>
        </w:rPr>
        <w:t xml:space="preserve"> [4,5]</w:t>
      </w:r>
      <w:r w:rsidRPr="00952307">
        <w:rPr>
          <w:rFonts w:ascii="Times New Roman" w:hAnsi="Times New Roman" w:cs="Times New Roman"/>
        </w:rPr>
        <w:t>. Creating regression models based on these measurements for the Yoruba population is crucial, as stature estimation formulas differ across ethnic groups due to morphological diversity. Such data are important for forensic identification, disaster victim recovery, and applications in health assessments, clothing sizing, and ergonomic design tailored to local populations</w:t>
      </w:r>
      <w:r w:rsidR="00291F58" w:rsidRPr="00952307">
        <w:rPr>
          <w:rFonts w:ascii="Times New Roman" w:hAnsi="Times New Roman" w:cs="Times New Roman"/>
        </w:rPr>
        <w:t xml:space="preserve"> [6,7]</w:t>
      </w:r>
      <w:r w:rsidRPr="00952307">
        <w:rPr>
          <w:rFonts w:ascii="Times New Roman" w:hAnsi="Times New Roman" w:cs="Times New Roman"/>
        </w:rPr>
        <w:t>. This research aims to develop predictive equations for estimating stature using arm length, shoulder breadth, and foot length among the Yoruba, thereby enriching the existing anthropometric reference standards in Nigeria.</w:t>
      </w:r>
    </w:p>
    <w:p w14:paraId="75BEDE2B"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2.0 </w:t>
      </w:r>
      <w:r w:rsidRPr="00952307">
        <w:rPr>
          <w:rFonts w:ascii="Times New Roman" w:hAnsi="Times New Roman" w:cs="Times New Roman"/>
          <w:b/>
          <w:bCs/>
        </w:rPr>
        <w:tab/>
        <w:t xml:space="preserve">MATERIALS AND METHODS </w:t>
      </w:r>
    </w:p>
    <w:p w14:paraId="365E0FF5"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 xml:space="preserve">2.1 Study Design </w:t>
      </w:r>
    </w:p>
    <w:p w14:paraId="3719888E" w14:textId="664E4914" w:rsidR="002B6EF2" w:rsidRPr="00952307" w:rsidRDefault="002B6EF2" w:rsidP="002B6EF2">
      <w:pPr>
        <w:spacing w:line="360" w:lineRule="auto"/>
        <w:jc w:val="both"/>
        <w:rPr>
          <w:rFonts w:ascii="Times New Roman" w:hAnsi="Times New Roman" w:cs="Times New Roman"/>
        </w:rPr>
      </w:pPr>
      <w:r w:rsidRPr="00952307">
        <w:rPr>
          <w:rFonts w:ascii="Times New Roman" w:hAnsi="Times New Roman" w:cs="Times New Roman"/>
        </w:rPr>
        <w:t>In Oyo State, Nigeria, the anthropometric parameters of the Yoruba indigenous people were assessed through a cross-sectional descriptive research approach. The population included 300 individuals, with 150 males and 150 females, aged 18 to 35. The study was conducted in Ibadan, Oyo State, using a multi-stage random proportionate sampling technique to select the participants.</w:t>
      </w:r>
    </w:p>
    <w:p w14:paraId="27DD59C4"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2.2 Selection Criteria </w:t>
      </w:r>
    </w:p>
    <w:p w14:paraId="71C97936"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Inclusion Criteria</w:t>
      </w:r>
    </w:p>
    <w:p w14:paraId="152862BE" w14:textId="32ABFF5E" w:rsidR="002B6EF2" w:rsidRPr="00952307" w:rsidRDefault="002B6EF2" w:rsidP="002B6EF2">
      <w:pPr>
        <w:spacing w:line="360" w:lineRule="auto"/>
        <w:jc w:val="both"/>
        <w:rPr>
          <w:rFonts w:ascii="Times New Roman" w:hAnsi="Times New Roman" w:cs="Times New Roman"/>
        </w:rPr>
      </w:pPr>
      <w:r w:rsidRPr="00952307">
        <w:rPr>
          <w:rFonts w:ascii="Times New Roman" w:hAnsi="Times New Roman" w:cs="Times New Roman"/>
        </w:rPr>
        <w:t>Participants in this study comprised those whose parents and grandparents are Yoruba indigenous. Furthermore, only individuals between the ages of 18 and 35 who had never undergone body surgery were selected.</w:t>
      </w:r>
    </w:p>
    <w:p w14:paraId="6BB134E7"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Exclusion Criteria</w:t>
      </w:r>
    </w:p>
    <w:p w14:paraId="1561C7AB" w14:textId="69C1CBCB" w:rsidR="002B6EF2" w:rsidRDefault="002B6EF2" w:rsidP="00E81B83">
      <w:pPr>
        <w:spacing w:line="360" w:lineRule="auto"/>
        <w:jc w:val="both"/>
        <w:rPr>
          <w:rFonts w:ascii="Times New Roman" w:hAnsi="Times New Roman" w:cs="Times New Roman"/>
        </w:rPr>
      </w:pPr>
      <w:r w:rsidRPr="00952307">
        <w:rPr>
          <w:rFonts w:ascii="Times New Roman" w:hAnsi="Times New Roman" w:cs="Times New Roman"/>
        </w:rPr>
        <w:t>Individuals with damage or abnormalities in hand morphology or stature were eliminated from the study.</w:t>
      </w:r>
    </w:p>
    <w:p w14:paraId="4AB42255" w14:textId="77777777" w:rsidR="00927063" w:rsidRPr="00952307" w:rsidRDefault="00927063" w:rsidP="00E81B83">
      <w:pPr>
        <w:spacing w:line="360" w:lineRule="auto"/>
        <w:jc w:val="both"/>
        <w:rPr>
          <w:rFonts w:ascii="Times New Roman" w:hAnsi="Times New Roman" w:cs="Times New Roman"/>
        </w:rPr>
      </w:pPr>
    </w:p>
    <w:p w14:paraId="3A3DD23F" w14:textId="4B72FD0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lastRenderedPageBreak/>
        <w:t xml:space="preserve">2.2.1 Anthropometric landmarks </w:t>
      </w:r>
    </w:p>
    <w:p w14:paraId="70B7A0F0"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The study used some anthropometric variable measures (stature, arm span and foot length), and these variables are defined as follows; </w:t>
      </w:r>
    </w:p>
    <w:p w14:paraId="4FA60029"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2.2.2. Stature</w:t>
      </w:r>
    </w:p>
    <w:p w14:paraId="382193AD" w14:textId="304DE7D6" w:rsidR="002B6EF2" w:rsidRPr="00952307" w:rsidRDefault="002B6EF2" w:rsidP="002B6EF2">
      <w:pPr>
        <w:spacing w:line="360" w:lineRule="auto"/>
        <w:jc w:val="both"/>
        <w:rPr>
          <w:rFonts w:ascii="Times New Roman" w:hAnsi="Times New Roman" w:cs="Times New Roman"/>
        </w:rPr>
      </w:pPr>
      <w:r w:rsidRPr="00952307">
        <w:rPr>
          <w:rFonts w:ascii="Times New Roman" w:hAnsi="Times New Roman" w:cs="Times New Roman"/>
        </w:rPr>
        <w:t xml:space="preserve">To measure this, the Goodcare ZT-160 stadiometer was employed. With their heels, buttocks, shoulder blades, and back of their heads touching the bar, the subject stood erect and barefoot on the stadiometer's level platform. They told the individuals to relax and </w:t>
      </w:r>
      <w:r w:rsidR="00295DFB" w:rsidRPr="00952307">
        <w:rPr>
          <w:rFonts w:ascii="Times New Roman" w:hAnsi="Times New Roman" w:cs="Times New Roman"/>
        </w:rPr>
        <w:t>keep</w:t>
      </w:r>
      <w:r w:rsidRPr="00952307">
        <w:rPr>
          <w:rFonts w:ascii="Times New Roman" w:hAnsi="Times New Roman" w:cs="Times New Roman"/>
        </w:rPr>
        <w:t xml:space="preserve"> their arms by their sides. Care was taken to keep it from sagging.</w:t>
      </w:r>
    </w:p>
    <w:p w14:paraId="5CDC6427" w14:textId="34356E7F"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 xml:space="preserve">2.2.3. Arm </w:t>
      </w:r>
      <w:r w:rsidR="002B6EF2" w:rsidRPr="00952307">
        <w:rPr>
          <w:rFonts w:ascii="Times New Roman" w:hAnsi="Times New Roman" w:cs="Times New Roman"/>
          <w:b/>
          <w:bCs/>
        </w:rPr>
        <w:t>length</w:t>
      </w:r>
    </w:p>
    <w:p w14:paraId="3CBD2937" w14:textId="77777777" w:rsidR="0016711F" w:rsidRPr="00952307" w:rsidRDefault="00E81B83" w:rsidP="0016711F">
      <w:pPr>
        <w:spacing w:line="360" w:lineRule="auto"/>
        <w:jc w:val="both"/>
        <w:rPr>
          <w:rFonts w:ascii="Times New Roman" w:hAnsi="Times New Roman" w:cs="Times New Roman"/>
        </w:rPr>
      </w:pPr>
      <w:r w:rsidRPr="00952307">
        <w:rPr>
          <w:rFonts w:ascii="Times New Roman" w:hAnsi="Times New Roman" w:cs="Times New Roman"/>
          <w:b/>
          <w:bCs/>
        </w:rPr>
        <w:t xml:space="preserve"> </w:t>
      </w:r>
      <w:r w:rsidR="0016711F" w:rsidRPr="00952307">
        <w:rPr>
          <w:rFonts w:ascii="Times New Roman" w:hAnsi="Times New Roman" w:cs="Times New Roman"/>
        </w:rPr>
        <w:t>This is measured from the lateral tip of the acromion to the distal end of the arm (lateral and medial epicondyle).</w:t>
      </w:r>
    </w:p>
    <w:p w14:paraId="69345740" w14:textId="66B8208C"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b/>
          <w:bCs/>
        </w:rPr>
        <w:t xml:space="preserve">2.3.4. Shoulder breadth </w:t>
      </w:r>
    </w:p>
    <w:p w14:paraId="56728678" w14:textId="6EDAE45C"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rPr>
        <w:t>Shoulder breadth was measured as the horizontal distance between the left and right acromial processes of the shoulders.</w:t>
      </w:r>
    </w:p>
    <w:p w14:paraId="755E2726" w14:textId="6C41318C"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2.2.</w:t>
      </w:r>
      <w:r w:rsidR="00295DFB" w:rsidRPr="00952307">
        <w:rPr>
          <w:rFonts w:ascii="Times New Roman" w:hAnsi="Times New Roman" w:cs="Times New Roman"/>
          <w:b/>
          <w:bCs/>
        </w:rPr>
        <w:t>5</w:t>
      </w:r>
      <w:r w:rsidRPr="00952307">
        <w:rPr>
          <w:rFonts w:ascii="Times New Roman" w:hAnsi="Times New Roman" w:cs="Times New Roman"/>
          <w:b/>
          <w:bCs/>
        </w:rPr>
        <w:t>. Foot length</w:t>
      </w:r>
    </w:p>
    <w:p w14:paraId="5FD1356A" w14:textId="7CE116CE" w:rsidR="0016711F" w:rsidRPr="00952307" w:rsidRDefault="00EB4548" w:rsidP="0016711F">
      <w:pPr>
        <w:spacing w:line="360" w:lineRule="auto"/>
        <w:jc w:val="both"/>
        <w:rPr>
          <w:rFonts w:ascii="Times New Roman" w:hAnsi="Times New Roman" w:cs="Times New Roman"/>
        </w:rPr>
      </w:pPr>
      <w:r w:rsidRPr="00952307">
        <w:rPr>
          <w:rFonts w:ascii="Times New Roman" w:hAnsi="Times New Roman" w:cs="Times New Roman"/>
        </w:rPr>
        <w:t>This measurement is taken from the point of the heel's most prominent part to the furthest part of the longest toe.</w:t>
      </w:r>
    </w:p>
    <w:p w14:paraId="7A46241C"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2.3. Method of Data Collection </w:t>
      </w:r>
    </w:p>
    <w:p w14:paraId="2EFBE0A7" w14:textId="21BD6AE4"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rPr>
        <w:t>A semi-constructive descriptive questionnaire and a personal interview were utilised to collect sociodemographic information from Yoruba indigenous peoples in Oyo State, Nigeria. This ensured that the subjects met the inclusion criteria and could participate in the study. A mega-sized calliper was used to measure arm length, shoulder breadth, and foot length using anatomical landmarks. The authors recorded and stored the data readings.</w:t>
      </w:r>
    </w:p>
    <w:p w14:paraId="1FD7ABCE"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2.4 Method of Data Analysis </w:t>
      </w:r>
    </w:p>
    <w:p w14:paraId="5CCA7A73" w14:textId="753C6E0A" w:rsidR="001119A9" w:rsidRPr="00952307" w:rsidRDefault="001119A9" w:rsidP="001119A9">
      <w:pPr>
        <w:spacing w:line="360" w:lineRule="auto"/>
        <w:jc w:val="both"/>
        <w:rPr>
          <w:rFonts w:ascii="Times New Roman" w:hAnsi="Times New Roman" w:cs="Times New Roman"/>
        </w:rPr>
      </w:pPr>
      <w:r w:rsidRPr="00952307">
        <w:rPr>
          <w:rFonts w:ascii="Times New Roman" w:hAnsi="Times New Roman" w:cs="Times New Roman"/>
        </w:rPr>
        <w:t xml:space="preserve">The data collected were statistically analyzed using the International Business Machines version of the Statistical Package for the Social Sciences (SPSS, version 23). The data were displayed in </w:t>
      </w:r>
      <w:r w:rsidRPr="00952307">
        <w:rPr>
          <w:rFonts w:ascii="Times New Roman" w:hAnsi="Times New Roman" w:cs="Times New Roman"/>
        </w:rPr>
        <w:lastRenderedPageBreak/>
        <w:t>a table as mean ± standard deviation. To assess sexual differences, an inferential statistic was used by the t-test. On the basis of the measured variables, a stature model was estimated using linear regression analysis.</w:t>
      </w:r>
    </w:p>
    <w:p w14:paraId="41A88AAA" w14:textId="0A1F6494"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rPr>
        <w:t xml:space="preserve"> </w:t>
      </w:r>
      <w:r w:rsidRPr="00952307">
        <w:rPr>
          <w:rFonts w:ascii="Times New Roman" w:hAnsi="Times New Roman" w:cs="Times New Roman"/>
          <w:b/>
          <w:bCs/>
        </w:rPr>
        <w:t xml:space="preserve">3.0 </w:t>
      </w:r>
      <w:r w:rsidRPr="00952307">
        <w:rPr>
          <w:rFonts w:ascii="Times New Roman" w:hAnsi="Times New Roman" w:cs="Times New Roman"/>
          <w:b/>
          <w:bCs/>
        </w:rPr>
        <w:tab/>
      </w:r>
      <w:r w:rsidR="008F233F" w:rsidRPr="00952307">
        <w:rPr>
          <w:rFonts w:ascii="Times New Roman" w:hAnsi="Times New Roman" w:cs="Times New Roman"/>
          <w:b/>
          <w:bCs/>
        </w:rPr>
        <w:t xml:space="preserve">RESULT  AND DISCUSSION </w:t>
      </w:r>
    </w:p>
    <w:p w14:paraId="79DC6E40" w14:textId="61BEAFEB"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Table 1 </w:t>
      </w:r>
      <w:r w:rsidR="00A621A9" w:rsidRPr="00952307">
        <w:rPr>
          <w:rFonts w:ascii="Times New Roman" w:hAnsi="Times New Roman" w:cs="Times New Roman"/>
        </w:rPr>
        <w:t>displayed the</w:t>
      </w:r>
      <w:r w:rsidRPr="00952307">
        <w:rPr>
          <w:rFonts w:ascii="Times New Roman" w:hAnsi="Times New Roman" w:cs="Times New Roman"/>
        </w:rPr>
        <w:t xml:space="preserve"> mean value of stature was 1</w:t>
      </w:r>
      <w:r w:rsidR="00372668" w:rsidRPr="00952307">
        <w:rPr>
          <w:rFonts w:ascii="Times New Roman" w:hAnsi="Times New Roman" w:cs="Times New Roman"/>
        </w:rPr>
        <w:t>70.27</w:t>
      </w:r>
      <w:r w:rsidRPr="00952307">
        <w:rPr>
          <w:rFonts w:ascii="Times New Roman" w:hAnsi="Times New Roman" w:cs="Times New Roman"/>
        </w:rPr>
        <w:t>±</w:t>
      </w:r>
      <w:r w:rsidR="00372668" w:rsidRPr="00952307">
        <w:rPr>
          <w:rFonts w:ascii="Times New Roman" w:hAnsi="Times New Roman" w:cs="Times New Roman"/>
        </w:rPr>
        <w:t>7.91</w:t>
      </w:r>
      <w:r w:rsidRPr="00952307">
        <w:rPr>
          <w:rFonts w:ascii="Times New Roman" w:hAnsi="Times New Roman" w:cs="Times New Roman"/>
        </w:rPr>
        <w:t xml:space="preserve">cm, arm </w:t>
      </w:r>
      <w:r w:rsidR="00372668" w:rsidRPr="00952307">
        <w:rPr>
          <w:rFonts w:ascii="Times New Roman" w:hAnsi="Times New Roman" w:cs="Times New Roman"/>
        </w:rPr>
        <w:t>length</w:t>
      </w:r>
      <w:r w:rsidRPr="00952307">
        <w:rPr>
          <w:rFonts w:ascii="Times New Roman" w:hAnsi="Times New Roman" w:cs="Times New Roman"/>
        </w:rPr>
        <w:t xml:space="preserve"> was </w:t>
      </w:r>
      <w:r w:rsidR="00372668" w:rsidRPr="00952307">
        <w:rPr>
          <w:rFonts w:ascii="Times New Roman" w:hAnsi="Times New Roman" w:cs="Times New Roman"/>
        </w:rPr>
        <w:t>34.39</w:t>
      </w:r>
      <w:r w:rsidRPr="00952307">
        <w:rPr>
          <w:rFonts w:ascii="Times New Roman" w:hAnsi="Times New Roman" w:cs="Times New Roman"/>
        </w:rPr>
        <w:t>±</w:t>
      </w:r>
      <w:r w:rsidR="00372668" w:rsidRPr="00952307">
        <w:rPr>
          <w:rFonts w:ascii="Times New Roman" w:hAnsi="Times New Roman" w:cs="Times New Roman"/>
        </w:rPr>
        <w:t>4.35</w:t>
      </w:r>
      <w:r w:rsidRPr="00952307">
        <w:rPr>
          <w:rFonts w:ascii="Times New Roman" w:hAnsi="Times New Roman" w:cs="Times New Roman"/>
        </w:rPr>
        <w:t xml:space="preserve">cm, </w:t>
      </w:r>
      <w:r w:rsidR="00372668" w:rsidRPr="00952307">
        <w:rPr>
          <w:rFonts w:ascii="Times New Roman" w:hAnsi="Times New Roman" w:cs="Times New Roman"/>
        </w:rPr>
        <w:t xml:space="preserve">shoulder breadth was 39.58±3.94 cm, </w:t>
      </w:r>
      <w:r w:rsidRPr="00952307">
        <w:rPr>
          <w:rFonts w:ascii="Times New Roman" w:hAnsi="Times New Roman" w:cs="Times New Roman"/>
        </w:rPr>
        <w:t>and foot length was 25.</w:t>
      </w:r>
      <w:r w:rsidR="00372668" w:rsidRPr="00952307">
        <w:rPr>
          <w:rFonts w:ascii="Times New Roman" w:hAnsi="Times New Roman" w:cs="Times New Roman"/>
        </w:rPr>
        <w:t>03</w:t>
      </w:r>
      <w:r w:rsidRPr="00952307">
        <w:rPr>
          <w:rFonts w:ascii="Times New Roman" w:hAnsi="Times New Roman" w:cs="Times New Roman"/>
        </w:rPr>
        <w:t>±1.</w:t>
      </w:r>
      <w:r w:rsidR="00372668" w:rsidRPr="00952307">
        <w:rPr>
          <w:rFonts w:ascii="Times New Roman" w:hAnsi="Times New Roman" w:cs="Times New Roman"/>
        </w:rPr>
        <w:t>70</w:t>
      </w:r>
      <w:r w:rsidRPr="00952307">
        <w:rPr>
          <w:rFonts w:ascii="Times New Roman" w:hAnsi="Times New Roman" w:cs="Times New Roman"/>
        </w:rPr>
        <w:t xml:space="preserve">cm. Sexual differences </w:t>
      </w:r>
      <w:r w:rsidR="008D3DC1" w:rsidRPr="00952307">
        <w:rPr>
          <w:rFonts w:ascii="Times New Roman" w:hAnsi="Times New Roman" w:cs="Times New Roman"/>
        </w:rPr>
        <w:t>were</w:t>
      </w:r>
      <w:r w:rsidRPr="00952307">
        <w:rPr>
          <w:rFonts w:ascii="Times New Roman" w:hAnsi="Times New Roman" w:cs="Times New Roman"/>
        </w:rPr>
        <w:t xml:space="preserve"> show</w:t>
      </w:r>
      <w:r w:rsidR="008D3DC1" w:rsidRPr="00952307">
        <w:rPr>
          <w:rFonts w:ascii="Times New Roman" w:hAnsi="Times New Roman" w:cs="Times New Roman"/>
        </w:rPr>
        <w:t>n</w:t>
      </w:r>
      <w:r w:rsidRPr="00952307">
        <w:rPr>
          <w:rFonts w:ascii="Times New Roman" w:hAnsi="Times New Roman" w:cs="Times New Roman"/>
        </w:rPr>
        <w:t xml:space="preserve"> between the stature, arm </w:t>
      </w:r>
      <w:r w:rsidR="00372668" w:rsidRPr="00952307">
        <w:rPr>
          <w:rFonts w:ascii="Times New Roman" w:hAnsi="Times New Roman" w:cs="Times New Roman"/>
        </w:rPr>
        <w:t xml:space="preserve">length, shoulder breadth </w:t>
      </w:r>
      <w:r w:rsidRPr="00952307">
        <w:rPr>
          <w:rFonts w:ascii="Times New Roman" w:hAnsi="Times New Roman" w:cs="Times New Roman"/>
        </w:rPr>
        <w:t>and foot length in Table 2. The table shows the linear regression model for the stature of all subjects (R = 0.</w:t>
      </w:r>
      <w:r w:rsidR="00A621A9" w:rsidRPr="00952307">
        <w:rPr>
          <w:rFonts w:ascii="Times New Roman" w:hAnsi="Times New Roman" w:cs="Times New Roman"/>
        </w:rPr>
        <w:t>7</w:t>
      </w:r>
      <w:r w:rsidRPr="00952307">
        <w:rPr>
          <w:rFonts w:ascii="Times New Roman" w:hAnsi="Times New Roman" w:cs="Times New Roman"/>
        </w:rPr>
        <w:t>8), males (R = 0.</w:t>
      </w:r>
      <w:r w:rsidR="00A621A9" w:rsidRPr="00952307">
        <w:rPr>
          <w:rFonts w:ascii="Times New Roman" w:hAnsi="Times New Roman" w:cs="Times New Roman"/>
        </w:rPr>
        <w:t>65</w:t>
      </w:r>
      <w:r w:rsidRPr="00952307">
        <w:rPr>
          <w:rFonts w:ascii="Times New Roman" w:hAnsi="Times New Roman" w:cs="Times New Roman"/>
        </w:rPr>
        <w:t>), and females (R = 0.</w:t>
      </w:r>
      <w:r w:rsidR="00A621A9" w:rsidRPr="00952307">
        <w:rPr>
          <w:rFonts w:ascii="Times New Roman" w:hAnsi="Times New Roman" w:cs="Times New Roman"/>
        </w:rPr>
        <w:t>73</w:t>
      </w:r>
      <w:r w:rsidRPr="00952307">
        <w:rPr>
          <w:rFonts w:ascii="Times New Roman" w:hAnsi="Times New Roman" w:cs="Times New Roman"/>
        </w:rPr>
        <w:t xml:space="preserve">), indicating a strong positive correlation within the population. </w:t>
      </w:r>
    </w:p>
    <w:p w14:paraId="1768C4E9"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present study investigated the relationship between stature and selected anthropometric parameters among the Yoruba population in Ibadan, Oyo State, Nigeria. The findings revealed clear sexual dimorphism in all measured body dimensions, as males recorded higher mean values than females in stature, arm length, shoulder breadth, and foot length. Specifically, males had a mean stature of 174.92±6.53 cm, arm length of 35.72±4.74 cm, shoulder breadth of 41.82±2.58 cm, and foot length of 26.07±1.57 cm, whereas females had a mean stature of 165.61±6.26 cm, arm length of 33.05±3.58 cm, shoulder breadth of 37.34±3.78 cm, and foot length of 24.03±1.56 cm. These findings suggest that males possess relatively larger body dimensions compared to females within the same population group.</w:t>
      </w:r>
    </w:p>
    <w:p w14:paraId="2956D5B8" w14:textId="493B79C8"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observed differences between males and females can largely be explained by biological and hormonal factors that influence growth and skeletal development [8]. During puberty, males experience increased secretion of testosterone, which stimulates bone elongation, muscle growth, and expansion of the skeletal framework. This contributes to broader shoulders, longer limbs, and greater overall body height in males. In contrast, females are more influenced by estrogen, which promotes fat deposition and regulates skeletal maturation differently, often resulting in relatively smaller body dimensions. Genetic inheritance also contributes significantly to body size and shape, as inherited traits determine skeletal proportions and growth patterns within families and ethnic groups</w:t>
      </w:r>
      <w:r w:rsidR="00870F2F" w:rsidRPr="00952307">
        <w:rPr>
          <w:rFonts w:ascii="Times New Roman" w:hAnsi="Times New Roman" w:cs="Times New Roman"/>
        </w:rPr>
        <w:t xml:space="preserve"> [11, 12, </w:t>
      </w:r>
      <w:r w:rsidR="0003600C" w:rsidRPr="00952307">
        <w:rPr>
          <w:rFonts w:ascii="Times New Roman" w:hAnsi="Times New Roman" w:cs="Times New Roman"/>
        </w:rPr>
        <w:t>and 13</w:t>
      </w:r>
      <w:r w:rsidRPr="00952307">
        <w:rPr>
          <w:rFonts w:ascii="Times New Roman" w:hAnsi="Times New Roman" w:cs="Times New Roman"/>
        </w:rPr>
        <w:t>].</w:t>
      </w:r>
    </w:p>
    <w:p w14:paraId="0351BABB" w14:textId="4A479190"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 xml:space="preserve">Beyond hormonal influences, environmental and nutritional factors may also contribute to these variations. Adequate nutrition during childhood and adolescence supports healthy bone growth </w:t>
      </w:r>
      <w:r w:rsidRPr="00952307">
        <w:rPr>
          <w:rFonts w:ascii="Times New Roman" w:hAnsi="Times New Roman" w:cs="Times New Roman"/>
        </w:rPr>
        <w:lastRenderedPageBreak/>
        <w:t>and physical development. Males may also engage more frequently in physically demanding activities, which can influence muscle development and body build over time [14]. Furthermore, evolutionary adaptations associated with strength, mobility, and reproductive functions may partly explain why males generally develop larger body proportions than females across many populations worldwide [15].</w:t>
      </w:r>
    </w:p>
    <w:p w14:paraId="717544F6" w14:textId="50843354"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significant differences observed in this study are consistent with previous anthropometric studies conducted in Nigeria and other parts of the world. Similar findings were reported by Amadi et al. [16], Fawehinmi et al. [1</w:t>
      </w:r>
      <w:r w:rsidR="00EE0F85" w:rsidRPr="00952307">
        <w:rPr>
          <w:rFonts w:ascii="Times New Roman" w:hAnsi="Times New Roman" w:cs="Times New Roman"/>
        </w:rPr>
        <w:t>8</w:t>
      </w:r>
      <w:r w:rsidRPr="00952307">
        <w:rPr>
          <w:rFonts w:ascii="Times New Roman" w:hAnsi="Times New Roman" w:cs="Times New Roman"/>
        </w:rPr>
        <w:t>], and Oghenemavwe et al. [1</w:t>
      </w:r>
      <w:r w:rsidR="00EE0F85" w:rsidRPr="00952307">
        <w:rPr>
          <w:rFonts w:ascii="Times New Roman" w:hAnsi="Times New Roman" w:cs="Times New Roman"/>
        </w:rPr>
        <w:t>9</w:t>
      </w:r>
      <w:r w:rsidRPr="00952307">
        <w:rPr>
          <w:rFonts w:ascii="Times New Roman" w:hAnsi="Times New Roman" w:cs="Times New Roman"/>
        </w:rPr>
        <w:t>], who observed greater body dimensions among males compared to females in different Nigerian ethnic populations. Studies by Hsieh et al. [</w:t>
      </w:r>
      <w:r w:rsidR="00EE0F85" w:rsidRPr="00952307">
        <w:rPr>
          <w:rFonts w:ascii="Times New Roman" w:hAnsi="Times New Roman" w:cs="Times New Roman"/>
        </w:rPr>
        <w:t>20</w:t>
      </w:r>
      <w:r w:rsidRPr="00952307">
        <w:rPr>
          <w:rFonts w:ascii="Times New Roman" w:hAnsi="Times New Roman" w:cs="Times New Roman"/>
        </w:rPr>
        <w:t>] and Koşar et al. [2</w:t>
      </w:r>
      <w:r w:rsidR="00EE0F85" w:rsidRPr="00952307">
        <w:rPr>
          <w:rFonts w:ascii="Times New Roman" w:hAnsi="Times New Roman" w:cs="Times New Roman"/>
        </w:rPr>
        <w:t>1</w:t>
      </w:r>
      <w:r w:rsidRPr="00952307">
        <w:rPr>
          <w:rFonts w:ascii="Times New Roman" w:hAnsi="Times New Roman" w:cs="Times New Roman"/>
        </w:rPr>
        <w:t>] also documented statistically significant sex differences in stature-related measurements. The consistency of these findings across different populations strengthens the evidence that sexual dimorphism is an important consideration in anthropometric and forensic investigations.</w:t>
      </w:r>
    </w:p>
    <w:p w14:paraId="3AE397F1" w14:textId="56B361E2"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However, the findings of this study differ from the report of Dorjee et al. [2</w:t>
      </w:r>
      <w:r w:rsidR="00EE0F85" w:rsidRPr="00952307">
        <w:rPr>
          <w:rFonts w:ascii="Times New Roman" w:hAnsi="Times New Roman" w:cs="Times New Roman"/>
        </w:rPr>
        <w:t>2</w:t>
      </w:r>
      <w:r w:rsidRPr="00952307">
        <w:rPr>
          <w:rFonts w:ascii="Times New Roman" w:hAnsi="Times New Roman" w:cs="Times New Roman"/>
        </w:rPr>
        <w:t>], who found no statistically significant differences between males and females. This discrepancy may be due to variations in ethnicity, geographical location, environmental exposure, nutritional status, and sample characteristics. Anthropometric parameters are known to vary among populations because of differences in genetics, culture, climate, and lifestyle. Therefore, prediction models developed for one population may not always be directly applicable to another population. This highlights the importance of developing population-specific standards for anthropometric studies and forensic identification.</w:t>
      </w:r>
    </w:p>
    <w:p w14:paraId="4848CBCC"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Another important finding of this study was the strong positive correlation observed between stature and the selected body parameters among the Yoruba population, with a correlation coefficient of R = 0.78 and a standard error of estimate (SEE) of 4.968. This suggests that arm length, shoulder breadth, and foot length are reliable predictors of stature within this population. The strong relationship observed may be attributed to the coordinated growth pattern of the human body, where long bones and skeletal structures develop proportionately with overall body height.</w:t>
      </w:r>
    </w:p>
    <w:p w14:paraId="2BBF2362"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 xml:space="preserve">Among the measured variables, arm length demonstrated a particularly important relationship with stature. Anatomically, the upper limbs consist of long bones such as the humerus, radius, </w:t>
      </w:r>
      <w:r w:rsidRPr="00952307">
        <w:rPr>
          <w:rFonts w:ascii="Times New Roman" w:hAnsi="Times New Roman" w:cs="Times New Roman"/>
        </w:rPr>
        <w:lastRenderedPageBreak/>
        <w:t>and ulna, which undergo linear growth during development. Since stature itself depends largely on skeletal growth, it is expected that arm length would correlate strongly with height. Similarly, foot length contributes to body balance and locomotion, and previous studies have shown that taller individuals often possess larger feet to support body weight effectively. Shoulder breadth also reflects skeletal frame size and muscular development, both of which are associated with body stature.</w:t>
      </w:r>
    </w:p>
    <w:p w14:paraId="5EBD2B02" w14:textId="30F29994"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strong correlation observed in this study agrees with earlier reports by Fawehinmi et al. [1</w:t>
      </w:r>
      <w:r w:rsidR="00EE0F85" w:rsidRPr="00952307">
        <w:rPr>
          <w:rFonts w:ascii="Times New Roman" w:hAnsi="Times New Roman" w:cs="Times New Roman"/>
        </w:rPr>
        <w:t>8</w:t>
      </w:r>
      <w:r w:rsidRPr="00952307">
        <w:rPr>
          <w:rFonts w:ascii="Times New Roman" w:hAnsi="Times New Roman" w:cs="Times New Roman"/>
        </w:rPr>
        <w:t>] among the Hausa population, as well as studies by Oghenemavwe et al. [2</w:t>
      </w:r>
      <w:r w:rsidR="00EE0F85" w:rsidRPr="00952307">
        <w:rPr>
          <w:rFonts w:ascii="Times New Roman" w:hAnsi="Times New Roman" w:cs="Times New Roman"/>
        </w:rPr>
        <w:t>3</w:t>
      </w:r>
      <w:r w:rsidRPr="00952307">
        <w:rPr>
          <w:rFonts w:ascii="Times New Roman" w:hAnsi="Times New Roman" w:cs="Times New Roman"/>
        </w:rPr>
        <w:t>] among northern Nigerians and the Igbo ethnic group. The similarity in findings across different ethnic populations within Nigeria suggests that anthropometric measurements can serve as useful tools for stature estimation in forensic anthropology, anatomy, and clinical practice. In situations where complete bodies are unavailable, such as natural disasters, accidents, or criminal investigations, body parts like the arm or foot can help estimate an individual’s stature with reasonable accuracy.</w:t>
      </w:r>
    </w:p>
    <w:p w14:paraId="1A27E5B6"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Interestingly, the present study found that stature prediction was more accurate in females (R = 0.73, SEE = 4.307) than in males (R = 0.65, SEE = 5.021). This indicates that arm length, shoulder breadth, and foot length provide a better prediction of height among females compared to males. One possible explanation for this finding is that females may exhibit more proportional relationships between body parts and stature, while males often show greater variability in muscle mass and body build. Males generally have broader skeletal frames and more muscular development, which may introduce greater variation in anthropometric measurements and slightly reduce prediction accuracy.</w:t>
      </w:r>
    </w:p>
    <w:p w14:paraId="07A445DF" w14:textId="6B835CF6"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Differences in fat distribution and body composition may also contribute to this variation</w:t>
      </w:r>
      <w:r w:rsidR="00743CCC" w:rsidRPr="00952307">
        <w:rPr>
          <w:rFonts w:ascii="Times New Roman" w:hAnsi="Times New Roman" w:cs="Times New Roman"/>
        </w:rPr>
        <w:t xml:space="preserve"> </w:t>
      </w:r>
      <w:r w:rsidR="00EE0F85" w:rsidRPr="00952307">
        <w:rPr>
          <w:rFonts w:ascii="Times New Roman" w:hAnsi="Times New Roman" w:cs="Times New Roman"/>
        </w:rPr>
        <w:t>[17]</w:t>
      </w:r>
      <w:r w:rsidRPr="00952307">
        <w:rPr>
          <w:rFonts w:ascii="Times New Roman" w:hAnsi="Times New Roman" w:cs="Times New Roman"/>
        </w:rPr>
        <w:t>. Females tend to have relatively stable body proportions, whereas males may experience more pronounced changes associated with physical activity, occupational stress, and muscle hypertrophy. Consequently, stature estimation models may perform differently between sexes, emphasizing the importance of sex-specific regression equations in anthropometric studies.</w:t>
      </w:r>
    </w:p>
    <w:p w14:paraId="44192BD1" w14:textId="49160090"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findings of this study are in agreement with previous investigations by Fawehinmi et al. [1</w:t>
      </w:r>
      <w:r w:rsidR="00EE0F85" w:rsidRPr="00952307">
        <w:rPr>
          <w:rFonts w:ascii="Times New Roman" w:hAnsi="Times New Roman" w:cs="Times New Roman"/>
        </w:rPr>
        <w:t>8</w:t>
      </w:r>
      <w:r w:rsidRPr="00952307">
        <w:rPr>
          <w:rFonts w:ascii="Times New Roman" w:hAnsi="Times New Roman" w:cs="Times New Roman"/>
        </w:rPr>
        <w:t>], Asiwe et al. [2</w:t>
      </w:r>
      <w:r w:rsidR="00EE0F85" w:rsidRPr="00952307">
        <w:rPr>
          <w:rFonts w:ascii="Times New Roman" w:hAnsi="Times New Roman" w:cs="Times New Roman"/>
        </w:rPr>
        <w:t>4</w:t>
      </w:r>
      <w:r w:rsidRPr="00952307">
        <w:rPr>
          <w:rFonts w:ascii="Times New Roman" w:hAnsi="Times New Roman" w:cs="Times New Roman"/>
        </w:rPr>
        <w:t>], Mulu and Sisay [2</w:t>
      </w:r>
      <w:r w:rsidR="00EE0F85" w:rsidRPr="00952307">
        <w:rPr>
          <w:rFonts w:ascii="Times New Roman" w:hAnsi="Times New Roman" w:cs="Times New Roman"/>
        </w:rPr>
        <w:t>5</w:t>
      </w:r>
      <w:r w:rsidRPr="00952307">
        <w:rPr>
          <w:rFonts w:ascii="Times New Roman" w:hAnsi="Times New Roman" w:cs="Times New Roman"/>
        </w:rPr>
        <w:t>], and Oghenemavwe et al. [2</w:t>
      </w:r>
      <w:r w:rsidR="00EE0F85" w:rsidRPr="00952307">
        <w:rPr>
          <w:rFonts w:ascii="Times New Roman" w:hAnsi="Times New Roman" w:cs="Times New Roman"/>
        </w:rPr>
        <w:t>3</w:t>
      </w:r>
      <w:r w:rsidRPr="00952307">
        <w:rPr>
          <w:rFonts w:ascii="Times New Roman" w:hAnsi="Times New Roman" w:cs="Times New Roman"/>
        </w:rPr>
        <w:t xml:space="preserve">], all of whom reported better predictive accuracy in females than males. These similarities reinforce the reliability of </w:t>
      </w:r>
      <w:r w:rsidRPr="00952307">
        <w:rPr>
          <w:rFonts w:ascii="Times New Roman" w:hAnsi="Times New Roman" w:cs="Times New Roman"/>
        </w:rPr>
        <w:lastRenderedPageBreak/>
        <w:t>anthropometric measurements in stature estimation and support their application in forensic science and human identification.</w:t>
      </w:r>
    </w:p>
    <w:p w14:paraId="14B2C66C"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Overall, this study contributes valuable baseline data on anthropometric relationships among the Yoruba population in Ibadan, Oyo State. The results demonstrate that stature can be reasonably estimated from arm length, shoulder breadth, and foot length, with significant differences existing between males and females. The study also emphasizes the importance of considering sex and ethnicity when developing predictive models for stature estimation. These findings may be useful in forensic anthropology, anatomy, ergonomics, and clinical practice, particularly in cases involving incomplete human remains or where direct measurement of stature is not possible.</w:t>
      </w:r>
    </w:p>
    <w:p w14:paraId="72CFD77D" w14:textId="5E05854C" w:rsidR="00E81B83" w:rsidRPr="00952307" w:rsidRDefault="00952307" w:rsidP="00E81B83">
      <w:pPr>
        <w:spacing w:line="360" w:lineRule="auto"/>
        <w:jc w:val="both"/>
        <w:rPr>
          <w:rFonts w:ascii="Times New Roman" w:hAnsi="Times New Roman" w:cs="Times New Roman"/>
          <w:b/>
          <w:bCs/>
        </w:rPr>
      </w:pPr>
      <w:r>
        <w:rPr>
          <w:rFonts w:ascii="Times New Roman" w:hAnsi="Times New Roman" w:cs="Times New Roman"/>
          <w:b/>
          <w:bCs/>
        </w:rPr>
        <w:t>4</w:t>
      </w:r>
      <w:r w:rsidR="00E81B83" w:rsidRPr="00952307">
        <w:rPr>
          <w:rFonts w:ascii="Times New Roman" w:hAnsi="Times New Roman" w:cs="Times New Roman"/>
          <w:b/>
          <w:bCs/>
        </w:rPr>
        <w:t xml:space="preserve">. CONCLUSION </w:t>
      </w:r>
    </w:p>
    <w:p w14:paraId="2A8AD976" w14:textId="1D309A21"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This study assesses stature estimation from arm </w:t>
      </w:r>
      <w:r w:rsidR="00DE69F6" w:rsidRPr="00952307">
        <w:rPr>
          <w:rFonts w:ascii="Times New Roman" w:hAnsi="Times New Roman" w:cs="Times New Roman"/>
        </w:rPr>
        <w:t xml:space="preserve">length, shoulder breadth </w:t>
      </w:r>
      <w:r w:rsidRPr="00952307">
        <w:rPr>
          <w:rFonts w:ascii="Times New Roman" w:hAnsi="Times New Roman" w:cs="Times New Roman"/>
        </w:rPr>
        <w:t xml:space="preserve">and foot length of the indigenous people of </w:t>
      </w:r>
      <w:r w:rsidR="00DE69F6" w:rsidRPr="00952307">
        <w:rPr>
          <w:rFonts w:ascii="Times New Roman" w:hAnsi="Times New Roman" w:cs="Times New Roman"/>
        </w:rPr>
        <w:t>Yoruba in Ibadan, Oyo</w:t>
      </w:r>
      <w:r w:rsidRPr="00952307">
        <w:rPr>
          <w:rFonts w:ascii="Times New Roman" w:hAnsi="Times New Roman" w:cs="Times New Roman"/>
        </w:rPr>
        <w:t xml:space="preserve"> State, Nigeria. This shows a strong positive correlation between the subjects. These findings will be useful in forensic sciences, anthropology, medical sciences and bioarchaeology. </w:t>
      </w:r>
    </w:p>
    <w:p w14:paraId="2BC551DE"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ETHICAL APPROVAL </w:t>
      </w:r>
    </w:p>
    <w:p w14:paraId="4BE28EDC"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Ethical approval was obtained from the Research Ethics Committee at the University of Port Harcourt, Port Harcourt, Nigeria. (UPHCEREMAD/REC/MM/91/046). All subjects were adequately informed about the procedure of the studies, and they gave their consent in writing. </w:t>
      </w:r>
    </w:p>
    <w:p w14:paraId="3704B62B"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CONFLICT OF INTEREST</w:t>
      </w:r>
    </w:p>
    <w:p w14:paraId="4ACD565A"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Authors have declared that no conflicts of interest exist.</w:t>
      </w:r>
    </w:p>
    <w:p w14:paraId="49794674" w14:textId="6BFC5EB6" w:rsidR="00B9264B" w:rsidRPr="00952307" w:rsidRDefault="00B9264B" w:rsidP="00B9264B">
      <w:pPr>
        <w:spacing w:line="360" w:lineRule="auto"/>
        <w:jc w:val="both"/>
        <w:rPr>
          <w:rFonts w:ascii="Times New Roman" w:hAnsi="Times New Roman" w:cs="Times New Roman"/>
          <w:b/>
          <w:bCs/>
        </w:rPr>
      </w:pPr>
      <w:r w:rsidRPr="00952307">
        <w:rPr>
          <w:rFonts w:ascii="Times New Roman" w:hAnsi="Times New Roman" w:cs="Times New Roman"/>
          <w:b/>
          <w:bCs/>
        </w:rPr>
        <w:t>Table 1. Descriptive Statistics of the Subjects</w:t>
      </w:r>
    </w:p>
    <w:tbl>
      <w:tblPr>
        <w:tblW w:w="7434"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1730"/>
        <w:gridCol w:w="1009"/>
        <w:gridCol w:w="1070"/>
        <w:gridCol w:w="1101"/>
        <w:gridCol w:w="1086"/>
        <w:gridCol w:w="1438"/>
      </w:tblGrid>
      <w:tr w:rsidR="00B9264B" w:rsidRPr="00952307" w14:paraId="2B739B5E" w14:textId="77777777" w:rsidTr="00B9264B">
        <w:trPr>
          <w:cantSplit/>
        </w:trPr>
        <w:tc>
          <w:tcPr>
            <w:tcW w:w="1730" w:type="dxa"/>
            <w:tcBorders>
              <w:top w:val="single" w:sz="4" w:space="0" w:color="auto"/>
              <w:bottom w:val="single" w:sz="4" w:space="0" w:color="auto"/>
            </w:tcBorders>
            <w:shd w:val="clear" w:color="auto" w:fill="FFFFFF"/>
            <w:vAlign w:val="bottom"/>
          </w:tcPr>
          <w:p w14:paraId="2BAB6942" w14:textId="367E9A9B" w:rsidR="00B9264B" w:rsidRPr="00952307" w:rsidRDefault="00B9264B" w:rsidP="00B9264B">
            <w:pPr>
              <w:jc w:val="both"/>
              <w:rPr>
                <w:rFonts w:ascii="Times New Roman" w:hAnsi="Times New Roman" w:cs="Times New Roman"/>
              </w:rPr>
            </w:pPr>
            <w:r w:rsidRPr="00952307">
              <w:rPr>
                <w:rFonts w:ascii="Times New Roman" w:hAnsi="Times New Roman" w:cs="Times New Roman"/>
              </w:rPr>
              <w:t xml:space="preserve">Parameter </w:t>
            </w:r>
          </w:p>
        </w:tc>
        <w:tc>
          <w:tcPr>
            <w:tcW w:w="1009" w:type="dxa"/>
            <w:tcBorders>
              <w:top w:val="single" w:sz="4" w:space="0" w:color="auto"/>
              <w:bottom w:val="single" w:sz="4" w:space="0" w:color="auto"/>
            </w:tcBorders>
            <w:shd w:val="clear" w:color="auto" w:fill="FFFFFF"/>
            <w:vAlign w:val="bottom"/>
          </w:tcPr>
          <w:p w14:paraId="69F1C91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N</w:t>
            </w:r>
          </w:p>
        </w:tc>
        <w:tc>
          <w:tcPr>
            <w:tcW w:w="1070" w:type="dxa"/>
            <w:tcBorders>
              <w:top w:val="single" w:sz="4" w:space="0" w:color="auto"/>
              <w:bottom w:val="single" w:sz="4" w:space="0" w:color="auto"/>
            </w:tcBorders>
            <w:shd w:val="clear" w:color="auto" w:fill="FFFFFF"/>
            <w:vAlign w:val="bottom"/>
          </w:tcPr>
          <w:p w14:paraId="7BBD49F4"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Minimum</w:t>
            </w:r>
          </w:p>
        </w:tc>
        <w:tc>
          <w:tcPr>
            <w:tcW w:w="1101" w:type="dxa"/>
            <w:tcBorders>
              <w:top w:val="single" w:sz="4" w:space="0" w:color="auto"/>
              <w:bottom w:val="single" w:sz="4" w:space="0" w:color="auto"/>
            </w:tcBorders>
            <w:shd w:val="clear" w:color="auto" w:fill="FFFFFF"/>
            <w:vAlign w:val="bottom"/>
          </w:tcPr>
          <w:p w14:paraId="27CB0F7A"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Maximum</w:t>
            </w:r>
          </w:p>
        </w:tc>
        <w:tc>
          <w:tcPr>
            <w:tcW w:w="1086" w:type="dxa"/>
            <w:tcBorders>
              <w:top w:val="single" w:sz="4" w:space="0" w:color="auto"/>
              <w:bottom w:val="single" w:sz="4" w:space="0" w:color="auto"/>
            </w:tcBorders>
            <w:shd w:val="clear" w:color="auto" w:fill="FFFFFF"/>
            <w:vAlign w:val="bottom"/>
          </w:tcPr>
          <w:p w14:paraId="341D7C49"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6A35C280"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Std. Deviation</w:t>
            </w:r>
          </w:p>
        </w:tc>
      </w:tr>
      <w:tr w:rsidR="00B9264B" w:rsidRPr="00952307" w14:paraId="189653DD" w14:textId="77777777" w:rsidTr="00B9264B">
        <w:trPr>
          <w:cantSplit/>
        </w:trPr>
        <w:tc>
          <w:tcPr>
            <w:tcW w:w="1730" w:type="dxa"/>
            <w:tcBorders>
              <w:top w:val="single" w:sz="4" w:space="0" w:color="auto"/>
            </w:tcBorders>
            <w:shd w:val="clear" w:color="auto" w:fill="FFFFFF"/>
          </w:tcPr>
          <w:p w14:paraId="0D1C2A1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stature</w:t>
            </w:r>
          </w:p>
        </w:tc>
        <w:tc>
          <w:tcPr>
            <w:tcW w:w="1009" w:type="dxa"/>
            <w:tcBorders>
              <w:top w:val="single" w:sz="4" w:space="0" w:color="auto"/>
            </w:tcBorders>
            <w:shd w:val="clear" w:color="auto" w:fill="FFFFFF"/>
            <w:vAlign w:val="center"/>
          </w:tcPr>
          <w:p w14:paraId="0C8745AB"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tcBorders>
              <w:top w:val="single" w:sz="4" w:space="0" w:color="auto"/>
            </w:tcBorders>
            <w:shd w:val="clear" w:color="auto" w:fill="FFFFFF"/>
            <w:vAlign w:val="center"/>
          </w:tcPr>
          <w:p w14:paraId="3C88630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150.00</w:t>
            </w:r>
          </w:p>
        </w:tc>
        <w:tc>
          <w:tcPr>
            <w:tcW w:w="1101" w:type="dxa"/>
            <w:tcBorders>
              <w:top w:val="single" w:sz="4" w:space="0" w:color="auto"/>
            </w:tcBorders>
            <w:shd w:val="clear" w:color="auto" w:fill="FFFFFF"/>
            <w:vAlign w:val="center"/>
          </w:tcPr>
          <w:p w14:paraId="574BB5F8"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190.00</w:t>
            </w:r>
          </w:p>
        </w:tc>
        <w:tc>
          <w:tcPr>
            <w:tcW w:w="1086" w:type="dxa"/>
            <w:tcBorders>
              <w:top w:val="single" w:sz="4" w:space="0" w:color="auto"/>
            </w:tcBorders>
            <w:shd w:val="clear" w:color="auto" w:fill="FFFFFF"/>
            <w:vAlign w:val="center"/>
          </w:tcPr>
          <w:p w14:paraId="0E90CE4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170.2653</w:t>
            </w:r>
          </w:p>
        </w:tc>
        <w:tc>
          <w:tcPr>
            <w:tcW w:w="1438" w:type="dxa"/>
            <w:tcBorders>
              <w:top w:val="single" w:sz="4" w:space="0" w:color="auto"/>
            </w:tcBorders>
            <w:shd w:val="clear" w:color="auto" w:fill="FFFFFF"/>
            <w:vAlign w:val="center"/>
          </w:tcPr>
          <w:p w14:paraId="64472654"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7.90840</w:t>
            </w:r>
          </w:p>
        </w:tc>
      </w:tr>
      <w:tr w:rsidR="00B9264B" w:rsidRPr="00952307" w14:paraId="25E08D02" w14:textId="77777777" w:rsidTr="00B9264B">
        <w:trPr>
          <w:cantSplit/>
        </w:trPr>
        <w:tc>
          <w:tcPr>
            <w:tcW w:w="1730" w:type="dxa"/>
            <w:shd w:val="clear" w:color="auto" w:fill="FFFFFF"/>
          </w:tcPr>
          <w:p w14:paraId="5A1BF59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arm length</w:t>
            </w:r>
          </w:p>
        </w:tc>
        <w:tc>
          <w:tcPr>
            <w:tcW w:w="1009" w:type="dxa"/>
            <w:shd w:val="clear" w:color="auto" w:fill="FFFFFF"/>
            <w:vAlign w:val="center"/>
          </w:tcPr>
          <w:p w14:paraId="7DAA67F1"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0D62759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21.00</w:t>
            </w:r>
          </w:p>
        </w:tc>
        <w:tc>
          <w:tcPr>
            <w:tcW w:w="1101" w:type="dxa"/>
            <w:shd w:val="clear" w:color="auto" w:fill="FFFFFF"/>
            <w:vAlign w:val="center"/>
          </w:tcPr>
          <w:p w14:paraId="154546F8"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85.00</w:t>
            </w:r>
          </w:p>
        </w:tc>
        <w:tc>
          <w:tcPr>
            <w:tcW w:w="1086" w:type="dxa"/>
            <w:shd w:val="clear" w:color="auto" w:fill="FFFFFF"/>
            <w:vAlign w:val="center"/>
          </w:tcPr>
          <w:p w14:paraId="1DC0654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34.3880</w:t>
            </w:r>
          </w:p>
        </w:tc>
        <w:tc>
          <w:tcPr>
            <w:tcW w:w="1438" w:type="dxa"/>
            <w:shd w:val="clear" w:color="auto" w:fill="FFFFFF"/>
            <w:vAlign w:val="center"/>
          </w:tcPr>
          <w:p w14:paraId="78F9E559"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4.35023</w:t>
            </w:r>
          </w:p>
        </w:tc>
      </w:tr>
      <w:tr w:rsidR="00B9264B" w:rsidRPr="00952307" w14:paraId="5C26E207" w14:textId="77777777" w:rsidTr="00B9264B">
        <w:trPr>
          <w:cantSplit/>
        </w:trPr>
        <w:tc>
          <w:tcPr>
            <w:tcW w:w="1730" w:type="dxa"/>
            <w:shd w:val="clear" w:color="auto" w:fill="FFFFFF"/>
          </w:tcPr>
          <w:p w14:paraId="328E3B00"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shoulder breadth</w:t>
            </w:r>
          </w:p>
        </w:tc>
        <w:tc>
          <w:tcPr>
            <w:tcW w:w="1009" w:type="dxa"/>
            <w:shd w:val="clear" w:color="auto" w:fill="FFFFFF"/>
            <w:vAlign w:val="center"/>
          </w:tcPr>
          <w:p w14:paraId="157A4E7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1020C815"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28.00</w:t>
            </w:r>
          </w:p>
        </w:tc>
        <w:tc>
          <w:tcPr>
            <w:tcW w:w="1101" w:type="dxa"/>
            <w:shd w:val="clear" w:color="auto" w:fill="FFFFFF"/>
            <w:vAlign w:val="center"/>
          </w:tcPr>
          <w:p w14:paraId="54A87E7B" w14:textId="0D9B284C" w:rsidR="00B9264B" w:rsidRPr="00952307" w:rsidRDefault="00B9264B" w:rsidP="00B9264B">
            <w:pPr>
              <w:jc w:val="both"/>
              <w:rPr>
                <w:rFonts w:ascii="Times New Roman" w:hAnsi="Times New Roman" w:cs="Times New Roman"/>
              </w:rPr>
            </w:pPr>
            <w:r w:rsidRPr="00952307">
              <w:rPr>
                <w:rFonts w:ascii="Times New Roman" w:hAnsi="Times New Roman" w:cs="Times New Roman"/>
              </w:rPr>
              <w:t>48.00</w:t>
            </w:r>
          </w:p>
        </w:tc>
        <w:tc>
          <w:tcPr>
            <w:tcW w:w="1086" w:type="dxa"/>
            <w:shd w:val="clear" w:color="auto" w:fill="FFFFFF"/>
            <w:vAlign w:val="center"/>
          </w:tcPr>
          <w:p w14:paraId="5F091F01" w14:textId="74100885" w:rsidR="00B9264B" w:rsidRPr="00952307" w:rsidRDefault="00B9264B" w:rsidP="00B9264B">
            <w:pPr>
              <w:jc w:val="both"/>
              <w:rPr>
                <w:rFonts w:ascii="Times New Roman" w:hAnsi="Times New Roman" w:cs="Times New Roman"/>
              </w:rPr>
            </w:pPr>
            <w:r w:rsidRPr="00952307">
              <w:rPr>
                <w:rFonts w:ascii="Times New Roman" w:hAnsi="Times New Roman" w:cs="Times New Roman"/>
              </w:rPr>
              <w:t>39.5833</w:t>
            </w:r>
          </w:p>
        </w:tc>
        <w:tc>
          <w:tcPr>
            <w:tcW w:w="1438" w:type="dxa"/>
            <w:shd w:val="clear" w:color="auto" w:fill="FFFFFF"/>
            <w:vAlign w:val="center"/>
          </w:tcPr>
          <w:p w14:paraId="7BF75FE6" w14:textId="3B356E8C" w:rsidR="00B9264B" w:rsidRPr="00952307" w:rsidRDefault="00B9264B" w:rsidP="00B9264B">
            <w:pPr>
              <w:jc w:val="both"/>
              <w:rPr>
                <w:rFonts w:ascii="Times New Roman" w:hAnsi="Times New Roman" w:cs="Times New Roman"/>
              </w:rPr>
            </w:pPr>
            <w:r w:rsidRPr="00952307">
              <w:rPr>
                <w:rFonts w:ascii="Times New Roman" w:hAnsi="Times New Roman" w:cs="Times New Roman"/>
              </w:rPr>
              <w:t>3.93460</w:t>
            </w:r>
          </w:p>
        </w:tc>
      </w:tr>
      <w:tr w:rsidR="00B9264B" w:rsidRPr="00952307" w14:paraId="1C6754B9" w14:textId="77777777" w:rsidTr="00B9264B">
        <w:trPr>
          <w:cantSplit/>
        </w:trPr>
        <w:tc>
          <w:tcPr>
            <w:tcW w:w="1730" w:type="dxa"/>
            <w:shd w:val="clear" w:color="auto" w:fill="FFFFFF"/>
          </w:tcPr>
          <w:p w14:paraId="5ABA20E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lastRenderedPageBreak/>
              <w:t>foot length</w:t>
            </w:r>
          </w:p>
        </w:tc>
        <w:tc>
          <w:tcPr>
            <w:tcW w:w="1009" w:type="dxa"/>
            <w:shd w:val="clear" w:color="auto" w:fill="FFFFFF"/>
            <w:vAlign w:val="center"/>
          </w:tcPr>
          <w:p w14:paraId="318D092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0AA4B85F"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21.00</w:t>
            </w:r>
          </w:p>
        </w:tc>
        <w:tc>
          <w:tcPr>
            <w:tcW w:w="1101" w:type="dxa"/>
            <w:shd w:val="clear" w:color="auto" w:fill="FFFFFF"/>
            <w:vAlign w:val="center"/>
          </w:tcPr>
          <w:p w14:paraId="6C41C58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36.50</w:t>
            </w:r>
          </w:p>
        </w:tc>
        <w:tc>
          <w:tcPr>
            <w:tcW w:w="1086" w:type="dxa"/>
            <w:shd w:val="clear" w:color="auto" w:fill="FFFFFF"/>
            <w:vAlign w:val="center"/>
          </w:tcPr>
          <w:p w14:paraId="32432ADA"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25.0290</w:t>
            </w:r>
          </w:p>
        </w:tc>
        <w:tc>
          <w:tcPr>
            <w:tcW w:w="1438" w:type="dxa"/>
            <w:shd w:val="clear" w:color="auto" w:fill="FFFFFF"/>
            <w:vAlign w:val="center"/>
          </w:tcPr>
          <w:p w14:paraId="55CFB53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1.70276</w:t>
            </w:r>
          </w:p>
        </w:tc>
      </w:tr>
    </w:tbl>
    <w:p w14:paraId="32A10BC5" w14:textId="21CF25E4" w:rsidR="00B9264B" w:rsidRPr="00952307" w:rsidRDefault="00B9264B" w:rsidP="00B9264B">
      <w:pPr>
        <w:spacing w:line="360" w:lineRule="auto"/>
        <w:jc w:val="both"/>
        <w:rPr>
          <w:rFonts w:ascii="Times New Roman" w:hAnsi="Times New Roman" w:cs="Times New Roman"/>
          <w:b/>
          <w:bCs/>
        </w:rPr>
      </w:pPr>
    </w:p>
    <w:p w14:paraId="54A9EDB3" w14:textId="41B75E14" w:rsidR="00B9264B" w:rsidRPr="00952307" w:rsidRDefault="00B9264B" w:rsidP="00B9264B">
      <w:pPr>
        <w:spacing w:line="360" w:lineRule="auto"/>
        <w:jc w:val="both"/>
        <w:rPr>
          <w:rFonts w:ascii="Times New Roman" w:hAnsi="Times New Roman" w:cs="Times New Roman"/>
          <w:b/>
          <w:bCs/>
        </w:rPr>
      </w:pPr>
      <w:r w:rsidRPr="00952307">
        <w:rPr>
          <w:rFonts w:ascii="Times New Roman" w:hAnsi="Times New Roman" w:cs="Times New Roman"/>
          <w:b/>
          <w:bCs/>
        </w:rPr>
        <w:t>Table 2. Sexual Differences of the Subjects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826"/>
        <w:gridCol w:w="1832"/>
        <w:gridCol w:w="1285"/>
        <w:gridCol w:w="1280"/>
        <w:gridCol w:w="1290"/>
      </w:tblGrid>
      <w:tr w:rsidR="00B9264B" w:rsidRPr="00952307" w14:paraId="34794D05" w14:textId="77777777" w:rsidTr="00E64CCD">
        <w:tc>
          <w:tcPr>
            <w:tcW w:w="2472" w:type="dxa"/>
            <w:tcBorders>
              <w:top w:val="single" w:sz="4" w:space="0" w:color="auto"/>
              <w:bottom w:val="single" w:sz="4" w:space="0" w:color="auto"/>
            </w:tcBorders>
          </w:tcPr>
          <w:p w14:paraId="36B2F1E9"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Parameters </w:t>
            </w:r>
          </w:p>
        </w:tc>
        <w:tc>
          <w:tcPr>
            <w:tcW w:w="1826" w:type="dxa"/>
            <w:tcBorders>
              <w:top w:val="single" w:sz="4" w:space="0" w:color="auto"/>
              <w:bottom w:val="single" w:sz="4" w:space="0" w:color="auto"/>
            </w:tcBorders>
          </w:tcPr>
          <w:p w14:paraId="09F757A2"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Male </w:t>
            </w:r>
          </w:p>
        </w:tc>
        <w:tc>
          <w:tcPr>
            <w:tcW w:w="1832" w:type="dxa"/>
            <w:tcBorders>
              <w:top w:val="single" w:sz="4" w:space="0" w:color="auto"/>
              <w:bottom w:val="single" w:sz="4" w:space="0" w:color="auto"/>
            </w:tcBorders>
          </w:tcPr>
          <w:p w14:paraId="70E9891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Female </w:t>
            </w:r>
          </w:p>
        </w:tc>
        <w:tc>
          <w:tcPr>
            <w:tcW w:w="1285" w:type="dxa"/>
            <w:tcBorders>
              <w:top w:val="single" w:sz="4" w:space="0" w:color="auto"/>
              <w:bottom w:val="single" w:sz="4" w:space="0" w:color="auto"/>
            </w:tcBorders>
          </w:tcPr>
          <w:p w14:paraId="4A3DFE44"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T-test   </w:t>
            </w:r>
          </w:p>
        </w:tc>
        <w:tc>
          <w:tcPr>
            <w:tcW w:w="1280" w:type="dxa"/>
            <w:tcBorders>
              <w:top w:val="single" w:sz="4" w:space="0" w:color="auto"/>
              <w:bottom w:val="single" w:sz="4" w:space="0" w:color="auto"/>
            </w:tcBorders>
          </w:tcPr>
          <w:p w14:paraId="475063B9"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P-value</w:t>
            </w:r>
          </w:p>
        </w:tc>
        <w:tc>
          <w:tcPr>
            <w:tcW w:w="1290" w:type="dxa"/>
            <w:tcBorders>
              <w:top w:val="single" w:sz="4" w:space="0" w:color="auto"/>
              <w:bottom w:val="single" w:sz="4" w:space="0" w:color="auto"/>
            </w:tcBorders>
          </w:tcPr>
          <w:p w14:paraId="720E950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Inference</w:t>
            </w:r>
          </w:p>
        </w:tc>
      </w:tr>
      <w:tr w:rsidR="00B9264B" w:rsidRPr="00952307" w14:paraId="58426A68" w14:textId="77777777" w:rsidTr="00E64CCD">
        <w:tc>
          <w:tcPr>
            <w:tcW w:w="2472" w:type="dxa"/>
            <w:tcBorders>
              <w:top w:val="single" w:sz="4" w:space="0" w:color="auto"/>
            </w:tcBorders>
          </w:tcPr>
          <w:p w14:paraId="2C8C9A4D" w14:textId="77777777" w:rsidR="00B9264B" w:rsidRPr="00952307" w:rsidRDefault="00B9264B" w:rsidP="00E64CCD">
            <w:pPr>
              <w:spacing w:line="360" w:lineRule="auto"/>
              <w:jc w:val="both"/>
              <w:rPr>
                <w:rFonts w:ascii="Times New Roman" w:hAnsi="Times New Roman" w:cs="Times New Roman"/>
                <w:sz w:val="24"/>
                <w:szCs w:val="24"/>
              </w:rPr>
            </w:pPr>
            <w:bookmarkStart w:id="1" w:name="_Hlk188111650"/>
            <w:r w:rsidRPr="00952307">
              <w:rPr>
                <w:rFonts w:ascii="Times New Roman" w:hAnsi="Times New Roman" w:cs="Times New Roman"/>
                <w:sz w:val="24"/>
                <w:szCs w:val="24"/>
              </w:rPr>
              <w:t>S (cm)</w:t>
            </w:r>
          </w:p>
        </w:tc>
        <w:tc>
          <w:tcPr>
            <w:tcW w:w="1826" w:type="dxa"/>
            <w:tcBorders>
              <w:top w:val="single" w:sz="4" w:space="0" w:color="auto"/>
            </w:tcBorders>
          </w:tcPr>
          <w:p w14:paraId="29083B83" w14:textId="79D52666"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174.92±6.53</w:t>
            </w:r>
          </w:p>
        </w:tc>
        <w:tc>
          <w:tcPr>
            <w:tcW w:w="1832" w:type="dxa"/>
            <w:tcBorders>
              <w:top w:val="single" w:sz="4" w:space="0" w:color="auto"/>
            </w:tcBorders>
          </w:tcPr>
          <w:p w14:paraId="3BDFEBA1" w14:textId="7F593DCE"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165.6</w:t>
            </w:r>
            <w:r w:rsidR="00A53739" w:rsidRPr="00952307">
              <w:rPr>
                <w:rFonts w:ascii="Times New Roman" w:hAnsi="Times New Roman" w:cs="Times New Roman"/>
                <w:sz w:val="24"/>
                <w:szCs w:val="24"/>
              </w:rPr>
              <w:t>1</w:t>
            </w:r>
            <w:r w:rsidRPr="00952307">
              <w:rPr>
                <w:rFonts w:ascii="Times New Roman" w:hAnsi="Times New Roman" w:cs="Times New Roman"/>
                <w:sz w:val="24"/>
                <w:szCs w:val="24"/>
              </w:rPr>
              <w:t>±6.2</w:t>
            </w:r>
            <w:r w:rsidR="00A53739" w:rsidRPr="00952307">
              <w:rPr>
                <w:rFonts w:ascii="Times New Roman" w:hAnsi="Times New Roman" w:cs="Times New Roman"/>
                <w:sz w:val="24"/>
                <w:szCs w:val="24"/>
              </w:rPr>
              <w:t>6</w:t>
            </w:r>
          </w:p>
        </w:tc>
        <w:tc>
          <w:tcPr>
            <w:tcW w:w="1285" w:type="dxa"/>
            <w:tcBorders>
              <w:top w:val="single" w:sz="4" w:space="0" w:color="auto"/>
            </w:tcBorders>
          </w:tcPr>
          <w:p w14:paraId="185F4D91" w14:textId="78EB0013"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12.60</w:t>
            </w:r>
          </w:p>
        </w:tc>
        <w:tc>
          <w:tcPr>
            <w:tcW w:w="1280" w:type="dxa"/>
            <w:tcBorders>
              <w:top w:val="single" w:sz="4" w:space="0" w:color="auto"/>
            </w:tcBorders>
          </w:tcPr>
          <w:p w14:paraId="1B2F717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c>
          <w:tcPr>
            <w:tcW w:w="1290" w:type="dxa"/>
            <w:tcBorders>
              <w:top w:val="single" w:sz="4" w:space="0" w:color="auto"/>
            </w:tcBorders>
          </w:tcPr>
          <w:p w14:paraId="0621C2F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S </w:t>
            </w:r>
          </w:p>
        </w:tc>
      </w:tr>
      <w:tr w:rsidR="00B9264B" w:rsidRPr="00952307" w14:paraId="68EC1466" w14:textId="77777777" w:rsidTr="00E64CCD">
        <w:tc>
          <w:tcPr>
            <w:tcW w:w="2472" w:type="dxa"/>
          </w:tcPr>
          <w:p w14:paraId="06F8F359" w14:textId="62119485"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AL (cm)</w:t>
            </w:r>
          </w:p>
        </w:tc>
        <w:tc>
          <w:tcPr>
            <w:tcW w:w="1826" w:type="dxa"/>
          </w:tcPr>
          <w:p w14:paraId="179C4F76" w14:textId="5640962A"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35.72</w:t>
            </w:r>
            <w:r w:rsidR="00B9264B" w:rsidRPr="00952307">
              <w:rPr>
                <w:rFonts w:ascii="Times New Roman" w:hAnsi="Times New Roman" w:cs="Times New Roman"/>
                <w:sz w:val="24"/>
                <w:szCs w:val="24"/>
              </w:rPr>
              <w:t>±</w:t>
            </w:r>
            <w:r w:rsidRPr="00952307">
              <w:rPr>
                <w:rFonts w:ascii="Times New Roman" w:hAnsi="Times New Roman" w:cs="Times New Roman"/>
                <w:sz w:val="24"/>
                <w:szCs w:val="24"/>
              </w:rPr>
              <w:t>4.74</w:t>
            </w:r>
          </w:p>
        </w:tc>
        <w:tc>
          <w:tcPr>
            <w:tcW w:w="1832" w:type="dxa"/>
          </w:tcPr>
          <w:p w14:paraId="62A12932" w14:textId="2F805A28"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33.05</w:t>
            </w:r>
            <w:r w:rsidR="00B9264B" w:rsidRPr="00952307">
              <w:rPr>
                <w:rFonts w:ascii="Times New Roman" w:hAnsi="Times New Roman" w:cs="Times New Roman"/>
                <w:sz w:val="24"/>
                <w:szCs w:val="24"/>
              </w:rPr>
              <w:t>±</w:t>
            </w:r>
            <w:r w:rsidRPr="00952307">
              <w:rPr>
                <w:rFonts w:ascii="Times New Roman" w:hAnsi="Times New Roman" w:cs="Times New Roman"/>
                <w:sz w:val="24"/>
                <w:szCs w:val="24"/>
              </w:rPr>
              <w:t>3.58</w:t>
            </w:r>
          </w:p>
        </w:tc>
        <w:tc>
          <w:tcPr>
            <w:tcW w:w="1285" w:type="dxa"/>
            <w:vAlign w:val="center"/>
          </w:tcPr>
          <w:p w14:paraId="5BB6605E" w14:textId="1DDB68C5"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5.58</w:t>
            </w:r>
          </w:p>
        </w:tc>
        <w:tc>
          <w:tcPr>
            <w:tcW w:w="1280" w:type="dxa"/>
          </w:tcPr>
          <w:p w14:paraId="7E9BE3F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c>
          <w:tcPr>
            <w:tcW w:w="1290" w:type="dxa"/>
          </w:tcPr>
          <w:p w14:paraId="3D866C0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p>
        </w:tc>
      </w:tr>
      <w:tr w:rsidR="00B9264B" w:rsidRPr="00952307" w14:paraId="2E96B8C1" w14:textId="77777777" w:rsidTr="00E64CCD">
        <w:tc>
          <w:tcPr>
            <w:tcW w:w="2472" w:type="dxa"/>
          </w:tcPr>
          <w:p w14:paraId="48E42B1B" w14:textId="4A68586E"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SB (cm)</w:t>
            </w:r>
          </w:p>
        </w:tc>
        <w:tc>
          <w:tcPr>
            <w:tcW w:w="1826" w:type="dxa"/>
          </w:tcPr>
          <w:p w14:paraId="74569654" w14:textId="4FAB3C3B"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41.82</w:t>
            </w:r>
            <w:r w:rsidRPr="00952307">
              <w:rPr>
                <w:rFonts w:ascii="Times New Roman" w:hAnsi="Times New Roman" w:cs="Times New Roman"/>
                <w:sz w:val="24"/>
                <w:szCs w:val="24"/>
              </w:rPr>
              <w:t>±2.58</w:t>
            </w:r>
          </w:p>
        </w:tc>
        <w:tc>
          <w:tcPr>
            <w:tcW w:w="1832" w:type="dxa"/>
          </w:tcPr>
          <w:p w14:paraId="38D20775" w14:textId="05AE7289"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37.34</w:t>
            </w:r>
            <w:r w:rsidRPr="00952307">
              <w:rPr>
                <w:rFonts w:ascii="Times New Roman" w:hAnsi="Times New Roman" w:cs="Times New Roman"/>
                <w:sz w:val="24"/>
                <w:szCs w:val="24"/>
              </w:rPr>
              <w:t>±3.78</w:t>
            </w:r>
          </w:p>
        </w:tc>
        <w:tc>
          <w:tcPr>
            <w:tcW w:w="1285" w:type="dxa"/>
            <w:vAlign w:val="center"/>
          </w:tcPr>
          <w:p w14:paraId="6C74DF8E" w14:textId="409B48E6"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11.98</w:t>
            </w:r>
          </w:p>
        </w:tc>
        <w:tc>
          <w:tcPr>
            <w:tcW w:w="1280" w:type="dxa"/>
          </w:tcPr>
          <w:p w14:paraId="5AB1326F" w14:textId="4ADCB882"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0.000</w:t>
            </w:r>
          </w:p>
        </w:tc>
        <w:tc>
          <w:tcPr>
            <w:tcW w:w="1290" w:type="dxa"/>
          </w:tcPr>
          <w:p w14:paraId="5AE8C33C" w14:textId="109F1FF5"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S</w:t>
            </w:r>
          </w:p>
        </w:tc>
      </w:tr>
      <w:tr w:rsidR="00B9264B" w:rsidRPr="00952307" w14:paraId="779E0B11" w14:textId="77777777" w:rsidTr="00372668">
        <w:tc>
          <w:tcPr>
            <w:tcW w:w="2472" w:type="dxa"/>
            <w:tcBorders>
              <w:bottom w:val="single" w:sz="4" w:space="0" w:color="auto"/>
            </w:tcBorders>
          </w:tcPr>
          <w:p w14:paraId="43D7798D"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FT (cm)</w:t>
            </w:r>
          </w:p>
        </w:tc>
        <w:tc>
          <w:tcPr>
            <w:tcW w:w="1826" w:type="dxa"/>
            <w:tcBorders>
              <w:bottom w:val="single" w:sz="4" w:space="0" w:color="auto"/>
            </w:tcBorders>
          </w:tcPr>
          <w:p w14:paraId="3C5EF0A9" w14:textId="69F500B3"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26.</w:t>
            </w:r>
            <w:r w:rsidR="00A53739" w:rsidRPr="00952307">
              <w:rPr>
                <w:rFonts w:ascii="Times New Roman" w:hAnsi="Times New Roman" w:cs="Times New Roman"/>
              </w:rPr>
              <w:t>07</w:t>
            </w:r>
            <w:r w:rsidRPr="00952307">
              <w:rPr>
                <w:rFonts w:ascii="Times New Roman" w:hAnsi="Times New Roman" w:cs="Times New Roman"/>
                <w:sz w:val="24"/>
                <w:szCs w:val="24"/>
              </w:rPr>
              <w:t>±1.</w:t>
            </w:r>
            <w:r w:rsidR="00A53739" w:rsidRPr="00952307">
              <w:rPr>
                <w:rFonts w:ascii="Times New Roman" w:hAnsi="Times New Roman" w:cs="Times New Roman"/>
                <w:sz w:val="24"/>
                <w:szCs w:val="24"/>
              </w:rPr>
              <w:t>57</w:t>
            </w:r>
          </w:p>
        </w:tc>
        <w:tc>
          <w:tcPr>
            <w:tcW w:w="1832" w:type="dxa"/>
            <w:tcBorders>
              <w:bottom w:val="single" w:sz="4" w:space="0" w:color="auto"/>
            </w:tcBorders>
          </w:tcPr>
          <w:p w14:paraId="21436674" w14:textId="43638338"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24.</w:t>
            </w:r>
            <w:r w:rsidR="00A53739" w:rsidRPr="00952307">
              <w:rPr>
                <w:rFonts w:ascii="Times New Roman" w:hAnsi="Times New Roman" w:cs="Times New Roman"/>
              </w:rPr>
              <w:t>03</w:t>
            </w:r>
            <w:r w:rsidRPr="00952307">
              <w:rPr>
                <w:rFonts w:ascii="Times New Roman" w:hAnsi="Times New Roman" w:cs="Times New Roman"/>
                <w:sz w:val="24"/>
                <w:szCs w:val="24"/>
              </w:rPr>
              <w:t>±1.5</w:t>
            </w:r>
            <w:r w:rsidR="00A53739" w:rsidRPr="00952307">
              <w:rPr>
                <w:rFonts w:ascii="Times New Roman" w:hAnsi="Times New Roman" w:cs="Times New Roman"/>
                <w:sz w:val="24"/>
                <w:szCs w:val="24"/>
              </w:rPr>
              <w:t>6</w:t>
            </w:r>
          </w:p>
        </w:tc>
        <w:tc>
          <w:tcPr>
            <w:tcW w:w="1285" w:type="dxa"/>
            <w:tcBorders>
              <w:bottom w:val="single" w:sz="4" w:space="0" w:color="auto"/>
            </w:tcBorders>
            <w:vAlign w:val="center"/>
          </w:tcPr>
          <w:p w14:paraId="31BE2890" w14:textId="65E0BB71"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1</w:t>
            </w:r>
            <w:r w:rsidR="00A53739" w:rsidRPr="00952307">
              <w:rPr>
                <w:rFonts w:ascii="Times New Roman" w:hAnsi="Times New Roman" w:cs="Times New Roman"/>
              </w:rPr>
              <w:t>2.53</w:t>
            </w:r>
          </w:p>
        </w:tc>
        <w:tc>
          <w:tcPr>
            <w:tcW w:w="1280" w:type="dxa"/>
            <w:tcBorders>
              <w:bottom w:val="single" w:sz="4" w:space="0" w:color="auto"/>
            </w:tcBorders>
          </w:tcPr>
          <w:p w14:paraId="6726ED88"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0.000</w:t>
            </w:r>
          </w:p>
        </w:tc>
        <w:tc>
          <w:tcPr>
            <w:tcW w:w="1290" w:type="dxa"/>
            <w:tcBorders>
              <w:bottom w:val="single" w:sz="4" w:space="0" w:color="auto"/>
            </w:tcBorders>
          </w:tcPr>
          <w:p w14:paraId="5B7376B6"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S</w:t>
            </w:r>
          </w:p>
        </w:tc>
      </w:tr>
    </w:tbl>
    <w:bookmarkEnd w:id="1"/>
    <w:p w14:paraId="1ECF816C" w14:textId="7AD02569" w:rsidR="00BA61D4" w:rsidRPr="00952307" w:rsidRDefault="0042163B" w:rsidP="00F11034">
      <w:pPr>
        <w:jc w:val="both"/>
        <w:rPr>
          <w:rFonts w:ascii="Times New Roman" w:hAnsi="Times New Roman" w:cs="Times New Roman"/>
        </w:rPr>
      </w:pPr>
      <w:r w:rsidRPr="00952307">
        <w:rPr>
          <w:rFonts w:ascii="Times New Roman" w:hAnsi="Times New Roman" w:cs="Times New Roman"/>
          <w:i/>
          <w:iCs/>
        </w:rPr>
        <w:t>S=Stature, AL= Arm Length, SB = Shoulder Breadth, FL= Foot Length</w:t>
      </w:r>
    </w:p>
    <w:p w14:paraId="140B62F2" w14:textId="77777777" w:rsidR="00B9264B" w:rsidRPr="00952307" w:rsidRDefault="00B9264B" w:rsidP="00B9264B">
      <w:pPr>
        <w:jc w:val="both"/>
        <w:rPr>
          <w:rFonts w:ascii="Times New Roman" w:hAnsi="Times New Roman" w:cs="Times New Roman"/>
        </w:rPr>
      </w:pPr>
    </w:p>
    <w:p w14:paraId="3D0D1897" w14:textId="2CD6CCFB" w:rsidR="0042163B" w:rsidRPr="00952307" w:rsidRDefault="0042163B" w:rsidP="0042163B">
      <w:pPr>
        <w:spacing w:line="360" w:lineRule="auto"/>
        <w:jc w:val="both"/>
        <w:rPr>
          <w:rFonts w:ascii="Times New Roman" w:hAnsi="Times New Roman" w:cs="Times New Roman"/>
          <w:b/>
          <w:bCs/>
        </w:rPr>
      </w:pPr>
      <w:r w:rsidRPr="00952307">
        <w:rPr>
          <w:rFonts w:ascii="Times New Roman" w:hAnsi="Times New Roman" w:cs="Times New Roman"/>
          <w:b/>
          <w:bCs/>
        </w:rPr>
        <w:t xml:space="preserve">Table </w:t>
      </w:r>
      <w:bookmarkStart w:id="2" w:name="_Hlk195004421"/>
      <w:r w:rsidR="00F01C7C" w:rsidRPr="00952307">
        <w:rPr>
          <w:rFonts w:ascii="Times New Roman" w:hAnsi="Times New Roman" w:cs="Times New Roman"/>
          <w:b/>
          <w:bCs/>
        </w:rPr>
        <w:t xml:space="preserve">3 . </w:t>
      </w:r>
      <w:r w:rsidRPr="00952307">
        <w:rPr>
          <w:rFonts w:ascii="Times New Roman" w:hAnsi="Times New Roman" w:cs="Times New Roman"/>
          <w:b/>
          <w:bCs/>
        </w:rPr>
        <w:t xml:space="preserve">Linear Regression Model for Stature of All Subjects </w:t>
      </w:r>
      <w:bookmarkEnd w:id="2"/>
    </w:p>
    <w:tbl>
      <w:tblPr>
        <w:tblStyle w:val="TableGrid"/>
        <w:tblW w:w="11700" w:type="dxa"/>
        <w:tblInd w:w="-1175" w:type="dxa"/>
        <w:tblLook w:val="04A0" w:firstRow="1" w:lastRow="0" w:firstColumn="1" w:lastColumn="0" w:noHBand="0" w:noVBand="1"/>
      </w:tblPr>
      <w:tblGrid>
        <w:gridCol w:w="1080"/>
        <w:gridCol w:w="4862"/>
        <w:gridCol w:w="772"/>
        <w:gridCol w:w="938"/>
        <w:gridCol w:w="1499"/>
        <w:gridCol w:w="1532"/>
        <w:gridCol w:w="1017"/>
      </w:tblGrid>
      <w:tr w:rsidR="00DB5527" w:rsidRPr="00952307" w14:paraId="2FEE5F16" w14:textId="77777777" w:rsidTr="00C17748">
        <w:tc>
          <w:tcPr>
            <w:tcW w:w="1080" w:type="dxa"/>
          </w:tcPr>
          <w:p w14:paraId="3A753398"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Subjects </w:t>
            </w:r>
          </w:p>
        </w:tc>
        <w:tc>
          <w:tcPr>
            <w:tcW w:w="4862" w:type="dxa"/>
          </w:tcPr>
          <w:p w14:paraId="3D4926C9"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Regression formula</w:t>
            </w:r>
          </w:p>
        </w:tc>
        <w:tc>
          <w:tcPr>
            <w:tcW w:w="772" w:type="dxa"/>
          </w:tcPr>
          <w:p w14:paraId="3A61BB52"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w:t>
            </w:r>
          </w:p>
        </w:tc>
        <w:tc>
          <w:tcPr>
            <w:tcW w:w="938" w:type="dxa"/>
          </w:tcPr>
          <w:p w14:paraId="525C0B82"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 Square</w:t>
            </w:r>
          </w:p>
        </w:tc>
        <w:tc>
          <w:tcPr>
            <w:tcW w:w="1499" w:type="dxa"/>
          </w:tcPr>
          <w:p w14:paraId="30326873"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Adjusted R Square</w:t>
            </w:r>
          </w:p>
        </w:tc>
        <w:tc>
          <w:tcPr>
            <w:tcW w:w="1532" w:type="dxa"/>
          </w:tcPr>
          <w:p w14:paraId="18DDBEAC"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Std. Error of the Estimate</w:t>
            </w:r>
          </w:p>
        </w:tc>
        <w:tc>
          <w:tcPr>
            <w:tcW w:w="1017" w:type="dxa"/>
          </w:tcPr>
          <w:p w14:paraId="0DE89D7C"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Sig. F Change</w:t>
            </w:r>
          </w:p>
        </w:tc>
      </w:tr>
      <w:tr w:rsidR="00DB5527" w:rsidRPr="00952307" w14:paraId="72F9931A" w14:textId="77777777" w:rsidTr="00C17748">
        <w:tc>
          <w:tcPr>
            <w:tcW w:w="1080" w:type="dxa"/>
          </w:tcPr>
          <w:p w14:paraId="66C29BF1"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All</w:t>
            </w:r>
          </w:p>
        </w:tc>
        <w:tc>
          <w:tcPr>
            <w:tcW w:w="4862" w:type="dxa"/>
          </w:tcPr>
          <w:p w14:paraId="52E55B4B" w14:textId="701F201C"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DB5527" w:rsidRPr="00952307">
              <w:rPr>
                <w:rFonts w:ascii="Times New Roman" w:hAnsi="Times New Roman" w:cs="Times New Roman"/>
                <w:sz w:val="24"/>
                <w:szCs w:val="24"/>
              </w:rPr>
              <w:t>76.8</w:t>
            </w:r>
            <w:r w:rsidR="00C17748" w:rsidRPr="00952307">
              <w:rPr>
                <w:rFonts w:ascii="Times New Roman" w:hAnsi="Times New Roman" w:cs="Times New Roman"/>
                <w:sz w:val="24"/>
                <w:szCs w:val="24"/>
              </w:rPr>
              <w:t>77</w:t>
            </w:r>
            <w:r w:rsidRPr="00952307">
              <w:rPr>
                <w:rFonts w:ascii="Times New Roman" w:hAnsi="Times New Roman" w:cs="Times New Roman"/>
                <w:sz w:val="24"/>
                <w:szCs w:val="24"/>
              </w:rPr>
              <w:t>+(A</w:t>
            </w:r>
            <w:r w:rsidR="00DB5527" w:rsidRPr="00952307">
              <w:rPr>
                <w:rFonts w:ascii="Times New Roman" w:hAnsi="Times New Roman" w:cs="Times New Roman"/>
                <w:sz w:val="24"/>
                <w:szCs w:val="24"/>
              </w:rPr>
              <w:t>L</w:t>
            </w:r>
            <w:r w:rsidRPr="00952307">
              <w:rPr>
                <w:rFonts w:ascii="Times New Roman" w:hAnsi="Times New Roman" w:cs="Times New Roman"/>
                <w:sz w:val="24"/>
                <w:szCs w:val="24"/>
              </w:rPr>
              <w:t>)0.</w:t>
            </w:r>
            <w:r w:rsidR="00DB5527" w:rsidRPr="00952307">
              <w:rPr>
                <w:rFonts w:ascii="Times New Roman" w:hAnsi="Times New Roman" w:cs="Times New Roman"/>
                <w:sz w:val="24"/>
                <w:szCs w:val="24"/>
              </w:rPr>
              <w:t>353</w:t>
            </w:r>
            <w:r w:rsidRPr="00952307">
              <w:rPr>
                <w:rFonts w:ascii="Times New Roman" w:hAnsi="Times New Roman" w:cs="Times New Roman"/>
                <w:sz w:val="24"/>
                <w:szCs w:val="24"/>
              </w:rPr>
              <w:t>+</w:t>
            </w:r>
            <w:r w:rsidR="00DB5527" w:rsidRPr="00952307">
              <w:rPr>
                <w:rFonts w:ascii="Times New Roman" w:hAnsi="Times New Roman" w:cs="Times New Roman"/>
                <w:sz w:val="24"/>
                <w:szCs w:val="24"/>
              </w:rPr>
              <w:t>(SB)0.227+</w:t>
            </w:r>
            <w:r w:rsidRPr="00952307">
              <w:rPr>
                <w:rFonts w:ascii="Times New Roman" w:hAnsi="Times New Roman" w:cs="Times New Roman"/>
                <w:sz w:val="24"/>
                <w:szCs w:val="24"/>
              </w:rPr>
              <w:t>(FL)</w:t>
            </w:r>
            <w:r w:rsidR="00DB5527" w:rsidRPr="00952307">
              <w:rPr>
                <w:rFonts w:ascii="Times New Roman" w:hAnsi="Times New Roman" w:cs="Times New Roman"/>
                <w:sz w:val="24"/>
                <w:szCs w:val="24"/>
              </w:rPr>
              <w:t>2.887</w:t>
            </w:r>
          </w:p>
        </w:tc>
        <w:tc>
          <w:tcPr>
            <w:tcW w:w="772" w:type="dxa"/>
          </w:tcPr>
          <w:p w14:paraId="43EC37EB" w14:textId="66822A20"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78</w:t>
            </w:r>
          </w:p>
        </w:tc>
        <w:tc>
          <w:tcPr>
            <w:tcW w:w="938" w:type="dxa"/>
          </w:tcPr>
          <w:p w14:paraId="582A0CE2" w14:textId="01983011"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609</w:t>
            </w:r>
          </w:p>
        </w:tc>
        <w:tc>
          <w:tcPr>
            <w:tcW w:w="1499" w:type="dxa"/>
          </w:tcPr>
          <w:p w14:paraId="603D2420" w14:textId="592790AE"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605</w:t>
            </w:r>
          </w:p>
        </w:tc>
        <w:tc>
          <w:tcPr>
            <w:tcW w:w="1532" w:type="dxa"/>
          </w:tcPr>
          <w:p w14:paraId="249FBA4A" w14:textId="79A0BFAB" w:rsidR="0042163B" w:rsidRPr="00952307" w:rsidRDefault="00DB5527"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4.968</w:t>
            </w:r>
          </w:p>
        </w:tc>
        <w:tc>
          <w:tcPr>
            <w:tcW w:w="1017" w:type="dxa"/>
          </w:tcPr>
          <w:p w14:paraId="1EBA7A7B"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r>
      <w:tr w:rsidR="00DB5527" w:rsidRPr="00952307" w14:paraId="16693213" w14:textId="77777777" w:rsidTr="00C17748">
        <w:tc>
          <w:tcPr>
            <w:tcW w:w="1080" w:type="dxa"/>
          </w:tcPr>
          <w:p w14:paraId="6B8D4527"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Males</w:t>
            </w:r>
          </w:p>
        </w:tc>
        <w:tc>
          <w:tcPr>
            <w:tcW w:w="4862" w:type="dxa"/>
          </w:tcPr>
          <w:p w14:paraId="25A2DAFC" w14:textId="5EF0B48D"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DB5527" w:rsidRPr="00952307">
              <w:rPr>
                <w:rFonts w:ascii="Times New Roman" w:hAnsi="Times New Roman" w:cs="Times New Roman"/>
                <w:sz w:val="24"/>
                <w:szCs w:val="24"/>
              </w:rPr>
              <w:t>88.2</w:t>
            </w:r>
            <w:r w:rsidR="00C17748" w:rsidRPr="00952307">
              <w:rPr>
                <w:rFonts w:ascii="Times New Roman" w:hAnsi="Times New Roman" w:cs="Times New Roman"/>
                <w:sz w:val="24"/>
                <w:szCs w:val="24"/>
              </w:rPr>
              <w:t>86</w:t>
            </w:r>
            <w:r w:rsidRPr="00952307">
              <w:rPr>
                <w:rFonts w:ascii="Times New Roman" w:hAnsi="Times New Roman" w:cs="Times New Roman"/>
                <w:sz w:val="24"/>
                <w:szCs w:val="24"/>
              </w:rPr>
              <w:t>+(A</w:t>
            </w:r>
            <w:r w:rsidR="00DB5527" w:rsidRPr="00952307">
              <w:rPr>
                <w:rFonts w:ascii="Times New Roman" w:hAnsi="Times New Roman" w:cs="Times New Roman"/>
                <w:sz w:val="24"/>
                <w:szCs w:val="24"/>
              </w:rPr>
              <w:t>L</w:t>
            </w:r>
            <w:r w:rsidRPr="00952307">
              <w:rPr>
                <w:rFonts w:ascii="Times New Roman" w:hAnsi="Times New Roman" w:cs="Times New Roman"/>
                <w:sz w:val="24"/>
                <w:szCs w:val="24"/>
              </w:rPr>
              <w:t>)0.</w:t>
            </w:r>
            <w:r w:rsidR="00DB5527" w:rsidRPr="00952307">
              <w:rPr>
                <w:rFonts w:ascii="Times New Roman" w:hAnsi="Times New Roman" w:cs="Times New Roman"/>
                <w:sz w:val="24"/>
                <w:szCs w:val="24"/>
              </w:rPr>
              <w:t>293</w:t>
            </w:r>
            <w:r w:rsidRPr="00952307">
              <w:rPr>
                <w:rFonts w:ascii="Times New Roman" w:hAnsi="Times New Roman" w:cs="Times New Roman"/>
                <w:sz w:val="24"/>
                <w:szCs w:val="24"/>
              </w:rPr>
              <w:t>+</w:t>
            </w:r>
            <w:r w:rsidR="00DB5527" w:rsidRPr="00952307">
              <w:rPr>
                <w:rFonts w:ascii="Times New Roman" w:hAnsi="Times New Roman" w:cs="Times New Roman"/>
                <w:sz w:val="24"/>
                <w:szCs w:val="24"/>
              </w:rPr>
              <w:t>(SB)0.638+</w:t>
            </w:r>
            <w:r w:rsidRPr="00952307">
              <w:rPr>
                <w:rFonts w:ascii="Times New Roman" w:hAnsi="Times New Roman" w:cs="Times New Roman"/>
                <w:sz w:val="24"/>
                <w:szCs w:val="24"/>
              </w:rPr>
              <w:t>(FL)</w:t>
            </w:r>
            <w:r w:rsidR="00DB5527" w:rsidRPr="00952307">
              <w:rPr>
                <w:rFonts w:ascii="Times New Roman" w:hAnsi="Times New Roman" w:cs="Times New Roman"/>
                <w:sz w:val="24"/>
                <w:szCs w:val="24"/>
              </w:rPr>
              <w:t>1.901</w:t>
            </w:r>
          </w:p>
        </w:tc>
        <w:tc>
          <w:tcPr>
            <w:tcW w:w="772" w:type="dxa"/>
          </w:tcPr>
          <w:p w14:paraId="73B7CC16" w14:textId="73FC83A4"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.65</w:t>
            </w:r>
          </w:p>
        </w:tc>
        <w:tc>
          <w:tcPr>
            <w:tcW w:w="938" w:type="dxa"/>
          </w:tcPr>
          <w:p w14:paraId="6D1D6053" w14:textId="4CE4F7F0"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C17748" w:rsidRPr="00952307">
              <w:rPr>
                <w:rFonts w:ascii="Times New Roman" w:hAnsi="Times New Roman" w:cs="Times New Roman"/>
                <w:sz w:val="24"/>
                <w:szCs w:val="24"/>
              </w:rPr>
              <w:t>421</w:t>
            </w:r>
          </w:p>
        </w:tc>
        <w:tc>
          <w:tcPr>
            <w:tcW w:w="1499" w:type="dxa"/>
          </w:tcPr>
          <w:p w14:paraId="1B054591" w14:textId="7B7287D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C17748" w:rsidRPr="00952307">
              <w:rPr>
                <w:rFonts w:ascii="Times New Roman" w:hAnsi="Times New Roman" w:cs="Times New Roman"/>
                <w:sz w:val="24"/>
                <w:szCs w:val="24"/>
              </w:rPr>
              <w:t>409</w:t>
            </w:r>
          </w:p>
        </w:tc>
        <w:tc>
          <w:tcPr>
            <w:tcW w:w="1532" w:type="dxa"/>
          </w:tcPr>
          <w:p w14:paraId="344A976E" w14:textId="43D1FBE9" w:rsidR="0042163B" w:rsidRPr="00952307" w:rsidRDefault="00C17748"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5.021</w:t>
            </w:r>
          </w:p>
        </w:tc>
        <w:tc>
          <w:tcPr>
            <w:tcW w:w="1017" w:type="dxa"/>
          </w:tcPr>
          <w:p w14:paraId="2CA022F1"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r>
      <w:tr w:rsidR="00DB5527" w:rsidRPr="00952307" w14:paraId="06546D1B" w14:textId="77777777" w:rsidTr="00C17748">
        <w:tc>
          <w:tcPr>
            <w:tcW w:w="1080" w:type="dxa"/>
          </w:tcPr>
          <w:p w14:paraId="5CB2B10F"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Females</w:t>
            </w:r>
          </w:p>
        </w:tc>
        <w:tc>
          <w:tcPr>
            <w:tcW w:w="4862" w:type="dxa"/>
          </w:tcPr>
          <w:p w14:paraId="4E3F6217" w14:textId="54EED923"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C17748" w:rsidRPr="00952307">
              <w:rPr>
                <w:rFonts w:ascii="Times New Roman" w:hAnsi="Times New Roman" w:cs="Times New Roman"/>
                <w:sz w:val="24"/>
                <w:szCs w:val="24"/>
              </w:rPr>
              <w:t>73.708</w:t>
            </w:r>
            <w:r w:rsidRPr="00952307">
              <w:rPr>
                <w:rFonts w:ascii="Times New Roman" w:hAnsi="Times New Roman" w:cs="Times New Roman"/>
                <w:sz w:val="24"/>
                <w:szCs w:val="24"/>
              </w:rPr>
              <w:t>+(A</w:t>
            </w:r>
            <w:r w:rsidR="00C17748" w:rsidRPr="00952307">
              <w:rPr>
                <w:rFonts w:ascii="Times New Roman" w:hAnsi="Times New Roman" w:cs="Times New Roman"/>
                <w:sz w:val="24"/>
                <w:szCs w:val="24"/>
              </w:rPr>
              <w:t>L</w:t>
            </w:r>
            <w:r w:rsidRPr="00952307">
              <w:rPr>
                <w:rFonts w:ascii="Times New Roman" w:hAnsi="Times New Roman" w:cs="Times New Roman"/>
                <w:sz w:val="24"/>
                <w:szCs w:val="24"/>
              </w:rPr>
              <w:t>)0</w:t>
            </w:r>
            <w:r w:rsidR="00C17748" w:rsidRPr="00952307">
              <w:rPr>
                <w:rFonts w:ascii="Times New Roman" w:hAnsi="Times New Roman" w:cs="Times New Roman"/>
                <w:sz w:val="24"/>
                <w:szCs w:val="24"/>
              </w:rPr>
              <w:t>.367+(SB)-0.210</w:t>
            </w:r>
            <w:r w:rsidRPr="00952307">
              <w:rPr>
                <w:rFonts w:ascii="Times New Roman" w:hAnsi="Times New Roman" w:cs="Times New Roman"/>
                <w:sz w:val="24"/>
                <w:szCs w:val="24"/>
              </w:rPr>
              <w:t>+(FL)0.</w:t>
            </w:r>
            <w:r w:rsidR="00C17748" w:rsidRPr="00952307">
              <w:rPr>
                <w:rFonts w:ascii="Times New Roman" w:hAnsi="Times New Roman" w:cs="Times New Roman"/>
                <w:sz w:val="24"/>
                <w:szCs w:val="24"/>
              </w:rPr>
              <w:t>3646</w:t>
            </w:r>
          </w:p>
        </w:tc>
        <w:tc>
          <w:tcPr>
            <w:tcW w:w="772" w:type="dxa"/>
          </w:tcPr>
          <w:p w14:paraId="70A2FDCB" w14:textId="73748C9F"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0.7</w:t>
            </w:r>
            <w:r w:rsidR="00C17748" w:rsidRPr="00952307">
              <w:rPr>
                <w:rFonts w:ascii="Times New Roman" w:hAnsi="Times New Roman" w:cs="Times New Roman"/>
                <w:sz w:val="24"/>
                <w:szCs w:val="24"/>
              </w:rPr>
              <w:t>3</w:t>
            </w:r>
          </w:p>
        </w:tc>
        <w:tc>
          <w:tcPr>
            <w:tcW w:w="938" w:type="dxa"/>
          </w:tcPr>
          <w:p w14:paraId="37EF5519" w14:textId="309BBC05"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0.5</w:t>
            </w:r>
            <w:r w:rsidR="00C17748" w:rsidRPr="00952307">
              <w:rPr>
                <w:rFonts w:ascii="Times New Roman" w:hAnsi="Times New Roman" w:cs="Times New Roman"/>
                <w:sz w:val="24"/>
                <w:szCs w:val="24"/>
              </w:rPr>
              <w:t>36</w:t>
            </w:r>
          </w:p>
        </w:tc>
        <w:tc>
          <w:tcPr>
            <w:tcW w:w="1499" w:type="dxa"/>
          </w:tcPr>
          <w:p w14:paraId="73A07FC3" w14:textId="1C69755C"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0.5</w:t>
            </w:r>
            <w:r w:rsidR="00C17748" w:rsidRPr="00952307">
              <w:rPr>
                <w:rFonts w:ascii="Times New Roman" w:hAnsi="Times New Roman" w:cs="Times New Roman"/>
                <w:sz w:val="24"/>
                <w:szCs w:val="24"/>
              </w:rPr>
              <w:t>27</w:t>
            </w:r>
          </w:p>
        </w:tc>
        <w:tc>
          <w:tcPr>
            <w:tcW w:w="1532" w:type="dxa"/>
          </w:tcPr>
          <w:p w14:paraId="6F525A51" w14:textId="181B022A"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4.</w:t>
            </w:r>
            <w:r w:rsidR="00C17748" w:rsidRPr="00952307">
              <w:rPr>
                <w:rFonts w:ascii="Times New Roman" w:hAnsi="Times New Roman" w:cs="Times New Roman"/>
                <w:sz w:val="24"/>
                <w:szCs w:val="24"/>
              </w:rPr>
              <w:t>307</w:t>
            </w:r>
          </w:p>
        </w:tc>
        <w:tc>
          <w:tcPr>
            <w:tcW w:w="1017" w:type="dxa"/>
          </w:tcPr>
          <w:p w14:paraId="455FC6A4" w14:textId="77777777" w:rsidR="0042163B" w:rsidRPr="00952307" w:rsidRDefault="0042163B" w:rsidP="00E64CCD">
            <w:pPr>
              <w:spacing w:line="360" w:lineRule="auto"/>
              <w:jc w:val="both"/>
              <w:rPr>
                <w:rFonts w:ascii="Times New Roman" w:hAnsi="Times New Roman" w:cs="Times New Roman"/>
                <w:sz w:val="24"/>
                <w:szCs w:val="24"/>
                <w:vertAlign w:val="superscript"/>
              </w:rPr>
            </w:pPr>
            <w:r w:rsidRPr="00952307">
              <w:rPr>
                <w:rFonts w:ascii="Times New Roman" w:hAnsi="Times New Roman" w:cs="Times New Roman"/>
                <w:sz w:val="24"/>
                <w:szCs w:val="24"/>
              </w:rPr>
              <w:t>0.000*</w:t>
            </w:r>
          </w:p>
        </w:tc>
      </w:tr>
    </w:tbl>
    <w:p w14:paraId="6FEA4B05" w14:textId="715FEB39" w:rsidR="0042163B" w:rsidRPr="00952307" w:rsidRDefault="0042163B" w:rsidP="0042163B">
      <w:pPr>
        <w:autoSpaceDE w:val="0"/>
        <w:autoSpaceDN w:val="0"/>
        <w:adjustRightInd w:val="0"/>
        <w:spacing w:after="0" w:line="400" w:lineRule="atLeast"/>
        <w:rPr>
          <w:rFonts w:ascii="Times New Roman" w:hAnsi="Times New Roman" w:cs="Times New Roman"/>
          <w:i/>
          <w:iCs/>
        </w:rPr>
      </w:pPr>
      <w:r w:rsidRPr="00952307">
        <w:rPr>
          <w:rFonts w:ascii="Times New Roman" w:hAnsi="Times New Roman" w:cs="Times New Roman"/>
          <w:i/>
          <w:iCs/>
        </w:rPr>
        <w:t>S=Stature, AS= Arm Span, FL= Foot Length, *= Significant</w:t>
      </w:r>
    </w:p>
    <w:p w14:paraId="0A4CF116" w14:textId="77777777" w:rsidR="0042163B" w:rsidRPr="00952307" w:rsidRDefault="0042163B" w:rsidP="0042163B">
      <w:pPr>
        <w:rPr>
          <w:rFonts w:ascii="Times New Roman" w:hAnsi="Times New Roman" w:cs="Times New Roman"/>
        </w:rPr>
      </w:pPr>
    </w:p>
    <w:p w14:paraId="157DDEEA" w14:textId="77777777" w:rsidR="00BC0FC1" w:rsidRPr="00952307" w:rsidRDefault="00BC0FC1" w:rsidP="00F11034">
      <w:pPr>
        <w:jc w:val="both"/>
        <w:rPr>
          <w:rFonts w:ascii="Times New Roman" w:hAnsi="Times New Roman" w:cs="Times New Roman"/>
          <w:b/>
          <w:bCs/>
        </w:rPr>
      </w:pPr>
    </w:p>
    <w:p w14:paraId="5C78CA49" w14:textId="09FEF807" w:rsidR="00B9264B" w:rsidRPr="00952307" w:rsidRDefault="004B5F00" w:rsidP="00F11034">
      <w:pPr>
        <w:jc w:val="both"/>
        <w:rPr>
          <w:rFonts w:ascii="Times New Roman" w:hAnsi="Times New Roman" w:cs="Times New Roman"/>
          <w:b/>
          <w:bCs/>
        </w:rPr>
      </w:pPr>
      <w:r w:rsidRPr="00952307">
        <w:rPr>
          <w:rFonts w:ascii="Times New Roman" w:hAnsi="Times New Roman" w:cs="Times New Roman"/>
          <w:b/>
          <w:bCs/>
        </w:rPr>
        <w:t>REFERENCE</w:t>
      </w:r>
    </w:p>
    <w:p w14:paraId="08C65ADC"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Prasad KK. </w:t>
      </w:r>
      <w:r w:rsidRPr="00952307">
        <w:rPr>
          <w:rFonts w:ascii="Times New Roman" w:hAnsi="Times New Roman" w:cs="Times New Roman"/>
          <w:i/>
          <w:iCs/>
        </w:rPr>
        <w:t>Scoping review: Stature estimation equations in Forensic Anthropology and their applications to diverse populations</w:t>
      </w:r>
      <w:r w:rsidRPr="00952307">
        <w:rPr>
          <w:rFonts w:ascii="Times New Roman" w:hAnsi="Times New Roman" w:cs="Times New Roman"/>
        </w:rPr>
        <w:t> (Master's thesis, Western Sydney University (Australia).</w:t>
      </w:r>
    </w:p>
    <w:p w14:paraId="3C985BC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Udi OA. Integrating Tibia and Hand Length Measurements: A Short Review for Stature Estimation. International Journal of Forensic Medical Investigation. 2025 Apr 11;11(1).</w:t>
      </w:r>
    </w:p>
    <w:p w14:paraId="3C06CE7A"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Marquez-Grant N. An overview of age estimation in forensic anthropology: perspectives and practical considerations. Annals of human biology. 2015 Jul 4;42(4):308-22.</w:t>
      </w:r>
    </w:p>
    <w:p w14:paraId="6C2BE5CD"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Adetona MO, Shokunbi MT. Quantitative anthropometric and dermatoglyphic variation of the major ethnic populations in Nigeria. Journal of Experimental and Clinical Anatomy. 2019 Jun 29;18:55-62.\</w:t>
      </w:r>
    </w:p>
    <w:p w14:paraId="6B1BCE40"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lastRenderedPageBreak/>
        <w:t>Fakorede ST, Adekoya KO, Fasakin TP, Odufisan JO, Oboh B. Ear morphology and morphometry as potential forensic tools for identification of the Hausa, Igbo and Yoruba populations of Nigeria. Bulletin of the National Research Centre. 2021 Nov 27;45(1):205.</w:t>
      </w:r>
    </w:p>
    <w:p w14:paraId="24C452E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Singh S. Disaster Victim Identification. Academic Journal of Anthropological Studies. 2022;7(01):21-32.</w:t>
      </w:r>
    </w:p>
    <w:p w14:paraId="1AAE3AAC"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de Boer HH, Blau S, Delabarde T, Hackman L. The role of forensic anthropology in disaster victim identification (DVI): recent developments and future prospects. Forensic sciences research. 2019 Dec;4(4):303-15.</w:t>
      </w:r>
    </w:p>
    <w:p w14:paraId="290D9388"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Hunter SK, Angadi SS, Bhargava A, Harper J, Hirschberg AL, Levine BD, Moreau KL, Nokoff NJ, Stachenfeld NS, Bermon S. The biological basis of sex differences in athletic performance: consensus statement for the American College of Sports Medicine. Translational Journal of the American College of Sports Medicine. 2023 Oct 1;8(4):1-33.</w:t>
      </w:r>
    </w:p>
    <w:p w14:paraId="08E180F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Tenuta M, Hasenmajer V, Gianfrilli D, Isidori AM. Testosterone and male bone health: a puzzle of interactions. The Journal of Clinical Endocrinology &amp; Metabolism. 2025 Jul;110(7):e2121-35.</w:t>
      </w:r>
    </w:p>
    <w:p w14:paraId="4E1DD5F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Plotkin LI, Bruzzaniti A, Pianeta R. Sexual dimorphism in the musculoskeletal system: sex hormones and beyond. Journal of the Endocrine Society. 2024 Oct;8(10):bvae153.</w:t>
      </w:r>
    </w:p>
    <w:p w14:paraId="69A6CBE2"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Steiner BM, Berry DC. The regulation of adipose tissue health by estrogens. Frontiers in Endocrinology. 2022 May 26;13:889923.</w:t>
      </w:r>
    </w:p>
    <w:p w14:paraId="3EE884CD"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Bardhi O, Palmer BF, Clegg DJ. The evolutionary impact and influence of oestrogens on adipose tissue structure and function. Philosophical Transactions of the Royal Society B. 2023 Sep 11;378(1885):20220207.</w:t>
      </w:r>
    </w:p>
    <w:p w14:paraId="793B954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Mills EG, Yang L, Nielsen MF, Kassem M, Dhillo WS, Comninos AN. The relationship between bone and reproductive hormones beyond estrogens and androgens. Endocrine Reviews. 2021 Dec 1;42(6):691-719.</w:t>
      </w:r>
    </w:p>
    <w:p w14:paraId="284E286C" w14:textId="39048085" w:rsidR="003C1973" w:rsidRPr="00952307" w:rsidRDefault="003C1973" w:rsidP="00BC0FC1">
      <w:pPr>
        <w:pStyle w:val="ListParagraph"/>
        <w:numPr>
          <w:ilvl w:val="0"/>
          <w:numId w:val="2"/>
        </w:numPr>
        <w:rPr>
          <w:rFonts w:ascii="Times New Roman" w:hAnsi="Times New Roman" w:cs="Times New Roman"/>
        </w:rPr>
      </w:pPr>
      <w:r w:rsidRPr="00952307">
        <w:rPr>
          <w:rFonts w:ascii="Times New Roman" w:hAnsi="Times New Roman" w:cs="Times New Roman"/>
        </w:rPr>
        <w:t>Mennitti C, Farina G, Imperatore A, De Fonzo G, Gentile A, La Civita E, Carbone G, De Simone RR, Di Iorio MR, Tinto N, Frisso G. How does physical activity modulate hormone responses?. Biomolecules. 2024 Nov 7;14(11):1418.</w:t>
      </w:r>
    </w:p>
    <w:p w14:paraId="7DDB62D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Huchard E, Kappeler PM, Smit N, Fichtel C, Lukas D. The evolution of male–female dominance relations in primate societies. Proceedings of the National Academy of Sciences. 2025 Jul 15;122(28):e2500405122.</w:t>
      </w:r>
    </w:p>
    <w:p w14:paraId="646CCBF8" w14:textId="2992308C"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Amadi MA, Oghenemavwe LE, Okoh PD, Fawehinmi HB, Ebieto CE, Irozulike FC. Prediction of the Body Stature According to Certain Anthropometric Variables of Longitudinal Dimensionality. Journal of Complementary and Alternative Medical Research. 2025 Jul 19;26(7):181-8.</w:t>
      </w:r>
    </w:p>
    <w:p w14:paraId="685D22FB" w14:textId="48CC7EF9" w:rsidR="00EE0F85" w:rsidRPr="00952307" w:rsidRDefault="00EE0F85" w:rsidP="00EE0F85">
      <w:pPr>
        <w:pStyle w:val="ListParagraph"/>
        <w:numPr>
          <w:ilvl w:val="0"/>
          <w:numId w:val="2"/>
        </w:numPr>
        <w:rPr>
          <w:rFonts w:ascii="Times New Roman" w:hAnsi="Times New Roman" w:cs="Times New Roman"/>
        </w:rPr>
      </w:pPr>
      <w:r w:rsidRPr="00952307">
        <w:rPr>
          <w:rFonts w:ascii="Times New Roman" w:hAnsi="Times New Roman" w:cs="Times New Roman"/>
        </w:rPr>
        <w:t>Chigeru P., Okon M., Fawehinmi H. B., Oghenemavwe L. E. Comparative Study of Selected Anthropometric Parameters in Igbo and Yoruba Ethnic Groups of Nigeria.  J Exp Clin Anat 2025; 22(4): 714-722.</w:t>
      </w:r>
    </w:p>
    <w:p w14:paraId="3CD9C388"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Fawehinmi HB, Oghenemavwe LE, Okoh PD, Ebieto CE, Amadi MA, Irozulike FC. Stature Estimation Using Arm Span, Arm Length, Forearm-hand Length, and Foot </w:t>
      </w:r>
      <w:r w:rsidRPr="00952307">
        <w:rPr>
          <w:rFonts w:ascii="Times New Roman" w:hAnsi="Times New Roman" w:cs="Times New Roman"/>
        </w:rPr>
        <w:lastRenderedPageBreak/>
        <w:t>Length of Hausa Ethnic Group of Nigeria. Asian Journal of Medical Principles and Clinical Practice. 2025 Feb 28;8(1):94-100.</w:t>
      </w:r>
    </w:p>
    <w:p w14:paraId="092F1B77"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Oghenemavwe LE, Okoh PD, Irozulike FC, Amadi MA. Multivariate Regression Model for Stature Estimation from Arm Span, Horizontal Fingertip Reach and Foot Length of Igbo Ethnic Group of Nigeria. Journal of Complementary and Alternative Medical Research. 2024;25(8):112-7.</w:t>
      </w:r>
    </w:p>
    <w:p w14:paraId="6F3D5CA6"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Hsieh MC, Zhu A, Lee YC. Stature estimation from various three-dimensional anthropometric foot measurements of Taiwanese female population. Legal Medicine. 2022 Feb 1;54:102000.</w:t>
      </w:r>
    </w:p>
    <w:p w14:paraId="201843E4"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Koşar Mİ, Gençer CU, Tetiker H, Yeniçeri İÖ, Çullu N. Sex and stature estimation based on multidetector computed tomography imaging measurements of the sternum in Turkish population. Forensic Imaging. 2022 Mar 1;28:200495.</w:t>
      </w:r>
    </w:p>
    <w:p w14:paraId="5DF157C5"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Dorjee B, Sen J. Estimation of stature from arm span, arm length and tibial length among Bengalee. Human Bio Review. 2016;5(2):128-45.</w:t>
      </w:r>
    </w:p>
    <w:p w14:paraId="0EC10785"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Oghenemavwe LE, Fawehinmi HB, Okoh PD, Nwofor PN, Asiwe N. Does Upper Arm Length, Arm Span, and Foot Length Serve as Good Predictors for Stature? A Cross-Sectional Study among Northern Nigerians. The foot.;5:10.</w:t>
      </w:r>
    </w:p>
    <w:p w14:paraId="1E4A42D3"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Asiwe N, Adheke OM, Ezeah I, Okon M, Filima PL, Buseni OV. Discriminant and Multiple Linear Regression Analysis for Sex and Stature Estimation Using Upper Arm and Forearm-Hand Length: A Study among Mgbidi Population of Imo State Nigeria. Asian Journal of Medical Principles and Clinical Practice. 2024 Jun 3;7(1):295-305.</w:t>
      </w:r>
    </w:p>
    <w:p w14:paraId="21F25366"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Mulu A, Sisay B. Estimation of stature from arm span, arm length and tibial length among adolescents of aged 15-18 in Addis Ababa, Ethiopia. Ethiopian journal of health sciences. 2021 Sep 1;31(5).Does Upper Arm Length, Arm Span, and Foot Length Serve as Good Predictors for Stature? A Cross-Sectional Study among Northern Nigerians. The foot.;5:10.</w:t>
      </w:r>
    </w:p>
    <w:p w14:paraId="6876331D" w14:textId="77777777" w:rsidR="00BC0FC1" w:rsidRPr="00026BBA" w:rsidRDefault="00BC0FC1" w:rsidP="00BC0FC1">
      <w:pPr>
        <w:pStyle w:val="ListParagraph"/>
        <w:rPr>
          <w:rFonts w:ascii="Times New Roman" w:hAnsi="Times New Roman" w:cs="Times New Roman"/>
        </w:rPr>
      </w:pPr>
    </w:p>
    <w:p w14:paraId="6ED8B0AE" w14:textId="77777777" w:rsidR="00BC0FC1" w:rsidRDefault="00BC0FC1" w:rsidP="00F11034">
      <w:pPr>
        <w:jc w:val="both"/>
        <w:rPr>
          <w:rFonts w:ascii="Times New Roman" w:hAnsi="Times New Roman" w:cs="Times New Roman"/>
          <w:b/>
          <w:bCs/>
        </w:rPr>
      </w:pPr>
    </w:p>
    <w:p w14:paraId="60C4DBC3" w14:textId="77777777" w:rsidR="00BC0FC1" w:rsidRPr="004B5F00" w:rsidRDefault="00BC0FC1" w:rsidP="00F11034">
      <w:pPr>
        <w:jc w:val="both"/>
        <w:rPr>
          <w:rFonts w:ascii="Times New Roman" w:hAnsi="Times New Roman" w:cs="Times New Roman"/>
          <w:b/>
          <w:bCs/>
        </w:rPr>
      </w:pPr>
    </w:p>
    <w:sectPr w:rsidR="00BC0FC1" w:rsidRPr="004B5F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92E7" w14:textId="77777777" w:rsidR="00A97B21" w:rsidRDefault="00A97B21" w:rsidP="00D54DAF">
      <w:pPr>
        <w:spacing w:after="0" w:line="240" w:lineRule="auto"/>
      </w:pPr>
      <w:r>
        <w:separator/>
      </w:r>
    </w:p>
  </w:endnote>
  <w:endnote w:type="continuationSeparator" w:id="0">
    <w:p w14:paraId="41D8CDC5" w14:textId="77777777" w:rsidR="00A97B21" w:rsidRDefault="00A97B21" w:rsidP="00D5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5DA" w14:textId="77777777" w:rsidR="00D54DAF" w:rsidRDefault="00D5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CEB4" w14:textId="77777777" w:rsidR="00D54DAF" w:rsidRDefault="00D54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108B" w14:textId="77777777" w:rsidR="00D54DAF" w:rsidRDefault="00D5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7C88" w14:textId="77777777" w:rsidR="00A97B21" w:rsidRDefault="00A97B21" w:rsidP="00D54DAF">
      <w:pPr>
        <w:spacing w:after="0" w:line="240" w:lineRule="auto"/>
      </w:pPr>
      <w:r>
        <w:separator/>
      </w:r>
    </w:p>
  </w:footnote>
  <w:footnote w:type="continuationSeparator" w:id="0">
    <w:p w14:paraId="721682C4" w14:textId="77777777" w:rsidR="00A97B21" w:rsidRDefault="00A97B21" w:rsidP="00D54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F3FF" w14:textId="712A4DCD" w:rsidR="00D54DAF" w:rsidRDefault="00000000">
    <w:pPr>
      <w:pStyle w:val="Header"/>
    </w:pPr>
    <w:r>
      <w:rPr>
        <w:noProof/>
      </w:rPr>
      <w:pict w14:anchorId="1A776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B1E3" w14:textId="2AEB4E07" w:rsidR="00D54DAF" w:rsidRDefault="00000000">
    <w:pPr>
      <w:pStyle w:val="Header"/>
    </w:pPr>
    <w:r>
      <w:rPr>
        <w:noProof/>
      </w:rPr>
      <w:pict w14:anchorId="4F41D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36A4" w14:textId="7C1922EF" w:rsidR="00D54DAF" w:rsidRDefault="00000000">
    <w:pPr>
      <w:pStyle w:val="Header"/>
    </w:pPr>
    <w:r>
      <w:rPr>
        <w:noProof/>
      </w:rPr>
      <w:pict w14:anchorId="5FC74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30"/>
    <w:multiLevelType w:val="hybridMultilevel"/>
    <w:tmpl w:val="C466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21E01"/>
    <w:multiLevelType w:val="multilevel"/>
    <w:tmpl w:val="7E88B9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65740576">
    <w:abstractNumId w:val="1"/>
  </w:num>
  <w:num w:numId="2" w16cid:durableId="147517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4CC"/>
    <w:rsid w:val="00035067"/>
    <w:rsid w:val="0003600C"/>
    <w:rsid w:val="001119A9"/>
    <w:rsid w:val="00125E2D"/>
    <w:rsid w:val="0016711F"/>
    <w:rsid w:val="00291F58"/>
    <w:rsid w:val="00295DFB"/>
    <w:rsid w:val="002B6EF2"/>
    <w:rsid w:val="00302CBC"/>
    <w:rsid w:val="00372668"/>
    <w:rsid w:val="003C1973"/>
    <w:rsid w:val="00410ED7"/>
    <w:rsid w:val="0042163B"/>
    <w:rsid w:val="004B5F00"/>
    <w:rsid w:val="004F083B"/>
    <w:rsid w:val="00571078"/>
    <w:rsid w:val="00627C99"/>
    <w:rsid w:val="006A47CB"/>
    <w:rsid w:val="00743CCC"/>
    <w:rsid w:val="007D537E"/>
    <w:rsid w:val="00870F2F"/>
    <w:rsid w:val="008D3DC1"/>
    <w:rsid w:val="008F233F"/>
    <w:rsid w:val="009150ED"/>
    <w:rsid w:val="00927063"/>
    <w:rsid w:val="00952307"/>
    <w:rsid w:val="00A050C8"/>
    <w:rsid w:val="00A2271D"/>
    <w:rsid w:val="00A4659E"/>
    <w:rsid w:val="00A53739"/>
    <w:rsid w:val="00A621A9"/>
    <w:rsid w:val="00A97B21"/>
    <w:rsid w:val="00AE0A37"/>
    <w:rsid w:val="00B114F0"/>
    <w:rsid w:val="00B40140"/>
    <w:rsid w:val="00B63D9F"/>
    <w:rsid w:val="00B9264B"/>
    <w:rsid w:val="00BA0067"/>
    <w:rsid w:val="00BA61D4"/>
    <w:rsid w:val="00BC0FC1"/>
    <w:rsid w:val="00BC7962"/>
    <w:rsid w:val="00C16543"/>
    <w:rsid w:val="00C17748"/>
    <w:rsid w:val="00C41F3E"/>
    <w:rsid w:val="00C67CFA"/>
    <w:rsid w:val="00C8687D"/>
    <w:rsid w:val="00D00EDD"/>
    <w:rsid w:val="00D54DAF"/>
    <w:rsid w:val="00D56118"/>
    <w:rsid w:val="00D5754F"/>
    <w:rsid w:val="00D71E7A"/>
    <w:rsid w:val="00D7361A"/>
    <w:rsid w:val="00DB5527"/>
    <w:rsid w:val="00DB64CC"/>
    <w:rsid w:val="00DE69F6"/>
    <w:rsid w:val="00E03F65"/>
    <w:rsid w:val="00E16DEF"/>
    <w:rsid w:val="00E81B83"/>
    <w:rsid w:val="00E825C4"/>
    <w:rsid w:val="00EB4548"/>
    <w:rsid w:val="00ED00DB"/>
    <w:rsid w:val="00EE0F85"/>
    <w:rsid w:val="00F01C7C"/>
    <w:rsid w:val="00F11034"/>
    <w:rsid w:val="00FA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8B063"/>
  <w15:docId w15:val="{F07B3713-0668-4D08-88DB-74113512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4CC"/>
    <w:rPr>
      <w:rFonts w:eastAsiaTheme="majorEastAsia" w:cstheme="majorBidi"/>
      <w:color w:val="272727" w:themeColor="text1" w:themeTint="D8"/>
    </w:rPr>
  </w:style>
  <w:style w:type="paragraph" w:styleId="Title">
    <w:name w:val="Title"/>
    <w:basedOn w:val="Normal"/>
    <w:next w:val="Normal"/>
    <w:link w:val="TitleChar"/>
    <w:uiPriority w:val="10"/>
    <w:qFormat/>
    <w:rsid w:val="00DB6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4CC"/>
    <w:pPr>
      <w:spacing w:before="160"/>
      <w:jc w:val="center"/>
    </w:pPr>
    <w:rPr>
      <w:i/>
      <w:iCs/>
      <w:color w:val="404040" w:themeColor="text1" w:themeTint="BF"/>
    </w:rPr>
  </w:style>
  <w:style w:type="character" w:customStyle="1" w:styleId="QuoteChar">
    <w:name w:val="Quote Char"/>
    <w:basedOn w:val="DefaultParagraphFont"/>
    <w:link w:val="Quote"/>
    <w:uiPriority w:val="29"/>
    <w:rsid w:val="00DB64CC"/>
    <w:rPr>
      <w:i/>
      <w:iCs/>
      <w:color w:val="404040" w:themeColor="text1" w:themeTint="BF"/>
    </w:rPr>
  </w:style>
  <w:style w:type="paragraph" w:styleId="ListParagraph">
    <w:name w:val="List Paragraph"/>
    <w:basedOn w:val="Normal"/>
    <w:uiPriority w:val="34"/>
    <w:qFormat/>
    <w:rsid w:val="00DB64CC"/>
    <w:pPr>
      <w:ind w:left="720"/>
      <w:contextualSpacing/>
    </w:pPr>
  </w:style>
  <w:style w:type="character" w:styleId="IntenseEmphasis">
    <w:name w:val="Intense Emphasis"/>
    <w:basedOn w:val="DefaultParagraphFont"/>
    <w:uiPriority w:val="21"/>
    <w:qFormat/>
    <w:rsid w:val="00DB64CC"/>
    <w:rPr>
      <w:i/>
      <w:iCs/>
      <w:color w:val="2F5496" w:themeColor="accent1" w:themeShade="BF"/>
    </w:rPr>
  </w:style>
  <w:style w:type="paragraph" w:styleId="IntenseQuote">
    <w:name w:val="Intense Quote"/>
    <w:basedOn w:val="Normal"/>
    <w:next w:val="Normal"/>
    <w:link w:val="IntenseQuoteChar"/>
    <w:uiPriority w:val="30"/>
    <w:qFormat/>
    <w:rsid w:val="00DB6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4CC"/>
    <w:rPr>
      <w:i/>
      <w:iCs/>
      <w:color w:val="2F5496" w:themeColor="accent1" w:themeShade="BF"/>
    </w:rPr>
  </w:style>
  <w:style w:type="character" w:styleId="IntenseReference">
    <w:name w:val="Intense Reference"/>
    <w:basedOn w:val="DefaultParagraphFont"/>
    <w:uiPriority w:val="32"/>
    <w:qFormat/>
    <w:rsid w:val="00DB64CC"/>
    <w:rPr>
      <w:b/>
      <w:bCs/>
      <w:smallCaps/>
      <w:color w:val="2F5496" w:themeColor="accent1" w:themeShade="BF"/>
      <w:spacing w:val="5"/>
    </w:rPr>
  </w:style>
  <w:style w:type="table" w:styleId="TableGrid">
    <w:name w:val="Table Grid"/>
    <w:basedOn w:val="TableNormal"/>
    <w:uiPriority w:val="39"/>
    <w:rsid w:val="00B926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543"/>
    <w:rPr>
      <w:color w:val="0563C1" w:themeColor="hyperlink"/>
      <w:u w:val="single"/>
    </w:rPr>
  </w:style>
  <w:style w:type="character" w:styleId="UnresolvedMention">
    <w:name w:val="Unresolved Mention"/>
    <w:basedOn w:val="DefaultParagraphFont"/>
    <w:uiPriority w:val="99"/>
    <w:semiHidden/>
    <w:unhideWhenUsed/>
    <w:rsid w:val="00AE0A37"/>
    <w:rPr>
      <w:color w:val="605E5C"/>
      <w:shd w:val="clear" w:color="auto" w:fill="E1DFDD"/>
    </w:rPr>
  </w:style>
  <w:style w:type="paragraph" w:styleId="Header">
    <w:name w:val="header"/>
    <w:basedOn w:val="Normal"/>
    <w:link w:val="HeaderChar"/>
    <w:uiPriority w:val="99"/>
    <w:unhideWhenUsed/>
    <w:rsid w:val="00D54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AF"/>
  </w:style>
  <w:style w:type="paragraph" w:styleId="Footer">
    <w:name w:val="footer"/>
    <w:basedOn w:val="Normal"/>
    <w:link w:val="FooterChar"/>
    <w:uiPriority w:val="99"/>
    <w:unhideWhenUsed/>
    <w:rsid w:val="00D54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4507">
      <w:bodyDiv w:val="1"/>
      <w:marLeft w:val="0"/>
      <w:marRight w:val="0"/>
      <w:marTop w:val="0"/>
      <w:marBottom w:val="0"/>
      <w:divBdr>
        <w:top w:val="none" w:sz="0" w:space="0" w:color="auto"/>
        <w:left w:val="none" w:sz="0" w:space="0" w:color="auto"/>
        <w:bottom w:val="none" w:sz="0" w:space="0" w:color="auto"/>
        <w:right w:val="none" w:sz="0" w:space="0" w:color="auto"/>
      </w:divBdr>
    </w:div>
    <w:div w:id="458576015">
      <w:bodyDiv w:val="1"/>
      <w:marLeft w:val="0"/>
      <w:marRight w:val="0"/>
      <w:marTop w:val="0"/>
      <w:marBottom w:val="0"/>
      <w:divBdr>
        <w:top w:val="none" w:sz="0" w:space="0" w:color="auto"/>
        <w:left w:val="none" w:sz="0" w:space="0" w:color="auto"/>
        <w:bottom w:val="none" w:sz="0" w:space="0" w:color="auto"/>
        <w:right w:val="none" w:sz="0" w:space="0" w:color="auto"/>
      </w:divBdr>
    </w:div>
    <w:div w:id="10501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deorasamt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dc:creator>
  <cp:lastModifiedBy>SDI 1067</cp:lastModifiedBy>
  <cp:revision>13</cp:revision>
  <dcterms:created xsi:type="dcterms:W3CDTF">2026-05-13T07:40:00Z</dcterms:created>
  <dcterms:modified xsi:type="dcterms:W3CDTF">2026-05-19T10:40:00Z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dd3acc75-b56a-4463-95ef-df011501240e</vt:lpwstr>
  </property>
</Properties>
</file>