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182BF" w14:textId="77777777" w:rsidR="006F1244" w:rsidRPr="00A200F5" w:rsidRDefault="00AD4BA2" w:rsidP="00B72AF6">
      <w:pPr>
        <w:spacing w:before="480" w:after="200" w:line="360" w:lineRule="auto"/>
        <w:jc w:val="center"/>
        <w:rPr>
          <w:rFonts w:ascii="Times New Roman" w:hAnsi="Times New Roman" w:cs="Times New Roman"/>
          <w:sz w:val="28"/>
          <w:szCs w:val="28"/>
        </w:rPr>
      </w:pPr>
      <w:r w:rsidRPr="00A200F5">
        <w:rPr>
          <w:rFonts w:ascii="Times New Roman" w:hAnsi="Times New Roman" w:cs="Times New Roman"/>
          <w:b/>
          <w:bCs/>
          <w:sz w:val="28"/>
          <w:szCs w:val="28"/>
        </w:rPr>
        <w:t>Energy Poverty and Gendered Inequities in African Communities:</w:t>
      </w:r>
    </w:p>
    <w:p w14:paraId="36B1C7D5" w14:textId="77777777" w:rsidR="006F1244" w:rsidRPr="00A200F5" w:rsidRDefault="00AD4BA2" w:rsidP="00B72AF6">
      <w:pPr>
        <w:spacing w:after="280" w:line="360" w:lineRule="auto"/>
        <w:jc w:val="center"/>
        <w:rPr>
          <w:rFonts w:ascii="Times New Roman" w:hAnsi="Times New Roman" w:cs="Times New Roman"/>
          <w:b/>
          <w:bCs/>
          <w:sz w:val="24"/>
          <w:szCs w:val="24"/>
        </w:rPr>
      </w:pPr>
      <w:r w:rsidRPr="00A200F5">
        <w:rPr>
          <w:rFonts w:ascii="Times New Roman" w:hAnsi="Times New Roman" w:cs="Times New Roman"/>
          <w:b/>
          <w:bCs/>
          <w:sz w:val="28"/>
          <w:szCs w:val="28"/>
        </w:rPr>
        <w:t>A Review of Health Impacts and Policy Gaps</w:t>
      </w:r>
    </w:p>
    <w:p w14:paraId="5D4C0653" w14:textId="77777777" w:rsidR="006F1244" w:rsidRPr="00A200F5" w:rsidRDefault="006F1244" w:rsidP="00B72AF6">
      <w:pPr>
        <w:spacing w:before="200" w:line="360" w:lineRule="auto"/>
        <w:rPr>
          <w:rFonts w:ascii="Times New Roman" w:hAnsi="Times New Roman" w:cs="Times New Roman"/>
          <w:sz w:val="24"/>
          <w:szCs w:val="24"/>
        </w:rPr>
      </w:pPr>
    </w:p>
    <w:p w14:paraId="14000747" w14:textId="77777777" w:rsidR="003A15A5" w:rsidRPr="00A200F5" w:rsidRDefault="003A15A5" w:rsidP="00B72AF6">
      <w:pPr>
        <w:pStyle w:val="Heading1"/>
        <w:spacing w:line="360" w:lineRule="auto"/>
        <w:rPr>
          <w:rFonts w:ascii="Times New Roman" w:hAnsi="Times New Roman" w:cs="Times New Roman"/>
          <w:color w:val="auto"/>
        </w:rPr>
      </w:pPr>
      <w:r w:rsidRPr="00A200F5">
        <w:rPr>
          <w:rFonts w:ascii="Times New Roman" w:hAnsi="Times New Roman" w:cs="Times New Roman"/>
          <w:color w:val="auto"/>
        </w:rPr>
        <w:t>ABSTRACT</w:t>
      </w:r>
    </w:p>
    <w:p w14:paraId="6023F1ED" w14:textId="77777777" w:rsidR="003A15A5" w:rsidRPr="00A200F5" w:rsidRDefault="003A15A5" w:rsidP="00B72AF6">
      <w:pPr>
        <w:spacing w:line="360" w:lineRule="auto"/>
        <w:jc w:val="both"/>
        <w:rPr>
          <w:rFonts w:ascii="Times New Roman" w:hAnsi="Times New Roman" w:cs="Times New Roman"/>
          <w:sz w:val="24"/>
          <w:szCs w:val="24"/>
        </w:rPr>
      </w:pPr>
      <w:r w:rsidRPr="00A200F5">
        <w:rPr>
          <w:rFonts w:ascii="Times New Roman" w:hAnsi="Times New Roman" w:cs="Times New Roman"/>
          <w:b/>
          <w:bCs/>
          <w:sz w:val="24"/>
          <w:szCs w:val="24"/>
        </w:rPr>
        <w:t xml:space="preserve">Background: </w:t>
      </w:r>
      <w:r w:rsidRPr="00A200F5">
        <w:rPr>
          <w:rFonts w:ascii="Times New Roman" w:hAnsi="Times New Roman" w:cs="Times New Roman"/>
          <w:sz w:val="24"/>
          <w:szCs w:val="24"/>
        </w:rPr>
        <w:t>Energy poverty remains one of the most pervasive structural barriers to human development across sub-Saharan and North Africa. Defined as the lack of reliable, affordable, and clean energy access, it constrains health, economic participation, and quality of life in ways that are not evenly distributed across society. Women and girls carry a disproportionate share of this burden as cultural norms, and entrenched gender inequalities, particularly the gendered allocation of energy-related responsibilities</w:t>
      </w:r>
    </w:p>
    <w:p w14:paraId="5E0507B5" w14:textId="77777777" w:rsidR="003A15A5" w:rsidRPr="00A200F5" w:rsidRDefault="003A15A5" w:rsidP="00B72AF6">
      <w:pPr>
        <w:spacing w:line="360" w:lineRule="auto"/>
        <w:rPr>
          <w:rFonts w:ascii="Times New Roman" w:hAnsi="Times New Roman" w:cs="Times New Roman"/>
          <w:sz w:val="24"/>
          <w:szCs w:val="24"/>
        </w:rPr>
      </w:pPr>
    </w:p>
    <w:p w14:paraId="02059934" w14:textId="77777777" w:rsidR="003A15A5" w:rsidRPr="00A200F5" w:rsidRDefault="003A15A5" w:rsidP="00B72AF6">
      <w:pPr>
        <w:spacing w:line="360" w:lineRule="auto"/>
        <w:jc w:val="both"/>
        <w:rPr>
          <w:rFonts w:ascii="Times New Roman" w:hAnsi="Times New Roman" w:cs="Times New Roman"/>
          <w:sz w:val="24"/>
          <w:szCs w:val="24"/>
        </w:rPr>
      </w:pPr>
      <w:r w:rsidRPr="00A200F5">
        <w:rPr>
          <w:rFonts w:ascii="Times New Roman" w:hAnsi="Times New Roman" w:cs="Times New Roman"/>
          <w:b/>
          <w:bCs/>
          <w:sz w:val="24"/>
          <w:szCs w:val="24"/>
        </w:rPr>
        <w:t xml:space="preserve">Aim: </w:t>
      </w:r>
      <w:r w:rsidRPr="00A200F5">
        <w:rPr>
          <w:rFonts w:ascii="Times New Roman" w:hAnsi="Times New Roman" w:cs="Times New Roman"/>
          <w:sz w:val="24"/>
          <w:szCs w:val="24"/>
        </w:rPr>
        <w:t>This narrative review critically examines the gendered dimensions of energy poverty in Africa. It integrates evidence on health outcomes, socio-economic consequences, cultural dynamics, and policy responses to produce a synthesised account of where the field stands and where it needs to go.</w:t>
      </w:r>
    </w:p>
    <w:p w14:paraId="2BD30954" w14:textId="77777777" w:rsidR="003A15A5" w:rsidRPr="00A200F5" w:rsidRDefault="003A15A5" w:rsidP="00B72AF6">
      <w:pPr>
        <w:spacing w:line="360" w:lineRule="auto"/>
        <w:rPr>
          <w:rFonts w:ascii="Times New Roman" w:hAnsi="Times New Roman" w:cs="Times New Roman"/>
          <w:sz w:val="24"/>
          <w:szCs w:val="24"/>
        </w:rPr>
      </w:pPr>
    </w:p>
    <w:p w14:paraId="5A19A027" w14:textId="77777777" w:rsidR="003A15A5" w:rsidRPr="00A200F5" w:rsidRDefault="003A15A5" w:rsidP="00B72AF6">
      <w:pPr>
        <w:spacing w:line="360" w:lineRule="auto"/>
        <w:jc w:val="both"/>
        <w:rPr>
          <w:rFonts w:ascii="Times New Roman" w:hAnsi="Times New Roman" w:cs="Times New Roman"/>
          <w:sz w:val="24"/>
          <w:szCs w:val="24"/>
        </w:rPr>
      </w:pPr>
      <w:r w:rsidRPr="00A200F5">
        <w:rPr>
          <w:rFonts w:ascii="Times New Roman" w:hAnsi="Times New Roman" w:cs="Times New Roman"/>
          <w:b/>
          <w:bCs/>
          <w:sz w:val="24"/>
          <w:szCs w:val="24"/>
        </w:rPr>
        <w:t xml:space="preserve">Methods: </w:t>
      </w:r>
      <w:r w:rsidRPr="00A200F5">
        <w:rPr>
          <w:rFonts w:ascii="Times New Roman" w:hAnsi="Times New Roman" w:cs="Times New Roman"/>
          <w:sz w:val="24"/>
          <w:szCs w:val="24"/>
        </w:rPr>
        <w:t>A narrative review methodology was applied, drawing on literature retrieved from PubMed, Scopus, Web of Science, and Google Scholar. Searches were conducted using terms including "energy poverty," "household energy," "biomass," "clean cooking," "gender," "Africa," "indoor air pollution," and "reproductive health," with a primary focus on publications from 2015 to 2026. Landmark older studies were included where their findings remain foundational. Inclusion was restricted to peer-reviewed articles, grey literature from multilateral agencies, and government policy documents relevant to sub-Saharan and North Africa.</w:t>
      </w:r>
    </w:p>
    <w:p w14:paraId="2421D156" w14:textId="77777777" w:rsidR="003A15A5" w:rsidRPr="00A200F5" w:rsidRDefault="003A15A5" w:rsidP="00B72AF6">
      <w:pPr>
        <w:spacing w:line="360" w:lineRule="auto"/>
        <w:rPr>
          <w:rFonts w:ascii="Times New Roman" w:hAnsi="Times New Roman" w:cs="Times New Roman"/>
          <w:sz w:val="24"/>
          <w:szCs w:val="24"/>
        </w:rPr>
      </w:pPr>
    </w:p>
    <w:p w14:paraId="40688990" w14:textId="77777777" w:rsidR="003A15A5" w:rsidRPr="00A200F5" w:rsidRDefault="003A15A5" w:rsidP="00B72AF6">
      <w:pPr>
        <w:spacing w:line="360" w:lineRule="auto"/>
        <w:jc w:val="both"/>
        <w:rPr>
          <w:rFonts w:ascii="Times New Roman" w:hAnsi="Times New Roman" w:cs="Times New Roman"/>
          <w:sz w:val="24"/>
          <w:szCs w:val="24"/>
        </w:rPr>
      </w:pPr>
      <w:r w:rsidRPr="00A200F5">
        <w:rPr>
          <w:rFonts w:ascii="Times New Roman" w:hAnsi="Times New Roman" w:cs="Times New Roman"/>
          <w:b/>
          <w:bCs/>
          <w:sz w:val="24"/>
          <w:szCs w:val="24"/>
        </w:rPr>
        <w:t xml:space="preserve">Key Findings: </w:t>
      </w:r>
      <w:r w:rsidRPr="00A200F5">
        <w:rPr>
          <w:rFonts w:ascii="Times New Roman" w:hAnsi="Times New Roman" w:cs="Times New Roman"/>
          <w:sz w:val="24"/>
          <w:szCs w:val="24"/>
        </w:rPr>
        <w:t xml:space="preserve">Women in energy-poor households face compounded vulnerabilities: chronic exposure to indoor air pollution from biomass combustion, acute time deficits that curtail educational and economic engagement, higher rates of respiratory and cardiovascular morbidity, </w:t>
      </w:r>
      <w:r w:rsidRPr="00A200F5">
        <w:rPr>
          <w:rFonts w:ascii="Times New Roman" w:hAnsi="Times New Roman" w:cs="Times New Roman"/>
          <w:sz w:val="24"/>
          <w:szCs w:val="24"/>
        </w:rPr>
        <w:lastRenderedPageBreak/>
        <w:t>and elevated risks during pregnancy and childbirth. Structural factors including land tenure arrangements, financial exclusion, and limited decision-making power within households further entrench these disadvantages. Policy responses to date have been insufficiently gender-sensitive, prioritising technology dissemination over the social and economic conditions that determine whether women can access and sustain clean energy transitions.</w:t>
      </w:r>
    </w:p>
    <w:p w14:paraId="0572316F" w14:textId="77777777" w:rsidR="003A15A5" w:rsidRPr="00A200F5" w:rsidRDefault="003A15A5" w:rsidP="00B72AF6">
      <w:pPr>
        <w:spacing w:line="360" w:lineRule="auto"/>
        <w:rPr>
          <w:rFonts w:ascii="Times New Roman" w:hAnsi="Times New Roman" w:cs="Times New Roman"/>
          <w:sz w:val="24"/>
          <w:szCs w:val="24"/>
        </w:rPr>
      </w:pPr>
    </w:p>
    <w:p w14:paraId="08DF13D1" w14:textId="77777777" w:rsidR="003A15A5" w:rsidRPr="00A200F5" w:rsidRDefault="003A15A5" w:rsidP="00B72AF6">
      <w:pPr>
        <w:spacing w:line="360" w:lineRule="auto"/>
        <w:jc w:val="both"/>
        <w:rPr>
          <w:rFonts w:ascii="Times New Roman" w:hAnsi="Times New Roman" w:cs="Times New Roman"/>
          <w:sz w:val="24"/>
          <w:szCs w:val="24"/>
        </w:rPr>
      </w:pPr>
      <w:r w:rsidRPr="00A200F5">
        <w:rPr>
          <w:rFonts w:ascii="Times New Roman" w:hAnsi="Times New Roman" w:cs="Times New Roman"/>
          <w:b/>
          <w:bCs/>
          <w:sz w:val="24"/>
          <w:szCs w:val="24"/>
        </w:rPr>
        <w:t xml:space="preserve">Conclusion: </w:t>
      </w:r>
      <w:r w:rsidRPr="00A200F5">
        <w:rPr>
          <w:rFonts w:ascii="Times New Roman" w:hAnsi="Times New Roman" w:cs="Times New Roman"/>
          <w:sz w:val="24"/>
          <w:szCs w:val="24"/>
        </w:rPr>
        <w:t>Addressing energy poverty as a gender justice issue requires policy frameworks that treat women as agents rather than passive beneficiaries. Integrating gender-responsive design into electrification and clean cooking programmes, and closing persistent gaps in sex-disaggregated data, are prerequisites for meaningful progress.</w:t>
      </w:r>
    </w:p>
    <w:p w14:paraId="7107FE02" w14:textId="77777777" w:rsidR="003A15A5" w:rsidRPr="00A200F5" w:rsidRDefault="003A15A5" w:rsidP="00B72AF6">
      <w:pPr>
        <w:spacing w:line="360" w:lineRule="auto"/>
        <w:rPr>
          <w:rFonts w:ascii="Times New Roman" w:hAnsi="Times New Roman" w:cs="Times New Roman"/>
          <w:sz w:val="24"/>
          <w:szCs w:val="24"/>
        </w:rPr>
      </w:pPr>
    </w:p>
    <w:p w14:paraId="5AA87EB2" w14:textId="77777777" w:rsidR="003A15A5" w:rsidRPr="00A200F5" w:rsidRDefault="003A15A5" w:rsidP="00B72AF6">
      <w:pPr>
        <w:spacing w:line="360" w:lineRule="auto"/>
        <w:jc w:val="both"/>
        <w:rPr>
          <w:rFonts w:ascii="Times New Roman" w:hAnsi="Times New Roman" w:cs="Times New Roman"/>
          <w:sz w:val="24"/>
          <w:szCs w:val="24"/>
        </w:rPr>
      </w:pPr>
      <w:r w:rsidRPr="00A200F5">
        <w:rPr>
          <w:rFonts w:ascii="Times New Roman" w:hAnsi="Times New Roman" w:cs="Times New Roman"/>
          <w:b/>
          <w:bCs/>
          <w:sz w:val="24"/>
          <w:szCs w:val="24"/>
        </w:rPr>
        <w:t xml:space="preserve">Keywords: </w:t>
      </w:r>
      <w:r w:rsidRPr="00A200F5">
        <w:rPr>
          <w:rFonts w:ascii="Times New Roman" w:hAnsi="Times New Roman" w:cs="Times New Roman"/>
          <w:sz w:val="24"/>
          <w:szCs w:val="24"/>
        </w:rPr>
        <w:t>energy poverty; gender inequality; Africa; indoor air pollution; clean cooking; health outcomes; biomass fuel; environmental health.</w:t>
      </w:r>
    </w:p>
    <w:p w14:paraId="0D116921" w14:textId="77777777" w:rsidR="003A15A5" w:rsidRPr="00A200F5" w:rsidRDefault="003A15A5" w:rsidP="00B72AF6">
      <w:pPr>
        <w:spacing w:line="360" w:lineRule="auto"/>
        <w:rPr>
          <w:rFonts w:ascii="Times New Roman" w:hAnsi="Times New Roman" w:cs="Times New Roman"/>
          <w:sz w:val="24"/>
          <w:szCs w:val="24"/>
        </w:rPr>
      </w:pPr>
    </w:p>
    <w:p w14:paraId="6FFAD121" w14:textId="77777777" w:rsidR="003A15A5" w:rsidRPr="00A200F5" w:rsidRDefault="003A15A5" w:rsidP="00B72AF6">
      <w:pPr>
        <w:spacing w:before="200" w:line="360" w:lineRule="auto"/>
        <w:rPr>
          <w:rFonts w:ascii="Times New Roman" w:hAnsi="Times New Roman" w:cs="Times New Roman"/>
          <w:sz w:val="24"/>
          <w:szCs w:val="24"/>
        </w:rPr>
      </w:pPr>
    </w:p>
    <w:p w14:paraId="0435DD65" w14:textId="77777777" w:rsidR="006F1244" w:rsidRPr="00A200F5" w:rsidRDefault="00AD4BA2" w:rsidP="00B72AF6">
      <w:pPr>
        <w:pStyle w:val="Heading1"/>
        <w:spacing w:line="360" w:lineRule="auto"/>
        <w:rPr>
          <w:rFonts w:ascii="Times New Roman" w:hAnsi="Times New Roman" w:cs="Times New Roman"/>
          <w:color w:val="auto"/>
          <w:sz w:val="24"/>
          <w:szCs w:val="24"/>
        </w:rPr>
      </w:pPr>
      <w:r w:rsidRPr="00A200F5">
        <w:rPr>
          <w:rFonts w:ascii="Times New Roman" w:hAnsi="Times New Roman" w:cs="Times New Roman"/>
          <w:color w:val="auto"/>
          <w:sz w:val="24"/>
          <w:szCs w:val="24"/>
        </w:rPr>
        <w:t>1. INTRODUCTION</w:t>
      </w:r>
    </w:p>
    <w:p w14:paraId="217B2FA7" w14:textId="1BDA8914"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Energy poverty, broadly understood as the lack of access to adequate, affordable, reliable, and modern energy services, remains a defining structural barrier to human development across Africa [1]. Its persistence is not primarily a technical failure. </w:t>
      </w:r>
      <w:r w:rsidR="007101F3" w:rsidRPr="00A200F5">
        <w:rPr>
          <w:rFonts w:ascii="Times New Roman" w:hAnsi="Times New Roman" w:cs="Times New Roman"/>
          <w:sz w:val="24"/>
          <w:szCs w:val="24"/>
        </w:rPr>
        <w:t>but</w:t>
      </w:r>
      <w:r w:rsidRPr="00A200F5">
        <w:rPr>
          <w:rFonts w:ascii="Times New Roman" w:hAnsi="Times New Roman" w:cs="Times New Roman"/>
          <w:sz w:val="24"/>
          <w:szCs w:val="24"/>
        </w:rPr>
        <w:t xml:space="preserve"> the outcome of compounding governance deficits. Th</w:t>
      </w:r>
      <w:r w:rsidR="007101F3" w:rsidRPr="00A200F5">
        <w:rPr>
          <w:rFonts w:ascii="Times New Roman" w:hAnsi="Times New Roman" w:cs="Times New Roman"/>
          <w:sz w:val="24"/>
          <w:szCs w:val="24"/>
        </w:rPr>
        <w:t>ese</w:t>
      </w:r>
      <w:r w:rsidRPr="00A200F5">
        <w:rPr>
          <w:rFonts w:ascii="Times New Roman" w:hAnsi="Times New Roman" w:cs="Times New Roman"/>
          <w:sz w:val="24"/>
          <w:szCs w:val="24"/>
        </w:rPr>
        <w:t xml:space="preserve"> include insufficient financing for rural infrastructure, regulatory frameworks that privilege urban consumers, energy pricing policies calibrated to formal markets, and development programmes that assess progress at the household level in ways that render intra-household inequalities invisible.</w:t>
      </w:r>
    </w:p>
    <w:p w14:paraId="0DDFE9D8"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Gender shapes both the exposure to energy poverty and the form its consequences take. In the vast majority of African societies, domestic energy work, including collecting firewood, managing cooking fires, and maintaining household warmth, is structurally allocated to women. When energy infrastructure is absent or unreliable, women compensate through additional unpaid labour. They walk longer distances to collect biomass fuel. They spend hours in poorly ventilated cooking spaces where smoke concentrations far exceed safe thresholds. They lose productive time that men </w:t>
      </w:r>
      <w:r w:rsidRPr="00A200F5">
        <w:rPr>
          <w:rFonts w:ascii="Times New Roman" w:hAnsi="Times New Roman" w:cs="Times New Roman"/>
          <w:sz w:val="24"/>
          <w:szCs w:val="24"/>
        </w:rPr>
        <w:lastRenderedPageBreak/>
        <w:t>in the same households rarely lose in equivalent measure [2]. This is not a cultural anomaly. It is the predictable and well-documented outcome of intersecting structural inequalities in which energy deprivation amplifies existing disadvantage.</w:t>
      </w:r>
    </w:p>
    <w:p w14:paraId="621AC494"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The health consequences are quantifiable and severe. Household air pollution from solid fuel combustion is among the leading environmental risk factors for disease globally, with evidence from the World Health Organization attributing approximately 3.2 million deaths annually to this </w:t>
      </w:r>
      <w:proofErr w:type="gramStart"/>
      <w:r w:rsidRPr="00A200F5">
        <w:rPr>
          <w:rFonts w:ascii="Times New Roman" w:hAnsi="Times New Roman" w:cs="Times New Roman"/>
          <w:sz w:val="24"/>
          <w:szCs w:val="24"/>
        </w:rPr>
        <w:t>exposure[</w:t>
      </w:r>
      <w:proofErr w:type="gramEnd"/>
      <w:r w:rsidRPr="00A200F5">
        <w:rPr>
          <w:rFonts w:ascii="Times New Roman" w:hAnsi="Times New Roman" w:cs="Times New Roman"/>
          <w:sz w:val="24"/>
          <w:szCs w:val="24"/>
        </w:rPr>
        <w:t>3]. Beyond respiratory disease, the time deficits imposed by biomass collection and open-fire cooking constrain women's participation in education and formal employment, perpetuating cycles of economic dependence [4]. The psychological dimension of chronic energy insecurity (its relationship to stress, exhaustion, and loss of agency</w:t>
      </w:r>
      <w:proofErr w:type="gramStart"/>
      <w:r w:rsidRPr="00A200F5">
        <w:rPr>
          <w:rFonts w:ascii="Times New Roman" w:hAnsi="Times New Roman" w:cs="Times New Roman"/>
          <w:sz w:val="24"/>
          <w:szCs w:val="24"/>
        </w:rPr>
        <w:t>),  remains</w:t>
      </w:r>
      <w:proofErr w:type="gramEnd"/>
      <w:r w:rsidRPr="00A200F5">
        <w:rPr>
          <w:rFonts w:ascii="Times New Roman" w:hAnsi="Times New Roman" w:cs="Times New Roman"/>
          <w:sz w:val="24"/>
          <w:szCs w:val="24"/>
        </w:rPr>
        <w:t xml:space="preserve"> underinvestigated but is beginning to receive the empirical attention it warrants [5].</w:t>
      </w:r>
    </w:p>
    <w:p w14:paraId="37F45C0D"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Despite a substantial and growing evidence base, policy responses across Africa have been slow to operationalise a genuinely gender-responsive approach. Electrification programmes and clean cooking initiatives have persistently treated the household as an undifferentiated unit of analysis, failing to account for who within the household controls energy decisions, who bears the cost of transition, and who is most likely to benefit from change [6]. Where gender language appears in policy documents, it has frequently been rhetorical rather than </w:t>
      </w:r>
      <w:proofErr w:type="gramStart"/>
      <w:r w:rsidRPr="00A200F5">
        <w:rPr>
          <w:rFonts w:ascii="Times New Roman" w:hAnsi="Times New Roman" w:cs="Times New Roman"/>
          <w:sz w:val="24"/>
          <w:szCs w:val="24"/>
        </w:rPr>
        <w:t>structural  -</w:t>
      </w:r>
      <w:proofErr w:type="gramEnd"/>
      <w:r w:rsidRPr="00A200F5">
        <w:rPr>
          <w:rFonts w:ascii="Times New Roman" w:hAnsi="Times New Roman" w:cs="Times New Roman"/>
          <w:sz w:val="24"/>
          <w:szCs w:val="24"/>
        </w:rPr>
        <w:t xml:space="preserve">  confined to vague empowerment commitments without operationalisation into programme design, budget allocation, or accountability mechanisms.</w:t>
      </w:r>
    </w:p>
    <w:p w14:paraId="347C22FC"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This review aims to produce a policy-critical synthesis of the evidence on how energy poverty intersects with gender in African communities across health, socio-economic, governance, and structural dimensions. It draws on peer-reviewed literature, multilateral agency reports, and political economy analyses to map the current state of knowledge, identify persistent gaps, and articulate the preconditions for a more equitable energy transition.</w:t>
      </w:r>
    </w:p>
    <w:p w14:paraId="1956E33C" w14:textId="77777777" w:rsidR="006F1244" w:rsidRPr="00A200F5" w:rsidRDefault="006F1244" w:rsidP="00B72AF6">
      <w:pPr>
        <w:spacing w:before="200" w:line="360" w:lineRule="auto"/>
        <w:rPr>
          <w:rFonts w:ascii="Times New Roman" w:hAnsi="Times New Roman" w:cs="Times New Roman"/>
          <w:sz w:val="24"/>
          <w:szCs w:val="24"/>
        </w:rPr>
      </w:pPr>
    </w:p>
    <w:p w14:paraId="12EC406C" w14:textId="77777777" w:rsidR="0086676C" w:rsidRPr="00A200F5" w:rsidRDefault="0086676C" w:rsidP="00B72AF6">
      <w:pPr>
        <w:pStyle w:val="Heading1"/>
        <w:spacing w:line="360" w:lineRule="auto"/>
        <w:rPr>
          <w:rFonts w:ascii="Times New Roman" w:hAnsi="Times New Roman" w:cs="Times New Roman"/>
          <w:color w:val="auto"/>
          <w:sz w:val="24"/>
          <w:szCs w:val="24"/>
        </w:rPr>
      </w:pPr>
    </w:p>
    <w:p w14:paraId="45944A6B" w14:textId="77777777" w:rsidR="0086676C" w:rsidRPr="00A200F5" w:rsidRDefault="0086676C" w:rsidP="00B72AF6">
      <w:pPr>
        <w:pStyle w:val="Heading1"/>
        <w:spacing w:line="360" w:lineRule="auto"/>
        <w:rPr>
          <w:rFonts w:ascii="Times New Roman" w:hAnsi="Times New Roman" w:cs="Times New Roman"/>
          <w:color w:val="auto"/>
          <w:sz w:val="24"/>
          <w:szCs w:val="24"/>
        </w:rPr>
      </w:pPr>
    </w:p>
    <w:p w14:paraId="3558256D" w14:textId="0C7026FC" w:rsidR="006F1244" w:rsidRPr="00A200F5" w:rsidRDefault="00AD4BA2" w:rsidP="00B72AF6">
      <w:pPr>
        <w:pStyle w:val="Heading1"/>
        <w:spacing w:line="360" w:lineRule="auto"/>
        <w:rPr>
          <w:rFonts w:ascii="Times New Roman" w:hAnsi="Times New Roman" w:cs="Times New Roman"/>
          <w:color w:val="auto"/>
          <w:sz w:val="24"/>
          <w:szCs w:val="24"/>
        </w:rPr>
      </w:pPr>
      <w:r w:rsidRPr="00A200F5">
        <w:rPr>
          <w:rFonts w:ascii="Times New Roman" w:hAnsi="Times New Roman" w:cs="Times New Roman"/>
          <w:color w:val="auto"/>
          <w:sz w:val="24"/>
          <w:szCs w:val="24"/>
        </w:rPr>
        <w:lastRenderedPageBreak/>
        <w:t>2. CONCEPTUAL FRAMEWORK</w:t>
      </w:r>
    </w:p>
    <w:p w14:paraId="11A09C05"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2.1 Defining and Measuring Energy Poverty</w:t>
      </w:r>
    </w:p>
    <w:p w14:paraId="598E21FD" w14:textId="196FEA6D"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Energy poverty lacks a single universally accepted definition, and this definitional ambiguity has practical consequences for how it is studied, monitored, and addressed. </w:t>
      </w:r>
      <w:r w:rsidR="0086676C" w:rsidRPr="00A200F5">
        <w:rPr>
          <w:rFonts w:ascii="Times New Roman" w:hAnsi="Times New Roman" w:cs="Times New Roman"/>
          <w:sz w:val="24"/>
          <w:szCs w:val="24"/>
        </w:rPr>
        <w:t xml:space="preserve">Existing </w:t>
      </w:r>
      <w:r w:rsidRPr="00A200F5">
        <w:rPr>
          <w:rFonts w:ascii="Times New Roman" w:hAnsi="Times New Roman" w:cs="Times New Roman"/>
          <w:sz w:val="24"/>
          <w:szCs w:val="24"/>
        </w:rPr>
        <w:t xml:space="preserve">frameworks distinguish between access and affordability. Access-based definitions focus on whether households can physically connect to electricity grids or obtain clean fuels. Affordability-based frameworks consider whether households can sustain that access without incurring financial hardship [7]. A third dimension, which is </w:t>
      </w:r>
      <w:proofErr w:type="gramStart"/>
      <w:r w:rsidRPr="00A200F5">
        <w:rPr>
          <w:rFonts w:ascii="Times New Roman" w:hAnsi="Times New Roman" w:cs="Times New Roman"/>
          <w:sz w:val="24"/>
          <w:szCs w:val="24"/>
        </w:rPr>
        <w:t>reliability  has</w:t>
      </w:r>
      <w:proofErr w:type="gramEnd"/>
      <w:r w:rsidRPr="00A200F5">
        <w:rPr>
          <w:rFonts w:ascii="Times New Roman" w:hAnsi="Times New Roman" w:cs="Times New Roman"/>
          <w:sz w:val="24"/>
          <w:szCs w:val="24"/>
        </w:rPr>
        <w:t xml:space="preserve"> gained increasing  attention as evidence from sub-Saharan Africa demonstrates that even households with nominal grid connections routinely experience prolonged outages that render their access functionally inadequate [8].</w:t>
      </w:r>
    </w:p>
    <w:p w14:paraId="3CBACD43"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The Multi-Tier Framework developed by the World Bank's Energy Sector Management Assistance Program (ESMAP) operationalises energy access across five tiers, from complete absence of access to robust modern energy services [9]. This approach resists treating electrification as a binary event and acknowledges that quality of access is analytically as important as access itself. A household with a single low-wattage solar lantern occupies a fundamentally different position from one with a reliable grid connection capable of powering productive equipment. Aggregating them into the same access </w:t>
      </w:r>
      <w:proofErr w:type="gramStart"/>
      <w:r w:rsidRPr="00A200F5">
        <w:rPr>
          <w:rFonts w:ascii="Times New Roman" w:hAnsi="Times New Roman" w:cs="Times New Roman"/>
          <w:sz w:val="24"/>
          <w:szCs w:val="24"/>
        </w:rPr>
        <w:t>category  -</w:t>
      </w:r>
      <w:proofErr w:type="gramEnd"/>
      <w:r w:rsidRPr="00A200F5">
        <w:rPr>
          <w:rFonts w:ascii="Times New Roman" w:hAnsi="Times New Roman" w:cs="Times New Roman"/>
          <w:sz w:val="24"/>
          <w:szCs w:val="24"/>
        </w:rPr>
        <w:t xml:space="preserve">  as conventional metrics often do  -  obscures the depth of deprivation for the former and flatters national progress statistics.</w:t>
      </w:r>
    </w:p>
    <w:p w14:paraId="656161D3"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For cooking, the principal measure of energy poverty is the proportion of households relying on solid biomass, namely firewood, charcoal, crop residues, or animal dung, as opposed to clean fuels including liquefied petroleum gas (LPG), natural gas, ethanol, or electricity [10]. WHO guidelines on household fuel combustion establish emission rate targets that define clean cooking at the point of use, reflecting a growing evidence base demonstrating that even moderate exposure to cooking smoke is associated with adverse health outcomes [11]. Critically, these guidelines have not been systematically incorporated into African national energy policies, creating a regulatory gap between international health standards and domestic programme design.</w:t>
      </w:r>
    </w:p>
    <w:p w14:paraId="63F2B75D"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2.2 The Gender–Energy Nexus: A Structural Analysis</w:t>
      </w:r>
    </w:p>
    <w:p w14:paraId="71715136"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The relationship between gender and energy runs in both directions and cannot be understood outside structural context. Gender inequality determines who is most exposed to energy poverty </w:t>
      </w:r>
      <w:r w:rsidRPr="00A200F5">
        <w:rPr>
          <w:rFonts w:ascii="Times New Roman" w:hAnsi="Times New Roman" w:cs="Times New Roman"/>
          <w:sz w:val="24"/>
          <w:szCs w:val="24"/>
        </w:rPr>
        <w:lastRenderedPageBreak/>
        <w:t>and shapes the specific form that exposure takes. Energy poverty, in turn, reproduces gender inequality thereby constraining women's time, health, educational attainment, and economic agency in ways that men in equivalent households largely avoid [12].</w:t>
      </w:r>
    </w:p>
    <w:p w14:paraId="23456A12"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Feminist energy scholarship has articulated this relationship through the framework of energy justice, which evaluates energy systems not only by technical and environmental outcomes but by whether they advance or perpetuate equity [13]. Applied to gender, energy justice asks whether women participate in energy decision-making; whether benefits are distributed equitably within households; and whether the unpaid labour of energy provisioning is recognised and accounted for in policy design [14]. These are not supplementary analytical </w:t>
      </w:r>
      <w:proofErr w:type="gramStart"/>
      <w:r w:rsidRPr="00A200F5">
        <w:rPr>
          <w:rFonts w:ascii="Times New Roman" w:hAnsi="Times New Roman" w:cs="Times New Roman"/>
          <w:sz w:val="24"/>
          <w:szCs w:val="24"/>
        </w:rPr>
        <w:t>questions .</w:t>
      </w:r>
      <w:proofErr w:type="gramEnd"/>
      <w:r w:rsidRPr="00A200F5">
        <w:rPr>
          <w:rFonts w:ascii="Times New Roman" w:hAnsi="Times New Roman" w:cs="Times New Roman"/>
          <w:sz w:val="24"/>
          <w:szCs w:val="24"/>
        </w:rPr>
        <w:t xml:space="preserve"> They are preconditions for assessing whether energy transitions are producing genuine development progress or merely extending aggregate access statistics while leaving structural inequalities intact.</w:t>
      </w:r>
    </w:p>
    <w:p w14:paraId="39030C48"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The nexus is further shaped by intersecting axes of disadvantage. Rural women face different constraints than urban women with equivalent income levels. Young girls encounter different exposures than adult women. Women with disabilities, women heading households, and women from marginalised ethnic or socio-economic groups may face compounded barriers to clean energy access that aggregate data cannot capture [15,16]. Any analytical framework adequate to the problem must take these intersections seriously and resist the methodological tendency to treat "women" as an internally homogeneous category.</w:t>
      </w:r>
    </w:p>
    <w:p w14:paraId="44FAF488" w14:textId="77777777" w:rsidR="007D33A9" w:rsidRPr="00A200F5" w:rsidRDefault="007D33A9" w:rsidP="00B72AF6">
      <w:pPr>
        <w:spacing w:before="100" w:after="100" w:line="360" w:lineRule="auto"/>
        <w:jc w:val="both"/>
        <w:rPr>
          <w:rFonts w:ascii="Times New Roman" w:hAnsi="Times New Roman" w:cs="Times New Roman"/>
          <w:sz w:val="24"/>
          <w:szCs w:val="24"/>
        </w:rPr>
      </w:pPr>
    </w:p>
    <w:p w14:paraId="6A83DF18" w14:textId="77777777" w:rsidR="007D33A9" w:rsidRPr="00A200F5" w:rsidRDefault="007D33A9"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noProof/>
          <w:sz w:val="24"/>
          <w:szCs w:val="24"/>
        </w:rPr>
        <w:lastRenderedPageBreak/>
        <w:drawing>
          <wp:inline distT="0" distB="0" distL="0" distR="0" wp14:anchorId="3DF58302" wp14:editId="0EAFB720">
            <wp:extent cx="6372225" cy="3903345"/>
            <wp:effectExtent l="0" t="0" r="952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76226" cy="3905796"/>
                    </a:xfrm>
                    <a:prstGeom prst="rect">
                      <a:avLst/>
                    </a:prstGeom>
                  </pic:spPr>
                </pic:pic>
              </a:graphicData>
            </a:graphic>
          </wp:inline>
        </w:drawing>
      </w:r>
    </w:p>
    <w:p w14:paraId="601285D1" w14:textId="77777777" w:rsidR="007D33A9" w:rsidRPr="00A200F5" w:rsidRDefault="007D33A9" w:rsidP="00B72AF6">
      <w:pPr>
        <w:pStyle w:val="font-claude-response-body"/>
        <w:spacing w:line="360" w:lineRule="auto"/>
      </w:pPr>
      <w:r w:rsidRPr="00A200F5">
        <w:rPr>
          <w:rStyle w:val="Emphasis"/>
        </w:rPr>
        <w:t>Figure 1. How gender and energy poverty reinforce each other. The figure illustrates the bidirectional relationship between gender inequality and energy poverty, the energy justice evaluative framework, and the intersecting axes of disadvantage that shape women's differential exposure. Source: Authors' compilation.</w:t>
      </w:r>
    </w:p>
    <w:p w14:paraId="41A4848F" w14:textId="77777777" w:rsidR="006F1244" w:rsidRPr="00A200F5" w:rsidRDefault="006F1244" w:rsidP="00B72AF6">
      <w:pPr>
        <w:spacing w:before="200" w:line="360" w:lineRule="auto"/>
        <w:rPr>
          <w:rFonts w:ascii="Times New Roman" w:hAnsi="Times New Roman" w:cs="Times New Roman"/>
          <w:sz w:val="24"/>
          <w:szCs w:val="24"/>
        </w:rPr>
      </w:pPr>
    </w:p>
    <w:p w14:paraId="5F7E2F6C" w14:textId="77777777" w:rsidR="006F1244" w:rsidRPr="00A200F5" w:rsidRDefault="00AD4BA2" w:rsidP="00B72AF6">
      <w:pPr>
        <w:pStyle w:val="Heading1"/>
        <w:spacing w:line="360" w:lineRule="auto"/>
        <w:rPr>
          <w:rFonts w:ascii="Times New Roman" w:hAnsi="Times New Roman" w:cs="Times New Roman"/>
          <w:color w:val="auto"/>
          <w:sz w:val="24"/>
          <w:szCs w:val="24"/>
        </w:rPr>
      </w:pPr>
      <w:r w:rsidRPr="00A200F5">
        <w:rPr>
          <w:rFonts w:ascii="Times New Roman" w:hAnsi="Times New Roman" w:cs="Times New Roman"/>
          <w:color w:val="auto"/>
          <w:sz w:val="24"/>
          <w:szCs w:val="24"/>
        </w:rPr>
        <w:t>3. BURDEN OF ENERGY POVERTY IN AFRICA</w:t>
      </w:r>
    </w:p>
    <w:p w14:paraId="06EE3B66"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Africa faces the most severe concentration of energy poverty in the world, and in critical respects the gap between the continent and other developing regions has not narrowed at the pace suggested by aggregate access statistics [17]. Population growth has outpaced electrification gains in many countries, with the result that the absolute number of people without electricity access remains high even as headline proportions have declined slightly. Sub-Saharan Africa accounts for approximately three-quarters of the global population without electricity access, with the highest concentrations in Central and East Africa [18].</w:t>
      </w:r>
    </w:p>
    <w:p w14:paraId="7C696083"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lastRenderedPageBreak/>
        <w:t>Regional disparities within Africa are marked and analytically important. South Africa, Egypt, Tunisia, and Morocco have achieved near-universal or full electricity access. By contrast, South Sudan, Chad, Malawi, the Central African Republic, and Niger all report access rates below 20 percent. Malawi sits at approximately 19 percent, the Central African Republic at 17.6 percent, and both South Sudan and Chad below 10 percent [18,19]. National averages, moreover, mask subnational inequalities of comparable magnitude. In Nigeria, urban electrification rates approach 90 percent while rural rates remain below 40 percent, with substantial further variation across states and local government areas [20].</w:t>
      </w:r>
    </w:p>
    <w:p w14:paraId="71A88516"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Cooking energy poverty is considerably more pervasive than electricity poverty and has proven more resistant to change. Across sub-Saharan Africa, approximately 80 percent of the population relies on solid biomass for cooking, a proportion that has changed little since the turn of the millennium [21]. This persistence reflects two overlapping structural failures. LPG and electricity remain expensive relative to household incomes across much of the region, and rural and peri-urban areas lack the supply chain infrastructure necessary to sustain clean fuel alternatives. Where LPG programmes have succeeded in expanding access, penetration has been concentrated in urban markets, leaving rural women largely unreached.</w:t>
      </w:r>
    </w:p>
    <w:p w14:paraId="690694CD"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The urban–rural divide in energy access carries particular significance for gender equity because the majority of Africa's poor, and the majority of Africa's women, reside in rural areas. Rural energy poverty tends to be more severe, more persistent, and less responsive to market-led interventions than urban energy poverty. Programmes calibrated to urban or peri-urban conditions routinely fail to reach the women facing the deepest deprivation [22].</w:t>
      </w:r>
    </w:p>
    <w:p w14:paraId="3C876765" w14:textId="77777777" w:rsidR="007D33A9" w:rsidRPr="00A200F5" w:rsidRDefault="007D33A9" w:rsidP="00B72AF6">
      <w:pPr>
        <w:spacing w:before="100" w:after="100" w:line="360" w:lineRule="auto"/>
        <w:jc w:val="both"/>
        <w:rPr>
          <w:rFonts w:ascii="Times New Roman" w:hAnsi="Times New Roman" w:cs="Times New Roman"/>
          <w:sz w:val="24"/>
          <w:szCs w:val="24"/>
        </w:rPr>
      </w:pPr>
    </w:p>
    <w:p w14:paraId="31966F40" w14:textId="77777777" w:rsidR="007D33A9" w:rsidRPr="00A200F5" w:rsidRDefault="007D33A9" w:rsidP="00B72AF6">
      <w:pPr>
        <w:spacing w:before="100" w:after="100" w:line="360" w:lineRule="auto"/>
        <w:jc w:val="both"/>
        <w:rPr>
          <w:rFonts w:ascii="Times New Roman" w:hAnsi="Times New Roman" w:cs="Times New Roman"/>
          <w:sz w:val="24"/>
          <w:szCs w:val="24"/>
        </w:rPr>
      </w:pPr>
    </w:p>
    <w:p w14:paraId="7336B0C1" w14:textId="77777777" w:rsidR="007D33A9" w:rsidRPr="00A200F5" w:rsidRDefault="007D33A9" w:rsidP="00B72AF6">
      <w:pPr>
        <w:spacing w:before="100" w:after="100" w:line="360" w:lineRule="auto"/>
        <w:jc w:val="both"/>
        <w:rPr>
          <w:rFonts w:ascii="Times New Roman" w:hAnsi="Times New Roman" w:cs="Times New Roman"/>
          <w:sz w:val="24"/>
          <w:szCs w:val="24"/>
        </w:rPr>
      </w:pPr>
    </w:p>
    <w:p w14:paraId="1427D965" w14:textId="77777777" w:rsidR="007D33A9" w:rsidRPr="00A200F5" w:rsidRDefault="007D33A9" w:rsidP="00B72AF6">
      <w:pPr>
        <w:spacing w:before="100" w:after="100" w:line="360" w:lineRule="auto"/>
        <w:jc w:val="both"/>
        <w:rPr>
          <w:rFonts w:ascii="Times New Roman" w:hAnsi="Times New Roman" w:cs="Times New Roman"/>
          <w:sz w:val="24"/>
          <w:szCs w:val="24"/>
        </w:rPr>
      </w:pPr>
    </w:p>
    <w:p w14:paraId="57CBC624" w14:textId="77777777" w:rsidR="007D33A9" w:rsidRPr="00A200F5" w:rsidRDefault="007D33A9" w:rsidP="00B72AF6">
      <w:pPr>
        <w:spacing w:before="100" w:after="100" w:line="360" w:lineRule="auto"/>
        <w:jc w:val="both"/>
        <w:rPr>
          <w:rFonts w:ascii="Times New Roman" w:hAnsi="Times New Roman" w:cs="Times New Roman"/>
          <w:sz w:val="24"/>
          <w:szCs w:val="24"/>
        </w:rPr>
      </w:pPr>
    </w:p>
    <w:p w14:paraId="3F7D33BC" w14:textId="77777777" w:rsidR="007D33A9" w:rsidRPr="00A200F5" w:rsidRDefault="007D33A9" w:rsidP="00B72AF6">
      <w:pPr>
        <w:spacing w:before="100" w:after="100" w:line="360" w:lineRule="auto"/>
        <w:jc w:val="both"/>
        <w:rPr>
          <w:rFonts w:ascii="Times New Roman" w:hAnsi="Times New Roman" w:cs="Times New Roman"/>
          <w:sz w:val="24"/>
          <w:szCs w:val="24"/>
        </w:rPr>
      </w:pPr>
    </w:p>
    <w:p w14:paraId="41369946" w14:textId="77777777" w:rsidR="007D33A9" w:rsidRPr="00A200F5" w:rsidRDefault="007D33A9" w:rsidP="00B72AF6">
      <w:pPr>
        <w:spacing w:before="100" w:after="100" w:line="360" w:lineRule="auto"/>
        <w:jc w:val="both"/>
        <w:rPr>
          <w:rFonts w:ascii="Times New Roman" w:hAnsi="Times New Roman" w:cs="Times New Roman"/>
          <w:sz w:val="24"/>
          <w:szCs w:val="24"/>
        </w:rPr>
      </w:pPr>
    </w:p>
    <w:p w14:paraId="66A2F46F" w14:textId="77777777" w:rsidR="007D33A9" w:rsidRPr="00A200F5" w:rsidRDefault="007D33A9" w:rsidP="00B72AF6">
      <w:pPr>
        <w:spacing w:before="100" w:after="100" w:line="360" w:lineRule="auto"/>
        <w:jc w:val="both"/>
        <w:rPr>
          <w:rFonts w:ascii="Times New Roman" w:hAnsi="Times New Roman" w:cs="Times New Roman"/>
          <w:sz w:val="24"/>
          <w:szCs w:val="24"/>
        </w:rPr>
      </w:pPr>
    </w:p>
    <w:p w14:paraId="148836A5" w14:textId="77777777" w:rsidR="006F1244" w:rsidRPr="00A200F5" w:rsidRDefault="006F1244" w:rsidP="00B72AF6">
      <w:pPr>
        <w:spacing w:before="120" w:line="360" w:lineRule="auto"/>
        <w:rPr>
          <w:rFonts w:ascii="Times New Roman" w:hAnsi="Times New Roman" w:cs="Times New Roman"/>
          <w:sz w:val="24"/>
          <w:szCs w:val="24"/>
        </w:rPr>
      </w:pPr>
    </w:p>
    <w:p w14:paraId="48A51622" w14:textId="77777777" w:rsidR="006F1244" w:rsidRPr="00A200F5" w:rsidRDefault="00AD4BA2" w:rsidP="00B72AF6">
      <w:pPr>
        <w:spacing w:before="160" w:after="80" w:line="360" w:lineRule="auto"/>
        <w:jc w:val="center"/>
        <w:rPr>
          <w:rFonts w:ascii="Times New Roman" w:hAnsi="Times New Roman" w:cs="Times New Roman"/>
          <w:sz w:val="24"/>
          <w:szCs w:val="24"/>
        </w:rPr>
      </w:pPr>
      <w:r w:rsidRPr="00A200F5">
        <w:rPr>
          <w:rFonts w:ascii="Times New Roman" w:hAnsi="Times New Roman" w:cs="Times New Roman"/>
          <w:b/>
          <w:bCs/>
          <w:i/>
          <w:iCs/>
          <w:sz w:val="24"/>
          <w:szCs w:val="24"/>
        </w:rPr>
        <w:t>Table 1. Comparative Overview of Energy Poverty and Gendered Burdens Across Selected African Countries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9"/>
        <w:gridCol w:w="1307"/>
        <w:gridCol w:w="1159"/>
        <w:gridCol w:w="1300"/>
        <w:gridCol w:w="1363"/>
        <w:gridCol w:w="2132"/>
        <w:gridCol w:w="940"/>
      </w:tblGrid>
      <w:tr w:rsidR="00B72AF6" w:rsidRPr="00A200F5" w14:paraId="6B1F464C" w14:textId="77777777" w:rsidTr="00FF3F27">
        <w:trPr>
          <w:tblHeader/>
        </w:trPr>
        <w:tc>
          <w:tcPr>
            <w:tcW w:w="1182"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004EE70E"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Country</w:t>
            </w:r>
          </w:p>
        </w:tc>
        <w:tc>
          <w:tcPr>
            <w:tcW w:w="1190"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6E02A93F"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Electricity Access (%)</w:t>
            </w:r>
          </w:p>
        </w:tc>
        <w:tc>
          <w:tcPr>
            <w:tcW w:w="1182"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7723D9AF"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Clean Cooking Access (%)</w:t>
            </w:r>
          </w:p>
        </w:tc>
        <w:tc>
          <w:tcPr>
            <w:tcW w:w="1190"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35630A48"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Main Cooking Fuel</w:t>
            </w:r>
          </w:p>
        </w:tc>
        <w:tc>
          <w:tcPr>
            <w:tcW w:w="1516"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338E41C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Female Fuel Burden</w:t>
            </w:r>
          </w:p>
        </w:tc>
        <w:tc>
          <w:tcPr>
            <w:tcW w:w="2335"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737F208C"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Key Gendered Impact</w:t>
            </w:r>
          </w:p>
        </w:tc>
        <w:tc>
          <w:tcPr>
            <w:tcW w:w="765"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6F109B36"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Ref.</w:t>
            </w:r>
          </w:p>
        </w:tc>
      </w:tr>
      <w:tr w:rsidR="00B72AF6" w:rsidRPr="00A200F5" w14:paraId="71347750" w14:textId="77777777" w:rsidTr="00FF3F27">
        <w:tc>
          <w:tcPr>
            <w:tcW w:w="118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29D8D02A"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Nigeria</w:t>
            </w:r>
          </w:p>
        </w:tc>
        <w:tc>
          <w:tcPr>
            <w:tcW w:w="119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7DB6AD27"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~62</w:t>
            </w:r>
          </w:p>
        </w:tc>
        <w:tc>
          <w:tcPr>
            <w:tcW w:w="118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41D9F76"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~26</w:t>
            </w:r>
          </w:p>
        </w:tc>
        <w:tc>
          <w:tcPr>
            <w:tcW w:w="119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5F7B5A17"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Firewood, charcoal</w:t>
            </w:r>
          </w:p>
        </w:tc>
        <w:tc>
          <w:tcPr>
            <w:tcW w:w="151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A3C1799"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2–4 hrs/day</w:t>
            </w:r>
          </w:p>
        </w:tc>
        <w:tc>
          <w:tcPr>
            <w:tcW w:w="233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E6209FF"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High unpaid labour; severe rural–urban disparity</w:t>
            </w:r>
          </w:p>
        </w:tc>
        <w:tc>
          <w:tcPr>
            <w:tcW w:w="76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2264511"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[18,20]</w:t>
            </w:r>
          </w:p>
        </w:tc>
      </w:tr>
      <w:tr w:rsidR="00B72AF6" w:rsidRPr="00A200F5" w14:paraId="18761571" w14:textId="77777777" w:rsidTr="00FF3F27">
        <w:tc>
          <w:tcPr>
            <w:tcW w:w="118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D2259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Ethiopia</w:t>
            </w:r>
          </w:p>
        </w:tc>
        <w:tc>
          <w:tcPr>
            <w:tcW w:w="11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F99ABB"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~55</w:t>
            </w:r>
          </w:p>
        </w:tc>
        <w:tc>
          <w:tcPr>
            <w:tcW w:w="118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B1AF3B"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~10</w:t>
            </w:r>
          </w:p>
        </w:tc>
        <w:tc>
          <w:tcPr>
            <w:tcW w:w="11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9C4638"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Firewood, dung</w:t>
            </w:r>
          </w:p>
        </w:tc>
        <w:tc>
          <w:tcPr>
            <w:tcW w:w="15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3EBFB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3–6 hrs/day</w:t>
            </w:r>
          </w:p>
        </w:tc>
        <w:tc>
          <w:tcPr>
            <w:tcW w:w="233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4E96FE"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Extreme time poverty; highest PM2.5 exposure</w:t>
            </w:r>
          </w:p>
        </w:tc>
        <w:tc>
          <w:tcPr>
            <w:tcW w:w="7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03663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[25]</w:t>
            </w:r>
          </w:p>
        </w:tc>
      </w:tr>
      <w:tr w:rsidR="00B72AF6" w:rsidRPr="00A200F5" w14:paraId="2165F990" w14:textId="77777777" w:rsidTr="00FF3F27">
        <w:tc>
          <w:tcPr>
            <w:tcW w:w="118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5215D61"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Kenya</w:t>
            </w:r>
          </w:p>
        </w:tc>
        <w:tc>
          <w:tcPr>
            <w:tcW w:w="119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C081718"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~76</w:t>
            </w:r>
          </w:p>
        </w:tc>
        <w:tc>
          <w:tcPr>
            <w:tcW w:w="118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D6AF127"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~30</w:t>
            </w:r>
          </w:p>
        </w:tc>
        <w:tc>
          <w:tcPr>
            <w:tcW w:w="119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5AB21B57"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Firewood, charcoal</w:t>
            </w:r>
          </w:p>
        </w:tc>
        <w:tc>
          <w:tcPr>
            <w:tcW w:w="151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7DCFBEF4"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2–5 hrs/day</w:t>
            </w:r>
          </w:p>
        </w:tc>
        <w:tc>
          <w:tcPr>
            <w:tcW w:w="233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25DD9B7E"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Cultural barriers; affordability gaps persist</w:t>
            </w:r>
          </w:p>
        </w:tc>
        <w:tc>
          <w:tcPr>
            <w:tcW w:w="76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41A2E633"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[28]</w:t>
            </w:r>
          </w:p>
        </w:tc>
      </w:tr>
      <w:tr w:rsidR="00B72AF6" w:rsidRPr="00A200F5" w14:paraId="4386F62E" w14:textId="77777777" w:rsidTr="00FF3F27">
        <w:tc>
          <w:tcPr>
            <w:tcW w:w="118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23C448"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Ghana</w:t>
            </w:r>
          </w:p>
        </w:tc>
        <w:tc>
          <w:tcPr>
            <w:tcW w:w="11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2DD61F"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~88</w:t>
            </w:r>
          </w:p>
        </w:tc>
        <w:tc>
          <w:tcPr>
            <w:tcW w:w="118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7C468B"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~37</w:t>
            </w:r>
          </w:p>
        </w:tc>
        <w:tc>
          <w:tcPr>
            <w:tcW w:w="11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AB0FD2"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Charcoal, firewood</w:t>
            </w:r>
          </w:p>
        </w:tc>
        <w:tc>
          <w:tcPr>
            <w:tcW w:w="15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8AD684"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2–4 hrs/day</w:t>
            </w:r>
          </w:p>
        </w:tc>
        <w:tc>
          <w:tcPr>
            <w:tcW w:w="233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5436BC"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Urban–rural clean cooking disparity</w:t>
            </w:r>
          </w:p>
        </w:tc>
        <w:tc>
          <w:tcPr>
            <w:tcW w:w="7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C4874A"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[44]</w:t>
            </w:r>
          </w:p>
        </w:tc>
      </w:tr>
      <w:tr w:rsidR="00B72AF6" w:rsidRPr="00A200F5" w14:paraId="33FC6C67" w14:textId="77777777" w:rsidTr="00FF3F27">
        <w:tc>
          <w:tcPr>
            <w:tcW w:w="118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2B9F11D6"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Malawi</w:t>
            </w:r>
          </w:p>
        </w:tc>
        <w:tc>
          <w:tcPr>
            <w:tcW w:w="119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07C1164"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~19</w:t>
            </w:r>
          </w:p>
        </w:tc>
        <w:tc>
          <w:tcPr>
            <w:tcW w:w="118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2B3EA38"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&lt;5</w:t>
            </w:r>
          </w:p>
        </w:tc>
        <w:tc>
          <w:tcPr>
            <w:tcW w:w="119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4B2D255C"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Firewood</w:t>
            </w:r>
          </w:p>
        </w:tc>
        <w:tc>
          <w:tcPr>
            <w:tcW w:w="151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DFF0B0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4–6 hrs/day</w:t>
            </w:r>
          </w:p>
        </w:tc>
        <w:tc>
          <w:tcPr>
            <w:tcW w:w="233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5C57A6EC"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Extreme deprivation; high educational loss for girls</w:t>
            </w:r>
          </w:p>
        </w:tc>
        <w:tc>
          <w:tcPr>
            <w:tcW w:w="76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29AB843A"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[32]</w:t>
            </w:r>
          </w:p>
        </w:tc>
      </w:tr>
      <w:tr w:rsidR="00B72AF6" w:rsidRPr="00A200F5" w14:paraId="04F60502" w14:textId="77777777" w:rsidTr="00FF3F27">
        <w:tc>
          <w:tcPr>
            <w:tcW w:w="118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D78242"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South Africa</w:t>
            </w:r>
          </w:p>
        </w:tc>
        <w:tc>
          <w:tcPr>
            <w:tcW w:w="11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AD0BD2"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~94</w:t>
            </w:r>
          </w:p>
        </w:tc>
        <w:tc>
          <w:tcPr>
            <w:tcW w:w="118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AB5C37"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~86</w:t>
            </w:r>
          </w:p>
        </w:tc>
        <w:tc>
          <w:tcPr>
            <w:tcW w:w="11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FD9D84"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Electricity, LPG</w:t>
            </w:r>
          </w:p>
        </w:tc>
        <w:tc>
          <w:tcPr>
            <w:tcW w:w="15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90D4C0"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&lt;2 hrs/day</w:t>
            </w:r>
          </w:p>
        </w:tc>
        <w:tc>
          <w:tcPr>
            <w:tcW w:w="233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3EB712"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Persistent inequality in poor peri-urban communities</w:t>
            </w:r>
          </w:p>
        </w:tc>
        <w:tc>
          <w:tcPr>
            <w:tcW w:w="7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0207E7"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[16]</w:t>
            </w:r>
          </w:p>
        </w:tc>
      </w:tr>
      <w:tr w:rsidR="00B72AF6" w:rsidRPr="00A200F5" w14:paraId="35D16147" w14:textId="77777777" w:rsidTr="00FF3F27">
        <w:tc>
          <w:tcPr>
            <w:tcW w:w="118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D2ADA44"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lastRenderedPageBreak/>
              <w:t>Senegal</w:t>
            </w:r>
          </w:p>
        </w:tc>
        <w:tc>
          <w:tcPr>
            <w:tcW w:w="119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200459EB"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~84</w:t>
            </w:r>
          </w:p>
        </w:tc>
        <w:tc>
          <w:tcPr>
            <w:tcW w:w="118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1FA3F8C"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~31</w:t>
            </w:r>
          </w:p>
        </w:tc>
        <w:tc>
          <w:tcPr>
            <w:tcW w:w="119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5864BA05"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Charcoal, LPG</w:t>
            </w:r>
          </w:p>
        </w:tc>
        <w:tc>
          <w:tcPr>
            <w:tcW w:w="151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2B413BB1"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2–4 hrs/day</w:t>
            </w:r>
          </w:p>
        </w:tc>
        <w:tc>
          <w:tcPr>
            <w:tcW w:w="233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09BC208"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Rural exclusion despite LPG scale-up</w:t>
            </w:r>
          </w:p>
        </w:tc>
        <w:tc>
          <w:tcPr>
            <w:tcW w:w="76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726F6061"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[30]</w:t>
            </w:r>
          </w:p>
        </w:tc>
      </w:tr>
      <w:tr w:rsidR="00B72AF6" w:rsidRPr="00A200F5" w14:paraId="0527E473" w14:textId="77777777" w:rsidTr="00FF3F27">
        <w:tc>
          <w:tcPr>
            <w:tcW w:w="118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8D9F5C"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Chad</w:t>
            </w:r>
          </w:p>
        </w:tc>
        <w:tc>
          <w:tcPr>
            <w:tcW w:w="11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27599A"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&lt;12</w:t>
            </w:r>
          </w:p>
        </w:tc>
        <w:tc>
          <w:tcPr>
            <w:tcW w:w="118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A51FDF"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&lt;5</w:t>
            </w:r>
          </w:p>
        </w:tc>
        <w:tc>
          <w:tcPr>
            <w:tcW w:w="11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C466F4"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Firewood</w:t>
            </w:r>
          </w:p>
        </w:tc>
        <w:tc>
          <w:tcPr>
            <w:tcW w:w="15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AEA0A3"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4–7 hrs/day</w:t>
            </w:r>
          </w:p>
        </w:tc>
        <w:tc>
          <w:tcPr>
            <w:tcW w:w="233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55931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Severe burden; near-absent infrastructure</w:t>
            </w:r>
          </w:p>
        </w:tc>
        <w:tc>
          <w:tcPr>
            <w:tcW w:w="7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F989CA"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[18]</w:t>
            </w:r>
          </w:p>
        </w:tc>
      </w:tr>
      <w:tr w:rsidR="00B72AF6" w:rsidRPr="00A200F5" w14:paraId="51781FF6" w14:textId="77777777" w:rsidTr="00FF3F27">
        <w:tc>
          <w:tcPr>
            <w:tcW w:w="118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673CFF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Niger</w:t>
            </w:r>
          </w:p>
        </w:tc>
        <w:tc>
          <w:tcPr>
            <w:tcW w:w="119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3FF104E"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~19</w:t>
            </w:r>
          </w:p>
        </w:tc>
        <w:tc>
          <w:tcPr>
            <w:tcW w:w="118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B212952"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&lt;5</w:t>
            </w:r>
          </w:p>
        </w:tc>
        <w:tc>
          <w:tcPr>
            <w:tcW w:w="119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723B1656"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Firewood</w:t>
            </w:r>
          </w:p>
        </w:tc>
        <w:tc>
          <w:tcPr>
            <w:tcW w:w="151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5FD4E2A4"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4–6 hrs/day</w:t>
            </w:r>
          </w:p>
        </w:tc>
        <w:tc>
          <w:tcPr>
            <w:tcW w:w="233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507A218"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Desertification compounds fuel scarcity</w:t>
            </w:r>
          </w:p>
        </w:tc>
        <w:tc>
          <w:tcPr>
            <w:tcW w:w="76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0E23782"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[18]</w:t>
            </w:r>
          </w:p>
        </w:tc>
      </w:tr>
      <w:tr w:rsidR="00B72AF6" w:rsidRPr="00A200F5" w14:paraId="7D807D1C" w14:textId="77777777" w:rsidTr="00FF3F27">
        <w:tc>
          <w:tcPr>
            <w:tcW w:w="118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6F00E1"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Uganda</w:t>
            </w:r>
          </w:p>
        </w:tc>
        <w:tc>
          <w:tcPr>
            <w:tcW w:w="11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81696B"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~47</w:t>
            </w:r>
          </w:p>
        </w:tc>
        <w:tc>
          <w:tcPr>
            <w:tcW w:w="118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B5F1C1"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~7</w:t>
            </w:r>
          </w:p>
        </w:tc>
        <w:tc>
          <w:tcPr>
            <w:tcW w:w="11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0868AF"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Firewood, charcoal</w:t>
            </w:r>
          </w:p>
        </w:tc>
        <w:tc>
          <w:tcPr>
            <w:tcW w:w="15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A4C6E2"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3–5 hrs/day</w:t>
            </w:r>
          </w:p>
        </w:tc>
        <w:tc>
          <w:tcPr>
            <w:tcW w:w="233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6EA69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Low clean fuel adoption; strong stove stacking</w:t>
            </w:r>
          </w:p>
        </w:tc>
        <w:tc>
          <w:tcPr>
            <w:tcW w:w="7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FABF10"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[23]</w:t>
            </w:r>
          </w:p>
        </w:tc>
      </w:tr>
    </w:tbl>
    <w:p w14:paraId="454C9322" w14:textId="77777777" w:rsidR="006F1244" w:rsidRPr="00A200F5" w:rsidRDefault="006F1244" w:rsidP="00B72AF6">
      <w:pPr>
        <w:spacing w:before="200" w:line="360" w:lineRule="auto"/>
        <w:rPr>
          <w:rFonts w:ascii="Times New Roman" w:hAnsi="Times New Roman" w:cs="Times New Roman"/>
          <w:sz w:val="24"/>
          <w:szCs w:val="24"/>
        </w:rPr>
      </w:pPr>
    </w:p>
    <w:p w14:paraId="25B551D9" w14:textId="77777777" w:rsidR="006F1244" w:rsidRPr="00A200F5" w:rsidRDefault="00AD4BA2" w:rsidP="00B72AF6">
      <w:pPr>
        <w:pStyle w:val="Heading1"/>
        <w:spacing w:line="360" w:lineRule="auto"/>
        <w:rPr>
          <w:rFonts w:ascii="Times New Roman" w:hAnsi="Times New Roman" w:cs="Times New Roman"/>
          <w:color w:val="auto"/>
          <w:sz w:val="24"/>
          <w:szCs w:val="24"/>
        </w:rPr>
      </w:pPr>
      <w:r w:rsidRPr="00A200F5">
        <w:rPr>
          <w:rFonts w:ascii="Times New Roman" w:hAnsi="Times New Roman" w:cs="Times New Roman"/>
          <w:color w:val="auto"/>
          <w:sz w:val="24"/>
          <w:szCs w:val="24"/>
        </w:rPr>
        <w:t>4. GENDERED DIMENSIONS OF ENERGY POVERTY</w:t>
      </w:r>
    </w:p>
    <w:p w14:paraId="3811CB26"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4.1 Structural Allocation of Household Energy Labour</w:t>
      </w:r>
    </w:p>
    <w:p w14:paraId="1DAB3810"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In the vast majority of African societies, cooking is not merely a domestic activity; it is a structurally allocated form of unpaid labour that intersects with cultural norms, economic inequality, and institutional arrangements to ensure that women bear the primary burden of energy-related domestic work. Survey data from across sub-Saharan Africa consistently show that women are the primary cooks in more than 90 percent of households, across country, ethnicity, and urban–rural divides [23,24]. This is not a voluntary or culturally isolated preference. It is the predictable outcome of gender norms reinforced by the absence of institutional </w:t>
      </w:r>
      <w:proofErr w:type="gramStart"/>
      <w:r w:rsidRPr="00A200F5">
        <w:rPr>
          <w:rFonts w:ascii="Times New Roman" w:hAnsi="Times New Roman" w:cs="Times New Roman"/>
          <w:sz w:val="24"/>
          <w:szCs w:val="24"/>
        </w:rPr>
        <w:t>mechanisms  that</w:t>
      </w:r>
      <w:proofErr w:type="gramEnd"/>
      <w:r w:rsidRPr="00A200F5">
        <w:rPr>
          <w:rFonts w:ascii="Times New Roman" w:hAnsi="Times New Roman" w:cs="Times New Roman"/>
          <w:sz w:val="24"/>
          <w:szCs w:val="24"/>
        </w:rPr>
        <w:t xml:space="preserve"> might redistribute domestic energy labour.</w:t>
      </w:r>
    </w:p>
    <w:p w14:paraId="4C928DB0"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lastRenderedPageBreak/>
        <w:t>The health implications are severe and well-documented. Women who cook on open fires or traditional stoves spend several hours daily in environments where fine particulate matter (PM2.5) concentrations have been measured, in Ethiopian and Zimbabwean contexts, at levels exceeding WHO guidelines by factors of ten to sixty [25,26]. This exposure is chronic, predictable, and concentrated in domestic spaces over which women frequently have limited power to implement change. Requesting a cleaner stove or fuel type requires either financial resources women do not typically control or the agreement of male household heads who may not perceive the health risks as their concern [27].</w:t>
      </w:r>
    </w:p>
    <w:p w14:paraId="2D52648B"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Fuel collection imposes a further and largely invisible layer of burden. In rural areas where firewood is the dominant cooking fuel, collection is predominantly women's and girls' work. Studies in Kenya, Ethiopia, and Uganda document collection times ranging from two to six hours per day, varying with forest cover, land degradation, and how far deforestation has pushed fuel sources from settlements [28]. This time is structurally unavailable for education, paid employment, or rest. Because it is unpaid, it does not appear in national accounts, productivity statistics, or energy access </w:t>
      </w:r>
      <w:proofErr w:type="gramStart"/>
      <w:r w:rsidRPr="00A200F5">
        <w:rPr>
          <w:rFonts w:ascii="Times New Roman" w:hAnsi="Times New Roman" w:cs="Times New Roman"/>
          <w:sz w:val="24"/>
          <w:szCs w:val="24"/>
        </w:rPr>
        <w:t>assessments  -</w:t>
      </w:r>
      <w:proofErr w:type="gramEnd"/>
      <w:r w:rsidRPr="00A200F5">
        <w:rPr>
          <w:rFonts w:ascii="Times New Roman" w:hAnsi="Times New Roman" w:cs="Times New Roman"/>
          <w:sz w:val="24"/>
          <w:szCs w:val="24"/>
        </w:rPr>
        <w:t xml:space="preserve">  rendering its economic and health costs invisible to policymakers [29].</w:t>
      </w:r>
    </w:p>
    <w:p w14:paraId="4CE7E689"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4.2 Time Poverty and Opportunity Cost</w:t>
      </w:r>
    </w:p>
    <w:p w14:paraId="7783FEE4"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Time poverty, defined as the condition of having insufficient discretionary time after the completion of necessary subsistence tasks, is among the most underappreciated dimensions of energy poverty's gender burden. When women spend disproportionate hours on energy-related domestic tasks, those hours are not merely </w:t>
      </w:r>
      <w:proofErr w:type="gramStart"/>
      <w:r w:rsidRPr="00A200F5">
        <w:rPr>
          <w:rFonts w:ascii="Times New Roman" w:hAnsi="Times New Roman" w:cs="Times New Roman"/>
          <w:sz w:val="24"/>
          <w:szCs w:val="24"/>
        </w:rPr>
        <w:t>redistributed  -</w:t>
      </w:r>
      <w:proofErr w:type="gramEnd"/>
      <w:r w:rsidRPr="00A200F5">
        <w:rPr>
          <w:rFonts w:ascii="Times New Roman" w:hAnsi="Times New Roman" w:cs="Times New Roman"/>
          <w:sz w:val="24"/>
          <w:szCs w:val="24"/>
        </w:rPr>
        <w:t xml:space="preserve">  they are foreclosed. The opportunity costs are real, measurable, and consequential, even if they do not appear in any development metric [30].</w:t>
      </w:r>
    </w:p>
    <w:p w14:paraId="1DD66AF7"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Studies in Ethiopia, Uganda, and Tanzania have identified significant inverse relationships between fuel collection burden and women's participation in paid work [31]. The mechanism is direct: a woman spending four to six hours collecting firewood cannot deploy those hours in market activities, agricultural production, or entrepreneurship. A systematic analysis of time use data from rural Senegal confirms that domestic energy burdens are strongly gendered and that women have substantially less discretionary time than men across comparable socio-economic strata [30].</w:t>
      </w:r>
    </w:p>
    <w:p w14:paraId="45D23C34"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lastRenderedPageBreak/>
        <w:t>The transmission of energy-related time poverty to the next generation operates primarily through girls' education. In households relying on solid biomass, girls are measurably more likely than boys to be withdrawn from school to assist with fuel collection and cooking, particularly during periods of adult illness or harvest [32]. This is a mechanism through which energy poverty reproduces itself across generations: girls who lose schooling to biomass labour are less likely as adults to attain the income levels that would enable a transition to clean fuels.</w:t>
      </w:r>
    </w:p>
    <w:p w14:paraId="2D5C72C1"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4.3 Economic Exclusion and Productive Opportunity</w:t>
      </w:r>
    </w:p>
    <w:p w14:paraId="4EAB241D"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Beyond time allocation, evidence consistently associates electricity access with improved household income, higher rates of female self-employment, and greater participation in formal market </w:t>
      </w:r>
      <w:proofErr w:type="gramStart"/>
      <w:r w:rsidRPr="00A200F5">
        <w:rPr>
          <w:rFonts w:ascii="Times New Roman" w:hAnsi="Times New Roman" w:cs="Times New Roman"/>
          <w:sz w:val="24"/>
          <w:szCs w:val="24"/>
        </w:rPr>
        <w:t>activities  -</w:t>
      </w:r>
      <w:proofErr w:type="gramEnd"/>
      <w:r w:rsidRPr="00A200F5">
        <w:rPr>
          <w:rFonts w:ascii="Times New Roman" w:hAnsi="Times New Roman" w:cs="Times New Roman"/>
          <w:sz w:val="24"/>
          <w:szCs w:val="24"/>
        </w:rPr>
        <w:t xml:space="preserve">  and effects are generally stronger for women than for men [22]. Access to reliable electricity enables evening study and enterprise operation beyond daylight hours, food preservation and small-scale processing, and engagement with digital financial services and market information [33].</w:t>
      </w:r>
    </w:p>
    <w:p w14:paraId="169549C0"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Women in energy-poor households are systematically excluded from these productivity pathways. They are also more likely to rely on informal credit at high interest rates to finance daily fuel purchases. The economics of energy poverty effectively impose a regressive tax on the poorest households: solid biomass is purchased daily in cash, while grid electricity is billed monthly and LPG requires a larger upfront investment. This payment structure taxes constrained household budgets at a higher effective rate for inferior energy services, and the burden falls most heavily on women managing household expenditure [7].</w:t>
      </w:r>
    </w:p>
    <w:p w14:paraId="783AFCB9" w14:textId="77777777" w:rsidR="006F1244" w:rsidRPr="00A200F5" w:rsidRDefault="006F1244" w:rsidP="00B72AF6">
      <w:pPr>
        <w:spacing w:before="200" w:line="360" w:lineRule="auto"/>
        <w:rPr>
          <w:rFonts w:ascii="Times New Roman" w:hAnsi="Times New Roman" w:cs="Times New Roman"/>
          <w:sz w:val="24"/>
          <w:szCs w:val="24"/>
        </w:rPr>
      </w:pPr>
    </w:p>
    <w:p w14:paraId="09FE4B55" w14:textId="77777777" w:rsidR="006F1244" w:rsidRPr="00A200F5" w:rsidRDefault="00AD4BA2" w:rsidP="00B72AF6">
      <w:pPr>
        <w:pStyle w:val="Heading1"/>
        <w:spacing w:line="360" w:lineRule="auto"/>
        <w:rPr>
          <w:rFonts w:ascii="Times New Roman" w:hAnsi="Times New Roman" w:cs="Times New Roman"/>
          <w:color w:val="auto"/>
          <w:sz w:val="24"/>
          <w:szCs w:val="24"/>
        </w:rPr>
      </w:pPr>
      <w:r w:rsidRPr="00A200F5">
        <w:rPr>
          <w:rFonts w:ascii="Times New Roman" w:hAnsi="Times New Roman" w:cs="Times New Roman"/>
          <w:color w:val="auto"/>
          <w:sz w:val="24"/>
          <w:szCs w:val="24"/>
        </w:rPr>
        <w:t>5. HEALTH IMPLICATIONS</w:t>
      </w:r>
    </w:p>
    <w:p w14:paraId="7B9CB4BF"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The health consequences of energy poverty for women in Africa operate through multiple converging pathways: respiratory, cardiovascular, maternal, neonatal, and psychological. The evidence base, while still uneven in geographic coverage, is substantial enough to characterise the overall burden as severe, systematic, and structurally gendered.</w:t>
      </w:r>
    </w:p>
    <w:p w14:paraId="45CEFE6B"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5.1 Indoor Air Pollution: The Dominant Exposure Pathway</w:t>
      </w:r>
    </w:p>
    <w:p w14:paraId="3103329A"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lastRenderedPageBreak/>
        <w:t>Household air pollution from solid fuel combustion is the primary health risk associated with energy poverty. Burning firewood, charcoal, agricultural residues, or animal dung on open fires or traditional stoves generates a complex mixture of pollutants (fine particulate matter (PM2.5), carbon monoxide, nitrogen dioxide, polycyclic aromatic hydrocarbons, and volatile organic compounds), each carrying independent health risks at the concentrations generated by domestic combustion [34]. Studies in Ethiopia and Zimbabwe have recorded 24-hour average PM2.5 concentrations in traditional-stove kitchens of 290 micrograms per cubic metre and above. This is against a WHO annual guideline of 5 micrograms per cubic metre and a 24-hour guideline of 15 micrograms per cubic metre [25,26].</w:t>
      </w:r>
    </w:p>
    <w:p w14:paraId="62B90EB7"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Women's exposure is more intense and more prolonged than that of other household members because of the structural allocation of cooking responsibility. In closed or semi-open kitchen structures, the dominant configuration in rural and peri-urban Africa, there is limited dilution of combustion gases, and multiple cooking episodes per day sustain elevated concentrations across waking hours [35]. Infants and young children kept near cooking areas during feeding and food preparation share an attenuated version of this exposure, which partly accounts for significantly elevated rates of acute lower respiratory infection in under-five children from solid fuel-using households [36].</w:t>
      </w:r>
    </w:p>
    <w:p w14:paraId="70767B56"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5.2 Respiratory and Cardiovascular Disease Burden</w:t>
      </w:r>
    </w:p>
    <w:p w14:paraId="0C6691EC"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The respiratory consequences of chronic biomass smoke exposure are among the most robustly documented in the global burden of disease literature. Women in solid fuel-using households face significantly elevated risks of chronic obstructive pulmonary disease (COPD), lung cancer, and acute lower respiratory infections relative to women in clean-fuel households [37]. Pooled analyses find that exposure to indoor air pollution from solid biomass fuels increases COPD risk by approximately 2.65-fold and chronic bronchitis risk by approximately 2.89-fold, with the highest relative risks observed in the African region [38]. These estimates derive primarily from Asian and Latin American cohorts; data from African settings remain insufficient to produce region-specific risk estimates, constituting a material evidence gap.</w:t>
      </w:r>
    </w:p>
    <w:p w14:paraId="55F8D1FD"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Cardiovascular consequences are receiving growing research attention and represent an underappreciated dimension of the disease burden. PM2.5 exposure is a recognised causal factor for ischaemic heart disease, stroke, and cardiac arrhythmia, acting through systemic inflammation, </w:t>
      </w:r>
      <w:r w:rsidRPr="00A200F5">
        <w:rPr>
          <w:rFonts w:ascii="Times New Roman" w:hAnsi="Times New Roman" w:cs="Times New Roman"/>
          <w:sz w:val="24"/>
          <w:szCs w:val="24"/>
        </w:rPr>
        <w:lastRenderedPageBreak/>
        <w:t>oxidative stress, and endothelial dysfunction [39]. In African women, who already carry a substantial and rising burden of hypertension and metabolic disease, the additive cardiovascular risk attributable to chronic biomass smoke exposure warrants systematic investigation. Prospective cardiovascular data from African cohorts remain limited compared with the South Asian evidence base, representing a priority gap for future research.</w:t>
      </w:r>
    </w:p>
    <w:p w14:paraId="459CCD26"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5.3 Maternal and Neonatal Health</w:t>
      </w:r>
    </w:p>
    <w:p w14:paraId="2B76F669"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Pregnancy constitutes a period of heightened vulnerability to household air pollution. Physiological changes increase respiratory exposure, alter immune response to inhaled particles, and increase the risk of toxic substance transfer to the developing foetus through placental pathways [40]. Studies in Ghana and Nigeria have associated household solid fuel use with increased risks of low birthweight, preterm birth, perinatal mortality, and adverse neonatal outcomes [41,42]. The HAPIN randomised controlled </w:t>
      </w:r>
      <w:proofErr w:type="gramStart"/>
      <w:r w:rsidRPr="00A200F5">
        <w:rPr>
          <w:rFonts w:ascii="Times New Roman" w:hAnsi="Times New Roman" w:cs="Times New Roman"/>
          <w:sz w:val="24"/>
          <w:szCs w:val="24"/>
        </w:rPr>
        <w:t>trial  found</w:t>
      </w:r>
      <w:proofErr w:type="gramEnd"/>
      <w:r w:rsidRPr="00A200F5">
        <w:rPr>
          <w:rFonts w:ascii="Times New Roman" w:hAnsi="Times New Roman" w:cs="Times New Roman"/>
          <w:sz w:val="24"/>
          <w:szCs w:val="24"/>
        </w:rPr>
        <w:t xml:space="preserve"> that a transition from biomass to LPG cooking improved birth outcomes, providing causal evidence consistent with the observational data [47].</w:t>
      </w:r>
    </w:p>
    <w:p w14:paraId="0DD7D830"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Maternal mortality pathways are partly direct and partly structural. Women who deliver without skilled attendance in facilities without reliable electricity face elevated risks from obstructed labour, postpartum haemorrhage, and neonatal complications that could be managed with adequate lighting and powered medical equipment [33]. The absence of electricity in peripheral health facilities is a documented contributor to preventable maternal and neonatal deaths in sub-Saharan Africa [20].</w:t>
      </w:r>
    </w:p>
    <w:p w14:paraId="2C8D6C33"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5.4 Mental Health and Psychological Burden</w:t>
      </w:r>
    </w:p>
    <w:p w14:paraId="487CB44C"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The psychological consequences of energy poverty represent among the least-studied dimensions of the problem, but a growing body of evidence suggests that energy insecurity is independently associated with elevated rates of depression, anxiety, and psychological distress among women [43]. Proposed mechanisms include the chronic stress of managing household resources under conditions of sustained scarcity, the social stigma associated with energy poverty, the loss of agency arising from structural and financial exclusion, and the exhaustion of time poverty.</w:t>
      </w:r>
    </w:p>
    <w:p w14:paraId="731DA44B"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Qualitative research from Kenya, South Africa, and Senegal documents women characterising energy poverty in terms of shame, chronic fatigue, and a sense of being structurally prevented from </w:t>
      </w:r>
      <w:r w:rsidRPr="00A200F5">
        <w:rPr>
          <w:rFonts w:ascii="Times New Roman" w:hAnsi="Times New Roman" w:cs="Times New Roman"/>
          <w:sz w:val="24"/>
          <w:szCs w:val="24"/>
        </w:rPr>
        <w:lastRenderedPageBreak/>
        <w:t>improving their households' situation regardless of individual effort [28]. These accounts reflect dimensions of suffering that quantitative health studies do not capture. They also carry direct implications for programme design: interventions that address only the technical or financial dimensions of energy transitions, while ignoring the psychological context within which women make energy decisions, are likely to achieve lower uptake, higher discontinuation, and less sustained use than programmes informed by an understanding of these dynamics [43].</w:t>
      </w:r>
    </w:p>
    <w:p w14:paraId="5334C589" w14:textId="77777777" w:rsidR="006F1244" w:rsidRPr="00A200F5" w:rsidRDefault="006F1244" w:rsidP="00B72AF6">
      <w:pPr>
        <w:spacing w:before="120" w:line="360" w:lineRule="auto"/>
        <w:rPr>
          <w:rFonts w:ascii="Times New Roman" w:hAnsi="Times New Roman" w:cs="Times New Roman"/>
          <w:sz w:val="24"/>
          <w:szCs w:val="24"/>
        </w:rPr>
      </w:pPr>
    </w:p>
    <w:p w14:paraId="2A8AEF03" w14:textId="77777777" w:rsidR="006F1244" w:rsidRPr="00A200F5" w:rsidRDefault="00AD4BA2" w:rsidP="00B72AF6">
      <w:pPr>
        <w:spacing w:before="160" w:after="80" w:line="360" w:lineRule="auto"/>
        <w:jc w:val="center"/>
        <w:rPr>
          <w:rFonts w:ascii="Times New Roman" w:hAnsi="Times New Roman" w:cs="Times New Roman"/>
          <w:sz w:val="24"/>
          <w:szCs w:val="24"/>
        </w:rPr>
      </w:pPr>
      <w:r w:rsidRPr="00A200F5">
        <w:rPr>
          <w:rFonts w:ascii="Times New Roman" w:hAnsi="Times New Roman" w:cs="Times New Roman"/>
          <w:b/>
          <w:bCs/>
          <w:i/>
          <w:iCs/>
          <w:sz w:val="24"/>
          <w:szCs w:val="24"/>
        </w:rPr>
        <w:t>Table 2. Multidimensional Health, Economic, and Social Consequences of Energy Poverty for Women and Girls in Africa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3"/>
        <w:gridCol w:w="1985"/>
        <w:gridCol w:w="2316"/>
        <w:gridCol w:w="2167"/>
        <w:gridCol w:w="1199"/>
      </w:tblGrid>
      <w:tr w:rsidR="00B72AF6" w:rsidRPr="00A200F5" w14:paraId="7FAB7210" w14:textId="77777777" w:rsidTr="00FF3F27">
        <w:trPr>
          <w:tblHeader/>
        </w:trPr>
        <w:tc>
          <w:tcPr>
            <w:tcW w:w="1693"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2F00228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Domain</w:t>
            </w:r>
          </w:p>
        </w:tc>
        <w:tc>
          <w:tcPr>
            <w:tcW w:w="1985"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333A5A9C"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Specific Outcomes</w:t>
            </w:r>
          </w:p>
        </w:tc>
        <w:tc>
          <w:tcPr>
            <w:tcW w:w="2316"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60B2CEEA"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Primary Mechanism</w:t>
            </w:r>
          </w:p>
        </w:tc>
        <w:tc>
          <w:tcPr>
            <w:tcW w:w="2167"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46B8C258"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Gendered Impact</w:t>
            </w:r>
          </w:p>
        </w:tc>
        <w:tc>
          <w:tcPr>
            <w:tcW w:w="1199" w:type="dxa"/>
            <w:tcBorders>
              <w:top w:val="single" w:sz="4" w:space="0" w:color="1A5276"/>
              <w:left w:val="single" w:sz="4" w:space="0" w:color="1A5276"/>
              <w:bottom w:val="single" w:sz="4" w:space="0" w:color="1A5276"/>
              <w:right w:val="single" w:sz="4" w:space="0" w:color="1A5276"/>
            </w:tcBorders>
            <w:shd w:val="clear" w:color="auto" w:fill="1A5276"/>
            <w:tcMar>
              <w:top w:w="80" w:type="dxa"/>
              <w:left w:w="120" w:type="dxa"/>
              <w:bottom w:w="80" w:type="dxa"/>
              <w:right w:w="120" w:type="dxa"/>
            </w:tcMar>
          </w:tcPr>
          <w:p w14:paraId="390493EB"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b/>
                <w:bCs/>
                <w:sz w:val="24"/>
                <w:szCs w:val="24"/>
              </w:rPr>
              <w:t>Evidence Level</w:t>
            </w:r>
          </w:p>
        </w:tc>
      </w:tr>
      <w:tr w:rsidR="00B72AF6" w:rsidRPr="00A200F5" w14:paraId="07F26923" w14:textId="77777777" w:rsidTr="00FF3F27">
        <w:tc>
          <w:tcPr>
            <w:tcW w:w="1693"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F43CBE4"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Respiratory</w:t>
            </w:r>
          </w:p>
        </w:tc>
        <w:tc>
          <w:tcPr>
            <w:tcW w:w="198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6F1E23E"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COPD, chronic bronchitis, acute lower respiratory infection</w:t>
            </w:r>
          </w:p>
        </w:tc>
        <w:tc>
          <w:tcPr>
            <w:tcW w:w="231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5881141A"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Chronic inhalation of PM2.5, CO, and polyaromatic hydrocarbons from biomass combustion</w:t>
            </w:r>
          </w:p>
        </w:tc>
        <w:tc>
          <w:tcPr>
            <w:tcW w:w="2167"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AED1065"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Women face highest exposure intensity and duration due to cooking role</w:t>
            </w:r>
          </w:p>
        </w:tc>
        <w:tc>
          <w:tcPr>
            <w:tcW w:w="119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239AE290"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High [37,38]</w:t>
            </w:r>
          </w:p>
        </w:tc>
      </w:tr>
      <w:tr w:rsidR="00B72AF6" w:rsidRPr="00A200F5" w14:paraId="49229450" w14:textId="77777777" w:rsidTr="00FF3F27">
        <w:tc>
          <w:tcPr>
            <w:tcW w:w="169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B80761"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Cardiovascular</w:t>
            </w:r>
          </w:p>
        </w:tc>
        <w:tc>
          <w:tcPr>
            <w:tcW w:w="19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FFFFC3"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Hypertension, stroke, ischaemic heart disease</w:t>
            </w:r>
          </w:p>
        </w:tc>
        <w:tc>
          <w:tcPr>
            <w:tcW w:w="23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03A87E"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Systemic inflammation and oxidative stress from prolonged PM2.5 exposure</w:t>
            </w:r>
          </w:p>
        </w:tc>
        <w:tc>
          <w:tcPr>
            <w:tcW w:w="216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63BCA5"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Additive risk in women already carrying high hypertension burden</w:t>
            </w:r>
          </w:p>
        </w:tc>
        <w:tc>
          <w:tcPr>
            <w:tcW w:w="11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48DBB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Moderate [39]</w:t>
            </w:r>
          </w:p>
        </w:tc>
      </w:tr>
      <w:tr w:rsidR="00B72AF6" w:rsidRPr="00A200F5" w14:paraId="0064033B" w14:textId="77777777" w:rsidTr="00FF3F27">
        <w:tc>
          <w:tcPr>
            <w:tcW w:w="1693"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4EA092CF"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Maternal Health</w:t>
            </w:r>
          </w:p>
        </w:tc>
        <w:tc>
          <w:tcPr>
            <w:tcW w:w="198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12CEF90"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Low birthweight, preterm birth, perinatal mortality</w:t>
            </w:r>
          </w:p>
        </w:tc>
        <w:tc>
          <w:tcPr>
            <w:tcW w:w="231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33EF0B0E"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Household air pollution during pregnancy; energy-poor facility delivery</w:t>
            </w:r>
          </w:p>
        </w:tc>
        <w:tc>
          <w:tcPr>
            <w:tcW w:w="2167"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7487E436"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Disproportionate risk during pregnancy and childbirth</w:t>
            </w:r>
          </w:p>
        </w:tc>
        <w:tc>
          <w:tcPr>
            <w:tcW w:w="119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C4AE5F1"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High [40–42]</w:t>
            </w:r>
          </w:p>
        </w:tc>
      </w:tr>
      <w:tr w:rsidR="00B72AF6" w:rsidRPr="00A200F5" w14:paraId="2295B840" w14:textId="77777777" w:rsidTr="00FF3F27">
        <w:tc>
          <w:tcPr>
            <w:tcW w:w="169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DC9626"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Child Health</w:t>
            </w:r>
          </w:p>
        </w:tc>
        <w:tc>
          <w:tcPr>
            <w:tcW w:w="19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78EDA0"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 xml:space="preserve">Acute respiratory infection, </w:t>
            </w:r>
            <w:r w:rsidRPr="00A200F5">
              <w:rPr>
                <w:rFonts w:ascii="Times New Roman" w:hAnsi="Times New Roman" w:cs="Times New Roman"/>
                <w:sz w:val="24"/>
                <w:szCs w:val="24"/>
              </w:rPr>
              <w:lastRenderedPageBreak/>
              <w:t>neonatal complications</w:t>
            </w:r>
          </w:p>
        </w:tc>
        <w:tc>
          <w:tcPr>
            <w:tcW w:w="23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40CF5A"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lastRenderedPageBreak/>
              <w:t xml:space="preserve">Early-life smoke exposure; maternal </w:t>
            </w:r>
            <w:r w:rsidRPr="00A200F5">
              <w:rPr>
                <w:rFonts w:ascii="Times New Roman" w:hAnsi="Times New Roman" w:cs="Times New Roman"/>
                <w:sz w:val="24"/>
                <w:szCs w:val="24"/>
              </w:rPr>
              <w:lastRenderedPageBreak/>
              <w:t>exposure during pregnancy</w:t>
            </w:r>
          </w:p>
        </w:tc>
        <w:tc>
          <w:tcPr>
            <w:tcW w:w="216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5F6C86"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lastRenderedPageBreak/>
              <w:t xml:space="preserve">Girls additionally burdened by </w:t>
            </w:r>
            <w:r w:rsidRPr="00A200F5">
              <w:rPr>
                <w:rFonts w:ascii="Times New Roman" w:hAnsi="Times New Roman" w:cs="Times New Roman"/>
                <w:sz w:val="24"/>
                <w:szCs w:val="24"/>
              </w:rPr>
              <w:lastRenderedPageBreak/>
              <w:t>domestic energy labour</w:t>
            </w:r>
          </w:p>
        </w:tc>
        <w:tc>
          <w:tcPr>
            <w:tcW w:w="11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D2F88A"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lastRenderedPageBreak/>
              <w:t>High [36]</w:t>
            </w:r>
          </w:p>
        </w:tc>
      </w:tr>
      <w:tr w:rsidR="00B72AF6" w:rsidRPr="00A200F5" w14:paraId="35706C83" w14:textId="77777777" w:rsidTr="00FF3F27">
        <w:tc>
          <w:tcPr>
            <w:tcW w:w="1693"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4CA3B4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Mental Health</w:t>
            </w:r>
          </w:p>
        </w:tc>
        <w:tc>
          <w:tcPr>
            <w:tcW w:w="198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3D51E0D3"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Depression, anxiety, chronic psychosocial distress</w:t>
            </w:r>
          </w:p>
        </w:tc>
        <w:tc>
          <w:tcPr>
            <w:tcW w:w="231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92ACF0E"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Energy insecurity, chronic scarcity stress, loss of agency</w:t>
            </w:r>
          </w:p>
        </w:tc>
        <w:tc>
          <w:tcPr>
            <w:tcW w:w="2167"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4A55FBB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Women report exhaustion, shame, and structural helplessness</w:t>
            </w:r>
          </w:p>
        </w:tc>
        <w:tc>
          <w:tcPr>
            <w:tcW w:w="119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5FA76F94"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Emerging [43]</w:t>
            </w:r>
          </w:p>
        </w:tc>
      </w:tr>
      <w:tr w:rsidR="00B72AF6" w:rsidRPr="00A200F5" w14:paraId="2C50364D" w14:textId="77777777" w:rsidTr="00FF3F27">
        <w:tc>
          <w:tcPr>
            <w:tcW w:w="169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FFBF13"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Time Poverty</w:t>
            </w:r>
          </w:p>
        </w:tc>
        <w:tc>
          <w:tcPr>
            <w:tcW w:w="19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51FB71"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Reduced discretionary time; forgone rest and productivity</w:t>
            </w:r>
          </w:p>
        </w:tc>
        <w:tc>
          <w:tcPr>
            <w:tcW w:w="23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27F917"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Fuel collection and inefficient cooking consume 2–7 hrs/day</w:t>
            </w:r>
          </w:p>
        </w:tc>
        <w:tc>
          <w:tcPr>
            <w:tcW w:w="216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8BB56E"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Severely constrains economic participation and wellbeing</w:t>
            </w:r>
          </w:p>
        </w:tc>
        <w:tc>
          <w:tcPr>
            <w:tcW w:w="11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BC2123"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High [29,30]</w:t>
            </w:r>
          </w:p>
        </w:tc>
      </w:tr>
      <w:tr w:rsidR="00B72AF6" w:rsidRPr="00A200F5" w14:paraId="065A869D" w14:textId="77777777" w:rsidTr="00FF3F27">
        <w:tc>
          <w:tcPr>
            <w:tcW w:w="1693"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C3FE1BF"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Education</w:t>
            </w:r>
          </w:p>
        </w:tc>
        <w:tc>
          <w:tcPr>
            <w:tcW w:w="1985"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59C41196"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Lower school attendance and attainment, especially for girls</w:t>
            </w:r>
          </w:p>
        </w:tc>
        <w:tc>
          <w:tcPr>
            <w:tcW w:w="231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51E37FFB"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Girls withdrawn for fuel collection and cooking assistance</w:t>
            </w:r>
          </w:p>
        </w:tc>
        <w:tc>
          <w:tcPr>
            <w:tcW w:w="2167"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FB1ADE2"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Reinforces intergenerational inequality</w:t>
            </w:r>
          </w:p>
        </w:tc>
        <w:tc>
          <w:tcPr>
            <w:tcW w:w="1199"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7E686794"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Moderate [32]</w:t>
            </w:r>
          </w:p>
        </w:tc>
      </w:tr>
      <w:tr w:rsidR="00B72AF6" w:rsidRPr="00A200F5" w14:paraId="45BE186F" w14:textId="77777777" w:rsidTr="00FF3F27">
        <w:tc>
          <w:tcPr>
            <w:tcW w:w="169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EAF399"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Economic Participation</w:t>
            </w:r>
          </w:p>
        </w:tc>
        <w:tc>
          <w:tcPr>
            <w:tcW w:w="19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902820"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Reduced paid employment and entrepreneurship</w:t>
            </w:r>
          </w:p>
        </w:tc>
        <w:tc>
          <w:tcPr>
            <w:tcW w:w="23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600A8D"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Biomass labour precludes market participation</w:t>
            </w:r>
          </w:p>
        </w:tc>
        <w:tc>
          <w:tcPr>
            <w:tcW w:w="216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817C2B"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Lower financial independence; constrained transition capacity</w:t>
            </w:r>
          </w:p>
        </w:tc>
        <w:tc>
          <w:tcPr>
            <w:tcW w:w="11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855941" w14:textId="77777777" w:rsidR="006F1244" w:rsidRPr="00A200F5" w:rsidRDefault="00AD4BA2" w:rsidP="00B72AF6">
            <w:pPr>
              <w:spacing w:line="360" w:lineRule="auto"/>
              <w:rPr>
                <w:rFonts w:ascii="Times New Roman" w:hAnsi="Times New Roman" w:cs="Times New Roman"/>
                <w:sz w:val="24"/>
                <w:szCs w:val="24"/>
              </w:rPr>
            </w:pPr>
            <w:r w:rsidRPr="00A200F5">
              <w:rPr>
                <w:rFonts w:ascii="Times New Roman" w:hAnsi="Times New Roman" w:cs="Times New Roman"/>
                <w:sz w:val="24"/>
                <w:szCs w:val="24"/>
              </w:rPr>
              <w:t>Moderate [22,31]</w:t>
            </w:r>
          </w:p>
        </w:tc>
      </w:tr>
    </w:tbl>
    <w:p w14:paraId="28BC440D" w14:textId="77777777" w:rsidR="006F1244" w:rsidRPr="00A200F5" w:rsidRDefault="006F1244" w:rsidP="00B72AF6">
      <w:pPr>
        <w:spacing w:before="200" w:line="360" w:lineRule="auto"/>
        <w:rPr>
          <w:rFonts w:ascii="Times New Roman" w:hAnsi="Times New Roman" w:cs="Times New Roman"/>
          <w:sz w:val="24"/>
          <w:szCs w:val="24"/>
        </w:rPr>
      </w:pPr>
    </w:p>
    <w:p w14:paraId="75D0977C" w14:textId="77777777" w:rsidR="00F90396" w:rsidRPr="00A200F5" w:rsidRDefault="00F90396" w:rsidP="00B72AF6">
      <w:pPr>
        <w:pStyle w:val="Heading1"/>
        <w:spacing w:line="360" w:lineRule="auto"/>
        <w:rPr>
          <w:rFonts w:ascii="Times New Roman" w:hAnsi="Times New Roman" w:cs="Times New Roman"/>
          <w:color w:val="auto"/>
          <w:sz w:val="24"/>
          <w:szCs w:val="24"/>
        </w:rPr>
      </w:pPr>
    </w:p>
    <w:p w14:paraId="4D655906" w14:textId="77777777" w:rsidR="00F90396" w:rsidRPr="00A200F5" w:rsidRDefault="00F90396" w:rsidP="00B72AF6">
      <w:pPr>
        <w:pStyle w:val="Heading1"/>
        <w:spacing w:line="360" w:lineRule="auto"/>
        <w:rPr>
          <w:rFonts w:ascii="Times New Roman" w:hAnsi="Times New Roman" w:cs="Times New Roman"/>
          <w:color w:val="auto"/>
          <w:sz w:val="24"/>
          <w:szCs w:val="24"/>
        </w:rPr>
      </w:pPr>
    </w:p>
    <w:p w14:paraId="7B29EC13" w14:textId="77777777" w:rsidR="00F90396" w:rsidRPr="00A200F5" w:rsidRDefault="00F90396" w:rsidP="00B72AF6">
      <w:pPr>
        <w:pStyle w:val="Heading1"/>
        <w:spacing w:line="360" w:lineRule="auto"/>
        <w:rPr>
          <w:rFonts w:ascii="Times New Roman" w:hAnsi="Times New Roman" w:cs="Times New Roman"/>
          <w:color w:val="auto"/>
          <w:sz w:val="24"/>
          <w:szCs w:val="24"/>
        </w:rPr>
      </w:pPr>
    </w:p>
    <w:p w14:paraId="05AA9913" w14:textId="77777777" w:rsidR="00F90396" w:rsidRPr="00A200F5" w:rsidRDefault="00F90396" w:rsidP="00B72AF6">
      <w:pPr>
        <w:pStyle w:val="Heading1"/>
        <w:spacing w:line="360" w:lineRule="auto"/>
        <w:rPr>
          <w:rFonts w:ascii="Times New Roman" w:hAnsi="Times New Roman" w:cs="Times New Roman"/>
          <w:color w:val="auto"/>
          <w:sz w:val="24"/>
          <w:szCs w:val="24"/>
        </w:rPr>
      </w:pPr>
    </w:p>
    <w:p w14:paraId="598B6583" w14:textId="12529854" w:rsidR="006F1244" w:rsidRPr="00A200F5" w:rsidRDefault="00AD4BA2" w:rsidP="00B72AF6">
      <w:pPr>
        <w:pStyle w:val="Heading1"/>
        <w:spacing w:line="360" w:lineRule="auto"/>
        <w:rPr>
          <w:rFonts w:ascii="Times New Roman" w:hAnsi="Times New Roman" w:cs="Times New Roman"/>
          <w:color w:val="auto"/>
          <w:sz w:val="24"/>
          <w:szCs w:val="24"/>
        </w:rPr>
      </w:pPr>
      <w:r w:rsidRPr="00A200F5">
        <w:rPr>
          <w:rFonts w:ascii="Times New Roman" w:hAnsi="Times New Roman" w:cs="Times New Roman"/>
          <w:color w:val="auto"/>
          <w:sz w:val="24"/>
          <w:szCs w:val="24"/>
        </w:rPr>
        <w:t>6. STRUCTURAL AND GOVERNANCE DETERMINANTS</w:t>
      </w:r>
    </w:p>
    <w:p w14:paraId="53C234AC"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6.1 Cultural Norms and the Social Embeddedness of Energy Roles</w:t>
      </w:r>
    </w:p>
    <w:p w14:paraId="5C6B7B68"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The gendered allocation of energy-related labour is sustained not only by economic conditions but by cultural norms that define cooking and domestic energy management as inherently female responsibilities. In many communities across West, East, and Southern Africa, cooking over an open fire is not simply a means of preparing </w:t>
      </w:r>
      <w:proofErr w:type="gramStart"/>
      <w:r w:rsidRPr="00A200F5">
        <w:rPr>
          <w:rFonts w:ascii="Times New Roman" w:hAnsi="Times New Roman" w:cs="Times New Roman"/>
          <w:sz w:val="24"/>
          <w:szCs w:val="24"/>
        </w:rPr>
        <w:t>food  -</w:t>
      </w:r>
      <w:proofErr w:type="gramEnd"/>
      <w:r w:rsidRPr="00A200F5">
        <w:rPr>
          <w:rFonts w:ascii="Times New Roman" w:hAnsi="Times New Roman" w:cs="Times New Roman"/>
          <w:sz w:val="24"/>
          <w:szCs w:val="24"/>
        </w:rPr>
        <w:t xml:space="preserve">  it is a performance of domesticity, a site of intergenerational knowledge transmission, and a marker of a woman's competence and social standing [45]. These norms have direct and measurable consequences for technology adoption. The introduction of improved cookstoves or clean fuels into households where cooking carries strong cultural meaning can encounter resistance that cost and availability alone do not explain [44].</w:t>
      </w:r>
    </w:p>
    <w:p w14:paraId="226A2537"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Women may face social sanctions for departing from established cooking practices, or may themselves hold values that make change feel like an abdication of domestic identity. Male household heads, who bear none of the costs of biomass cooking, may resist clean energy transitions because they do not associate cooking with their own domain and therefore do not perceive the health and time burdens borne by female household members as problems that require their intervention [23]. These dynamics significantly complicate top-down technology dissemination programmes that treat adoption as a purely rational economic decision responsive to price signals and subsidy design.</w:t>
      </w:r>
    </w:p>
    <w:p w14:paraId="5D22800D"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6.2 Governance Failures and Policy Design Deficits</w:t>
      </w:r>
    </w:p>
    <w:p w14:paraId="0F976118" w14:textId="3547269D"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A systematic review of energy frameworks from 18 sub-Saharan African countries found that most frameworks apply a narrow and largely superficial gender lens [45]. Most</w:t>
      </w:r>
      <w:r w:rsidR="0086676C" w:rsidRPr="00A200F5">
        <w:rPr>
          <w:rFonts w:ascii="Times New Roman" w:hAnsi="Times New Roman" w:cs="Times New Roman"/>
          <w:sz w:val="24"/>
          <w:szCs w:val="24"/>
        </w:rPr>
        <w:t xml:space="preserve"> frameworks</w:t>
      </w:r>
      <w:r w:rsidRPr="00A200F5">
        <w:rPr>
          <w:rFonts w:ascii="Times New Roman" w:hAnsi="Times New Roman" w:cs="Times New Roman"/>
          <w:sz w:val="24"/>
          <w:szCs w:val="24"/>
        </w:rPr>
        <w:t xml:space="preserve"> lack measurable gendered indicators</w:t>
      </w:r>
      <w:r w:rsidR="0086676C" w:rsidRPr="00A200F5">
        <w:rPr>
          <w:rFonts w:ascii="Times New Roman" w:hAnsi="Times New Roman" w:cs="Times New Roman"/>
          <w:sz w:val="24"/>
          <w:szCs w:val="24"/>
        </w:rPr>
        <w:t xml:space="preserve">, </w:t>
      </w:r>
      <w:r w:rsidRPr="00A200F5">
        <w:rPr>
          <w:rFonts w:ascii="Times New Roman" w:hAnsi="Times New Roman" w:cs="Times New Roman"/>
          <w:sz w:val="24"/>
          <w:szCs w:val="24"/>
        </w:rPr>
        <w:t>making it structurally impossible to track progress toward gendered outcomes in energy access even where political commitment nominally exists. Where gender language appeared in policy documents, it was typically confined to vague empowerment commitments without operationalisation into programme design, budget allocation, or institutional accountability mechanisms [14].</w:t>
      </w:r>
    </w:p>
    <w:p w14:paraId="3D749E8D"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lastRenderedPageBreak/>
        <w:t>International frameworks compound these domestic failures. The SDG7 reporting architecture does not require sex-disaggregated data, meaning that progress toward universal energy access is assessed at the household level in ways inherently blind to intra-household inequalities [15]. A household that has transitioned from biomass to LPG is counted as having achieved clean cooking access regardless of whether it is the woman or the man who makes fuel decisions, who is exposed to cooking smoke during the transition period, or who bears the financial burden of LPG refill costs. This methodological choiCE systematically conceals the gendered distribution of energy poverty and insulates policy from accountability for gendered outcomes.</w:t>
      </w:r>
    </w:p>
    <w:p w14:paraId="3DF34FFA"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Political economy analyses illuminate the implementation gap between policy language and programme practice. A detailed analysis of Kenya's 2019 Gender Policy in energy access found that despite strong constitutional gender equality provisions and a formal gender quota, the policy has faced limited institutional adoption and lacks legal enforcement mechanisms [49]. At the regional level, the ECOWAS Policy for Gender Mainstreaming in Energy Access identifies institutional capacity and political </w:t>
      </w:r>
      <w:proofErr w:type="gramStart"/>
      <w:r w:rsidRPr="00A200F5">
        <w:rPr>
          <w:rFonts w:ascii="Times New Roman" w:hAnsi="Times New Roman" w:cs="Times New Roman"/>
          <w:sz w:val="24"/>
          <w:szCs w:val="24"/>
        </w:rPr>
        <w:t>will  as</w:t>
      </w:r>
      <w:proofErr w:type="gramEnd"/>
      <w:r w:rsidRPr="00A200F5">
        <w:rPr>
          <w:rFonts w:ascii="Times New Roman" w:hAnsi="Times New Roman" w:cs="Times New Roman"/>
          <w:sz w:val="24"/>
          <w:szCs w:val="24"/>
        </w:rPr>
        <w:t xml:space="preserve"> the primary constraints on implementation across member states [50]. These findings point to governance failures that technical or financing solutions alone cannot address.</w:t>
      </w:r>
    </w:p>
    <w:p w14:paraId="3A5011F9"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6.3 Financial Exclusion and Structural Barriers to Clean Energy Transition</w:t>
      </w:r>
    </w:p>
    <w:p w14:paraId="2CCE435E"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Access to clean energy is fundamentally a function of who can decide to acquire it and who can finance that decision. In many African households, decisions about major energy expenditures, including stoves, fuel types, and grid connections, rest primarily with male household heads, even where women manage day-to-day household finances [27]. Women who would benefit most from clean energy transitions are structurally positioned to be least able to initiate them.</w:t>
      </w:r>
    </w:p>
    <w:p w14:paraId="7FFB32AE"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Women's limited access to formal financial services in many African countries compounds this constraint. Without savings accounts, credit histories, or collateral, women face substantial barriers to financing the upfront costs of clean energy transitions, even where subsidised credit schemes exist [9]. Land tenure arrangements constitute a further structural barrier: in countries where customary systems restrict women's property rights, women may be ineligible for rural electrification connections requiring land ownership as a qualifying criterion, or unable to use land as collateral for energy system financing [46]. These structural exclusions mean that market-led energy transitions, without deliberate policy intervention, are likely to benefit men before women </w:t>
      </w:r>
      <w:r w:rsidRPr="00A200F5">
        <w:rPr>
          <w:rFonts w:ascii="Times New Roman" w:hAnsi="Times New Roman" w:cs="Times New Roman"/>
          <w:sz w:val="24"/>
          <w:szCs w:val="24"/>
        </w:rPr>
        <w:lastRenderedPageBreak/>
        <w:t xml:space="preserve">and to leave the most energy-deprived </w:t>
      </w:r>
      <w:proofErr w:type="gramStart"/>
      <w:r w:rsidRPr="00A200F5">
        <w:rPr>
          <w:rFonts w:ascii="Times New Roman" w:hAnsi="Times New Roman" w:cs="Times New Roman"/>
          <w:sz w:val="24"/>
          <w:szCs w:val="24"/>
        </w:rPr>
        <w:t>households  -</w:t>
      </w:r>
      <w:proofErr w:type="gramEnd"/>
      <w:r w:rsidRPr="00A200F5">
        <w:rPr>
          <w:rFonts w:ascii="Times New Roman" w:hAnsi="Times New Roman" w:cs="Times New Roman"/>
          <w:sz w:val="24"/>
          <w:szCs w:val="24"/>
        </w:rPr>
        <w:t xml:space="preserve">  which are disproportionately female-headed  -  at the end of the transition queue.</w:t>
      </w:r>
    </w:p>
    <w:p w14:paraId="62D42CA1" w14:textId="77777777" w:rsidR="006F1244" w:rsidRPr="00A200F5" w:rsidRDefault="006F1244" w:rsidP="00B72AF6">
      <w:pPr>
        <w:spacing w:before="200" w:line="360" w:lineRule="auto"/>
        <w:rPr>
          <w:rFonts w:ascii="Times New Roman" w:hAnsi="Times New Roman" w:cs="Times New Roman"/>
          <w:sz w:val="24"/>
          <w:szCs w:val="24"/>
        </w:rPr>
      </w:pPr>
    </w:p>
    <w:p w14:paraId="00C0FA3A" w14:textId="77777777" w:rsidR="003A15A5" w:rsidRPr="00A200F5" w:rsidRDefault="003A15A5" w:rsidP="00B72AF6">
      <w:pPr>
        <w:pStyle w:val="Heading1"/>
        <w:spacing w:line="360" w:lineRule="auto"/>
        <w:rPr>
          <w:rFonts w:ascii="Times New Roman" w:hAnsi="Times New Roman" w:cs="Times New Roman"/>
          <w:color w:val="auto"/>
          <w:sz w:val="24"/>
          <w:szCs w:val="24"/>
        </w:rPr>
      </w:pPr>
    </w:p>
    <w:p w14:paraId="064C3F77" w14:textId="77777777" w:rsidR="00F00637" w:rsidRPr="00A200F5" w:rsidRDefault="007101F3" w:rsidP="00B72AF6">
      <w:pPr>
        <w:pStyle w:val="Heading1"/>
        <w:spacing w:before="320" w:line="360" w:lineRule="auto"/>
        <w:rPr>
          <w:rFonts w:ascii="Times New Roman" w:hAnsi="Times New Roman" w:cs="Times New Roman"/>
          <w:color w:val="auto"/>
        </w:rPr>
      </w:pPr>
      <w:r w:rsidRPr="00A200F5">
        <w:rPr>
          <w:rFonts w:ascii="Times New Roman" w:hAnsi="Times New Roman" w:cs="Times New Roman"/>
          <w:color w:val="auto"/>
        </w:rPr>
        <w:t>7. POLICY RESPONSES: EVIDENCE, GAPS, AND CRITICAL ASSESSMENT</w:t>
      </w:r>
    </w:p>
    <w:p w14:paraId="362B7B25" w14:textId="77777777" w:rsidR="00F00637" w:rsidRPr="00A200F5" w:rsidRDefault="007101F3" w:rsidP="00B72AF6">
      <w:pPr>
        <w:pStyle w:val="Heading2"/>
        <w:spacing w:before="240" w:line="360" w:lineRule="auto"/>
        <w:rPr>
          <w:rFonts w:ascii="Times New Roman" w:hAnsi="Times New Roman" w:cs="Times New Roman"/>
          <w:color w:val="auto"/>
        </w:rPr>
      </w:pPr>
      <w:r w:rsidRPr="00A200F5">
        <w:rPr>
          <w:rFonts w:ascii="Times New Roman" w:hAnsi="Times New Roman" w:cs="Times New Roman"/>
          <w:color w:val="auto"/>
        </w:rPr>
        <w:t>7.0 Policy Landscape: National and Regional Frameworks</w:t>
      </w:r>
    </w:p>
    <w:p w14:paraId="3D200148" w14:textId="77777777" w:rsidR="00F00637" w:rsidRPr="00A200F5" w:rsidRDefault="007101F3" w:rsidP="00B72AF6">
      <w:pPr>
        <w:pStyle w:val="Heading3"/>
        <w:spacing w:line="360" w:lineRule="auto"/>
        <w:rPr>
          <w:rFonts w:ascii="Times New Roman" w:hAnsi="Times New Roman" w:cs="Times New Roman"/>
          <w:color w:val="auto"/>
        </w:rPr>
      </w:pPr>
      <w:r w:rsidRPr="00A200F5">
        <w:rPr>
          <w:rFonts w:ascii="Times New Roman" w:hAnsi="Times New Roman" w:cs="Times New Roman"/>
          <w:color w:val="auto"/>
        </w:rPr>
        <w:t>National Energy Policies and Gender Mainstreaming</w:t>
      </w:r>
    </w:p>
    <w:p w14:paraId="0FDE02A6"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National energy policies serve as the primary architectural framework governing a country's developmental trajectory and the distribution of energy infrastructure. Across much of Africa, historical energy governance has centred on large-scale industrial electrification and urban grid expansion. While these priorities carry macroeconomic justification, they have systematically marginalised the last mile of energy access: the rural and peri-urban women who disproportionately bear the burden of energy poverty and whose empowerment is among the strongest available predictors of household poverty </w:t>
      </w:r>
      <w:proofErr w:type="gramStart"/>
      <w:r w:rsidRPr="00A200F5">
        <w:rPr>
          <w:rFonts w:ascii="Times New Roman" w:eastAsia="Times New Roman" w:hAnsi="Times New Roman" w:cs="Times New Roman"/>
          <w:sz w:val="24"/>
          <w:szCs w:val="24"/>
        </w:rPr>
        <w:t>reduction[</w:t>
      </w:r>
      <w:proofErr w:type="gramEnd"/>
      <w:r w:rsidRPr="00A200F5">
        <w:rPr>
          <w:rFonts w:ascii="Times New Roman" w:eastAsia="Times New Roman" w:hAnsi="Times New Roman" w:cs="Times New Roman"/>
          <w:sz w:val="24"/>
          <w:szCs w:val="24"/>
        </w:rPr>
        <w:t>56].</w:t>
      </w:r>
    </w:p>
    <w:p w14:paraId="53184576"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When a national energy policy fails to account for the specific energy needs of women, it inadvertently reinforces existing socio-economic disparities. Gender mainstreaming has therefore become a central demand in modern energy governance. Understood properly, gender mainstreaming is not a matter of adding women to existing projects or meeting numerical quotas in meetings. It is an iterative process through which gender considerations are embedded at every stage of energy policy, from initial design and budgeting through to implementation, monitoring, and </w:t>
      </w:r>
      <w:proofErr w:type="gramStart"/>
      <w:r w:rsidRPr="00A200F5">
        <w:rPr>
          <w:rFonts w:ascii="Times New Roman" w:eastAsia="Times New Roman" w:hAnsi="Times New Roman" w:cs="Times New Roman"/>
          <w:sz w:val="24"/>
          <w:szCs w:val="24"/>
        </w:rPr>
        <w:t>evaluation[</w:t>
      </w:r>
      <w:proofErr w:type="gramEnd"/>
      <w:r w:rsidRPr="00A200F5">
        <w:rPr>
          <w:rFonts w:ascii="Times New Roman" w:eastAsia="Times New Roman" w:hAnsi="Times New Roman" w:cs="Times New Roman"/>
          <w:sz w:val="24"/>
          <w:szCs w:val="24"/>
        </w:rPr>
        <w:t>57]. This distinction between procedural inclusion and substantive integration is analytically critical: many African energy policies satisfy the former while failing entirely at the latter.</w:t>
      </w:r>
    </w:p>
    <w:p w14:paraId="652DB1AE"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Across the continent, uptake of gender mainstreaming has been uneven and the quality of integration where it exists varies considerably. In East and Southern Africa, over 60 percent of national energy policies have incorporated gender in some form, with approximately 40 percent </w:t>
      </w:r>
      <w:r w:rsidRPr="00A200F5">
        <w:rPr>
          <w:rFonts w:ascii="Times New Roman" w:eastAsia="Times New Roman" w:hAnsi="Times New Roman" w:cs="Times New Roman"/>
          <w:sz w:val="24"/>
          <w:szCs w:val="24"/>
        </w:rPr>
        <w:lastRenderedPageBreak/>
        <w:t xml:space="preserve">linking increased energy access for women to improved environmental </w:t>
      </w:r>
      <w:proofErr w:type="gramStart"/>
      <w:r w:rsidRPr="00A200F5">
        <w:rPr>
          <w:rFonts w:ascii="Times New Roman" w:eastAsia="Times New Roman" w:hAnsi="Times New Roman" w:cs="Times New Roman"/>
          <w:sz w:val="24"/>
          <w:szCs w:val="24"/>
        </w:rPr>
        <w:t>outcomes[</w:t>
      </w:r>
      <w:proofErr w:type="gramEnd"/>
      <w:r w:rsidRPr="00A200F5">
        <w:rPr>
          <w:rFonts w:ascii="Times New Roman" w:eastAsia="Times New Roman" w:hAnsi="Times New Roman" w:cs="Times New Roman"/>
          <w:sz w:val="24"/>
          <w:szCs w:val="24"/>
        </w:rPr>
        <w:t xml:space="preserve">58]. Within West Africa, ECOWAS has mandated its member states to incorporate gender mainstreaming into dedicated National Action Plans (NAPs), with Burkina Faso, The Gambia, Liberia, Sierra Leone, and Nigeria among those that have made some progress; Nigeria has done so through the inclusion of energy in its national gender policy and the conduct of gender audits of its energy </w:t>
      </w:r>
      <w:proofErr w:type="gramStart"/>
      <w:r w:rsidRPr="00A200F5">
        <w:rPr>
          <w:rFonts w:ascii="Times New Roman" w:eastAsia="Times New Roman" w:hAnsi="Times New Roman" w:cs="Times New Roman"/>
          <w:sz w:val="24"/>
          <w:szCs w:val="24"/>
        </w:rPr>
        <w:t>sector[</w:t>
      </w:r>
      <w:proofErr w:type="gramEnd"/>
      <w:r w:rsidRPr="00A200F5">
        <w:rPr>
          <w:rFonts w:ascii="Times New Roman" w:eastAsia="Times New Roman" w:hAnsi="Times New Roman" w:cs="Times New Roman"/>
          <w:sz w:val="24"/>
          <w:szCs w:val="24"/>
        </w:rPr>
        <w:t>59]. However, the depth of integration differs sharply across cases.</w:t>
      </w:r>
    </w:p>
    <w:p w14:paraId="25065D0B"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Sierra Leone's NAP promotes specific energy technologies, namely solar energy and biogas production, to address energy access gaps, a level of specificity conspicuously absent from most other NAPs, where energy references remain </w:t>
      </w:r>
      <w:proofErr w:type="gramStart"/>
      <w:r w:rsidRPr="00A200F5">
        <w:rPr>
          <w:rFonts w:ascii="Times New Roman" w:eastAsia="Times New Roman" w:hAnsi="Times New Roman" w:cs="Times New Roman"/>
          <w:sz w:val="24"/>
          <w:szCs w:val="24"/>
        </w:rPr>
        <w:t>ambiguous[</w:t>
      </w:r>
      <w:proofErr w:type="gramEnd"/>
      <w:r w:rsidRPr="00A200F5">
        <w:rPr>
          <w:rFonts w:ascii="Times New Roman" w:eastAsia="Times New Roman" w:hAnsi="Times New Roman" w:cs="Times New Roman"/>
          <w:sz w:val="24"/>
          <w:szCs w:val="24"/>
        </w:rPr>
        <w:t xml:space="preserve">60]. Critically, however, the emphasis on biogas and solar in Sierra Leone's policy may reflect the preferences of foreign investors rather than a deliberate strategy to improve gendered access to clean energy. This illustrates how the political economy of energy finance can distort the gender content of national </w:t>
      </w:r>
      <w:proofErr w:type="gramStart"/>
      <w:r w:rsidRPr="00A200F5">
        <w:rPr>
          <w:rFonts w:ascii="Times New Roman" w:eastAsia="Times New Roman" w:hAnsi="Times New Roman" w:cs="Times New Roman"/>
          <w:sz w:val="24"/>
          <w:szCs w:val="24"/>
        </w:rPr>
        <w:t>plans[</w:t>
      </w:r>
      <w:proofErr w:type="gramEnd"/>
      <w:r w:rsidRPr="00A200F5">
        <w:rPr>
          <w:rFonts w:ascii="Times New Roman" w:eastAsia="Times New Roman" w:hAnsi="Times New Roman" w:cs="Times New Roman"/>
          <w:sz w:val="24"/>
          <w:szCs w:val="24"/>
        </w:rPr>
        <w:t>61].</w:t>
      </w:r>
    </w:p>
    <w:p w14:paraId="002C3A01"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Ghana's National Energy Policy is more explicitly focused on gender mainstreaming. It addresses women's issues with some specificity but has been criticised for positioning women as subjects of empowerment rather than participants in the formulation and implementation of policy </w:t>
      </w:r>
      <w:proofErr w:type="gramStart"/>
      <w:r w:rsidRPr="00A200F5">
        <w:rPr>
          <w:rFonts w:ascii="Times New Roman" w:eastAsia="Times New Roman" w:hAnsi="Times New Roman" w:cs="Times New Roman"/>
          <w:sz w:val="24"/>
          <w:szCs w:val="24"/>
        </w:rPr>
        <w:t>itself[</w:t>
      </w:r>
      <w:proofErr w:type="gramEnd"/>
      <w:r w:rsidRPr="00A200F5">
        <w:rPr>
          <w:rFonts w:ascii="Times New Roman" w:eastAsia="Times New Roman" w:hAnsi="Times New Roman" w:cs="Times New Roman"/>
          <w:sz w:val="24"/>
          <w:szCs w:val="24"/>
        </w:rPr>
        <w:t xml:space="preserve">35]. Rwanda presents a structurally similar pattern at a higher level of institutional development: its Gender Monitoring Office and its National Energy Policy (2015) formally commit to gender mainstreaming in energy, yet implementation is constrained by the absence of disaggregated data adequate to support these commitments in </w:t>
      </w:r>
      <w:proofErr w:type="gramStart"/>
      <w:r w:rsidRPr="00A200F5">
        <w:rPr>
          <w:rFonts w:ascii="Times New Roman" w:eastAsia="Times New Roman" w:hAnsi="Times New Roman" w:cs="Times New Roman"/>
          <w:sz w:val="24"/>
          <w:szCs w:val="24"/>
        </w:rPr>
        <w:t>practice[</w:t>
      </w:r>
      <w:proofErr w:type="gramEnd"/>
      <w:r w:rsidRPr="00A200F5">
        <w:rPr>
          <w:rFonts w:ascii="Times New Roman" w:eastAsia="Times New Roman" w:hAnsi="Times New Roman" w:cs="Times New Roman"/>
          <w:sz w:val="24"/>
          <w:szCs w:val="24"/>
        </w:rPr>
        <w:t>62].</w:t>
      </w:r>
    </w:p>
    <w:p w14:paraId="3BB9E505"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Not all countries have reached even this level. Malawi's national energy policy does not expressly address energy access inequities for women; instead, it names women, youth, and persons with disabilities in a single undifferentiated category, conflating groups whose energy access barriers are structurally </w:t>
      </w:r>
      <w:proofErr w:type="gramStart"/>
      <w:r w:rsidRPr="00A200F5">
        <w:rPr>
          <w:rFonts w:ascii="Times New Roman" w:eastAsia="Times New Roman" w:hAnsi="Times New Roman" w:cs="Times New Roman"/>
          <w:sz w:val="24"/>
          <w:szCs w:val="24"/>
        </w:rPr>
        <w:t>distinct[</w:t>
      </w:r>
      <w:proofErr w:type="gramEnd"/>
      <w:r w:rsidRPr="00A200F5">
        <w:rPr>
          <w:rFonts w:ascii="Times New Roman" w:eastAsia="Times New Roman" w:hAnsi="Times New Roman" w:cs="Times New Roman"/>
          <w:sz w:val="24"/>
          <w:szCs w:val="24"/>
        </w:rPr>
        <w:t xml:space="preserve">58]. Kenya represents a more instructive case: its 2019 Gender Policy in energy access is substantively well-designed, incorporating clean cooking fuel access and applying the country's constitutional two-thirds gender rule to appointive bodies in the energy </w:t>
      </w:r>
      <w:proofErr w:type="gramStart"/>
      <w:r w:rsidRPr="00A200F5">
        <w:rPr>
          <w:rFonts w:ascii="Times New Roman" w:eastAsia="Times New Roman" w:hAnsi="Times New Roman" w:cs="Times New Roman"/>
          <w:sz w:val="24"/>
          <w:szCs w:val="24"/>
        </w:rPr>
        <w:t>sector[</w:t>
      </w:r>
      <w:proofErr w:type="gramEnd"/>
      <w:r w:rsidRPr="00A200F5">
        <w:rPr>
          <w:rFonts w:ascii="Times New Roman" w:eastAsia="Times New Roman" w:hAnsi="Times New Roman" w:cs="Times New Roman"/>
          <w:sz w:val="24"/>
          <w:szCs w:val="24"/>
        </w:rPr>
        <w:t xml:space="preserve">49]. Enforcement and implementation have nonetheless been limited, reflecting the institutional and political constraints that recur across the continent regardless of policy quality on </w:t>
      </w:r>
      <w:proofErr w:type="gramStart"/>
      <w:r w:rsidRPr="00A200F5">
        <w:rPr>
          <w:rFonts w:ascii="Times New Roman" w:eastAsia="Times New Roman" w:hAnsi="Times New Roman" w:cs="Times New Roman"/>
          <w:sz w:val="24"/>
          <w:szCs w:val="24"/>
        </w:rPr>
        <w:t>paper[</w:t>
      </w:r>
      <w:proofErr w:type="gramEnd"/>
      <w:r w:rsidRPr="00A200F5">
        <w:rPr>
          <w:rFonts w:ascii="Times New Roman" w:eastAsia="Times New Roman" w:hAnsi="Times New Roman" w:cs="Times New Roman"/>
          <w:sz w:val="24"/>
          <w:szCs w:val="24"/>
        </w:rPr>
        <w:t>49].</w:t>
      </w:r>
    </w:p>
    <w:p w14:paraId="6593D48C"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Across these cases, a consistent pattern emerges. The inclusion of gender-sensitive language in African energy policies has increased, driven largely by international frameworks such as the ECOWAS Policy on Gender Mainstreaming in Energy Access, the SDGs, and the African Union's </w:t>
      </w:r>
      <w:r w:rsidRPr="00A200F5">
        <w:rPr>
          <w:rFonts w:ascii="Times New Roman" w:eastAsia="Times New Roman" w:hAnsi="Times New Roman" w:cs="Times New Roman"/>
          <w:sz w:val="24"/>
          <w:szCs w:val="24"/>
        </w:rPr>
        <w:lastRenderedPageBreak/>
        <w:t xml:space="preserve">Agenda 2063. Yet a persistent implementation gap separates policy rhetoric from local execution. Gender has been successfully integrated into the discourse of many national energy ministries without being translated into earmarked budgets, specific technical objectives, or time-bound accountability mechanisms. Researchers have attributed this gap partly to a focus on process over results and to conceptual confusion about what gender mainstreaming is actually meant to </w:t>
      </w:r>
      <w:proofErr w:type="gramStart"/>
      <w:r w:rsidRPr="00A200F5">
        <w:rPr>
          <w:rFonts w:ascii="Times New Roman" w:eastAsia="Times New Roman" w:hAnsi="Times New Roman" w:cs="Times New Roman"/>
          <w:sz w:val="24"/>
          <w:szCs w:val="24"/>
        </w:rPr>
        <w:t>achieve[</w:t>
      </w:r>
      <w:proofErr w:type="gramEnd"/>
      <w:r w:rsidRPr="00A200F5">
        <w:rPr>
          <w:rFonts w:ascii="Times New Roman" w:eastAsia="Times New Roman" w:hAnsi="Times New Roman" w:cs="Times New Roman"/>
          <w:sz w:val="24"/>
          <w:szCs w:val="24"/>
        </w:rPr>
        <w:t>63].</w:t>
      </w:r>
    </w:p>
    <w:p w14:paraId="734DDE04" w14:textId="77777777" w:rsidR="00F00637" w:rsidRPr="00A200F5" w:rsidRDefault="007101F3" w:rsidP="00B72AF6">
      <w:pPr>
        <w:pStyle w:val="Heading3"/>
        <w:spacing w:line="360" w:lineRule="auto"/>
        <w:rPr>
          <w:rFonts w:ascii="Times New Roman" w:hAnsi="Times New Roman" w:cs="Times New Roman"/>
          <w:color w:val="auto"/>
        </w:rPr>
      </w:pPr>
      <w:r w:rsidRPr="00A200F5">
        <w:rPr>
          <w:rFonts w:ascii="Times New Roman" w:hAnsi="Times New Roman" w:cs="Times New Roman"/>
          <w:color w:val="auto"/>
        </w:rPr>
        <w:t>The ECOWAS Framework: Regional Mandate and Institutional Limits</w:t>
      </w:r>
    </w:p>
    <w:p w14:paraId="0D4B3385"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The ECOWAS Policy for Gender Mainstreaming in Energy Access represents the most developed regional governance instrument specifically linking gender equity to energy access in Africa. Adopted in its current form in 2024, the policy mandates member states to incorporate gender mainstreaming into their National Action Plans and provides an implementation strategy for doing </w:t>
      </w:r>
      <w:proofErr w:type="gramStart"/>
      <w:r w:rsidRPr="00A200F5">
        <w:rPr>
          <w:rFonts w:ascii="Times New Roman" w:eastAsia="Times New Roman" w:hAnsi="Times New Roman" w:cs="Times New Roman"/>
          <w:sz w:val="24"/>
          <w:szCs w:val="24"/>
        </w:rPr>
        <w:t>so[</w:t>
      </w:r>
      <w:proofErr w:type="gramEnd"/>
      <w:r w:rsidRPr="00A200F5">
        <w:rPr>
          <w:rFonts w:ascii="Times New Roman" w:eastAsia="Times New Roman" w:hAnsi="Times New Roman" w:cs="Times New Roman"/>
          <w:sz w:val="24"/>
          <w:szCs w:val="24"/>
        </w:rPr>
        <w:t>50]. Its ambition is significant: it formally recognises that the achievement of universal energy access is inseparable from addressing the structural conditions that prevent women from accessing and benefiting from energy systems.</w:t>
      </w:r>
    </w:p>
    <w:p w14:paraId="190436BB"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In practice, adoption across the 15 member states has been slow and uneven. Institutional capacity and political will have been identified by ECOWAS itself as the primary constraints on </w:t>
      </w:r>
      <w:proofErr w:type="gramStart"/>
      <w:r w:rsidRPr="00A200F5">
        <w:rPr>
          <w:rFonts w:ascii="Times New Roman" w:eastAsia="Times New Roman" w:hAnsi="Times New Roman" w:cs="Times New Roman"/>
          <w:sz w:val="24"/>
          <w:szCs w:val="24"/>
        </w:rPr>
        <w:t>implementation[</w:t>
      </w:r>
      <w:proofErr w:type="gramEnd"/>
      <w:r w:rsidRPr="00A200F5">
        <w:rPr>
          <w:rFonts w:ascii="Times New Roman" w:eastAsia="Times New Roman" w:hAnsi="Times New Roman" w:cs="Times New Roman"/>
          <w:sz w:val="24"/>
          <w:szCs w:val="24"/>
        </w:rPr>
        <w:t xml:space="preserve">50]. A further limitation of the ECOWAS policy is its technology-neutrality: unlike Sierra Leone's NAP, it does not stipulate specific energy technologies, leaving the translation of gender commitments into concrete energy choices to national governments whose capacity and incentives for this work vary </w:t>
      </w:r>
      <w:proofErr w:type="gramStart"/>
      <w:r w:rsidRPr="00A200F5">
        <w:rPr>
          <w:rFonts w:ascii="Times New Roman" w:eastAsia="Times New Roman" w:hAnsi="Times New Roman" w:cs="Times New Roman"/>
          <w:sz w:val="24"/>
          <w:szCs w:val="24"/>
        </w:rPr>
        <w:t>considerably[</w:t>
      </w:r>
      <w:proofErr w:type="gramEnd"/>
      <w:r w:rsidRPr="00A200F5">
        <w:rPr>
          <w:rFonts w:ascii="Times New Roman" w:eastAsia="Times New Roman" w:hAnsi="Times New Roman" w:cs="Times New Roman"/>
          <w:sz w:val="24"/>
          <w:szCs w:val="24"/>
        </w:rPr>
        <w:t>60]. This flexibility, while administratively pragmatic, reduces the policy's traction at the point of implementation where specificity matters most.</w:t>
      </w:r>
    </w:p>
    <w:p w14:paraId="51B46D5D" w14:textId="77777777" w:rsidR="00F00637" w:rsidRPr="00A200F5" w:rsidRDefault="007101F3" w:rsidP="00B72AF6">
      <w:pPr>
        <w:pStyle w:val="Heading3"/>
        <w:spacing w:line="360" w:lineRule="auto"/>
        <w:rPr>
          <w:rFonts w:ascii="Times New Roman" w:hAnsi="Times New Roman" w:cs="Times New Roman"/>
          <w:color w:val="auto"/>
        </w:rPr>
      </w:pPr>
      <w:r w:rsidRPr="00A200F5">
        <w:rPr>
          <w:rFonts w:ascii="Times New Roman" w:hAnsi="Times New Roman" w:cs="Times New Roman"/>
          <w:color w:val="auto"/>
        </w:rPr>
        <w:t>Regional Frameworks: AU Agenda 2063 and SDG 7</w:t>
      </w:r>
    </w:p>
    <w:p w14:paraId="11D462ED"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While national policies and ECOWAS provide sub-continental blueprints, the scale of energy poverty across Africa demands a harmonised continental approach. Two primary frameworks provide the strategic scaffolding for this effort: the African Union's Agenda 2063 and the United Nations' Sustainable Development Goal 7 (SDG 7).</w:t>
      </w:r>
    </w:p>
    <w:p w14:paraId="1BE3E548"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Agenda 2063 is the African Union's 50-year blueprint for continental transformation. Its energy commitments are grounded in Aspiration 1 (A Prosperous Africa) and operationalised through the </w:t>
      </w:r>
      <w:r w:rsidRPr="00A200F5">
        <w:rPr>
          <w:rFonts w:ascii="Times New Roman" w:eastAsia="Times New Roman" w:hAnsi="Times New Roman" w:cs="Times New Roman"/>
          <w:sz w:val="24"/>
          <w:szCs w:val="24"/>
        </w:rPr>
        <w:lastRenderedPageBreak/>
        <w:t xml:space="preserve">Programme for Infrastructure Development in Africa (PIDA), which aims to reduce energy costs and expand access to an additional 800 million people, with specific attention to rural and underserved </w:t>
      </w:r>
      <w:proofErr w:type="gramStart"/>
      <w:r w:rsidRPr="00A200F5">
        <w:rPr>
          <w:rFonts w:ascii="Times New Roman" w:eastAsia="Times New Roman" w:hAnsi="Times New Roman" w:cs="Times New Roman"/>
          <w:sz w:val="24"/>
          <w:szCs w:val="24"/>
        </w:rPr>
        <w:t>areas[</w:t>
      </w:r>
      <w:proofErr w:type="gramEnd"/>
      <w:r w:rsidRPr="00A200F5">
        <w:rPr>
          <w:rFonts w:ascii="Times New Roman" w:eastAsia="Times New Roman" w:hAnsi="Times New Roman" w:cs="Times New Roman"/>
          <w:sz w:val="24"/>
          <w:szCs w:val="24"/>
        </w:rPr>
        <w:t xml:space="preserve">64]. Women and socio-economic equity are prominent in the agenda's framing, with multiple aspirations addressing women's participation in governance, rights to land, and access to credit. However, energy with explicit attention to gender is not addressed as an integrated concern within the document. The two sets of commitments exist in parallel rather than in direct </w:t>
      </w:r>
      <w:proofErr w:type="gramStart"/>
      <w:r w:rsidRPr="00A200F5">
        <w:rPr>
          <w:rFonts w:ascii="Times New Roman" w:eastAsia="Times New Roman" w:hAnsi="Times New Roman" w:cs="Times New Roman"/>
          <w:sz w:val="24"/>
          <w:szCs w:val="24"/>
        </w:rPr>
        <w:t>dialogue[</w:t>
      </w:r>
      <w:proofErr w:type="gramEnd"/>
      <w:r w:rsidRPr="00A200F5">
        <w:rPr>
          <w:rFonts w:ascii="Times New Roman" w:eastAsia="Times New Roman" w:hAnsi="Times New Roman" w:cs="Times New Roman"/>
          <w:sz w:val="24"/>
          <w:szCs w:val="24"/>
        </w:rPr>
        <w:t>64].</w:t>
      </w:r>
    </w:p>
    <w:p w14:paraId="10DFC411"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SDG 7 targets universal access to affordable, reliable, and modern energy services (Target 7.1), a substantially increased share of renewable energy in the global energy mix (Target 7.2), and a doubled rate of improvement in energy efficiency (Target 7.3), alongside two means-of-implementation targets enhancing international cooperation and infrastructure development in low-income countries (Targets 7.A and 7.B). African governments including Ethiopia and Kenya have adopted SDG 7 not as a standalone goal but as a nexus goal underpinning health (SDG 3), education (SDG 4), and poverty reduction (SDG </w:t>
      </w:r>
      <w:proofErr w:type="gramStart"/>
      <w:r w:rsidRPr="00A200F5">
        <w:rPr>
          <w:rFonts w:ascii="Times New Roman" w:eastAsia="Times New Roman" w:hAnsi="Times New Roman" w:cs="Times New Roman"/>
          <w:sz w:val="24"/>
          <w:szCs w:val="24"/>
        </w:rPr>
        <w:t>1)[</w:t>
      </w:r>
      <w:proofErr w:type="gramEnd"/>
      <w:r w:rsidRPr="00A200F5">
        <w:rPr>
          <w:rFonts w:ascii="Times New Roman" w:eastAsia="Times New Roman" w:hAnsi="Times New Roman" w:cs="Times New Roman"/>
          <w:sz w:val="24"/>
          <w:szCs w:val="24"/>
        </w:rPr>
        <w:t>65].</w:t>
      </w:r>
    </w:p>
    <w:p w14:paraId="73716989"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A critical structural limitation of SDG 7 in this context is that it lacks dedicated gender indicators. Unlike several other SDGs, it does not require sex-disaggregated data, making it structurally impossible to assess whether energy access gains are reaching women. Gender enters SDG 7 only indirectly, through Target 7.1.2 (access to clean fuels and technologies for cooking), where clean cooking access functions as a proxy gender indicator given the structural concentration of cooking responsibility among women. The African Development Bank's New Deal on Energy for Africa has sought to address this deficit by specifically including strategies to create jobs for women in energy infrastructure and expand clean cooking access to 130 million households,[66] but these commitments exist outside the formal SDG 7 monitoring architecture.</w:t>
      </w:r>
    </w:p>
    <w:p w14:paraId="60EA90CC"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Agenda 2063 and SDG 7 are best understood as nested frameworks: operationally distinct but rhetorically unified in their shared interest in energy access and related development agendas. As the final stretch of the 2030 SDG 7 agenda coincides with the second decade of Agenda 2063, however, countries operating within both frameworks show a persistent absence of measurable indicators for gendered </w:t>
      </w:r>
      <w:proofErr w:type="gramStart"/>
      <w:r w:rsidRPr="00A200F5">
        <w:rPr>
          <w:rFonts w:ascii="Times New Roman" w:eastAsia="Times New Roman" w:hAnsi="Times New Roman" w:cs="Times New Roman"/>
          <w:sz w:val="24"/>
          <w:szCs w:val="24"/>
        </w:rPr>
        <w:t>outcomes[</w:t>
      </w:r>
      <w:proofErr w:type="gramEnd"/>
      <w:r w:rsidRPr="00A200F5">
        <w:rPr>
          <w:rFonts w:ascii="Times New Roman" w:eastAsia="Times New Roman" w:hAnsi="Times New Roman" w:cs="Times New Roman"/>
          <w:sz w:val="24"/>
          <w:szCs w:val="24"/>
        </w:rPr>
        <w:t xml:space="preserve">67]. Progress has been slow and deeply uneven. With fewer than one in six countries on track to achieve universal electricity access by 2030,[68] and approximately one billion people on the continent (roughly four in every five) still relying on polluting cooking </w:t>
      </w:r>
      <w:r w:rsidRPr="00A200F5">
        <w:rPr>
          <w:rFonts w:ascii="Times New Roman" w:eastAsia="Times New Roman" w:hAnsi="Times New Roman" w:cs="Times New Roman"/>
          <w:sz w:val="24"/>
          <w:szCs w:val="24"/>
        </w:rPr>
        <w:lastRenderedPageBreak/>
        <w:t>fuels,[69] the convergence of these frameworks has not yet produced the acceleration that their ambition implies. The burden of this failure falls, as the evidence throughout this review documents, almost exclusively on women.</w:t>
      </w:r>
    </w:p>
    <w:p w14:paraId="21C1CED5"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7.1 Clean Cooking Initiatives: Achievements and Limitations</w:t>
      </w:r>
    </w:p>
    <w:p w14:paraId="23288A5C"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The dominant policy response to cooking energy poverty in Africa has been the promotion of improved cookstoves and, more recently, the scale-up of LPG and electric cooking. The Clean Cooking Alliance mobilised substantial international financing from 2010 onward for the dissemination of cleaner cooking technologies in low-income settings [10]. National improved cookstove programmes have been implemented across Ethiopia, Kenya, Nigeria, Ghana, and Uganda with varying emphases on subsidy, market development, and public procurement.</w:t>
      </w:r>
    </w:p>
    <w:p w14:paraId="6550C21D"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The evidence on these programmes is instructive in its ambiguity. The HAPIN trial, the largest randomised controlled trial of an LPG stove intervention conducted across four low- and middle-income countries, found that a transition from biomass to LPG reduced PM2.5 exposure and improved birth outcomes, but that effects on other prespecified health endpoints were modest [47]. Expert interpretation of these findings has shifted opinion toward the view that health benefits from cookstove interventions are likely to be meaningful only when transitions are to genuinely clean </w:t>
      </w:r>
      <w:proofErr w:type="gramStart"/>
      <w:r w:rsidRPr="00A200F5">
        <w:rPr>
          <w:rFonts w:ascii="Times New Roman" w:hAnsi="Times New Roman" w:cs="Times New Roman"/>
          <w:sz w:val="24"/>
          <w:szCs w:val="24"/>
        </w:rPr>
        <w:t>fuels  -</w:t>
      </w:r>
      <w:proofErr w:type="gramEnd"/>
      <w:r w:rsidRPr="00A200F5">
        <w:rPr>
          <w:rFonts w:ascii="Times New Roman" w:hAnsi="Times New Roman" w:cs="Times New Roman"/>
          <w:sz w:val="24"/>
          <w:szCs w:val="24"/>
        </w:rPr>
        <w:t xml:space="preserve">  rather than incrementally improved biomass combustion  -  and only when fuel use is primary and sustained rather than partial.</w:t>
      </w:r>
    </w:p>
    <w:p w14:paraId="6633B271"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LPG scale-up programmes in Senegal, Nigeria, and Côte d'Ivoire have achieved significant market penetration in urban areas, but rural reach remains constrained by supply chain fragility and affordability barriers [21]. Electric cooking has attracted growing policy interest as solar generation costs have fallen, but cooking load requirements typically exceed the capacity of most current off-grid solar systems, and grid reliability in many countries remains too variable to support electricity as a primary cooking fuel. The net result is that no scalable and affordable clean cooking solution has yet been deployed at the scale required to substantially alter the biomass cooking profile of rural </w:t>
      </w:r>
      <w:proofErr w:type="gramStart"/>
      <w:r w:rsidRPr="00A200F5">
        <w:rPr>
          <w:rFonts w:ascii="Times New Roman" w:hAnsi="Times New Roman" w:cs="Times New Roman"/>
          <w:sz w:val="24"/>
          <w:szCs w:val="24"/>
        </w:rPr>
        <w:t>Africa  -</w:t>
      </w:r>
      <w:proofErr w:type="gramEnd"/>
      <w:r w:rsidRPr="00A200F5">
        <w:rPr>
          <w:rFonts w:ascii="Times New Roman" w:hAnsi="Times New Roman" w:cs="Times New Roman"/>
          <w:sz w:val="24"/>
          <w:szCs w:val="24"/>
        </w:rPr>
        <w:t xml:space="preserve">  a failure that has not been adequately acknowledged in international energy progress reports.</w:t>
      </w:r>
    </w:p>
    <w:p w14:paraId="68518612"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7.2 Electrification Programmes: Persistent Gender Gaps</w:t>
      </w:r>
    </w:p>
    <w:p w14:paraId="1A914565"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lastRenderedPageBreak/>
        <w:t>National electrification programmes have accelerated across Africa over the past decade, supported by multilateral financing and national development targets. The share of Africa's population with electricity access rose from approximately 40 percent in 2010 to around 56 percent by 2022 [19]. This aggregate progress, while real, conceals structural patterns with direct implications for gender equity.</w:t>
      </w:r>
    </w:p>
    <w:p w14:paraId="521FF9E6"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Evidence consistently demonstrates that within electrified households, men are more likely than women to deploy electricity for income-generating purposes, such as powering machinery, operating workshops, and charging devices for payment, while women's primary use remains concentrated in lighting and domestic appliances [22]. Electrification programmes that do not specifically invest in women's access to productive energy services therefore extend grid coverage without necessarily extending the economic benefits of electrification to women. Programmes that couple electrification with financial literacy support, women's enterprise development, and access to electrically powered productive equipment have demonstrated more equitable </w:t>
      </w:r>
      <w:proofErr w:type="gramStart"/>
      <w:r w:rsidRPr="00A200F5">
        <w:rPr>
          <w:rFonts w:ascii="Times New Roman" w:hAnsi="Times New Roman" w:cs="Times New Roman"/>
          <w:sz w:val="24"/>
          <w:szCs w:val="24"/>
        </w:rPr>
        <w:t>outcomes  -</w:t>
      </w:r>
      <w:proofErr w:type="gramEnd"/>
      <w:r w:rsidRPr="00A200F5">
        <w:rPr>
          <w:rFonts w:ascii="Times New Roman" w:hAnsi="Times New Roman" w:cs="Times New Roman"/>
          <w:sz w:val="24"/>
          <w:szCs w:val="24"/>
        </w:rPr>
        <w:t xml:space="preserve">  but such integrated approaches remain exceptions rather than the norm in African electrification policy [45].</w:t>
      </w:r>
    </w:p>
    <w:p w14:paraId="2FC2CDF6"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The relevance of electricity access to maternal and child health outcomes through healthcare facility electrification is a critical and underinvested dimension of the electrification agenda. Evidence from Nigeria and Ghana documents that energy poverty in peripheral health </w:t>
      </w:r>
      <w:proofErr w:type="gramStart"/>
      <w:r w:rsidRPr="00A200F5">
        <w:rPr>
          <w:rFonts w:ascii="Times New Roman" w:hAnsi="Times New Roman" w:cs="Times New Roman"/>
          <w:sz w:val="24"/>
          <w:szCs w:val="24"/>
        </w:rPr>
        <w:t>facilities  -</w:t>
      </w:r>
      <w:proofErr w:type="gramEnd"/>
      <w:r w:rsidRPr="00A200F5">
        <w:rPr>
          <w:rFonts w:ascii="Times New Roman" w:hAnsi="Times New Roman" w:cs="Times New Roman"/>
          <w:sz w:val="24"/>
          <w:szCs w:val="24"/>
        </w:rPr>
        <w:t xml:space="preserve">  manifesting as inadequate lighting for deliveries, absence of refrigeration for vaccines, and inability to power diagnostic or emergency equipment  -  contributes materially to preventable maternal and neonatal deaths [20,33]. These outcomes are not captured in standard electrification metrics, which count a facility as electrified if it has any connection to the </w:t>
      </w:r>
      <w:proofErr w:type="gramStart"/>
      <w:r w:rsidRPr="00A200F5">
        <w:rPr>
          <w:rFonts w:ascii="Times New Roman" w:hAnsi="Times New Roman" w:cs="Times New Roman"/>
          <w:sz w:val="24"/>
          <w:szCs w:val="24"/>
        </w:rPr>
        <w:t>grid,  regardless</w:t>
      </w:r>
      <w:proofErr w:type="gramEnd"/>
      <w:r w:rsidRPr="00A200F5">
        <w:rPr>
          <w:rFonts w:ascii="Times New Roman" w:hAnsi="Times New Roman" w:cs="Times New Roman"/>
          <w:sz w:val="24"/>
          <w:szCs w:val="24"/>
        </w:rPr>
        <w:t xml:space="preserve"> of reliability or the adequacy of that connection for clinical purposes.</w:t>
      </w:r>
    </w:p>
    <w:p w14:paraId="5F64354D" w14:textId="77777777" w:rsidR="006F1244" w:rsidRPr="00A200F5" w:rsidRDefault="00AD4BA2" w:rsidP="00B72AF6">
      <w:pPr>
        <w:pStyle w:val="Heading2"/>
        <w:spacing w:line="360" w:lineRule="auto"/>
        <w:rPr>
          <w:rFonts w:ascii="Times New Roman" w:hAnsi="Times New Roman" w:cs="Times New Roman"/>
          <w:color w:val="auto"/>
        </w:rPr>
      </w:pPr>
      <w:r w:rsidRPr="00A200F5">
        <w:rPr>
          <w:rFonts w:ascii="Times New Roman" w:hAnsi="Times New Roman" w:cs="Times New Roman"/>
          <w:color w:val="auto"/>
        </w:rPr>
        <w:t>7.3 The Gender-Responsive Policy Gap: A Structural Assessment</w:t>
      </w:r>
    </w:p>
    <w:p w14:paraId="225DAA22"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Across the spectrum of African energy policy, including national electrification plans, clean cooking programmes, renewable energy strategies, and regional frameworks, a consistent structural deficit is observable: gender-responsive language exists, but gender-responsive design, implementation, and monitoring do not [14,45]. This gap is not primarily a technical problem. It is a political economy problem, reflecting the under-representation of women in energy governance structures, the marginalisation of gender analysis within energy sector institutions, and </w:t>
      </w:r>
      <w:r w:rsidRPr="00A200F5">
        <w:rPr>
          <w:rFonts w:ascii="Times New Roman" w:hAnsi="Times New Roman" w:cs="Times New Roman"/>
          <w:sz w:val="24"/>
          <w:szCs w:val="24"/>
        </w:rPr>
        <w:lastRenderedPageBreak/>
        <w:t>the absence of accountability mechanisms that would penalise programmes for failing to produce gender-equitable outcomes.</w:t>
      </w:r>
    </w:p>
    <w:p w14:paraId="7E54A80C"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The SDG framework creates a nominally enabling environment through the linkage between SDG7 (affordable and clean energy) and SDG5 (gender equality). In practice, the reporting architectures for these goals are poorly integrated. SDG7 progress is tracked through household-level access data that cannot capture intra-household inequality; SDG5 indicators do not include energy access. The political commitment to gender-responsive energy transitions thus lacks the monitoring architecture necessary to hold governments and donors accountable for delivering it [15].</w:t>
      </w:r>
    </w:p>
    <w:p w14:paraId="10BFE26D" w14:textId="77777777" w:rsidR="006F1244" w:rsidRPr="00A200F5" w:rsidRDefault="006F1244" w:rsidP="00B72AF6">
      <w:pPr>
        <w:spacing w:before="200" w:line="360" w:lineRule="auto"/>
        <w:rPr>
          <w:rFonts w:ascii="Times New Roman" w:hAnsi="Times New Roman" w:cs="Times New Roman"/>
          <w:sz w:val="24"/>
          <w:szCs w:val="24"/>
        </w:rPr>
      </w:pPr>
    </w:p>
    <w:p w14:paraId="2C5E3210" w14:textId="77777777" w:rsidR="00F00637" w:rsidRPr="00A200F5" w:rsidRDefault="007101F3" w:rsidP="00B72AF6">
      <w:pPr>
        <w:pStyle w:val="Heading3"/>
        <w:spacing w:line="360" w:lineRule="auto"/>
        <w:rPr>
          <w:rFonts w:ascii="Times New Roman" w:hAnsi="Times New Roman" w:cs="Times New Roman"/>
          <w:color w:val="auto"/>
        </w:rPr>
      </w:pPr>
      <w:r w:rsidRPr="00A200F5">
        <w:rPr>
          <w:rFonts w:ascii="Times New Roman" w:hAnsi="Times New Roman" w:cs="Times New Roman"/>
          <w:color w:val="auto"/>
        </w:rPr>
        <w:t>Gender Gaps in Energy Policy Design and Implementation</w:t>
      </w:r>
    </w:p>
    <w:p w14:paraId="34B347B6"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The presence of gender language in an energy policy document does not inherently guarantee gender-equitable results. Within the African context, the literature consistently identifies a rhetoric-reality gap, a disconnect where progressive ministerial language fails to alter the lived experiences of women in energy-poor communities. This gap operates through several overlapping mechanisms: flawed assumptions embedded in policy design, the underrepresentation of women in energy governance, persistent data deficits, and the sidelining of gender at the point of private sector implementation.</w:t>
      </w:r>
    </w:p>
    <w:p w14:paraId="5CD2D7EC"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A foundational design failure in many energy policies is the treatment of the household as an undifferentiated unit of analysis. By measuring energy access at the household level, policies assume that a single electricity meter or LPG connection benefits all members equally, masking the internal dynamics through which men may prioritise electricity for entertainment or productive equipment while women remain tied to traditional biomass for </w:t>
      </w:r>
      <w:proofErr w:type="gramStart"/>
      <w:r w:rsidRPr="00A200F5">
        <w:rPr>
          <w:rFonts w:ascii="Times New Roman" w:eastAsia="Times New Roman" w:hAnsi="Times New Roman" w:cs="Times New Roman"/>
          <w:sz w:val="24"/>
          <w:szCs w:val="24"/>
        </w:rPr>
        <w:t>cooking[</w:t>
      </w:r>
      <w:proofErr w:type="gramEnd"/>
      <w:r w:rsidRPr="00A200F5">
        <w:rPr>
          <w:rFonts w:ascii="Times New Roman" w:eastAsia="Times New Roman" w:hAnsi="Times New Roman" w:cs="Times New Roman"/>
          <w:sz w:val="24"/>
          <w:szCs w:val="24"/>
        </w:rPr>
        <w:t xml:space="preserve">76]. This household-level aggregation renders invisible both the intra-household distribution of energy burdens and the structural absence of women's rights over resource allocation in many domestic settings. Compounding this, policies frequently assume that health risks are the primary driver of women's energy choices. Evidence suggests, however, that immediate financial and culinary considerations often outweigh long-term respiratory concerns in women's decision-making, meaning that top-down health-framed mandates frequently fail at the point of </w:t>
      </w:r>
      <w:proofErr w:type="gramStart"/>
      <w:r w:rsidRPr="00A200F5">
        <w:rPr>
          <w:rFonts w:ascii="Times New Roman" w:eastAsia="Times New Roman" w:hAnsi="Times New Roman" w:cs="Times New Roman"/>
          <w:sz w:val="24"/>
          <w:szCs w:val="24"/>
        </w:rPr>
        <w:t>adoption[</w:t>
      </w:r>
      <w:proofErr w:type="gramEnd"/>
      <w:r w:rsidRPr="00A200F5">
        <w:rPr>
          <w:rFonts w:ascii="Times New Roman" w:eastAsia="Times New Roman" w:hAnsi="Times New Roman" w:cs="Times New Roman"/>
          <w:sz w:val="24"/>
          <w:szCs w:val="24"/>
        </w:rPr>
        <w:t xml:space="preserve">75]. A related design gap </w:t>
      </w:r>
      <w:r w:rsidRPr="00A200F5">
        <w:rPr>
          <w:rFonts w:ascii="Times New Roman" w:eastAsia="Times New Roman" w:hAnsi="Times New Roman" w:cs="Times New Roman"/>
          <w:sz w:val="24"/>
          <w:szCs w:val="24"/>
        </w:rPr>
        <w:lastRenderedPageBreak/>
        <w:t xml:space="preserve">concerns the systematic prioritisation of grid electricity expansion over clean cooking </w:t>
      </w:r>
      <w:proofErr w:type="gramStart"/>
      <w:r w:rsidRPr="00A200F5">
        <w:rPr>
          <w:rFonts w:ascii="Times New Roman" w:eastAsia="Times New Roman" w:hAnsi="Times New Roman" w:cs="Times New Roman"/>
          <w:sz w:val="24"/>
          <w:szCs w:val="24"/>
        </w:rPr>
        <w:t>transitions[</w:t>
      </w:r>
      <w:proofErr w:type="gramEnd"/>
      <w:r w:rsidRPr="00A200F5">
        <w:rPr>
          <w:rFonts w:ascii="Times New Roman" w:eastAsia="Times New Roman" w:hAnsi="Times New Roman" w:cs="Times New Roman"/>
          <w:sz w:val="24"/>
          <w:szCs w:val="24"/>
        </w:rPr>
        <w:t xml:space="preserve">77]. Even in electrified households, women may continue spending hours gathering biomass fuel, sustaining their time poverty </w:t>
      </w:r>
      <w:proofErr w:type="gramStart"/>
      <w:r w:rsidRPr="00A200F5">
        <w:rPr>
          <w:rFonts w:ascii="Times New Roman" w:eastAsia="Times New Roman" w:hAnsi="Times New Roman" w:cs="Times New Roman"/>
          <w:sz w:val="24"/>
          <w:szCs w:val="24"/>
        </w:rPr>
        <w:t>undiminished[</w:t>
      </w:r>
      <w:proofErr w:type="gramEnd"/>
      <w:r w:rsidRPr="00A200F5">
        <w:rPr>
          <w:rFonts w:ascii="Times New Roman" w:eastAsia="Times New Roman" w:hAnsi="Times New Roman" w:cs="Times New Roman"/>
          <w:sz w:val="24"/>
          <w:szCs w:val="24"/>
        </w:rPr>
        <w:t>73].</w:t>
      </w:r>
    </w:p>
    <w:p w14:paraId="1FB26B87"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The underrepresentation of women in energy governance and policymaking is both a cause and a consequence of these design failures. Where women are absent from the rooms in which energy policy is formulated, the policies that emerge tend to reflect neither their priorities nor their constraints. Kenya's experience is instructive: although its policy frameworks formally incorporate requirements for women's participation in energy sector institutions, analysis has shown that no specific strategy exists to operationalise this commitment, and the relevant legislative instruments, including Sessional Paper No. 4 on Energy, fail to identify vulnerable groups or define the mechanisms by which tariff concessions would reach </w:t>
      </w:r>
      <w:proofErr w:type="gramStart"/>
      <w:r w:rsidRPr="00A200F5">
        <w:rPr>
          <w:rFonts w:ascii="Times New Roman" w:eastAsia="Times New Roman" w:hAnsi="Times New Roman" w:cs="Times New Roman"/>
          <w:sz w:val="24"/>
          <w:szCs w:val="24"/>
        </w:rPr>
        <w:t>them[</w:t>
      </w:r>
      <w:proofErr w:type="gramEnd"/>
      <w:r w:rsidRPr="00A200F5">
        <w:rPr>
          <w:rFonts w:ascii="Times New Roman" w:eastAsia="Times New Roman" w:hAnsi="Times New Roman" w:cs="Times New Roman"/>
          <w:sz w:val="24"/>
          <w:szCs w:val="24"/>
        </w:rPr>
        <w:t xml:space="preserve">71]. Botswana's experience illustrates the same problem at the design stage: its gender energy policy was developed by 34 institutional stakeholders among whom no gender specialists or women's advocates were represented, producing a document whose gender commitments were structurally unanchored from the </w:t>
      </w:r>
      <w:proofErr w:type="gramStart"/>
      <w:r w:rsidRPr="00A200F5">
        <w:rPr>
          <w:rFonts w:ascii="Times New Roman" w:eastAsia="Times New Roman" w:hAnsi="Times New Roman" w:cs="Times New Roman"/>
          <w:sz w:val="24"/>
          <w:szCs w:val="24"/>
        </w:rPr>
        <w:t>outset[</w:t>
      </w:r>
      <w:proofErr w:type="gramEnd"/>
      <w:r w:rsidRPr="00A200F5">
        <w:rPr>
          <w:rFonts w:ascii="Times New Roman" w:eastAsia="Times New Roman" w:hAnsi="Times New Roman" w:cs="Times New Roman"/>
          <w:sz w:val="24"/>
          <w:szCs w:val="24"/>
        </w:rPr>
        <w:t xml:space="preserve">72]. Botswana's national energy policy has since been revised, with mainstreaming language formally incorporated, but the revision remains at the level of policy intent rather than measurable </w:t>
      </w:r>
      <w:proofErr w:type="gramStart"/>
      <w:r w:rsidRPr="00A200F5">
        <w:rPr>
          <w:rFonts w:ascii="Times New Roman" w:eastAsia="Times New Roman" w:hAnsi="Times New Roman" w:cs="Times New Roman"/>
          <w:sz w:val="24"/>
          <w:szCs w:val="24"/>
        </w:rPr>
        <w:t>outcomes[</w:t>
      </w:r>
      <w:proofErr w:type="gramEnd"/>
      <w:r w:rsidRPr="00A200F5">
        <w:rPr>
          <w:rFonts w:ascii="Times New Roman" w:eastAsia="Times New Roman" w:hAnsi="Times New Roman" w:cs="Times New Roman"/>
          <w:sz w:val="24"/>
          <w:szCs w:val="24"/>
        </w:rPr>
        <w:t>72].</w:t>
      </w:r>
    </w:p>
    <w:p w14:paraId="1AD3D803"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Implementation gaps also emerge systematically at the interface between public policy and private sector operations. Energy utilities and independent power producers, whose decisions determine how infrastructure is deployed and who it reaches, rarely operate under gender mandates and frequently lack the institutional architecture to apply them. Senegal's national electricity utility, Senelec, provides a documented example: despite a substantial increase in private investment through independent power producers, the utility has operated without a gender focal unit, subordinating gender considerations to the core commercial objectives of cost minimisation and supply </w:t>
      </w:r>
      <w:proofErr w:type="gramStart"/>
      <w:r w:rsidRPr="00A200F5">
        <w:rPr>
          <w:rFonts w:ascii="Times New Roman" w:eastAsia="Times New Roman" w:hAnsi="Times New Roman" w:cs="Times New Roman"/>
          <w:sz w:val="24"/>
          <w:szCs w:val="24"/>
        </w:rPr>
        <w:t>security[</w:t>
      </w:r>
      <w:proofErr w:type="gramEnd"/>
      <w:r w:rsidRPr="00A200F5">
        <w:rPr>
          <w:rFonts w:ascii="Times New Roman" w:eastAsia="Times New Roman" w:hAnsi="Times New Roman" w:cs="Times New Roman"/>
          <w:sz w:val="24"/>
          <w:szCs w:val="24"/>
        </w:rPr>
        <w:t>70]. This pattern, where gender is acknowledged as relevant at the policy level but absent at the operational level, reflects an institutional design failure that financing and technology interventions alone cannot correct.</w:t>
      </w:r>
    </w:p>
    <w:p w14:paraId="4C12A6E2" w14:textId="2FA22EB1" w:rsidR="00F00637" w:rsidRPr="00A200F5" w:rsidRDefault="007101F3" w:rsidP="00B72AF6">
      <w:pPr>
        <w:spacing w:after="160" w:line="360" w:lineRule="auto"/>
        <w:jc w:val="both"/>
        <w:rPr>
          <w:rFonts w:ascii="Times New Roman" w:eastAsia="Times New Roman" w:hAnsi="Times New Roman" w:cs="Times New Roman"/>
          <w:sz w:val="24"/>
          <w:szCs w:val="24"/>
        </w:rPr>
      </w:pPr>
      <w:r w:rsidRPr="00A200F5">
        <w:rPr>
          <w:rFonts w:ascii="Times New Roman" w:eastAsia="Times New Roman" w:hAnsi="Times New Roman" w:cs="Times New Roman"/>
          <w:sz w:val="24"/>
          <w:szCs w:val="24"/>
        </w:rPr>
        <w:t xml:space="preserve">Underlying all of these gaps is a chronic deficit in sex-disaggregated data. Without data on who makes energy decisions within households, who bears the health costs of energy poverty, and who benefits from transitions to cleaner fuels, it is structurally impossible to design targeted </w:t>
      </w:r>
      <w:r w:rsidRPr="00A200F5">
        <w:rPr>
          <w:rFonts w:ascii="Times New Roman" w:eastAsia="Times New Roman" w:hAnsi="Times New Roman" w:cs="Times New Roman"/>
          <w:sz w:val="24"/>
          <w:szCs w:val="24"/>
        </w:rPr>
        <w:lastRenderedPageBreak/>
        <w:t xml:space="preserve">interventions, monitor their reach, or hold governments and donors accountable for gendered </w:t>
      </w:r>
      <w:proofErr w:type="gramStart"/>
      <w:r w:rsidRPr="00A200F5">
        <w:rPr>
          <w:rFonts w:ascii="Times New Roman" w:eastAsia="Times New Roman" w:hAnsi="Times New Roman" w:cs="Times New Roman"/>
          <w:sz w:val="24"/>
          <w:szCs w:val="24"/>
        </w:rPr>
        <w:t>outcomes[</w:t>
      </w:r>
      <w:proofErr w:type="gramEnd"/>
      <w:r w:rsidRPr="00A200F5">
        <w:rPr>
          <w:rFonts w:ascii="Times New Roman" w:eastAsia="Times New Roman" w:hAnsi="Times New Roman" w:cs="Times New Roman"/>
          <w:sz w:val="24"/>
          <w:szCs w:val="24"/>
        </w:rPr>
        <w:t xml:space="preserve">75]. Publication bias compounds this problem: the literature on gender and energy disproportionately documents successful programmes while underreporting failures, producing an evidence base that systematically overstates the effectiveness of existing </w:t>
      </w:r>
      <w:proofErr w:type="gramStart"/>
      <w:r w:rsidRPr="00A200F5">
        <w:rPr>
          <w:rFonts w:ascii="Times New Roman" w:eastAsia="Times New Roman" w:hAnsi="Times New Roman" w:cs="Times New Roman"/>
          <w:sz w:val="24"/>
          <w:szCs w:val="24"/>
        </w:rPr>
        <w:t>approaches[</w:t>
      </w:r>
      <w:proofErr w:type="gramEnd"/>
      <w:r w:rsidRPr="00A200F5">
        <w:rPr>
          <w:rFonts w:ascii="Times New Roman" w:eastAsia="Times New Roman" w:hAnsi="Times New Roman" w:cs="Times New Roman"/>
          <w:sz w:val="24"/>
          <w:szCs w:val="24"/>
        </w:rPr>
        <w:t>75]. Closing these gaps requires not only more and better data collection, but a reorientation of evaluation frameworks toward gendered outcome indicators. This is a reform that both Agenda 2063 and SDG 7, as currently constituted, fall short of mandating</w:t>
      </w:r>
      <w:r w:rsidR="00180E0C" w:rsidRPr="00A200F5">
        <w:rPr>
          <w:rFonts w:ascii="Times New Roman" w:eastAsia="Times New Roman" w:hAnsi="Times New Roman" w:cs="Times New Roman"/>
          <w:sz w:val="24"/>
          <w:szCs w:val="24"/>
        </w:rPr>
        <w:t xml:space="preserve"> </w:t>
      </w:r>
      <w:r w:rsidRPr="00A200F5">
        <w:rPr>
          <w:rFonts w:ascii="Times New Roman" w:eastAsia="Times New Roman" w:hAnsi="Times New Roman" w:cs="Times New Roman"/>
          <w:sz w:val="24"/>
          <w:szCs w:val="24"/>
        </w:rPr>
        <w:t>[65,66].</w:t>
      </w:r>
    </w:p>
    <w:p w14:paraId="7BE60EA5" w14:textId="43CCC1AF" w:rsidR="00F90396" w:rsidRPr="00A200F5" w:rsidRDefault="00F90396" w:rsidP="00B72AF6">
      <w:pPr>
        <w:spacing w:after="160" w:line="360" w:lineRule="auto"/>
        <w:jc w:val="both"/>
        <w:rPr>
          <w:rFonts w:ascii="Times New Roman" w:eastAsia="Times New Roman" w:hAnsi="Times New Roman" w:cs="Times New Roman"/>
          <w:sz w:val="24"/>
          <w:szCs w:val="24"/>
        </w:rPr>
      </w:pPr>
      <w:r w:rsidRPr="00A200F5">
        <w:rPr>
          <w:noProof/>
          <w:sz w:val="19"/>
        </w:rPr>
        <w:drawing>
          <wp:anchor distT="0" distB="0" distL="0" distR="0" simplePos="0" relativeHeight="251659264" behindDoc="1" locked="0" layoutInCell="1" allowOverlap="1" wp14:anchorId="212F263A" wp14:editId="28DA35C5">
            <wp:simplePos x="0" y="0"/>
            <wp:positionH relativeFrom="margin">
              <wp:posOffset>0</wp:posOffset>
            </wp:positionH>
            <wp:positionV relativeFrom="paragraph">
              <wp:posOffset>361950</wp:posOffset>
            </wp:positionV>
            <wp:extent cx="6143625" cy="3533775"/>
            <wp:effectExtent l="0" t="0" r="9525" b="9525"/>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143625" cy="3533775"/>
                    </a:xfrm>
                    <a:prstGeom prst="rect">
                      <a:avLst/>
                    </a:prstGeom>
                  </pic:spPr>
                </pic:pic>
              </a:graphicData>
            </a:graphic>
            <wp14:sizeRelH relativeFrom="margin">
              <wp14:pctWidth>0</wp14:pctWidth>
            </wp14:sizeRelH>
            <wp14:sizeRelV relativeFrom="margin">
              <wp14:pctHeight>0</wp14:pctHeight>
            </wp14:sizeRelV>
          </wp:anchor>
        </w:drawing>
      </w:r>
    </w:p>
    <w:p w14:paraId="2980C968" w14:textId="77777777" w:rsidR="0044171D" w:rsidRPr="00A200F5" w:rsidRDefault="0044171D" w:rsidP="00B72AF6">
      <w:pPr>
        <w:spacing w:after="160" w:line="360" w:lineRule="auto"/>
        <w:jc w:val="both"/>
        <w:rPr>
          <w:sz w:val="20"/>
          <w:szCs w:val="20"/>
        </w:rPr>
      </w:pPr>
    </w:p>
    <w:p w14:paraId="45CED647" w14:textId="4DDBB285" w:rsidR="00F90396" w:rsidRPr="00A200F5" w:rsidRDefault="00F90396" w:rsidP="00F90396">
      <w:pPr>
        <w:spacing w:after="160" w:line="360" w:lineRule="auto"/>
        <w:jc w:val="both"/>
        <w:rPr>
          <w:sz w:val="20"/>
          <w:szCs w:val="20"/>
        </w:rPr>
      </w:pPr>
      <w:r w:rsidRPr="00A200F5">
        <w:rPr>
          <w:sz w:val="20"/>
          <w:szCs w:val="20"/>
        </w:rPr>
        <w:t xml:space="preserve">  </w:t>
      </w:r>
      <w:r w:rsidRPr="00A200F5">
        <w:rPr>
          <w:rStyle w:val="Strong"/>
          <w:rFonts w:ascii="Times New Roman" w:hAnsi="Times New Roman" w:cs="Times New Roman"/>
          <w:b w:val="0"/>
          <w:bCs w:val="0"/>
          <w:sz w:val="20"/>
          <w:szCs w:val="20"/>
        </w:rPr>
        <w:t xml:space="preserve">Figure 2: Network of interlinkages among the Sustainable Development Goals (SDGs), showing strong (solid), moderate (dashed), and weak (faint) connections, and underscoring their systemic interdependence. </w:t>
      </w:r>
      <w:r w:rsidRPr="00A200F5">
        <w:rPr>
          <w:rFonts w:ascii="Times New Roman" w:hAnsi="Times New Roman" w:cs="Times New Roman"/>
          <w:sz w:val="20"/>
          <w:szCs w:val="20"/>
        </w:rPr>
        <w:t>Source: Royo MG, Diep L, Mulligan J,</w:t>
      </w:r>
      <w:r w:rsidRPr="00A200F5">
        <w:rPr>
          <w:rFonts w:ascii="Times New Roman" w:hAnsi="Times New Roman" w:cs="Times New Roman"/>
          <w:spacing w:val="-7"/>
          <w:sz w:val="20"/>
          <w:szCs w:val="20"/>
        </w:rPr>
        <w:t xml:space="preserve"> </w:t>
      </w:r>
      <w:r w:rsidRPr="00A200F5">
        <w:rPr>
          <w:rFonts w:ascii="Times New Roman" w:hAnsi="Times New Roman" w:cs="Times New Roman"/>
          <w:sz w:val="20"/>
          <w:szCs w:val="20"/>
        </w:rPr>
        <w:t>Mukanga</w:t>
      </w:r>
      <w:r w:rsidRPr="00A200F5">
        <w:rPr>
          <w:rFonts w:ascii="Times New Roman" w:hAnsi="Times New Roman" w:cs="Times New Roman"/>
          <w:spacing w:val="-7"/>
          <w:sz w:val="20"/>
          <w:szCs w:val="20"/>
        </w:rPr>
        <w:t xml:space="preserve"> </w:t>
      </w:r>
      <w:r w:rsidRPr="00A200F5">
        <w:rPr>
          <w:rFonts w:ascii="Times New Roman" w:hAnsi="Times New Roman" w:cs="Times New Roman"/>
          <w:sz w:val="20"/>
          <w:szCs w:val="20"/>
        </w:rPr>
        <w:t>P,</w:t>
      </w:r>
      <w:r w:rsidRPr="00A200F5">
        <w:rPr>
          <w:rFonts w:ascii="Times New Roman" w:hAnsi="Times New Roman" w:cs="Times New Roman"/>
          <w:spacing w:val="-7"/>
          <w:sz w:val="20"/>
          <w:szCs w:val="20"/>
        </w:rPr>
        <w:t xml:space="preserve"> </w:t>
      </w:r>
      <w:r w:rsidRPr="00A200F5">
        <w:rPr>
          <w:rFonts w:ascii="Times New Roman" w:hAnsi="Times New Roman" w:cs="Times New Roman"/>
          <w:sz w:val="20"/>
          <w:szCs w:val="20"/>
        </w:rPr>
        <w:t>Parikh</w:t>
      </w:r>
      <w:r w:rsidRPr="00A200F5">
        <w:rPr>
          <w:rFonts w:ascii="Times New Roman" w:hAnsi="Times New Roman" w:cs="Times New Roman"/>
          <w:spacing w:val="-7"/>
          <w:sz w:val="20"/>
          <w:szCs w:val="20"/>
        </w:rPr>
        <w:t xml:space="preserve"> </w:t>
      </w:r>
      <w:r w:rsidRPr="00A200F5">
        <w:rPr>
          <w:rFonts w:ascii="Times New Roman" w:hAnsi="Times New Roman" w:cs="Times New Roman"/>
          <w:sz w:val="20"/>
          <w:szCs w:val="20"/>
        </w:rPr>
        <w:t>P.</w:t>
      </w:r>
      <w:r w:rsidRPr="00A200F5">
        <w:rPr>
          <w:rFonts w:ascii="Times New Roman" w:hAnsi="Times New Roman" w:cs="Times New Roman"/>
          <w:spacing w:val="-7"/>
          <w:sz w:val="20"/>
          <w:szCs w:val="20"/>
        </w:rPr>
        <w:t xml:space="preserve"> </w:t>
      </w:r>
      <w:r w:rsidRPr="00A200F5">
        <w:rPr>
          <w:rFonts w:ascii="Times New Roman" w:hAnsi="Times New Roman" w:cs="Times New Roman"/>
          <w:sz w:val="20"/>
          <w:szCs w:val="20"/>
        </w:rPr>
        <w:t>Linking</w:t>
      </w:r>
      <w:r w:rsidRPr="00A200F5">
        <w:rPr>
          <w:rFonts w:ascii="Times New Roman" w:hAnsi="Times New Roman" w:cs="Times New Roman"/>
          <w:spacing w:val="-7"/>
          <w:sz w:val="20"/>
          <w:szCs w:val="20"/>
        </w:rPr>
        <w:t xml:space="preserve"> </w:t>
      </w:r>
      <w:r w:rsidRPr="00A200F5">
        <w:rPr>
          <w:rFonts w:ascii="Times New Roman" w:hAnsi="Times New Roman" w:cs="Times New Roman"/>
          <w:sz w:val="20"/>
          <w:szCs w:val="20"/>
        </w:rPr>
        <w:t>the</w:t>
      </w:r>
      <w:r w:rsidRPr="00A200F5">
        <w:rPr>
          <w:rFonts w:ascii="Times New Roman" w:hAnsi="Times New Roman" w:cs="Times New Roman"/>
          <w:spacing w:val="-7"/>
          <w:sz w:val="20"/>
          <w:szCs w:val="20"/>
        </w:rPr>
        <w:t xml:space="preserve"> </w:t>
      </w:r>
      <w:r w:rsidRPr="00A200F5">
        <w:rPr>
          <w:rFonts w:ascii="Times New Roman" w:hAnsi="Times New Roman" w:cs="Times New Roman"/>
          <w:sz w:val="20"/>
          <w:szCs w:val="20"/>
        </w:rPr>
        <w:t>UN</w:t>
      </w:r>
      <w:r w:rsidRPr="00A200F5">
        <w:rPr>
          <w:rFonts w:ascii="Times New Roman" w:hAnsi="Times New Roman" w:cs="Times New Roman"/>
          <w:spacing w:val="-7"/>
          <w:sz w:val="20"/>
          <w:szCs w:val="20"/>
        </w:rPr>
        <w:t xml:space="preserve"> </w:t>
      </w:r>
      <w:r w:rsidRPr="00A200F5">
        <w:rPr>
          <w:rFonts w:ascii="Times New Roman" w:hAnsi="Times New Roman" w:cs="Times New Roman"/>
          <w:sz w:val="20"/>
          <w:szCs w:val="20"/>
        </w:rPr>
        <w:t>Sustainable Development</w:t>
      </w:r>
      <w:r w:rsidRPr="00A200F5">
        <w:rPr>
          <w:rFonts w:ascii="Times New Roman" w:hAnsi="Times New Roman" w:cs="Times New Roman"/>
          <w:spacing w:val="-4"/>
          <w:sz w:val="20"/>
          <w:szCs w:val="20"/>
        </w:rPr>
        <w:t xml:space="preserve"> </w:t>
      </w:r>
      <w:r w:rsidRPr="00A200F5">
        <w:rPr>
          <w:rFonts w:ascii="Times New Roman" w:hAnsi="Times New Roman" w:cs="Times New Roman"/>
          <w:sz w:val="20"/>
          <w:szCs w:val="20"/>
        </w:rPr>
        <w:t>Goals</w:t>
      </w:r>
      <w:r w:rsidRPr="00A200F5">
        <w:rPr>
          <w:rFonts w:ascii="Times New Roman" w:hAnsi="Times New Roman" w:cs="Times New Roman"/>
          <w:spacing w:val="-4"/>
          <w:sz w:val="20"/>
          <w:szCs w:val="20"/>
        </w:rPr>
        <w:t xml:space="preserve"> </w:t>
      </w:r>
      <w:r w:rsidRPr="00A200F5">
        <w:rPr>
          <w:rFonts w:ascii="Times New Roman" w:hAnsi="Times New Roman" w:cs="Times New Roman"/>
          <w:sz w:val="20"/>
          <w:szCs w:val="20"/>
        </w:rPr>
        <w:t>and</w:t>
      </w:r>
      <w:r w:rsidRPr="00A200F5">
        <w:rPr>
          <w:rFonts w:ascii="Times New Roman" w:hAnsi="Times New Roman" w:cs="Times New Roman"/>
          <w:spacing w:val="-4"/>
          <w:sz w:val="20"/>
          <w:szCs w:val="20"/>
        </w:rPr>
        <w:t xml:space="preserve"> </w:t>
      </w:r>
      <w:r w:rsidRPr="00A200F5">
        <w:rPr>
          <w:rFonts w:ascii="Times New Roman" w:hAnsi="Times New Roman" w:cs="Times New Roman"/>
          <w:sz w:val="20"/>
          <w:szCs w:val="20"/>
        </w:rPr>
        <w:t>African</w:t>
      </w:r>
      <w:r w:rsidRPr="00A200F5">
        <w:rPr>
          <w:rFonts w:ascii="Times New Roman" w:hAnsi="Times New Roman" w:cs="Times New Roman"/>
          <w:spacing w:val="-4"/>
          <w:sz w:val="20"/>
          <w:szCs w:val="20"/>
        </w:rPr>
        <w:t xml:space="preserve"> </w:t>
      </w:r>
      <w:r w:rsidRPr="00A200F5">
        <w:rPr>
          <w:rFonts w:ascii="Times New Roman" w:hAnsi="Times New Roman" w:cs="Times New Roman"/>
          <w:sz w:val="20"/>
          <w:szCs w:val="20"/>
        </w:rPr>
        <w:t>Agenda</w:t>
      </w:r>
      <w:r w:rsidRPr="00A200F5">
        <w:rPr>
          <w:rFonts w:ascii="Times New Roman" w:hAnsi="Times New Roman" w:cs="Times New Roman"/>
          <w:spacing w:val="-4"/>
          <w:sz w:val="20"/>
          <w:szCs w:val="20"/>
        </w:rPr>
        <w:t xml:space="preserve"> </w:t>
      </w:r>
      <w:r w:rsidRPr="00A200F5">
        <w:rPr>
          <w:rFonts w:ascii="Times New Roman" w:hAnsi="Times New Roman" w:cs="Times New Roman"/>
          <w:sz w:val="20"/>
          <w:szCs w:val="20"/>
        </w:rPr>
        <w:t>2063</w:t>
      </w:r>
    </w:p>
    <w:p w14:paraId="2977F3DB" w14:textId="7813EE19" w:rsidR="00180E0C" w:rsidRPr="00A200F5" w:rsidRDefault="00180E0C" w:rsidP="00B72AF6">
      <w:pPr>
        <w:spacing w:after="160" w:line="360" w:lineRule="auto"/>
        <w:jc w:val="both"/>
        <w:rPr>
          <w:rFonts w:ascii="Times New Roman" w:hAnsi="Times New Roman" w:cs="Times New Roman"/>
        </w:rPr>
      </w:pPr>
    </w:p>
    <w:p w14:paraId="029903FF" w14:textId="77777777" w:rsidR="00F00637" w:rsidRPr="00A200F5" w:rsidRDefault="007101F3" w:rsidP="00B72AF6">
      <w:pPr>
        <w:pStyle w:val="Heading1"/>
        <w:spacing w:before="320" w:line="360" w:lineRule="auto"/>
        <w:rPr>
          <w:rFonts w:ascii="Times New Roman" w:hAnsi="Times New Roman" w:cs="Times New Roman"/>
          <w:color w:val="auto"/>
        </w:rPr>
      </w:pPr>
      <w:r w:rsidRPr="00A200F5">
        <w:rPr>
          <w:rFonts w:ascii="Times New Roman" w:hAnsi="Times New Roman" w:cs="Times New Roman"/>
          <w:color w:val="auto"/>
        </w:rPr>
        <w:t>8. PERSISTENT CHALLENGES: A LAYERED ANALYSIS</w:t>
      </w:r>
    </w:p>
    <w:p w14:paraId="433B0396"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lastRenderedPageBreak/>
        <w:t>Progress on addressing gendered energy poverty in Africa is constrained by overlapping challenges operating at financial, infrastructural, institutional, and political levels. Understanding these challenges as layered and interacting, rather than as discrete, sequentially solvable problems, is essential for realistic policy design.</w:t>
      </w:r>
    </w:p>
    <w:p w14:paraId="4A0562F1"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Financial barriers constitute the most frequently cited obstacle to clean energy adoption, and they affect women with particular and compounded force. The upfront costs of LPG cylinders and stoves, solar home systems, and grid connection fees represent multiples of monthly household income for the majority of Africa's energy-poor </w:t>
      </w:r>
      <w:proofErr w:type="gramStart"/>
      <w:r w:rsidRPr="00A200F5">
        <w:rPr>
          <w:rFonts w:ascii="Times New Roman" w:eastAsia="Times New Roman" w:hAnsi="Times New Roman" w:cs="Times New Roman"/>
          <w:sz w:val="24"/>
          <w:szCs w:val="24"/>
        </w:rPr>
        <w:t>population[</w:t>
      </w:r>
      <w:proofErr w:type="gramEnd"/>
      <w:r w:rsidRPr="00A200F5">
        <w:rPr>
          <w:rFonts w:ascii="Times New Roman" w:eastAsia="Times New Roman" w:hAnsi="Times New Roman" w:cs="Times New Roman"/>
          <w:sz w:val="24"/>
          <w:szCs w:val="24"/>
        </w:rPr>
        <w:t xml:space="preserve">21]. Subsidies have been deployed across many countries but are characteristically poorly targeted, reaching wealthier urban consumers while failing to penetrate the rural and peri-urban markets where need is </w:t>
      </w:r>
      <w:proofErr w:type="gramStart"/>
      <w:r w:rsidRPr="00A200F5">
        <w:rPr>
          <w:rFonts w:ascii="Times New Roman" w:eastAsia="Times New Roman" w:hAnsi="Times New Roman" w:cs="Times New Roman"/>
          <w:sz w:val="24"/>
          <w:szCs w:val="24"/>
        </w:rPr>
        <w:t>greatest[</w:t>
      </w:r>
      <w:proofErr w:type="gramEnd"/>
      <w:r w:rsidRPr="00A200F5">
        <w:rPr>
          <w:rFonts w:ascii="Times New Roman" w:eastAsia="Times New Roman" w:hAnsi="Times New Roman" w:cs="Times New Roman"/>
          <w:sz w:val="24"/>
          <w:szCs w:val="24"/>
        </w:rPr>
        <w:t>10,19]. Women, who are more likely to lack formal income, credit history, and collateral, face barriers to both market-rate financing and subsidised product access.</w:t>
      </w:r>
    </w:p>
    <w:p w14:paraId="4BB1930A"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Infrastructure constraints represent a second and compounding category of challenge. In remote rural areas, the economics of grid extension are unfavourable under standard utility models, and LPG supply chains are unreliable or absent. Off-grid solar technology has made substantial inroads in these contexts, but most deployed systems remain sized for lighting and phone charging rather than </w:t>
      </w:r>
      <w:proofErr w:type="gramStart"/>
      <w:r w:rsidRPr="00A200F5">
        <w:rPr>
          <w:rFonts w:ascii="Times New Roman" w:eastAsia="Times New Roman" w:hAnsi="Times New Roman" w:cs="Times New Roman"/>
          <w:sz w:val="24"/>
          <w:szCs w:val="24"/>
        </w:rPr>
        <w:t>cooking[</w:t>
      </w:r>
      <w:proofErr w:type="gramEnd"/>
      <w:r w:rsidRPr="00A200F5">
        <w:rPr>
          <w:rFonts w:ascii="Times New Roman" w:eastAsia="Times New Roman" w:hAnsi="Times New Roman" w:cs="Times New Roman"/>
          <w:sz w:val="24"/>
          <w:szCs w:val="24"/>
        </w:rPr>
        <w:t>18]. The absence of affordable clean cooking alternatives leaves open-fire biomass combustion as the structural default, not because households prefer it but because viable alternatives are inaccessible. Characterising this as a market failure misidentifies the problem: it is primarily a public investment failure.</w:t>
      </w:r>
    </w:p>
    <w:p w14:paraId="7662B827"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Institutional capacity and political will represent the third and most underappreciated layer of challenge. Energy policies that are technically sound and adequately resourced can still fail to produce gender-equitable outcomes where implementing institutions lack training in gender analysis, accountability to gendered outcome metrics, or incentives to prioritise the women least visible in formal markets. Community-based implementation approaches that engage women's groups as programme conduits have demonstrated promise in multiple African contexts, but require genuine institutional commitment rather than rhetorical acknowledgement to </w:t>
      </w:r>
      <w:proofErr w:type="gramStart"/>
      <w:r w:rsidRPr="00A200F5">
        <w:rPr>
          <w:rFonts w:ascii="Times New Roman" w:eastAsia="Times New Roman" w:hAnsi="Times New Roman" w:cs="Times New Roman"/>
          <w:sz w:val="24"/>
          <w:szCs w:val="24"/>
        </w:rPr>
        <w:t>sustain[</w:t>
      </w:r>
      <w:proofErr w:type="gramEnd"/>
      <w:r w:rsidRPr="00A200F5">
        <w:rPr>
          <w:rFonts w:ascii="Times New Roman" w:eastAsia="Times New Roman" w:hAnsi="Times New Roman" w:cs="Times New Roman"/>
          <w:sz w:val="24"/>
          <w:szCs w:val="24"/>
        </w:rPr>
        <w:t>44,45].</w:t>
      </w:r>
    </w:p>
    <w:p w14:paraId="443FA1FC" w14:textId="77777777" w:rsidR="00F00637" w:rsidRPr="00A200F5" w:rsidRDefault="007101F3" w:rsidP="00B72AF6">
      <w:pPr>
        <w:pStyle w:val="Heading1"/>
        <w:spacing w:before="320" w:line="360" w:lineRule="auto"/>
        <w:rPr>
          <w:rFonts w:ascii="Times New Roman" w:hAnsi="Times New Roman" w:cs="Times New Roman"/>
          <w:color w:val="auto"/>
        </w:rPr>
      </w:pPr>
      <w:r w:rsidRPr="00A200F5">
        <w:rPr>
          <w:rFonts w:ascii="Times New Roman" w:hAnsi="Times New Roman" w:cs="Times New Roman"/>
          <w:color w:val="auto"/>
        </w:rPr>
        <w:t>9. FUTURE DIRECTIONS</w:t>
      </w:r>
    </w:p>
    <w:p w14:paraId="58361717" w14:textId="77777777" w:rsidR="00F00637" w:rsidRPr="00A200F5" w:rsidRDefault="007101F3" w:rsidP="00B72AF6">
      <w:pPr>
        <w:pStyle w:val="Heading2"/>
        <w:spacing w:before="240" w:line="360" w:lineRule="auto"/>
        <w:rPr>
          <w:rFonts w:ascii="Times New Roman" w:hAnsi="Times New Roman" w:cs="Times New Roman"/>
          <w:color w:val="auto"/>
        </w:rPr>
      </w:pPr>
      <w:r w:rsidRPr="00A200F5">
        <w:rPr>
          <w:rFonts w:ascii="Times New Roman" w:hAnsi="Times New Roman" w:cs="Times New Roman"/>
          <w:color w:val="auto"/>
        </w:rPr>
        <w:lastRenderedPageBreak/>
        <w:t>9.1 Prerequisites for Gender-Responsive Energy Policy</w:t>
      </w:r>
    </w:p>
    <w:p w14:paraId="2E209F54"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The evidence reviewed in this paper supports a set of concrete and achievable policy reforms. These are not supplementary additions to existing energy programmes; they are structural preconditions for those programmes to deliver equitable outcomes.</w:t>
      </w:r>
    </w:p>
    <w:p w14:paraId="348D286B"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Sex-disaggregated data collection must become a standard requirement for any nationally or internationally funded energy programme, monitored and reported against defined gendered </w:t>
      </w:r>
      <w:proofErr w:type="gramStart"/>
      <w:r w:rsidRPr="00A200F5">
        <w:rPr>
          <w:rFonts w:ascii="Times New Roman" w:eastAsia="Times New Roman" w:hAnsi="Times New Roman" w:cs="Times New Roman"/>
          <w:sz w:val="24"/>
          <w:szCs w:val="24"/>
        </w:rPr>
        <w:t>indicators[</w:t>
      </w:r>
      <w:proofErr w:type="gramEnd"/>
      <w:r w:rsidRPr="00A200F5">
        <w:rPr>
          <w:rFonts w:ascii="Times New Roman" w:eastAsia="Times New Roman" w:hAnsi="Times New Roman" w:cs="Times New Roman"/>
          <w:sz w:val="24"/>
          <w:szCs w:val="24"/>
        </w:rPr>
        <w:t xml:space="preserve">15]. Without data on who within households makes energy decisions, who experiences the health effects of energy poverty, and who benefits from interventions, it is structurally impossible to assess whether programmes are producing equitable outcomes or simply extending aggregate access statistics while leaving intra-household inequalities </w:t>
      </w:r>
      <w:proofErr w:type="gramStart"/>
      <w:r w:rsidRPr="00A200F5">
        <w:rPr>
          <w:rFonts w:ascii="Times New Roman" w:eastAsia="Times New Roman" w:hAnsi="Times New Roman" w:cs="Times New Roman"/>
          <w:sz w:val="24"/>
          <w:szCs w:val="24"/>
        </w:rPr>
        <w:t>intact[</w:t>
      </w:r>
      <w:proofErr w:type="gramEnd"/>
      <w:r w:rsidRPr="00A200F5">
        <w:rPr>
          <w:rFonts w:ascii="Times New Roman" w:eastAsia="Times New Roman" w:hAnsi="Times New Roman" w:cs="Times New Roman"/>
          <w:sz w:val="24"/>
          <w:szCs w:val="24"/>
        </w:rPr>
        <w:t>45].</w:t>
      </w:r>
    </w:p>
    <w:p w14:paraId="26544E9D"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Programme design must systematically incorporate women as informants and decision-makers, and not merely as target beneficiaries. Participatory design processes that engage women in defining what energy access means for their lives, their enterprises, and their health produce more relevant, better-adopted, and more sustained interventions than those designed from </w:t>
      </w:r>
      <w:proofErr w:type="gramStart"/>
      <w:r w:rsidRPr="00A200F5">
        <w:rPr>
          <w:rFonts w:ascii="Times New Roman" w:eastAsia="Times New Roman" w:hAnsi="Times New Roman" w:cs="Times New Roman"/>
          <w:sz w:val="24"/>
          <w:szCs w:val="24"/>
        </w:rPr>
        <w:t>outside[</w:t>
      </w:r>
      <w:proofErr w:type="gramEnd"/>
      <w:r w:rsidRPr="00A200F5">
        <w:rPr>
          <w:rFonts w:ascii="Times New Roman" w:eastAsia="Times New Roman" w:hAnsi="Times New Roman" w:cs="Times New Roman"/>
          <w:sz w:val="24"/>
          <w:szCs w:val="24"/>
        </w:rPr>
        <w:t xml:space="preserve">44]. The integration of energy programmes with financial inclusion initiatives, land tenure reform, and legal protections for women's household economic decision-making rights is not a parallel development concern. It is a prerequisite for ensuring that women can act on the energy access opportunities that programmes </w:t>
      </w:r>
      <w:proofErr w:type="gramStart"/>
      <w:r w:rsidRPr="00A200F5">
        <w:rPr>
          <w:rFonts w:ascii="Times New Roman" w:eastAsia="Times New Roman" w:hAnsi="Times New Roman" w:cs="Times New Roman"/>
          <w:sz w:val="24"/>
          <w:szCs w:val="24"/>
        </w:rPr>
        <w:t>create[</w:t>
      </w:r>
      <w:proofErr w:type="gramEnd"/>
      <w:r w:rsidRPr="00A200F5">
        <w:rPr>
          <w:rFonts w:ascii="Times New Roman" w:eastAsia="Times New Roman" w:hAnsi="Times New Roman" w:cs="Times New Roman"/>
          <w:sz w:val="24"/>
          <w:szCs w:val="24"/>
        </w:rPr>
        <w:t>9].</w:t>
      </w:r>
    </w:p>
    <w:p w14:paraId="0B58AA4A"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Investment in healthcare facility electrification as an integrated component of maternal and child health strategies deserves dedicated policy attention. The evidence base on the health facility electrification–maternal mortality relationship is sufficient to justify prioritisation within both energy access and universal health coverage agendas. A narrative review of solar-driven cooling systems in hot climate regions found that absorption, adsorption, and photovoltaic-driven vapour compression technologies demonstrate thermodynamic compatibility with the high solar irradiance characteristic of sub-Saharan Africa and the MENA region, offering technically viable pathways for off-grid thermal comfort and cold chain maintenance in low-income </w:t>
      </w:r>
      <w:proofErr w:type="gramStart"/>
      <w:r w:rsidRPr="00A200F5">
        <w:rPr>
          <w:rFonts w:ascii="Times New Roman" w:eastAsia="Times New Roman" w:hAnsi="Times New Roman" w:cs="Times New Roman"/>
          <w:sz w:val="24"/>
          <w:szCs w:val="24"/>
        </w:rPr>
        <w:t>settings[</w:t>
      </w:r>
      <w:proofErr w:type="gramEnd"/>
      <w:r w:rsidRPr="00A200F5">
        <w:rPr>
          <w:rFonts w:ascii="Times New Roman" w:eastAsia="Times New Roman" w:hAnsi="Times New Roman" w:cs="Times New Roman"/>
          <w:sz w:val="24"/>
          <w:szCs w:val="24"/>
        </w:rPr>
        <w:t xml:space="preserve">48]. Integrating such systems into healthcare facility energy planning and domestic cooling provision in energy-poor African communities represents a concrete and evidence-supported policy priority, though scale-up requires dedicated financing instruments, supply chain investment, and regulatory frameworks that current energy governance structures have not yet </w:t>
      </w:r>
      <w:proofErr w:type="gramStart"/>
      <w:r w:rsidRPr="00A200F5">
        <w:rPr>
          <w:rFonts w:ascii="Times New Roman" w:eastAsia="Times New Roman" w:hAnsi="Times New Roman" w:cs="Times New Roman"/>
          <w:sz w:val="24"/>
          <w:szCs w:val="24"/>
        </w:rPr>
        <w:t>provided[</w:t>
      </w:r>
      <w:proofErr w:type="gramEnd"/>
      <w:r w:rsidRPr="00A200F5">
        <w:rPr>
          <w:rFonts w:ascii="Times New Roman" w:eastAsia="Times New Roman" w:hAnsi="Times New Roman" w:cs="Times New Roman"/>
          <w:sz w:val="24"/>
          <w:szCs w:val="24"/>
        </w:rPr>
        <w:t>48].</w:t>
      </w:r>
    </w:p>
    <w:p w14:paraId="638996C6" w14:textId="77777777" w:rsidR="00F00637" w:rsidRPr="00A200F5" w:rsidRDefault="007101F3" w:rsidP="00B72AF6">
      <w:pPr>
        <w:pStyle w:val="Heading2"/>
        <w:spacing w:before="240" w:line="360" w:lineRule="auto"/>
        <w:rPr>
          <w:rFonts w:ascii="Times New Roman" w:hAnsi="Times New Roman" w:cs="Times New Roman"/>
          <w:color w:val="auto"/>
        </w:rPr>
      </w:pPr>
      <w:r w:rsidRPr="00A200F5">
        <w:rPr>
          <w:rFonts w:ascii="Times New Roman" w:hAnsi="Times New Roman" w:cs="Times New Roman"/>
          <w:color w:val="auto"/>
        </w:rPr>
        <w:lastRenderedPageBreak/>
        <w:t>9.2 Critical Research Gaps</w:t>
      </w:r>
    </w:p>
    <w:p w14:paraId="306A051E"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Despite substantial growth in the literature on gender and energy in Africa, the evidence base remains geographically concentrated, primarily in Ethiopia, Ghana, Kenya, and South Africa. Francophone West Africa, Central Africa, and the Horn of Africa are substantially </w:t>
      </w:r>
      <w:proofErr w:type="gramStart"/>
      <w:r w:rsidRPr="00A200F5">
        <w:rPr>
          <w:rFonts w:ascii="Times New Roman" w:eastAsia="Times New Roman" w:hAnsi="Times New Roman" w:cs="Times New Roman"/>
          <w:sz w:val="24"/>
          <w:szCs w:val="24"/>
        </w:rPr>
        <w:t>underrepresented[</w:t>
      </w:r>
      <w:proofErr w:type="gramEnd"/>
      <w:r w:rsidRPr="00A200F5">
        <w:rPr>
          <w:rFonts w:ascii="Times New Roman" w:eastAsia="Times New Roman" w:hAnsi="Times New Roman" w:cs="Times New Roman"/>
          <w:sz w:val="24"/>
          <w:szCs w:val="24"/>
        </w:rPr>
        <w:t>3,37]. Research from these regions is necessary both to extend quantitative coverage and to capture the diversity of cultural, institutional, and ecological contexts that shape the gender–energy nexus across the continent.</w:t>
      </w:r>
    </w:p>
    <w:p w14:paraId="6E532BE8"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Longitudinal studies tracking women's health and socio-economic outcomes through sustained clean energy transitions are rare. Most available research is cross-sectional, which limits causal inference and cannot capture the dynamics of stove </w:t>
      </w:r>
      <w:proofErr w:type="gramStart"/>
      <w:r w:rsidRPr="00A200F5">
        <w:rPr>
          <w:rFonts w:ascii="Times New Roman" w:eastAsia="Times New Roman" w:hAnsi="Times New Roman" w:cs="Times New Roman"/>
          <w:sz w:val="24"/>
          <w:szCs w:val="24"/>
        </w:rPr>
        <w:t>stacking[</w:t>
      </w:r>
      <w:proofErr w:type="gramEnd"/>
      <w:r w:rsidRPr="00A200F5">
        <w:rPr>
          <w:rFonts w:ascii="Times New Roman" w:eastAsia="Times New Roman" w:hAnsi="Times New Roman" w:cs="Times New Roman"/>
          <w:sz w:val="24"/>
          <w:szCs w:val="24"/>
        </w:rPr>
        <w:t>38,43].</w:t>
      </w:r>
    </w:p>
    <w:p w14:paraId="07C86596"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The mental health dimensions of energy poverty require validation of appropriate measurement instruments for African contexts, integration into energy transition evaluation frameworks, and investment in longitudinal research designs capable of capturing the psychological trajectory of women through both energy deprivation and energy improvement. Research that takes seriously the subjective experience of energy poverty is necessary to complement the quantitative evidence base and inform human-centred programme </w:t>
      </w:r>
      <w:proofErr w:type="gramStart"/>
      <w:r w:rsidRPr="00A200F5">
        <w:rPr>
          <w:rFonts w:ascii="Times New Roman" w:eastAsia="Times New Roman" w:hAnsi="Times New Roman" w:cs="Times New Roman"/>
          <w:sz w:val="24"/>
          <w:szCs w:val="24"/>
        </w:rPr>
        <w:t>design[</w:t>
      </w:r>
      <w:proofErr w:type="gramEnd"/>
      <w:r w:rsidRPr="00A200F5">
        <w:rPr>
          <w:rFonts w:ascii="Times New Roman" w:eastAsia="Times New Roman" w:hAnsi="Times New Roman" w:cs="Times New Roman"/>
          <w:sz w:val="24"/>
          <w:szCs w:val="24"/>
        </w:rPr>
        <w:t>28].</w:t>
      </w:r>
    </w:p>
    <w:p w14:paraId="2DEDDA2D"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 xml:space="preserve">Finally, women's leadership in energy transitions, including as community energy advocates, co-operative leaders, solar entrepreneurs, and policy actors, has been identified as a significant driver of both adoption and sustained use in multiple African </w:t>
      </w:r>
      <w:proofErr w:type="gramStart"/>
      <w:r w:rsidRPr="00A200F5">
        <w:rPr>
          <w:rFonts w:ascii="Times New Roman" w:eastAsia="Times New Roman" w:hAnsi="Times New Roman" w:cs="Times New Roman"/>
          <w:sz w:val="24"/>
          <w:szCs w:val="24"/>
        </w:rPr>
        <w:t>contexts[</w:t>
      </w:r>
      <w:proofErr w:type="gramEnd"/>
      <w:r w:rsidRPr="00A200F5">
        <w:rPr>
          <w:rFonts w:ascii="Times New Roman" w:eastAsia="Times New Roman" w:hAnsi="Times New Roman" w:cs="Times New Roman"/>
          <w:sz w:val="24"/>
          <w:szCs w:val="24"/>
        </w:rPr>
        <w:t>51]. Research that documents, evaluates, and theorises this leadership as a policy lever, rather than merely as an implementation mechanism, is an important frontier for the field.</w:t>
      </w:r>
    </w:p>
    <w:p w14:paraId="18D7AA0C" w14:textId="77777777" w:rsidR="00F00637" w:rsidRPr="00A200F5" w:rsidRDefault="007101F3" w:rsidP="00B72AF6">
      <w:pPr>
        <w:pStyle w:val="Heading1"/>
        <w:spacing w:before="320" w:line="360" w:lineRule="auto"/>
        <w:rPr>
          <w:rFonts w:ascii="Times New Roman" w:hAnsi="Times New Roman" w:cs="Times New Roman"/>
          <w:color w:val="auto"/>
        </w:rPr>
      </w:pPr>
      <w:r w:rsidRPr="00A200F5">
        <w:rPr>
          <w:rFonts w:ascii="Times New Roman" w:hAnsi="Times New Roman" w:cs="Times New Roman"/>
          <w:color w:val="auto"/>
        </w:rPr>
        <w:t>10. CONCLUSION</w:t>
      </w:r>
    </w:p>
    <w:p w14:paraId="24A33C98"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Energy poverty in Africa is a gendered problem: in its causes, its consequences, and the conditions required for its resolution. Women in Africa's energy-poor households are not simply among those affected by inadequate energy access. They are systematically more exposed to its harms, more constrained by its burdens, and more structurally prevented from benefiting from energy transitions that are nominally designed to serve them.</w:t>
      </w:r>
    </w:p>
    <w:p w14:paraId="25584978"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lastRenderedPageBreak/>
        <w:t>The health burden documented in this review is real and quantifiable. Women in solid fuel-using households face markedly elevated risks of respiratory and cardiovascular disease, adverse pregnancy outcomes, and an emerging burden of psychological distress that adds to the physical toll of chronic energy deprivation. The socio-economic burden is equally concrete: hours are lost daily to unpaid energy labour; educational opportunities are foreclosed for girls who substitute for adult female workers; economic participation is curtailed by time deficits and the structural exclusions of financial poverty. These outcomes are not residual or transitional. They are the predictable result of policy frameworks that have treated gender as a supplementary consideration rather than a fundamental design parameter.</w:t>
      </w:r>
    </w:p>
    <w:p w14:paraId="4707478D"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Addressing this requires more than accelerating aggregate access statistics. It requires energy governance built on the analytical foundations of gender justice, which disaggregates outcomes by sex, that involves women in programme design, that integrates energy access with financial inclusion and structural rights reform, and that holds institutions accountable for gendered results rather than simply for household-level coverage. The knowledge base to support these reforms exists. What has been systematically absent, across multiple governance levels and programme cycles, is the political will to act on it.</w:t>
      </w:r>
    </w:p>
    <w:p w14:paraId="7D50C695" w14:textId="77777777" w:rsidR="00F00637" w:rsidRPr="00A200F5" w:rsidRDefault="007101F3" w:rsidP="00B72AF6">
      <w:pPr>
        <w:spacing w:after="160" w:line="360" w:lineRule="auto"/>
        <w:jc w:val="both"/>
        <w:rPr>
          <w:rFonts w:ascii="Times New Roman" w:hAnsi="Times New Roman" w:cs="Times New Roman"/>
        </w:rPr>
      </w:pPr>
      <w:r w:rsidRPr="00A200F5">
        <w:rPr>
          <w:rFonts w:ascii="Times New Roman" w:eastAsia="Times New Roman" w:hAnsi="Times New Roman" w:cs="Times New Roman"/>
          <w:sz w:val="24"/>
          <w:szCs w:val="24"/>
        </w:rPr>
        <w:t>This review has sought to consolidate and critically appraise the current evidence as a contribution to that policy agenda. The gaps identified, which are geographic, methodological, and thematic, reflect a research programme that is still incomplete but whose foundations are solid enough to support meaningful action now. Waiting for perfect evidence while millions of women cook over open fires is not a neutral methodological stance. It is a choice whose consequences fall, as usual, on those least positioned to bear them.</w:t>
      </w:r>
    </w:p>
    <w:p w14:paraId="1EDF4495" w14:textId="77777777" w:rsidR="006F1244" w:rsidRPr="00A200F5" w:rsidRDefault="00AD4BA2" w:rsidP="00B72AF6">
      <w:pPr>
        <w:pStyle w:val="Heading1"/>
        <w:spacing w:line="360" w:lineRule="auto"/>
        <w:rPr>
          <w:rFonts w:ascii="Times New Roman" w:hAnsi="Times New Roman" w:cs="Times New Roman"/>
          <w:color w:val="auto"/>
          <w:sz w:val="24"/>
          <w:szCs w:val="24"/>
        </w:rPr>
      </w:pPr>
      <w:r w:rsidRPr="00A200F5">
        <w:rPr>
          <w:rFonts w:ascii="Times New Roman" w:hAnsi="Times New Roman" w:cs="Times New Roman"/>
          <w:color w:val="auto"/>
          <w:sz w:val="24"/>
          <w:szCs w:val="24"/>
        </w:rPr>
        <w:t>METHODS NOTE</w:t>
      </w:r>
    </w:p>
    <w:p w14:paraId="7656C4BE"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sz w:val="24"/>
          <w:szCs w:val="24"/>
        </w:rPr>
        <w:t xml:space="preserve">This narrative review drew on searches of PubMed, Scopus, Web of Science, and Google Scholar. Search terms used in varying combinations included: "energy poverty," "household energy," "energy access," "biomass fuel," "solid fuel," "clean cooking," "improved cookstoves," "indoor air pollution," "household air pollution," "gender," "women," "Africa," "sub-Saharan Africa," "health outcomes," "respiratory disease," "maternal health," "time poverty," "energy justice," and "socio-economic impacts." The primary focus was on publications from 2015 to 2026, with exceptions </w:t>
      </w:r>
      <w:r w:rsidRPr="00A200F5">
        <w:rPr>
          <w:rFonts w:ascii="Times New Roman" w:hAnsi="Times New Roman" w:cs="Times New Roman"/>
          <w:sz w:val="24"/>
          <w:szCs w:val="24"/>
        </w:rPr>
        <w:lastRenderedPageBreak/>
        <w:t>for seminal studies and foundational frameworks from earlier periods. Grey literature from the International Energy Agency, World Health Organization, World Bank, and the Clean Cooking Alliance was also consulted. Inclusion was restricted to sources addressing Africa specifically or containing Africa-relevant data within larger cross-regional analyses.</w:t>
      </w:r>
    </w:p>
    <w:p w14:paraId="79C6AB33" w14:textId="77777777" w:rsidR="006F1244" w:rsidRPr="00A200F5" w:rsidRDefault="006F1244" w:rsidP="00B72AF6">
      <w:pPr>
        <w:spacing w:before="200" w:line="360" w:lineRule="auto"/>
        <w:rPr>
          <w:rFonts w:ascii="Times New Roman" w:hAnsi="Times New Roman" w:cs="Times New Roman"/>
          <w:sz w:val="24"/>
          <w:szCs w:val="24"/>
        </w:rPr>
      </w:pPr>
    </w:p>
    <w:p w14:paraId="55A2BF3C" w14:textId="77777777" w:rsidR="006F1244" w:rsidRPr="00A200F5" w:rsidRDefault="00AD4BA2" w:rsidP="00B72AF6">
      <w:pPr>
        <w:pStyle w:val="Heading1"/>
        <w:spacing w:line="360" w:lineRule="auto"/>
        <w:rPr>
          <w:rFonts w:ascii="Times New Roman" w:hAnsi="Times New Roman" w:cs="Times New Roman"/>
          <w:color w:val="auto"/>
          <w:sz w:val="24"/>
          <w:szCs w:val="24"/>
        </w:rPr>
      </w:pPr>
      <w:r w:rsidRPr="00A200F5">
        <w:rPr>
          <w:rFonts w:ascii="Times New Roman" w:hAnsi="Times New Roman" w:cs="Times New Roman"/>
          <w:color w:val="auto"/>
          <w:sz w:val="24"/>
          <w:szCs w:val="24"/>
        </w:rPr>
        <w:t>DECLARATIONS</w:t>
      </w:r>
    </w:p>
    <w:p w14:paraId="5F8F3670"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b/>
          <w:bCs/>
          <w:sz w:val="24"/>
          <w:szCs w:val="24"/>
        </w:rPr>
        <w:t xml:space="preserve">Ethics statement:  </w:t>
      </w:r>
      <w:r w:rsidRPr="00A200F5">
        <w:rPr>
          <w:rFonts w:ascii="Times New Roman" w:hAnsi="Times New Roman" w:cs="Times New Roman"/>
          <w:sz w:val="24"/>
          <w:szCs w:val="24"/>
        </w:rPr>
        <w:t>This study is a narrative review of published literature and did not involve primary data collection from human participants. No ethical approval was required.</w:t>
      </w:r>
    </w:p>
    <w:p w14:paraId="14285822" w14:textId="77777777" w:rsidR="006F1244" w:rsidRPr="00A200F5" w:rsidRDefault="006F1244" w:rsidP="00B72AF6">
      <w:pPr>
        <w:spacing w:before="60" w:line="360" w:lineRule="auto"/>
        <w:rPr>
          <w:rFonts w:ascii="Times New Roman" w:hAnsi="Times New Roman" w:cs="Times New Roman"/>
          <w:sz w:val="24"/>
          <w:szCs w:val="24"/>
        </w:rPr>
      </w:pPr>
    </w:p>
    <w:p w14:paraId="6AC9C3FA" w14:textId="77777777" w:rsidR="006F1244" w:rsidRPr="00A200F5" w:rsidRDefault="00AD4BA2" w:rsidP="00B72AF6">
      <w:pPr>
        <w:spacing w:before="100" w:after="100" w:line="360" w:lineRule="auto"/>
        <w:jc w:val="both"/>
        <w:rPr>
          <w:rFonts w:ascii="Times New Roman" w:hAnsi="Times New Roman" w:cs="Times New Roman"/>
          <w:sz w:val="24"/>
          <w:szCs w:val="24"/>
        </w:rPr>
      </w:pPr>
      <w:r w:rsidRPr="00A200F5">
        <w:rPr>
          <w:rFonts w:ascii="Times New Roman" w:hAnsi="Times New Roman" w:cs="Times New Roman"/>
          <w:b/>
          <w:bCs/>
          <w:sz w:val="24"/>
          <w:szCs w:val="24"/>
        </w:rPr>
        <w:t xml:space="preserve">Data availability:  </w:t>
      </w:r>
      <w:r w:rsidRPr="00A200F5">
        <w:rPr>
          <w:rFonts w:ascii="Times New Roman" w:hAnsi="Times New Roman" w:cs="Times New Roman"/>
          <w:sz w:val="24"/>
          <w:szCs w:val="24"/>
        </w:rPr>
        <w:t>No new data were generated or analysed in this study. All sources cited are publicly available and referenced in full.</w:t>
      </w:r>
    </w:p>
    <w:p w14:paraId="64DA7628" w14:textId="77777777" w:rsidR="006F1244" w:rsidRPr="00A200F5" w:rsidRDefault="006F1244" w:rsidP="00B72AF6">
      <w:pPr>
        <w:spacing w:before="200" w:line="360" w:lineRule="auto"/>
        <w:rPr>
          <w:rFonts w:ascii="Times New Roman" w:hAnsi="Times New Roman" w:cs="Times New Roman"/>
          <w:sz w:val="24"/>
          <w:szCs w:val="24"/>
        </w:rPr>
      </w:pPr>
      <w:bookmarkStart w:id="0" w:name="_GoBack"/>
      <w:bookmarkEnd w:id="0"/>
    </w:p>
    <w:p w14:paraId="2BF3C821" w14:textId="77777777" w:rsidR="006F1244" w:rsidRPr="00A200F5" w:rsidRDefault="00AD4BA2" w:rsidP="00B72AF6">
      <w:pPr>
        <w:pStyle w:val="Heading1"/>
        <w:spacing w:line="360" w:lineRule="auto"/>
        <w:rPr>
          <w:rFonts w:ascii="Times New Roman" w:hAnsi="Times New Roman" w:cs="Times New Roman"/>
          <w:color w:val="auto"/>
          <w:sz w:val="24"/>
          <w:szCs w:val="24"/>
        </w:rPr>
      </w:pPr>
      <w:r w:rsidRPr="00A200F5">
        <w:rPr>
          <w:rFonts w:ascii="Times New Roman" w:hAnsi="Times New Roman" w:cs="Times New Roman"/>
          <w:color w:val="auto"/>
          <w:sz w:val="24"/>
          <w:szCs w:val="24"/>
        </w:rPr>
        <w:t>REFERENCES</w:t>
      </w:r>
    </w:p>
    <w:p w14:paraId="42516D89"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[1] Hesselman M. Energy poverty and household access to energy services in international, regional and national law. In: Roggenkamp M, de Graaf K, Fleming R, editors. Energy law, climate change and the environment. Elgar Encyclopedia of Environmental Law, Vol. 9. Cheltenham: Edward Elgar Publishing; 2021. p. 695–706. doi:10.4337/9781788119689.IX.58</w:t>
      </w:r>
    </w:p>
    <w:p w14:paraId="48E3E88D"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[2] Gray L, Boyle A, Francks E, Yu V. The power of small-scale solar: gender, energy poverty, and entrepreneurship in Tanzania. Dev Pract. 2018;28(1):26–39. doi:10.1080/09614524.2018.1526257</w:t>
      </w:r>
    </w:p>
    <w:p w14:paraId="6A5D4382"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[3] World Health Organization. Household air pollution and health [Internet]. Geneva: WHO; 2025. Available from: https://www.who.int/news-room/fact-sheets/detail/household-air-pollution-and-health</w:t>
      </w:r>
    </w:p>
    <w:p w14:paraId="16F3CDB6"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[4] Wankar RL, Deo DS. Impact of biomass fuels on the respiratory functions of women in rural India. J Family Med Prim Care. 2022;11(11):7212–7216. </w:t>
      </w:r>
      <w:proofErr w:type="gramStart"/>
      <w:r w:rsidRPr="00A200F5">
        <w:rPr>
          <w:rFonts w:ascii="Times New Roman" w:hAnsi="Times New Roman" w:cs="Times New Roman"/>
          <w:sz w:val="24"/>
          <w:szCs w:val="24"/>
        </w:rPr>
        <w:t>doi:10.4103/jfmpc.jfmpc</w:t>
      </w:r>
      <w:proofErr w:type="gramEnd"/>
      <w:r w:rsidRPr="00A200F5">
        <w:rPr>
          <w:rFonts w:ascii="Times New Roman" w:hAnsi="Times New Roman" w:cs="Times New Roman"/>
          <w:sz w:val="24"/>
          <w:szCs w:val="24"/>
        </w:rPr>
        <w:t>_644_22</w:t>
      </w:r>
    </w:p>
    <w:p w14:paraId="22277FC8"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lastRenderedPageBreak/>
        <w:t>[5] Vo DH, Vo AT, Ho CM. Understanding the characteristics of the household energy transition in a developing country. Heliyon. 2024;10(1</w:t>
      </w:r>
      <w:proofErr w:type="gramStart"/>
      <w:r w:rsidRPr="00A200F5">
        <w:rPr>
          <w:rFonts w:ascii="Times New Roman" w:hAnsi="Times New Roman" w:cs="Times New Roman"/>
          <w:sz w:val="24"/>
          <w:szCs w:val="24"/>
        </w:rPr>
        <w:t>):e</w:t>
      </w:r>
      <w:proofErr w:type="gramEnd"/>
      <w:r w:rsidRPr="00A200F5">
        <w:rPr>
          <w:rFonts w:ascii="Times New Roman" w:hAnsi="Times New Roman" w:cs="Times New Roman"/>
          <w:sz w:val="24"/>
          <w:szCs w:val="24"/>
        </w:rPr>
        <w:t xml:space="preserve">23977. </w:t>
      </w:r>
      <w:proofErr w:type="gramStart"/>
      <w:r w:rsidRPr="00A200F5">
        <w:rPr>
          <w:rFonts w:ascii="Times New Roman" w:hAnsi="Times New Roman" w:cs="Times New Roman"/>
          <w:sz w:val="24"/>
          <w:szCs w:val="24"/>
        </w:rPr>
        <w:t>doi:10.1016/j.heliyon</w:t>
      </w:r>
      <w:proofErr w:type="gramEnd"/>
      <w:r w:rsidRPr="00A200F5">
        <w:rPr>
          <w:rFonts w:ascii="Times New Roman" w:hAnsi="Times New Roman" w:cs="Times New Roman"/>
          <w:sz w:val="24"/>
          <w:szCs w:val="24"/>
        </w:rPr>
        <w:t>.2024.e23977</w:t>
      </w:r>
    </w:p>
    <w:p w14:paraId="605DEC21"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[6] Kajoskoski T, Matschoss K, Heiskanen E, Laakso S. Recent developments in the energy poverty and vulnerability research in Europe: a systematic literature review. Energy Strategy Rev. </w:t>
      </w:r>
      <w:proofErr w:type="gramStart"/>
      <w:r w:rsidRPr="00A200F5">
        <w:rPr>
          <w:rFonts w:ascii="Times New Roman" w:hAnsi="Times New Roman" w:cs="Times New Roman"/>
          <w:sz w:val="24"/>
          <w:szCs w:val="24"/>
        </w:rPr>
        <w:t>2025;61:101855</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doi:10.1016/j.esr</w:t>
      </w:r>
      <w:proofErr w:type="gramEnd"/>
      <w:r w:rsidRPr="00A200F5">
        <w:rPr>
          <w:rFonts w:ascii="Times New Roman" w:hAnsi="Times New Roman" w:cs="Times New Roman"/>
          <w:sz w:val="24"/>
          <w:szCs w:val="24"/>
        </w:rPr>
        <w:t>.2025.101855</w:t>
      </w:r>
    </w:p>
    <w:p w14:paraId="0E388AFA"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[7] Deller D, Turner G, Waddams C. Energy poverty indicators: inconsistencies, implications and where next? Energy Econ. </w:t>
      </w:r>
      <w:proofErr w:type="gramStart"/>
      <w:r w:rsidRPr="00A200F5">
        <w:rPr>
          <w:rFonts w:ascii="Times New Roman" w:hAnsi="Times New Roman" w:cs="Times New Roman"/>
          <w:sz w:val="24"/>
          <w:szCs w:val="24"/>
        </w:rPr>
        <w:t>2021;103:105551</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doi:10.1016/j.eneco</w:t>
      </w:r>
      <w:proofErr w:type="gramEnd"/>
      <w:r w:rsidRPr="00A200F5">
        <w:rPr>
          <w:rFonts w:ascii="Times New Roman" w:hAnsi="Times New Roman" w:cs="Times New Roman"/>
          <w:sz w:val="24"/>
          <w:szCs w:val="24"/>
        </w:rPr>
        <w:t>.2021.105551</w:t>
      </w:r>
    </w:p>
    <w:p w14:paraId="2A385C42"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[8] Pelz S. Disaggregated household energy supply measurement to support equitable municipal energy planning in rural Nepal. Energy Sustain Dev. </w:t>
      </w:r>
      <w:proofErr w:type="gramStart"/>
      <w:r w:rsidRPr="00A200F5">
        <w:rPr>
          <w:rFonts w:ascii="Times New Roman" w:hAnsi="Times New Roman" w:cs="Times New Roman"/>
          <w:sz w:val="24"/>
          <w:szCs w:val="24"/>
        </w:rPr>
        <w:t>2020;59:8</w:t>
      </w:r>
      <w:proofErr w:type="gramEnd"/>
      <w:r w:rsidRPr="00A200F5">
        <w:rPr>
          <w:rFonts w:ascii="Times New Roman" w:hAnsi="Times New Roman" w:cs="Times New Roman"/>
          <w:sz w:val="24"/>
          <w:szCs w:val="24"/>
        </w:rPr>
        <w:t xml:space="preserve">–21. </w:t>
      </w:r>
      <w:proofErr w:type="gramStart"/>
      <w:r w:rsidRPr="00A200F5">
        <w:rPr>
          <w:rFonts w:ascii="Times New Roman" w:hAnsi="Times New Roman" w:cs="Times New Roman"/>
          <w:sz w:val="24"/>
          <w:szCs w:val="24"/>
        </w:rPr>
        <w:t>doi:10.1016/j.esd</w:t>
      </w:r>
      <w:proofErr w:type="gramEnd"/>
      <w:r w:rsidRPr="00A200F5">
        <w:rPr>
          <w:rFonts w:ascii="Times New Roman" w:hAnsi="Times New Roman" w:cs="Times New Roman"/>
          <w:sz w:val="24"/>
          <w:szCs w:val="24"/>
        </w:rPr>
        <w:t>.2020.08.010</w:t>
      </w:r>
    </w:p>
    <w:p w14:paraId="4F3815BC"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[9] Bhatia M, Angelou N. Beyond connections: energy access redefined. ESMAP Technical Report 008/15. Washington, DC: World Bank; 2015.</w:t>
      </w:r>
    </w:p>
    <w:p w14:paraId="35A6AB42"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[10] International Energy Agency (IEA). Energy for cooking in developing countries. In: World Energy Outlook 2006. Paris: OECD/IEA; 2006. doi:10.1787/weo-2006-16-en</w:t>
      </w:r>
    </w:p>
    <w:p w14:paraId="5604D446"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[11] World Health Organization (WHO). WHO guidelines for indoor air quality: household fuel combustion. Geneva: WHO; 2014. Available from: https://apps.who.int/iris/handle/10665/141496</w:t>
      </w:r>
    </w:p>
    <w:p w14:paraId="12505E58"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[12] Azhgaliyeva D, Rahut D, Sedai A. Gender and energy: unveiling the nexus of equality and sustainability. Energy Econ. </w:t>
      </w:r>
      <w:proofErr w:type="gramStart"/>
      <w:r w:rsidRPr="00A200F5">
        <w:rPr>
          <w:rFonts w:ascii="Times New Roman" w:hAnsi="Times New Roman" w:cs="Times New Roman"/>
          <w:sz w:val="24"/>
          <w:szCs w:val="24"/>
        </w:rPr>
        <w:t>2026;157:109266</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doi:10.1016/j.eneco</w:t>
      </w:r>
      <w:proofErr w:type="gramEnd"/>
      <w:r w:rsidRPr="00A200F5">
        <w:rPr>
          <w:rFonts w:ascii="Times New Roman" w:hAnsi="Times New Roman" w:cs="Times New Roman"/>
          <w:sz w:val="24"/>
          <w:szCs w:val="24"/>
        </w:rPr>
        <w:t>.2026.109266</w:t>
      </w:r>
    </w:p>
    <w:p w14:paraId="30401270"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[13] Feenstra M, Ozerol G. Energy justice as a search light for gender-energy nexus: towards a conceptual framework. Renew Sustain Energy Rev. </w:t>
      </w:r>
      <w:proofErr w:type="gramStart"/>
      <w:r w:rsidRPr="00A200F5">
        <w:rPr>
          <w:rFonts w:ascii="Times New Roman" w:hAnsi="Times New Roman" w:cs="Times New Roman"/>
          <w:sz w:val="24"/>
          <w:szCs w:val="24"/>
        </w:rPr>
        <w:t>2021;138:110668</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doi:10.1016/j.rser</w:t>
      </w:r>
      <w:proofErr w:type="gramEnd"/>
      <w:r w:rsidRPr="00A200F5">
        <w:rPr>
          <w:rFonts w:ascii="Times New Roman" w:hAnsi="Times New Roman" w:cs="Times New Roman"/>
          <w:sz w:val="24"/>
          <w:szCs w:val="24"/>
        </w:rPr>
        <w:t>.2020.110668</w:t>
      </w:r>
    </w:p>
    <w:p w14:paraId="25101C92"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[14] Kirkwood EK, Gunawardhana G, Moller G, Raynes-Greenow C. Gender gaps in energy policies: examining the integration of women in energy policies across the Asia Pacific region. Energy Strategy Rev. 2025. </w:t>
      </w:r>
      <w:proofErr w:type="gramStart"/>
      <w:r w:rsidRPr="00A200F5">
        <w:rPr>
          <w:rFonts w:ascii="Times New Roman" w:hAnsi="Times New Roman" w:cs="Times New Roman"/>
          <w:sz w:val="24"/>
          <w:szCs w:val="24"/>
        </w:rPr>
        <w:t>doi:10.1016/j.esr</w:t>
      </w:r>
      <w:proofErr w:type="gramEnd"/>
      <w:r w:rsidRPr="00A200F5">
        <w:rPr>
          <w:rFonts w:ascii="Times New Roman" w:hAnsi="Times New Roman" w:cs="Times New Roman"/>
          <w:sz w:val="24"/>
          <w:szCs w:val="24"/>
        </w:rPr>
        <w:t>.2025.101960</w:t>
      </w:r>
    </w:p>
    <w:p w14:paraId="7624C442"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[15] Zhang L, Petrova S. Quantifying gender in energy poverty: a critical review of data, methodologies and contextual constraints. Renew Sustain Energy Rev. </w:t>
      </w:r>
      <w:proofErr w:type="gramStart"/>
      <w:r w:rsidRPr="00A200F5">
        <w:rPr>
          <w:rFonts w:ascii="Times New Roman" w:hAnsi="Times New Roman" w:cs="Times New Roman"/>
          <w:sz w:val="24"/>
          <w:szCs w:val="24"/>
        </w:rPr>
        <w:t>2026;225:116178</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doi:10.1016/j.rser</w:t>
      </w:r>
      <w:proofErr w:type="gramEnd"/>
      <w:r w:rsidRPr="00A200F5">
        <w:rPr>
          <w:rFonts w:ascii="Times New Roman" w:hAnsi="Times New Roman" w:cs="Times New Roman"/>
          <w:sz w:val="24"/>
          <w:szCs w:val="24"/>
        </w:rPr>
        <w:t>.2025.116178</w:t>
      </w:r>
    </w:p>
    <w:p w14:paraId="7B8A1328"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lastRenderedPageBreak/>
        <w:t xml:space="preserve">[16] Ngarava S, Zhou L, Ningi T, Chari MM, Mdiya L. Gender and ethnic disparities in energy poverty: the case of South Africa. Energy Policy. </w:t>
      </w:r>
      <w:proofErr w:type="gramStart"/>
      <w:r w:rsidRPr="00A200F5">
        <w:rPr>
          <w:rFonts w:ascii="Times New Roman" w:hAnsi="Times New Roman" w:cs="Times New Roman"/>
          <w:sz w:val="24"/>
          <w:szCs w:val="24"/>
        </w:rPr>
        <w:t>2022;161:112755</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doi:10.1016/j.enpol</w:t>
      </w:r>
      <w:proofErr w:type="gramEnd"/>
      <w:r w:rsidRPr="00A200F5">
        <w:rPr>
          <w:rFonts w:ascii="Times New Roman" w:hAnsi="Times New Roman" w:cs="Times New Roman"/>
          <w:sz w:val="24"/>
          <w:szCs w:val="24"/>
        </w:rPr>
        <w:t>.2021.112755</w:t>
      </w:r>
    </w:p>
    <w:p w14:paraId="7B0DD70B"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[17] Panja A, Paul S, Jha P. Aligning Africa's renewable energy sector with sustainable development goals: opportunities and challenges. Sustain Futures. </w:t>
      </w:r>
      <w:proofErr w:type="gramStart"/>
      <w:r w:rsidRPr="00A200F5">
        <w:rPr>
          <w:rFonts w:ascii="Times New Roman" w:hAnsi="Times New Roman" w:cs="Times New Roman"/>
          <w:sz w:val="24"/>
          <w:szCs w:val="24"/>
        </w:rPr>
        <w:t>2025;9:100717</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doi:10.1016/j.sftr</w:t>
      </w:r>
      <w:proofErr w:type="gramEnd"/>
      <w:r w:rsidRPr="00A200F5">
        <w:rPr>
          <w:rFonts w:ascii="Times New Roman" w:hAnsi="Times New Roman" w:cs="Times New Roman"/>
          <w:sz w:val="24"/>
          <w:szCs w:val="24"/>
        </w:rPr>
        <w:t>.2025.100717</w:t>
      </w:r>
    </w:p>
    <w:p w14:paraId="5CFFC864"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[18] Cozzi L, Diarra N, Roge A, Idini B, Jongejans A. Access to electricity stagnates, leaving globally 730 million in the dark [Internet]. Paris: International Energy Agency; 2025. Available from: https://www.iea.org</w:t>
      </w:r>
    </w:p>
    <w:p w14:paraId="5BB786DC"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[19] International Energy Agency (IEA), International Renewable Energy Agency (IRENA), United Nations Statistics Division (UNSD), World Bank, World Health Organization (WHO). Tracking SDG7: the energy progress report 2024. Washington, DC: World Bank; 2024. Available from: https://trackingsdg7.esmap.org</w:t>
      </w:r>
    </w:p>
    <w:p w14:paraId="2ABD7A4B"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[20] Olaniyan A, Caux S, Maussion P. Rural electrification in Nigeria: a review of impacts and effects of frugal energy generation based on some of e-waste components. Heliyon. 2024;10(11</w:t>
      </w:r>
      <w:proofErr w:type="gramStart"/>
      <w:r w:rsidRPr="00A200F5">
        <w:rPr>
          <w:rFonts w:ascii="Times New Roman" w:hAnsi="Times New Roman" w:cs="Times New Roman"/>
          <w:sz w:val="24"/>
          <w:szCs w:val="24"/>
        </w:rPr>
        <w:t>):e</w:t>
      </w:r>
      <w:proofErr w:type="gramEnd"/>
      <w:r w:rsidRPr="00A200F5">
        <w:rPr>
          <w:rFonts w:ascii="Times New Roman" w:hAnsi="Times New Roman" w:cs="Times New Roman"/>
          <w:sz w:val="24"/>
          <w:szCs w:val="24"/>
        </w:rPr>
        <w:t xml:space="preserve">31300. </w:t>
      </w:r>
      <w:proofErr w:type="gramStart"/>
      <w:r w:rsidRPr="00A200F5">
        <w:rPr>
          <w:rFonts w:ascii="Times New Roman" w:hAnsi="Times New Roman" w:cs="Times New Roman"/>
          <w:sz w:val="24"/>
          <w:szCs w:val="24"/>
        </w:rPr>
        <w:t>doi:10.1016/j.heliyon</w:t>
      </w:r>
      <w:proofErr w:type="gramEnd"/>
      <w:r w:rsidRPr="00A200F5">
        <w:rPr>
          <w:rFonts w:ascii="Times New Roman" w:hAnsi="Times New Roman" w:cs="Times New Roman"/>
          <w:sz w:val="24"/>
          <w:szCs w:val="24"/>
        </w:rPr>
        <w:t>.2024.e31300</w:t>
      </w:r>
    </w:p>
    <w:p w14:paraId="420956F4"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[21] Sander K, Hyseni B, Haider SW. Wood-based biomass energy development for sub-Saharan Africa: issues and approaches. Washington, DC: AFREA, World Bank; 2011. Available from: https://openknowledge.worldbank.org/handle/10986/26149</w:t>
      </w:r>
    </w:p>
    <w:p w14:paraId="7B59A1F5"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[22] Asaleye AJ, Garidzirai R, Ncanywa T. Electricity availability and access for economic opportunities: a disaggregated analysis of gender gaps and implications for pro-poor growth. Energy Strategy Rev. </w:t>
      </w:r>
      <w:proofErr w:type="gramStart"/>
      <w:r w:rsidRPr="00A200F5">
        <w:rPr>
          <w:rFonts w:ascii="Times New Roman" w:hAnsi="Times New Roman" w:cs="Times New Roman"/>
          <w:sz w:val="24"/>
          <w:szCs w:val="24"/>
        </w:rPr>
        <w:t>2025;59:101723</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doi:10.1016/j.esr</w:t>
      </w:r>
      <w:proofErr w:type="gramEnd"/>
      <w:r w:rsidRPr="00A200F5">
        <w:rPr>
          <w:rFonts w:ascii="Times New Roman" w:hAnsi="Times New Roman" w:cs="Times New Roman"/>
          <w:sz w:val="24"/>
          <w:szCs w:val="24"/>
        </w:rPr>
        <w:t>.2025.101723</w:t>
      </w:r>
    </w:p>
    <w:p w14:paraId="38A7339C"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[23] Kyayesimira J, Florence N. Gender role differentiation in household fuel transition decision-making: implications for education and training in Uganda. Front Sustain. </w:t>
      </w:r>
      <w:proofErr w:type="gramStart"/>
      <w:r w:rsidRPr="00A200F5">
        <w:rPr>
          <w:rFonts w:ascii="Times New Roman" w:hAnsi="Times New Roman" w:cs="Times New Roman"/>
          <w:sz w:val="24"/>
          <w:szCs w:val="24"/>
        </w:rPr>
        <w:t>2023;4:1034589</w:t>
      </w:r>
      <w:proofErr w:type="gramEnd"/>
      <w:r w:rsidRPr="00A200F5">
        <w:rPr>
          <w:rFonts w:ascii="Times New Roman" w:hAnsi="Times New Roman" w:cs="Times New Roman"/>
          <w:sz w:val="24"/>
          <w:szCs w:val="24"/>
        </w:rPr>
        <w:t>. doi:10.3389/frsus.2023.1034589</w:t>
      </w:r>
    </w:p>
    <w:p w14:paraId="0173A80A"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[24] Sana A, Meda N, Badoum G, Kafando B, Bouland C. Primary cooking fuel choice and respiratory health outcomes among women in Ouagadougou, Burkina Faso: cross-sectional study. Int J Environ Res Public Health. 2019;16(6):1040. doi:10.3390/ijerph16061040</w:t>
      </w:r>
    </w:p>
    <w:p w14:paraId="4D023C3B"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lastRenderedPageBreak/>
        <w:t xml:space="preserve">[25] Enyew HD, Hailu AB, Mereta ST. Kitchen fine particulate matter (PM2.5) concentrations from biomass fuel use in rural households of Northwest Ethiopia. Front Public Health. </w:t>
      </w:r>
      <w:proofErr w:type="gramStart"/>
      <w:r w:rsidRPr="00A200F5">
        <w:rPr>
          <w:rFonts w:ascii="Times New Roman" w:hAnsi="Times New Roman" w:cs="Times New Roman"/>
          <w:sz w:val="24"/>
          <w:szCs w:val="24"/>
        </w:rPr>
        <w:t>2023;11:1241977</w:t>
      </w:r>
      <w:proofErr w:type="gramEnd"/>
      <w:r w:rsidRPr="00A200F5">
        <w:rPr>
          <w:rFonts w:ascii="Times New Roman" w:hAnsi="Times New Roman" w:cs="Times New Roman"/>
          <w:sz w:val="24"/>
          <w:szCs w:val="24"/>
        </w:rPr>
        <w:t>. doi:10.3389/fpubh.2023.1241977</w:t>
      </w:r>
    </w:p>
    <w:p w14:paraId="69CD90E7"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[26] Muteti-Fana S, Nkosana J, Naidoo RN. Kitchen characteristics and practices associated with increased PM2.5 concentration levels in Zimbabwean rural households. Int J Environ Res Public Health. 2023;20(10):5811. doi:10.3390/ijerph20105811</w:t>
      </w:r>
    </w:p>
    <w:p w14:paraId="0E3CE1AF"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[27] Adusah-Poku F, Adjei-Mantey K, Kwakwa PA. Does the gender of the household head affect household energy choice in Ghana? Environ Dev Sustain. 2022. doi:10.1007/s10668-022-02293-8</w:t>
      </w:r>
    </w:p>
    <w:p w14:paraId="50AAC267"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[28] Njenga M, Gitau JK, Mendum R. Women's work is never done: lifting the gendered burden of firewood collection and household energy use in Kenya. Energy Res Soc Sci. </w:t>
      </w:r>
      <w:proofErr w:type="gramStart"/>
      <w:r w:rsidRPr="00A200F5">
        <w:rPr>
          <w:rFonts w:ascii="Times New Roman" w:hAnsi="Times New Roman" w:cs="Times New Roman"/>
          <w:sz w:val="24"/>
          <w:szCs w:val="24"/>
        </w:rPr>
        <w:t>2021;77:102071</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doi:10.1016/j.erss</w:t>
      </w:r>
      <w:proofErr w:type="gramEnd"/>
      <w:r w:rsidRPr="00A200F5">
        <w:rPr>
          <w:rFonts w:ascii="Times New Roman" w:hAnsi="Times New Roman" w:cs="Times New Roman"/>
          <w:sz w:val="24"/>
          <w:szCs w:val="24"/>
        </w:rPr>
        <w:t>.2021.102071</w:t>
      </w:r>
    </w:p>
    <w:p w14:paraId="41F0BC5D"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[29] Hyde E, Greene ME, Darmstadt GL. Time poverty: obstacle to women's human rights, health and sustainable development. J Glob Health. 2020;10(2):020313. doi:10.7189/jogh.10.020313</w:t>
      </w:r>
    </w:p>
    <w:p w14:paraId="4B77188C"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[30] Sow FD, Gueye NF, Lare A. Who has the time? A qualitative assessment of gendered intrahousehold labor allocation, time use and time poverty in rural Senegal. Front Sustain Food Syst. </w:t>
      </w:r>
      <w:proofErr w:type="gramStart"/>
      <w:r w:rsidRPr="00A200F5">
        <w:rPr>
          <w:rFonts w:ascii="Times New Roman" w:hAnsi="Times New Roman" w:cs="Times New Roman"/>
          <w:sz w:val="24"/>
          <w:szCs w:val="24"/>
        </w:rPr>
        <w:t>2023;7:1198290</w:t>
      </w:r>
      <w:proofErr w:type="gramEnd"/>
      <w:r w:rsidRPr="00A200F5">
        <w:rPr>
          <w:rFonts w:ascii="Times New Roman" w:hAnsi="Times New Roman" w:cs="Times New Roman"/>
          <w:sz w:val="24"/>
          <w:szCs w:val="24"/>
        </w:rPr>
        <w:t>. doi:10.3389/fsufs.2023.1198290</w:t>
      </w:r>
    </w:p>
    <w:p w14:paraId="32F587C1"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[31] Alebel B, Emerta A. Time poverty and women's participation in non-farm work: evidence from rural Ethiopia. Q Rev Econ Finance. 2024. </w:t>
      </w:r>
      <w:proofErr w:type="gramStart"/>
      <w:r w:rsidRPr="00A200F5">
        <w:rPr>
          <w:rFonts w:ascii="Times New Roman" w:hAnsi="Times New Roman" w:cs="Times New Roman"/>
          <w:sz w:val="24"/>
          <w:szCs w:val="24"/>
        </w:rPr>
        <w:t>doi:10.1016/j.qref</w:t>
      </w:r>
      <w:proofErr w:type="gramEnd"/>
      <w:r w:rsidRPr="00A200F5">
        <w:rPr>
          <w:rFonts w:ascii="Times New Roman" w:hAnsi="Times New Roman" w:cs="Times New Roman"/>
          <w:sz w:val="24"/>
          <w:szCs w:val="24"/>
        </w:rPr>
        <w:t>.2021.01.001</w:t>
      </w:r>
    </w:p>
    <w:p w14:paraId="1065C93D"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[32] Bondi G, Morse T, Cawley S, Kaunda E, Kumwenda S. From kitchen to classroom: assessing the impact of cleaner burning biomass-fuelled cookstoves on primary school attendance in Malawi. Int J Educ Dev. </w:t>
      </w:r>
      <w:proofErr w:type="gramStart"/>
      <w:r w:rsidRPr="00A200F5">
        <w:rPr>
          <w:rFonts w:ascii="Times New Roman" w:hAnsi="Times New Roman" w:cs="Times New Roman"/>
          <w:sz w:val="24"/>
          <w:szCs w:val="24"/>
        </w:rPr>
        <w:t>2018;60:127</w:t>
      </w:r>
      <w:proofErr w:type="gramEnd"/>
      <w:r w:rsidRPr="00A200F5">
        <w:rPr>
          <w:rFonts w:ascii="Times New Roman" w:hAnsi="Times New Roman" w:cs="Times New Roman"/>
          <w:sz w:val="24"/>
          <w:szCs w:val="24"/>
        </w:rPr>
        <w:t xml:space="preserve">–135. </w:t>
      </w:r>
      <w:proofErr w:type="gramStart"/>
      <w:r w:rsidRPr="00A200F5">
        <w:rPr>
          <w:rFonts w:ascii="Times New Roman" w:hAnsi="Times New Roman" w:cs="Times New Roman"/>
          <w:sz w:val="24"/>
          <w:szCs w:val="24"/>
        </w:rPr>
        <w:t>doi:10.1016/j.ijedudev</w:t>
      </w:r>
      <w:proofErr w:type="gramEnd"/>
      <w:r w:rsidRPr="00A200F5">
        <w:rPr>
          <w:rFonts w:ascii="Times New Roman" w:hAnsi="Times New Roman" w:cs="Times New Roman"/>
          <w:sz w:val="24"/>
          <w:szCs w:val="24"/>
        </w:rPr>
        <w:t>.2018.01.003</w:t>
      </w:r>
    </w:p>
    <w:p w14:paraId="2BE5DFA2"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[33] Nduhuura P, Garschagen M, Zerga A. Impacts of electricity outages in urban households in developing countries: a case of Accra, Ghana. Energies. 2021;14(12):3676. doi:10.3390/en14123676</w:t>
      </w:r>
    </w:p>
    <w:p w14:paraId="2CC125B7"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[34] Pratiti R. Household air pollution related to biomass cook stove emissions and its interaction with improved cookstoves. AIMS Public Health. 2021;8(2):310–324. doi:10.3934/publichealth.2021024</w:t>
      </w:r>
    </w:p>
    <w:p w14:paraId="08D0AB7C"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lastRenderedPageBreak/>
        <w:t>[35] Owusu-Manu D, Sackey DM, Osei-Asibey D, Agyapong RK, Edwards DJ. Improving women's energy access, rights and equitable sustainable development: a Ghanaian perspective. Ecofeminism Clim Change. 2022;3(1):23–40. doi:10.1108/EFCC-05-2021-0009</w:t>
      </w:r>
    </w:p>
    <w:p w14:paraId="484F6AE5"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[36] Fullerton DG, Bruce N, Gordon SB. Indoor air pollution from biomass fuel smoke is a major health concern in the developing world. Trans R Soc Trop Med Hyg. 2008;102(9):843–851. </w:t>
      </w:r>
      <w:proofErr w:type="gramStart"/>
      <w:r w:rsidRPr="00A200F5">
        <w:rPr>
          <w:rFonts w:ascii="Times New Roman" w:hAnsi="Times New Roman" w:cs="Times New Roman"/>
          <w:sz w:val="24"/>
          <w:szCs w:val="24"/>
        </w:rPr>
        <w:t>doi:10.1016/j.trstmh</w:t>
      </w:r>
      <w:proofErr w:type="gramEnd"/>
      <w:r w:rsidRPr="00A200F5">
        <w:rPr>
          <w:rFonts w:ascii="Times New Roman" w:hAnsi="Times New Roman" w:cs="Times New Roman"/>
          <w:sz w:val="24"/>
          <w:szCs w:val="24"/>
        </w:rPr>
        <w:t>.2008.05.028</w:t>
      </w:r>
    </w:p>
    <w:p w14:paraId="29C4AB89"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[37] Kurmi OP, Semple S, Simkhada P, Smith WCS, Ayres JG. COPD and chronic bronchitis risk of indoor air pollution from solid fuel: a systematic review and meta-analysis. Thorax. 2010;65(3):221–228. doi:10.1136/thx.2009.124644</w:t>
      </w:r>
    </w:p>
    <w:p w14:paraId="78F56029"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[38] Seyedmohammadi A, Etemad K, Heydari G, Mahmoudi M. Risk of COPD due to indoor air pollution from biomass cooking fuel: a systematic review and meta-analysis. Respirology. 2019;24(9):867–874. doi:10.1111/resp.13546</w:t>
      </w:r>
    </w:p>
    <w:p w14:paraId="78770A57"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[39] Bittner V, Moreira JM, de Paula RA, et al. PM2.5 and cardiovascular diseases: state-of-the-art review. IJC Heart Vasc. </w:t>
      </w:r>
      <w:proofErr w:type="gramStart"/>
      <w:r w:rsidRPr="00A200F5">
        <w:rPr>
          <w:rFonts w:ascii="Times New Roman" w:hAnsi="Times New Roman" w:cs="Times New Roman"/>
          <w:sz w:val="24"/>
          <w:szCs w:val="24"/>
        </w:rPr>
        <w:t>2023;49:101314</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doi:10.1016/j.ijcha</w:t>
      </w:r>
      <w:proofErr w:type="gramEnd"/>
      <w:r w:rsidRPr="00A200F5">
        <w:rPr>
          <w:rFonts w:ascii="Times New Roman" w:hAnsi="Times New Roman" w:cs="Times New Roman"/>
          <w:sz w:val="24"/>
          <w:szCs w:val="24"/>
        </w:rPr>
        <w:t>.2023.101314</w:t>
      </w:r>
    </w:p>
    <w:p w14:paraId="09D498C8"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[40] Pope D, Mishra V, Thompson L, Siddiqui AR, Rehfuess EA, Weber M, et al. Risk of low birth weight and stillbirth associated with indoor air pollution from solid fuel use in developing countries: a systematic review and meta-analysis. Epidemiol Rev. 2010;32(1):70–81. doi:10.1093/epirev/mxq005</w:t>
      </w:r>
    </w:p>
    <w:p w14:paraId="3BF5D6CC"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[41] Boamah-Kaali E, Ae-Ngibise KA, Burkart K, Mujtaba MN, Gyaase S, Mehta S, et al. Household fuel use and adverse pregnancy outcomes in a Ghanaian cohort study. Int J Environ Res Public Health. 2020;17(4):1364. doi:10.3390/ijerph17041364</w:t>
      </w:r>
    </w:p>
    <w:p w14:paraId="613E150B"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[42] Roberman J, Emeto TI, Adegboye OA. Adverse birth outcomes due to exposure to household air pollution from unclean cooking fuel among women of reproductive age in Nigeria. Int J Environ Res Public Health. 2021;18(2):634. doi:10.3390/ijerph18020634</w:t>
      </w:r>
    </w:p>
    <w:p w14:paraId="25BA2508"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[43] Pienaar CA, Patel S, Khumalo S, Nkosi V. Multiple aspects of energy poverty are associated with lower mental health-related quality of life: a modelling study in three peri-urban African communities. SSM Popul Health. </w:t>
      </w:r>
      <w:proofErr w:type="gramStart"/>
      <w:r w:rsidRPr="00A200F5">
        <w:rPr>
          <w:rFonts w:ascii="Times New Roman" w:hAnsi="Times New Roman" w:cs="Times New Roman"/>
          <w:sz w:val="24"/>
          <w:szCs w:val="24"/>
        </w:rPr>
        <w:t>2022;20:101270</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doi:10.1016/j.ssmph</w:t>
      </w:r>
      <w:proofErr w:type="gramEnd"/>
      <w:r w:rsidRPr="00A200F5">
        <w:rPr>
          <w:rFonts w:ascii="Times New Roman" w:hAnsi="Times New Roman" w:cs="Times New Roman"/>
          <w:sz w:val="24"/>
          <w:szCs w:val="24"/>
        </w:rPr>
        <w:t>.2022.101270</w:t>
      </w:r>
    </w:p>
    <w:p w14:paraId="712B7C2B"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[44] Agbokey F, Dwommoh R, Tawiah T, Ae-Ngibise KA, Mujtaba MN, Carrion D, et al. Determining the enablers and barriers for the adoption of clean cookstoves in the middle belt </w:t>
      </w:r>
      <w:r w:rsidRPr="00A200F5">
        <w:rPr>
          <w:rFonts w:ascii="Times New Roman" w:hAnsi="Times New Roman" w:cs="Times New Roman"/>
          <w:sz w:val="24"/>
          <w:szCs w:val="24"/>
        </w:rPr>
        <w:lastRenderedPageBreak/>
        <w:t>of Ghana: a qualitative study. Int J Environ Res Public Health. 2019;16(7):1207. doi:10.3390/ijerph16071207</w:t>
      </w:r>
    </w:p>
    <w:p w14:paraId="2C477CC7"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[45] Monyei CG, Sovacool BK, Nkosi V, et al. Facilitating gendered and socially inclusive energy transitions in sub-Saharan Africa. Energy Res Soc Sci. 2025. </w:t>
      </w:r>
      <w:proofErr w:type="gramStart"/>
      <w:r w:rsidRPr="00A200F5">
        <w:rPr>
          <w:rFonts w:ascii="Times New Roman" w:hAnsi="Times New Roman" w:cs="Times New Roman"/>
          <w:sz w:val="24"/>
          <w:szCs w:val="24"/>
        </w:rPr>
        <w:t>doi:10.1016/j.erss</w:t>
      </w:r>
      <w:proofErr w:type="gramEnd"/>
      <w:r w:rsidRPr="00A200F5">
        <w:rPr>
          <w:rFonts w:ascii="Times New Roman" w:hAnsi="Times New Roman" w:cs="Times New Roman"/>
          <w:sz w:val="24"/>
          <w:szCs w:val="24"/>
        </w:rPr>
        <w:t>.2025.103597</w:t>
      </w:r>
    </w:p>
    <w:p w14:paraId="4D8A9B36"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[46] Errico S. Women's right to land between collective and individual dimensions: some insights from sub-Saharan Africa. Front Sustain Food Syst. </w:t>
      </w:r>
      <w:proofErr w:type="gramStart"/>
      <w:r w:rsidRPr="00A200F5">
        <w:rPr>
          <w:rFonts w:ascii="Times New Roman" w:hAnsi="Times New Roman" w:cs="Times New Roman"/>
          <w:sz w:val="24"/>
          <w:szCs w:val="24"/>
        </w:rPr>
        <w:t>2021;5:690321</w:t>
      </w:r>
      <w:proofErr w:type="gramEnd"/>
      <w:r w:rsidRPr="00A200F5">
        <w:rPr>
          <w:rFonts w:ascii="Times New Roman" w:hAnsi="Times New Roman" w:cs="Times New Roman"/>
          <w:sz w:val="24"/>
          <w:szCs w:val="24"/>
        </w:rPr>
        <w:t>. doi:10.3389/fsufs.2021.690321</w:t>
      </w:r>
    </w:p>
    <w:p w14:paraId="597133F1"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[47] Clasen TF, Chang HH, Thompson LM, Kirby MA, Balakrishnan K, Diaz-Artiga A, et al; HAPIN Investigators. Liquefied petroleum gas or biomass for cooking and effects on birth weight. N Engl J Med. 2022;387(19):1735–1746. doi:10.1056/NEJMoa2206734</w:t>
      </w:r>
    </w:p>
    <w:p w14:paraId="66E28FC5"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[48] Ogundare AB, Ogunyemi J, Adetona ZA, Abioke UB. Thermal performance, efficiency and applications of solar-driven cooling systems in hot climate areas: a narrative review. J Eng Res Rep. 2026;28(5):115–131. doi:10.9734/jerr/2026/v28i51887</w:t>
      </w:r>
    </w:p>
    <w:p w14:paraId="1CB27600"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[49] Nunoo IK, Klug T, Plutshack V, Agradi M, Appiah S, Saparapa R. Who has power over policy? The political economy of Kenya’s 2019 gender policy in energy access. Energy Res Soc Sci. </w:t>
      </w:r>
      <w:proofErr w:type="gramStart"/>
      <w:r w:rsidRPr="00A200F5">
        <w:rPr>
          <w:rFonts w:ascii="Times New Roman" w:hAnsi="Times New Roman" w:cs="Times New Roman"/>
          <w:sz w:val="24"/>
          <w:szCs w:val="24"/>
        </w:rPr>
        <w:t>2025;127:104201</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doi:10.1016/j.erss</w:t>
      </w:r>
      <w:proofErr w:type="gramEnd"/>
      <w:r w:rsidRPr="00A200F5">
        <w:rPr>
          <w:rFonts w:ascii="Times New Roman" w:hAnsi="Times New Roman" w:cs="Times New Roman"/>
          <w:sz w:val="24"/>
          <w:szCs w:val="24"/>
        </w:rPr>
        <w:t>.2025.104201</w:t>
      </w:r>
    </w:p>
    <w:p w14:paraId="05659407"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[50] ECOWAS Centre for Renewable Energy and Energy Efficiency (ECREEE). ECOWAS policy for gender mainstreaming in energy access. Praia: ECREEE; 2024. Available from: https://www.ecreee.org/wp-content/uploads/2024/01/ecowas_policy_for_gender_mainstreaming_in_energy_access_presentation.pdf</w:t>
      </w:r>
    </w:p>
    <w:p w14:paraId="24EC8299"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[51] Lapniewska Z. Women leading just energy transitions: comparative insights from Eastern Greater Poland and German Lusatia. Energy Strategy Rev. </w:t>
      </w:r>
      <w:proofErr w:type="gramStart"/>
      <w:r w:rsidRPr="00A200F5">
        <w:rPr>
          <w:rFonts w:ascii="Times New Roman" w:hAnsi="Times New Roman" w:cs="Times New Roman"/>
          <w:sz w:val="24"/>
          <w:szCs w:val="24"/>
        </w:rPr>
        <w:t>2026;64:102178</w:t>
      </w:r>
      <w:proofErr w:type="gramEnd"/>
      <w:r w:rsidRPr="00A200F5">
        <w:rPr>
          <w:rFonts w:ascii="Times New Roman" w:hAnsi="Times New Roman" w:cs="Times New Roman"/>
          <w:sz w:val="24"/>
          <w:szCs w:val="24"/>
        </w:rPr>
        <w:t xml:space="preserve">. </w:t>
      </w:r>
      <w:proofErr w:type="gramStart"/>
      <w:r w:rsidRPr="00A200F5">
        <w:rPr>
          <w:rFonts w:ascii="Times New Roman" w:hAnsi="Times New Roman" w:cs="Times New Roman"/>
          <w:sz w:val="24"/>
          <w:szCs w:val="24"/>
        </w:rPr>
        <w:t>doi:10.1016/j.esr</w:t>
      </w:r>
      <w:proofErr w:type="gramEnd"/>
      <w:r w:rsidRPr="00A200F5">
        <w:rPr>
          <w:rFonts w:ascii="Times New Roman" w:hAnsi="Times New Roman" w:cs="Times New Roman"/>
          <w:sz w:val="24"/>
          <w:szCs w:val="24"/>
        </w:rPr>
        <w:t>.2026.102178</w:t>
      </w:r>
    </w:p>
    <w:p w14:paraId="205AE7F3"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[52] World Health Organization (WHO). WHO global air quality guidelines: particulate matter (PM2.5 and PM10), ozone, nitrogen dioxide, sulfur dioxide and carbon monoxide. Geneva: WHO; 2021. Available from: https://www.who.int/publications/i/item/9789240034228</w:t>
      </w:r>
    </w:p>
    <w:p w14:paraId="5A8109E0"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[53] Gandigbe GVS, Mignanwande ZF, Tossou YB, et al. Inequities and factors associated with gender and disability in NTD-endemic communities in Benin and Cote d'Ivoire: an </w:t>
      </w:r>
      <w:r w:rsidRPr="00A200F5">
        <w:rPr>
          <w:rFonts w:ascii="Times New Roman" w:hAnsi="Times New Roman" w:cs="Times New Roman"/>
          <w:sz w:val="24"/>
          <w:szCs w:val="24"/>
        </w:rPr>
        <w:lastRenderedPageBreak/>
        <w:t xml:space="preserve">intersectional approach to interventions. Front Glob Womens Health. </w:t>
      </w:r>
      <w:proofErr w:type="gramStart"/>
      <w:r w:rsidRPr="00A200F5">
        <w:rPr>
          <w:rFonts w:ascii="Times New Roman" w:hAnsi="Times New Roman" w:cs="Times New Roman"/>
          <w:sz w:val="24"/>
          <w:szCs w:val="24"/>
        </w:rPr>
        <w:t>2025;6:1575082</w:t>
      </w:r>
      <w:proofErr w:type="gramEnd"/>
      <w:r w:rsidRPr="00A200F5">
        <w:rPr>
          <w:rFonts w:ascii="Times New Roman" w:hAnsi="Times New Roman" w:cs="Times New Roman"/>
          <w:sz w:val="24"/>
          <w:szCs w:val="24"/>
        </w:rPr>
        <w:t>. doi:10.3389/fgwh.2025.1575082</w:t>
      </w:r>
    </w:p>
    <w:p w14:paraId="2364C3D9"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 xml:space="preserve">[54] Jessel S, Sawyer S, Hernandez D. Energy, poverty, and health in climate change: a comprehensive review of an emerging literature. Front Public Health. </w:t>
      </w:r>
      <w:proofErr w:type="gramStart"/>
      <w:r w:rsidRPr="00A200F5">
        <w:rPr>
          <w:rFonts w:ascii="Times New Roman" w:hAnsi="Times New Roman" w:cs="Times New Roman"/>
          <w:sz w:val="24"/>
          <w:szCs w:val="24"/>
        </w:rPr>
        <w:t>2019;7:357</w:t>
      </w:r>
      <w:proofErr w:type="gramEnd"/>
      <w:r w:rsidRPr="00A200F5">
        <w:rPr>
          <w:rFonts w:ascii="Times New Roman" w:hAnsi="Times New Roman" w:cs="Times New Roman"/>
          <w:sz w:val="24"/>
          <w:szCs w:val="24"/>
        </w:rPr>
        <w:t>. doi:10.3389/fpubh.2019.00357</w:t>
      </w:r>
    </w:p>
    <w:p w14:paraId="6BBA1DC4" w14:textId="77777777" w:rsidR="006F1244" w:rsidRPr="00A200F5" w:rsidRDefault="00AD4BA2" w:rsidP="00B72AF6">
      <w:pPr>
        <w:spacing w:before="60" w:after="60" w:line="360" w:lineRule="auto"/>
        <w:ind w:left="360" w:hanging="360"/>
        <w:rPr>
          <w:rFonts w:ascii="Times New Roman" w:hAnsi="Times New Roman" w:cs="Times New Roman"/>
          <w:sz w:val="24"/>
          <w:szCs w:val="24"/>
        </w:rPr>
      </w:pPr>
      <w:r w:rsidRPr="00A200F5">
        <w:rPr>
          <w:rFonts w:ascii="Times New Roman" w:hAnsi="Times New Roman" w:cs="Times New Roman"/>
          <w:sz w:val="24"/>
          <w:szCs w:val="24"/>
        </w:rPr>
        <w:t>[55] International Energy Agency (IEA). Africa energy outlook 2022. Paris: IEA; 2022. Available from: https://www.iea.org/reports/africa-energy-outlook-2022</w:t>
      </w:r>
    </w:p>
    <w:p w14:paraId="5E14E269"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[56] Dutta S, Kooijman A, Cecelski E. Energy Access and Gender: Getting the Right Balance. ENERGIA/Sustainable Energy for All; 2017.</w:t>
      </w:r>
    </w:p>
    <w:p w14:paraId="623EB9DF"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[57] Cecelski E, Dutta S. Mainstreaming Gender in Energy Projects: A Practical Handbook. ENERGIA; 2011. Available from: https://ppp.worldbank.org/sites/default/files/2024-09/mainstreaming_gender_in_energy_projects_a_practical_hand_book.pdf</w:t>
      </w:r>
    </w:p>
    <w:p w14:paraId="1B6D9726" w14:textId="1AEF5D4E"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 xml:space="preserve">[58] UN Women. Gender, Energy and Policy: A Review of Energy Policies in East and Southern Africa. UN Women Africa; 2017. Available from: </w:t>
      </w:r>
      <w:hyperlink r:id="rId9" w:history="1">
        <w:r w:rsidRPr="00A200F5">
          <w:rPr>
            <w:rStyle w:val="Hyperlink"/>
            <w:rFonts w:ascii="Times New Roman" w:eastAsia="Times New Roman" w:hAnsi="Times New Roman" w:cs="Times New Roman"/>
            <w:sz w:val="24"/>
            <w:szCs w:val="24"/>
          </w:rPr>
          <w:t>https://africa.unwomen.org/sites/default/files/Field%20Office%20Africa/Attachments/Publications/2017/11/Gender%20Energy%20and%20Policy%20A%20Review%20of%20Energy%20Policies%20in%20East%20and%20Southern%20AfricaWeb%20LR.PDF</w:t>
        </w:r>
      </w:hyperlink>
      <w:r w:rsidRPr="00A200F5">
        <w:rPr>
          <w:rFonts w:ascii="Times New Roman" w:eastAsia="Times New Roman" w:hAnsi="Times New Roman" w:cs="Times New Roman"/>
          <w:sz w:val="24"/>
          <w:szCs w:val="24"/>
        </w:rPr>
        <w:t xml:space="preserve"> </w:t>
      </w:r>
    </w:p>
    <w:p w14:paraId="564C5F4D"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[59] ECOWAS Centre for Renewable Energy and Energy Efficiency (ECREEE). ECOWAS Policy for Gender Mainstreaming in Energy Access: Draft Policy and Implementation Strategy. Praia: ECREEE; 2017. Available from: https://www.afdb.org/fileadmin/uploads/afdb/Documents/Generic-Documents/ECOWAS_Policy_for_Gender_Mainstreaming_in_Energy_Access.pdf</w:t>
      </w:r>
    </w:p>
    <w:p w14:paraId="4AF0E649"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[60] Appiah S, Plutshack V, Agradi M, Klug TW, Nunoo I, Saparapa R. The political economy of gender mainstreaming in energy access in Sierra Leone. Environ Res Clim. 2024;3(4):045025. doi:10.1088/2752-5295/ad8f59</w:t>
      </w:r>
    </w:p>
    <w:p w14:paraId="16BF6C24"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[61] Abdullah H. PPPs in agro-energy and their impact on women's rights: the case of Addax Bioenergy Sierra Leone. In: Enríquez CR, Blanco ML, editors. Corporate Capture of Development: Public-Private Partnerships, Women's Human Rights, and Global Resistance. London: Bloomsbury Academic; 2023. p. 167–97.</w:t>
      </w:r>
    </w:p>
    <w:p w14:paraId="48A470F4"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lastRenderedPageBreak/>
        <w:t>[62] Gihana D, Kooijman A. Gender and Energy Country Briefs — Rwanda. ENERGIA; 2020. Available from: https://www.cif.org/sites/cif_enc/files/knowledge-documents/gender_and_energy_country_brief_-_rwanda.pdf</w:t>
      </w:r>
    </w:p>
    <w:p w14:paraId="678E0C3E"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[63] Gupta GR, Grown C, Fewer S, Gupta R, Nowrojee S. Beyond gender mainstreaming: transforming humanitarian action, organizations and culture. J Int Humanit Action. 2023;8(1):5. doi:10.1186/s41018-023-00138-1</w:t>
      </w:r>
    </w:p>
    <w:p w14:paraId="4F788AED"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[64] African Union. Agenda 2063: The Africa We Want. Popular Version. Addis Ababa: AU; 2015. Available from: https://au.int/sites/default/files/documents/36204-doc-agenda2063_popular_version_en.pdf</w:t>
      </w:r>
    </w:p>
    <w:p w14:paraId="5E768F38"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[65] Li D, Bae JH, Rishi M. Sustainable development and SDG-7 in Sub-Saharan Africa: balancing energy access, economic growth, and carbon emissions. Eur J Dev Res. 2023;35(1):112–37. doi:10.1057/s41287-021-00502-0</w:t>
      </w:r>
    </w:p>
    <w:p w14:paraId="0561517B"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[66] African Development Bank (AfDB). New Deal on Energy for Africa. Abidjan: AfDB; 2017. Available from: https://www.afdb.org/fileadmin/uploads/afdb/Documents/Generic-Documents/Brochure_New_Deal_2-En.pdf</w:t>
      </w:r>
    </w:p>
    <w:p w14:paraId="017F9203"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 xml:space="preserve">[67] Musango JK, Chicombo AFF. Facilitating gendered and socially inclusive energy transitions in sub-Saharan Africa. Energy Res Soc Sci. </w:t>
      </w:r>
      <w:proofErr w:type="gramStart"/>
      <w:r w:rsidRPr="00A200F5">
        <w:rPr>
          <w:rFonts w:ascii="Times New Roman" w:eastAsia="Times New Roman" w:hAnsi="Times New Roman" w:cs="Times New Roman"/>
          <w:sz w:val="24"/>
          <w:szCs w:val="24"/>
        </w:rPr>
        <w:t>2025;127:104278</w:t>
      </w:r>
      <w:proofErr w:type="gramEnd"/>
      <w:r w:rsidRPr="00A200F5">
        <w:rPr>
          <w:rFonts w:ascii="Times New Roman" w:eastAsia="Times New Roman" w:hAnsi="Times New Roman" w:cs="Times New Roman"/>
          <w:sz w:val="24"/>
          <w:szCs w:val="24"/>
        </w:rPr>
        <w:t xml:space="preserve">. </w:t>
      </w:r>
      <w:proofErr w:type="gramStart"/>
      <w:r w:rsidRPr="00A200F5">
        <w:rPr>
          <w:rFonts w:ascii="Times New Roman" w:eastAsia="Times New Roman" w:hAnsi="Times New Roman" w:cs="Times New Roman"/>
          <w:sz w:val="24"/>
          <w:szCs w:val="24"/>
        </w:rPr>
        <w:t>doi:10.1016/j.erss</w:t>
      </w:r>
      <w:proofErr w:type="gramEnd"/>
      <w:r w:rsidRPr="00A200F5">
        <w:rPr>
          <w:rFonts w:ascii="Times New Roman" w:eastAsia="Times New Roman" w:hAnsi="Times New Roman" w:cs="Times New Roman"/>
          <w:sz w:val="24"/>
          <w:szCs w:val="24"/>
        </w:rPr>
        <w:t>.2025.104278</w:t>
      </w:r>
    </w:p>
    <w:p w14:paraId="161124A8"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 xml:space="preserve">[68] Dagal I. Decoding Africa's energy divide: a systematic review of SDG 7 progress, structural determinants, and pathways to inclusive electrification. Unconventional Resources. </w:t>
      </w:r>
      <w:proofErr w:type="gramStart"/>
      <w:r w:rsidRPr="00A200F5">
        <w:rPr>
          <w:rFonts w:ascii="Times New Roman" w:eastAsia="Times New Roman" w:hAnsi="Times New Roman" w:cs="Times New Roman"/>
          <w:sz w:val="24"/>
          <w:szCs w:val="24"/>
        </w:rPr>
        <w:t>2026;10:100330</w:t>
      </w:r>
      <w:proofErr w:type="gramEnd"/>
      <w:r w:rsidRPr="00A200F5">
        <w:rPr>
          <w:rFonts w:ascii="Times New Roman" w:eastAsia="Times New Roman" w:hAnsi="Times New Roman" w:cs="Times New Roman"/>
          <w:sz w:val="24"/>
          <w:szCs w:val="24"/>
        </w:rPr>
        <w:t xml:space="preserve">. </w:t>
      </w:r>
      <w:proofErr w:type="gramStart"/>
      <w:r w:rsidRPr="00A200F5">
        <w:rPr>
          <w:rFonts w:ascii="Times New Roman" w:eastAsia="Times New Roman" w:hAnsi="Times New Roman" w:cs="Times New Roman"/>
          <w:sz w:val="24"/>
          <w:szCs w:val="24"/>
        </w:rPr>
        <w:t>doi:10.1016/j.uncres</w:t>
      </w:r>
      <w:proofErr w:type="gramEnd"/>
      <w:r w:rsidRPr="00A200F5">
        <w:rPr>
          <w:rFonts w:ascii="Times New Roman" w:eastAsia="Times New Roman" w:hAnsi="Times New Roman" w:cs="Times New Roman"/>
          <w:sz w:val="24"/>
          <w:szCs w:val="24"/>
        </w:rPr>
        <w:t>.2026.100330</w:t>
      </w:r>
    </w:p>
    <w:p w14:paraId="2AB7F0EA"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[69] International Energy Agency (IEA). A Vision for Clean Cooking Access for All. Paris: IEA; 2023. Available from: https://www.iea.org/reports/a-vision-for-clean-cooking-access-for-all</w:t>
      </w:r>
    </w:p>
    <w:p w14:paraId="6DA2029B"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 xml:space="preserve">[70] Klug TW, Plutshack V, Agradi M, Appiah S, Nunoo IK, Saparapa R. The political economy of gender mainstreaming in energy access in Senegal. Environ Res Clim. </w:t>
      </w:r>
      <w:proofErr w:type="gramStart"/>
      <w:r w:rsidRPr="00A200F5">
        <w:rPr>
          <w:rFonts w:ascii="Times New Roman" w:eastAsia="Times New Roman" w:hAnsi="Times New Roman" w:cs="Times New Roman"/>
          <w:sz w:val="24"/>
          <w:szCs w:val="24"/>
        </w:rPr>
        <w:t>2024;3:045011</w:t>
      </w:r>
      <w:proofErr w:type="gramEnd"/>
      <w:r w:rsidRPr="00A200F5">
        <w:rPr>
          <w:rFonts w:ascii="Times New Roman" w:eastAsia="Times New Roman" w:hAnsi="Times New Roman" w:cs="Times New Roman"/>
          <w:sz w:val="24"/>
          <w:szCs w:val="24"/>
        </w:rPr>
        <w:t>. doi:10.1088/2752-5295/ad5bf1</w:t>
      </w:r>
    </w:p>
    <w:p w14:paraId="7B4AE256"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[71] Malonza M, Fedha M. An assessment of gender and energy in Kenya: the underlying issues. Int J Sci Technol Res. 2015;4(1). Available from: https://www.academia.edu/81026545</w:t>
      </w:r>
    </w:p>
    <w:p w14:paraId="02DA06BD"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lastRenderedPageBreak/>
        <w:t>[72] Botswana Technology Centre. Gender Audit of Energy Policies and Programmes: The Case for Botswana. Gaborone: Botswana Technology Centre; 2006. Available from: https://www.academia.edu/49692923</w:t>
      </w:r>
    </w:p>
    <w:p w14:paraId="01414021"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[73] World Bank. Gender, Time Use, and Poverty in Sub-Saharan Africa. Washington, DC: World Bank; 2006. Available from: https://documents1.worldbank.org/curated/en/473591467990333534/pdf</w:t>
      </w:r>
    </w:p>
    <w:p w14:paraId="3F45DFB2"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 xml:space="preserve">[74] Royo MG, Diep L, Mulligan J, Mukanga P, Parikh P. Linking the UN Sustainable Development Goals and African Agenda 2063: understanding overlaps and gaps between the global goals and continental priorities for Africa. World Dev Sustain. </w:t>
      </w:r>
      <w:proofErr w:type="gramStart"/>
      <w:r w:rsidRPr="00A200F5">
        <w:rPr>
          <w:rFonts w:ascii="Times New Roman" w:eastAsia="Times New Roman" w:hAnsi="Times New Roman" w:cs="Times New Roman"/>
          <w:sz w:val="24"/>
          <w:szCs w:val="24"/>
        </w:rPr>
        <w:t>2022;1:100010</w:t>
      </w:r>
      <w:proofErr w:type="gramEnd"/>
      <w:r w:rsidRPr="00A200F5">
        <w:rPr>
          <w:rFonts w:ascii="Times New Roman" w:eastAsia="Times New Roman" w:hAnsi="Times New Roman" w:cs="Times New Roman"/>
          <w:sz w:val="24"/>
          <w:szCs w:val="24"/>
        </w:rPr>
        <w:t xml:space="preserve">. </w:t>
      </w:r>
      <w:proofErr w:type="gramStart"/>
      <w:r w:rsidRPr="00A200F5">
        <w:rPr>
          <w:rFonts w:ascii="Times New Roman" w:eastAsia="Times New Roman" w:hAnsi="Times New Roman" w:cs="Times New Roman"/>
          <w:sz w:val="24"/>
          <w:szCs w:val="24"/>
        </w:rPr>
        <w:t>doi:10.1016/j.wds</w:t>
      </w:r>
      <w:proofErr w:type="gramEnd"/>
      <w:r w:rsidRPr="00A200F5">
        <w:rPr>
          <w:rFonts w:ascii="Times New Roman" w:eastAsia="Times New Roman" w:hAnsi="Times New Roman" w:cs="Times New Roman"/>
          <w:sz w:val="24"/>
          <w:szCs w:val="24"/>
        </w:rPr>
        <w:t>.2022.100010</w:t>
      </w:r>
    </w:p>
    <w:p w14:paraId="76A398DB"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 xml:space="preserve">[75] Pachauri S, Rao ND. Gender impacts and determinants of energy poverty: are we asking the right questions? Curr Opin Environ Sustain. 2013;5(2):205–15. </w:t>
      </w:r>
      <w:proofErr w:type="gramStart"/>
      <w:r w:rsidRPr="00A200F5">
        <w:rPr>
          <w:rFonts w:ascii="Times New Roman" w:eastAsia="Times New Roman" w:hAnsi="Times New Roman" w:cs="Times New Roman"/>
          <w:sz w:val="24"/>
          <w:szCs w:val="24"/>
        </w:rPr>
        <w:t>doi:10.1016/j.cosust</w:t>
      </w:r>
      <w:proofErr w:type="gramEnd"/>
      <w:r w:rsidRPr="00A200F5">
        <w:rPr>
          <w:rFonts w:ascii="Times New Roman" w:eastAsia="Times New Roman" w:hAnsi="Times New Roman" w:cs="Times New Roman"/>
          <w:sz w:val="24"/>
          <w:szCs w:val="24"/>
        </w:rPr>
        <w:t>.2013.04.006</w:t>
      </w:r>
    </w:p>
    <w:p w14:paraId="7D2BF78D"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 xml:space="preserve">[76] Winther T, Ulsrud K, Matinga M, Govindan M, Gill B, Saini A, et al. In the light of what we cannot see: exploring the interconnections between gender and electricity access. Energy Res Soc Sci. </w:t>
      </w:r>
      <w:proofErr w:type="gramStart"/>
      <w:r w:rsidRPr="00A200F5">
        <w:rPr>
          <w:rFonts w:ascii="Times New Roman" w:eastAsia="Times New Roman" w:hAnsi="Times New Roman" w:cs="Times New Roman"/>
          <w:sz w:val="24"/>
          <w:szCs w:val="24"/>
        </w:rPr>
        <w:t>2019;60:101334</w:t>
      </w:r>
      <w:proofErr w:type="gramEnd"/>
      <w:r w:rsidRPr="00A200F5">
        <w:rPr>
          <w:rFonts w:ascii="Times New Roman" w:eastAsia="Times New Roman" w:hAnsi="Times New Roman" w:cs="Times New Roman"/>
          <w:sz w:val="24"/>
          <w:szCs w:val="24"/>
        </w:rPr>
        <w:t xml:space="preserve">. </w:t>
      </w:r>
      <w:proofErr w:type="gramStart"/>
      <w:r w:rsidRPr="00A200F5">
        <w:rPr>
          <w:rFonts w:ascii="Times New Roman" w:eastAsia="Times New Roman" w:hAnsi="Times New Roman" w:cs="Times New Roman"/>
          <w:sz w:val="24"/>
          <w:szCs w:val="24"/>
        </w:rPr>
        <w:t>doi:10.1016/j.erss</w:t>
      </w:r>
      <w:proofErr w:type="gramEnd"/>
      <w:r w:rsidRPr="00A200F5">
        <w:rPr>
          <w:rFonts w:ascii="Times New Roman" w:eastAsia="Times New Roman" w:hAnsi="Times New Roman" w:cs="Times New Roman"/>
          <w:sz w:val="24"/>
          <w:szCs w:val="24"/>
        </w:rPr>
        <w:t>.2019.101334</w:t>
      </w:r>
    </w:p>
    <w:p w14:paraId="1AC4CEF1" w14:textId="77777777" w:rsidR="00F00637" w:rsidRPr="00A200F5"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[77] Sustainable Energy for All (SEforALL). Energizing Finance: Clean Cooking 2024. Vienna: SEforALL; 2024. Available from: https://www.seforall.org/system/files/2024-10/report-iep-cleancooking_compressed.pdf</w:t>
      </w:r>
    </w:p>
    <w:p w14:paraId="0B43AAA0" w14:textId="77777777" w:rsidR="00F00637" w:rsidRPr="00B72AF6" w:rsidRDefault="007101F3" w:rsidP="00B72AF6">
      <w:pPr>
        <w:spacing w:after="120" w:line="360" w:lineRule="auto"/>
        <w:ind w:left="720" w:hanging="720"/>
        <w:rPr>
          <w:rFonts w:ascii="Times New Roman" w:hAnsi="Times New Roman" w:cs="Times New Roman"/>
        </w:rPr>
      </w:pPr>
      <w:r w:rsidRPr="00A200F5">
        <w:rPr>
          <w:rFonts w:ascii="Times New Roman" w:eastAsia="Times New Roman" w:hAnsi="Times New Roman" w:cs="Times New Roman"/>
          <w:sz w:val="24"/>
          <w:szCs w:val="24"/>
        </w:rPr>
        <w:t>[78] Abioke UB, Umeasalugo PM, Egbordi CE, Ikponmwosa OD, Erezi E. A narrative review of the environmental and public health implications of carbon sequestration in the Amazon rainforest. J Glob Ecol Environ. 2026;22(2). doi:10.56557/jogee/2026/v22i210504</w:t>
      </w:r>
    </w:p>
    <w:sectPr w:rsidR="00F00637" w:rsidRPr="00B72A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43F55" w14:textId="77777777" w:rsidR="00613490" w:rsidRDefault="00613490" w:rsidP="005C3113">
      <w:r>
        <w:separator/>
      </w:r>
    </w:p>
  </w:endnote>
  <w:endnote w:type="continuationSeparator" w:id="0">
    <w:p w14:paraId="6108382E" w14:textId="77777777" w:rsidR="00613490" w:rsidRDefault="00613490" w:rsidP="005C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2810" w14:textId="77777777" w:rsidR="005C3113" w:rsidRDefault="005C3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9B85" w14:textId="77777777" w:rsidR="005C3113" w:rsidRDefault="005C3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42C1" w14:textId="77777777" w:rsidR="005C3113" w:rsidRDefault="005C3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145C4" w14:textId="77777777" w:rsidR="00613490" w:rsidRDefault="00613490" w:rsidP="005C3113">
      <w:r>
        <w:separator/>
      </w:r>
    </w:p>
  </w:footnote>
  <w:footnote w:type="continuationSeparator" w:id="0">
    <w:p w14:paraId="373F5DCF" w14:textId="77777777" w:rsidR="00613490" w:rsidRDefault="00613490" w:rsidP="005C3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E399" w14:textId="2AC8AC8D" w:rsidR="005C3113" w:rsidRDefault="005C3113">
    <w:pPr>
      <w:pStyle w:val="Header"/>
    </w:pPr>
    <w:r>
      <w:rPr>
        <w:noProof/>
      </w:rPr>
      <w:pict w14:anchorId="59B25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487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F9F9" w14:textId="1F974F20" w:rsidR="005C3113" w:rsidRDefault="005C3113">
    <w:pPr>
      <w:pStyle w:val="Header"/>
    </w:pPr>
    <w:r>
      <w:rPr>
        <w:noProof/>
      </w:rPr>
      <w:pict w14:anchorId="79F3F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487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0418" w14:textId="46407C5F" w:rsidR="005C3113" w:rsidRDefault="005C3113">
    <w:pPr>
      <w:pStyle w:val="Header"/>
    </w:pPr>
    <w:r>
      <w:rPr>
        <w:noProof/>
      </w:rPr>
      <w:pict w14:anchorId="2395D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487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C4DE7"/>
    <w:multiLevelType w:val="hybridMultilevel"/>
    <w:tmpl w:val="962CA674"/>
    <w:lvl w:ilvl="0" w:tplc="40C63DEA">
      <w:start w:val="1"/>
      <w:numFmt w:val="bullet"/>
      <w:lvlText w:val="•"/>
      <w:lvlJc w:val="left"/>
      <w:pPr>
        <w:ind w:left="720" w:hanging="360"/>
      </w:pPr>
    </w:lvl>
    <w:lvl w:ilvl="1" w:tplc="A21CB816">
      <w:numFmt w:val="decimal"/>
      <w:lvlText w:val=""/>
      <w:lvlJc w:val="left"/>
    </w:lvl>
    <w:lvl w:ilvl="2" w:tplc="9ABA5644">
      <w:numFmt w:val="decimal"/>
      <w:lvlText w:val=""/>
      <w:lvlJc w:val="left"/>
    </w:lvl>
    <w:lvl w:ilvl="3" w:tplc="D9647DB8">
      <w:numFmt w:val="decimal"/>
      <w:lvlText w:val=""/>
      <w:lvlJc w:val="left"/>
    </w:lvl>
    <w:lvl w:ilvl="4" w:tplc="80C20F24">
      <w:numFmt w:val="decimal"/>
      <w:lvlText w:val=""/>
      <w:lvlJc w:val="left"/>
    </w:lvl>
    <w:lvl w:ilvl="5" w:tplc="42B69254">
      <w:numFmt w:val="decimal"/>
      <w:lvlText w:val=""/>
      <w:lvlJc w:val="left"/>
    </w:lvl>
    <w:lvl w:ilvl="6" w:tplc="07906906">
      <w:numFmt w:val="decimal"/>
      <w:lvlText w:val=""/>
      <w:lvlJc w:val="left"/>
    </w:lvl>
    <w:lvl w:ilvl="7" w:tplc="7F80B4DA">
      <w:numFmt w:val="decimal"/>
      <w:lvlText w:val=""/>
      <w:lvlJc w:val="left"/>
    </w:lvl>
    <w:lvl w:ilvl="8" w:tplc="B9C2E936">
      <w:numFmt w:val="decimal"/>
      <w:lvlText w:val=""/>
      <w:lvlJc w:val="left"/>
    </w:lvl>
  </w:abstractNum>
  <w:abstractNum w:abstractNumId="1" w15:restartNumberingAfterBreak="0">
    <w:nsid w:val="6E1866FA"/>
    <w:multiLevelType w:val="hybridMultilevel"/>
    <w:tmpl w:val="8EB0895E"/>
    <w:lvl w:ilvl="0" w:tplc="50FAE834">
      <w:start w:val="1"/>
      <w:numFmt w:val="bullet"/>
      <w:lvlText w:val="●"/>
      <w:lvlJc w:val="left"/>
      <w:pPr>
        <w:ind w:left="720" w:hanging="360"/>
      </w:pPr>
    </w:lvl>
    <w:lvl w:ilvl="1" w:tplc="9184EBAA">
      <w:start w:val="1"/>
      <w:numFmt w:val="bullet"/>
      <w:lvlText w:val="○"/>
      <w:lvlJc w:val="left"/>
      <w:pPr>
        <w:ind w:left="1440" w:hanging="360"/>
      </w:pPr>
    </w:lvl>
    <w:lvl w:ilvl="2" w:tplc="94BC7C50">
      <w:start w:val="1"/>
      <w:numFmt w:val="bullet"/>
      <w:lvlText w:val="■"/>
      <w:lvlJc w:val="left"/>
      <w:pPr>
        <w:ind w:left="2160" w:hanging="360"/>
      </w:pPr>
    </w:lvl>
    <w:lvl w:ilvl="3" w:tplc="97620282">
      <w:start w:val="1"/>
      <w:numFmt w:val="bullet"/>
      <w:lvlText w:val="●"/>
      <w:lvlJc w:val="left"/>
      <w:pPr>
        <w:ind w:left="2880" w:hanging="360"/>
      </w:pPr>
    </w:lvl>
    <w:lvl w:ilvl="4" w:tplc="AA1C6EB2">
      <w:start w:val="1"/>
      <w:numFmt w:val="bullet"/>
      <w:lvlText w:val="○"/>
      <w:lvlJc w:val="left"/>
      <w:pPr>
        <w:ind w:left="3600" w:hanging="360"/>
      </w:pPr>
    </w:lvl>
    <w:lvl w:ilvl="5" w:tplc="405A1DCA">
      <w:start w:val="1"/>
      <w:numFmt w:val="bullet"/>
      <w:lvlText w:val="■"/>
      <w:lvlJc w:val="left"/>
      <w:pPr>
        <w:ind w:left="4320" w:hanging="360"/>
      </w:pPr>
    </w:lvl>
    <w:lvl w:ilvl="6" w:tplc="382C6CE2">
      <w:start w:val="1"/>
      <w:numFmt w:val="bullet"/>
      <w:lvlText w:val="●"/>
      <w:lvlJc w:val="left"/>
      <w:pPr>
        <w:ind w:left="5040" w:hanging="360"/>
      </w:pPr>
    </w:lvl>
    <w:lvl w:ilvl="7" w:tplc="7D18852E">
      <w:start w:val="1"/>
      <w:numFmt w:val="bullet"/>
      <w:lvlText w:val="●"/>
      <w:lvlJc w:val="left"/>
      <w:pPr>
        <w:ind w:left="5760" w:hanging="360"/>
      </w:pPr>
    </w:lvl>
    <w:lvl w:ilvl="8" w:tplc="A9722718">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44"/>
    <w:rsid w:val="00180E0C"/>
    <w:rsid w:val="001D35CB"/>
    <w:rsid w:val="00271AA3"/>
    <w:rsid w:val="002F25B2"/>
    <w:rsid w:val="003A15A5"/>
    <w:rsid w:val="0044171D"/>
    <w:rsid w:val="00485130"/>
    <w:rsid w:val="005C3113"/>
    <w:rsid w:val="00613490"/>
    <w:rsid w:val="006F1244"/>
    <w:rsid w:val="007101F3"/>
    <w:rsid w:val="007D33A9"/>
    <w:rsid w:val="008225C9"/>
    <w:rsid w:val="0086676C"/>
    <w:rsid w:val="00911137"/>
    <w:rsid w:val="00994233"/>
    <w:rsid w:val="00A200F5"/>
    <w:rsid w:val="00AD4BA2"/>
    <w:rsid w:val="00B72AF6"/>
    <w:rsid w:val="00BD56CF"/>
    <w:rsid w:val="00C111C0"/>
    <w:rsid w:val="00D40232"/>
    <w:rsid w:val="00DA4219"/>
    <w:rsid w:val="00F00637"/>
    <w:rsid w:val="00F90396"/>
    <w:rsid w:val="00FF3F27"/>
    <w:rsid w:val="00FF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BDE20"/>
  <w15:docId w15:val="{23D102EE-BA7D-4413-A3CC-3A06558D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A5276"/>
      <w:sz w:val="28"/>
      <w:szCs w:val="28"/>
    </w:rPr>
  </w:style>
  <w:style w:type="paragraph" w:styleId="Heading2">
    <w:name w:val="heading 2"/>
    <w:uiPriority w:val="9"/>
    <w:unhideWhenUsed/>
    <w:qFormat/>
    <w:pPr>
      <w:spacing w:before="280" w:after="120"/>
      <w:outlineLvl w:val="1"/>
    </w:pPr>
    <w:rPr>
      <w:b/>
      <w:bCs/>
      <w:color w:val="1A5276"/>
      <w:sz w:val="24"/>
      <w:szCs w:val="24"/>
    </w:rPr>
  </w:style>
  <w:style w:type="paragraph" w:styleId="Heading3">
    <w:name w:val="heading 3"/>
    <w:uiPriority w:val="9"/>
    <w:semiHidden/>
    <w:unhideWhenUsed/>
    <w:qFormat/>
    <w:pPr>
      <w:spacing w:before="200" w:after="100"/>
      <w:outlineLvl w:val="2"/>
    </w:pPr>
    <w:rPr>
      <w:b/>
      <w:bCs/>
      <w:i/>
      <w:iCs/>
      <w:color w:val="1F618D"/>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font-claude-response-body">
    <w:name w:val="font-claude-response-body"/>
    <w:basedOn w:val="Normal"/>
    <w:rsid w:val="007D33A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7D33A9"/>
    <w:rPr>
      <w:i/>
      <w:iCs/>
    </w:rPr>
  </w:style>
  <w:style w:type="paragraph" w:styleId="NormalWeb">
    <w:name w:val="Normal (Web)"/>
    <w:basedOn w:val="Normal"/>
    <w:uiPriority w:val="99"/>
    <w:semiHidden/>
    <w:unhideWhenUsed/>
    <w:rsid w:val="00F9039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90396"/>
    <w:rPr>
      <w:b/>
      <w:bCs/>
    </w:rPr>
  </w:style>
  <w:style w:type="character" w:styleId="UnresolvedMention">
    <w:name w:val="Unresolved Mention"/>
    <w:basedOn w:val="DefaultParagraphFont"/>
    <w:uiPriority w:val="99"/>
    <w:semiHidden/>
    <w:unhideWhenUsed/>
    <w:rsid w:val="007101F3"/>
    <w:rPr>
      <w:color w:val="605E5C"/>
      <w:shd w:val="clear" w:color="auto" w:fill="E1DFDD"/>
    </w:rPr>
  </w:style>
  <w:style w:type="paragraph" w:styleId="Header">
    <w:name w:val="header"/>
    <w:basedOn w:val="Normal"/>
    <w:link w:val="HeaderChar"/>
    <w:uiPriority w:val="99"/>
    <w:unhideWhenUsed/>
    <w:rsid w:val="005C3113"/>
    <w:pPr>
      <w:tabs>
        <w:tab w:val="center" w:pos="4680"/>
        <w:tab w:val="right" w:pos="9360"/>
      </w:tabs>
    </w:pPr>
  </w:style>
  <w:style w:type="character" w:customStyle="1" w:styleId="HeaderChar">
    <w:name w:val="Header Char"/>
    <w:basedOn w:val="DefaultParagraphFont"/>
    <w:link w:val="Header"/>
    <w:uiPriority w:val="99"/>
    <w:rsid w:val="005C3113"/>
  </w:style>
  <w:style w:type="paragraph" w:styleId="Footer">
    <w:name w:val="footer"/>
    <w:basedOn w:val="Normal"/>
    <w:link w:val="FooterChar"/>
    <w:uiPriority w:val="99"/>
    <w:unhideWhenUsed/>
    <w:rsid w:val="005C3113"/>
    <w:pPr>
      <w:tabs>
        <w:tab w:val="center" w:pos="4680"/>
        <w:tab w:val="right" w:pos="9360"/>
      </w:tabs>
    </w:pPr>
  </w:style>
  <w:style w:type="character" w:customStyle="1" w:styleId="FooterChar">
    <w:name w:val="Footer Char"/>
    <w:basedOn w:val="DefaultParagraphFont"/>
    <w:link w:val="Footer"/>
    <w:uiPriority w:val="99"/>
    <w:rsid w:val="005C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94943">
      <w:bodyDiv w:val="1"/>
      <w:marLeft w:val="0"/>
      <w:marRight w:val="0"/>
      <w:marTop w:val="0"/>
      <w:marBottom w:val="0"/>
      <w:divBdr>
        <w:top w:val="none" w:sz="0" w:space="0" w:color="auto"/>
        <w:left w:val="none" w:sz="0" w:space="0" w:color="auto"/>
        <w:bottom w:val="none" w:sz="0" w:space="0" w:color="auto"/>
        <w:right w:val="none" w:sz="0" w:space="0" w:color="auto"/>
      </w:divBdr>
      <w:divsChild>
        <w:div w:id="844050677">
          <w:marLeft w:val="0"/>
          <w:marRight w:val="0"/>
          <w:marTop w:val="0"/>
          <w:marBottom w:val="0"/>
          <w:divBdr>
            <w:top w:val="none" w:sz="0" w:space="0" w:color="auto"/>
            <w:left w:val="none" w:sz="0" w:space="0" w:color="auto"/>
            <w:bottom w:val="none" w:sz="0" w:space="0" w:color="auto"/>
            <w:right w:val="none" w:sz="0" w:space="0" w:color="auto"/>
          </w:divBdr>
          <w:divsChild>
            <w:div w:id="322468514">
              <w:marLeft w:val="0"/>
              <w:marRight w:val="0"/>
              <w:marTop w:val="0"/>
              <w:marBottom w:val="0"/>
              <w:divBdr>
                <w:top w:val="none" w:sz="0" w:space="0" w:color="auto"/>
                <w:left w:val="none" w:sz="0" w:space="0" w:color="auto"/>
                <w:bottom w:val="none" w:sz="0" w:space="0" w:color="auto"/>
                <w:right w:val="none" w:sz="0" w:space="0" w:color="auto"/>
              </w:divBdr>
              <w:divsChild>
                <w:div w:id="35548558">
                  <w:marLeft w:val="0"/>
                  <w:marRight w:val="0"/>
                  <w:marTop w:val="0"/>
                  <w:marBottom w:val="0"/>
                  <w:divBdr>
                    <w:top w:val="none" w:sz="0" w:space="0" w:color="auto"/>
                    <w:left w:val="none" w:sz="0" w:space="0" w:color="auto"/>
                    <w:bottom w:val="none" w:sz="0" w:space="0" w:color="auto"/>
                    <w:right w:val="none" w:sz="0" w:space="0" w:color="auto"/>
                  </w:divBdr>
                  <w:divsChild>
                    <w:div w:id="82393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frica.unwomen.org/sites/default/files/Field%20Office%20Africa/Attachments/Publications/2017/11/Gender%20Energy%20and%20Policy%20A%20Review%20of%20Energy%20Policies%20in%20East%20and%20Southern%20AfricaWeb%20LR.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39</Pages>
  <Words>12104</Words>
  <Characters>68998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12</cp:revision>
  <dcterms:created xsi:type="dcterms:W3CDTF">2026-05-03T15:34:00Z</dcterms:created>
  <dcterms:modified xsi:type="dcterms:W3CDTF">2026-05-08T09:59:00Z</dcterms:modified>
</cp:coreProperties>
</file>