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A33911" w14:textId="3E0A216E" w:rsidR="002F04CA" w:rsidRPr="00792270" w:rsidRDefault="002F04CA" w:rsidP="00892F5E">
      <w:pPr>
        <w:spacing w:line="240" w:lineRule="auto"/>
        <w:jc w:val="both"/>
        <w:rPr>
          <w:b/>
          <w:bCs/>
          <w:szCs w:val="24"/>
        </w:rPr>
      </w:pPr>
      <w:r w:rsidRPr="00792270">
        <w:rPr>
          <w:b/>
          <w:bCs/>
          <w:szCs w:val="24"/>
        </w:rPr>
        <w:t>Assessment of Environmental Noise Pollution and Its Impact on Mental Health Among Residents of Yaba Suburbs, Lagos State</w:t>
      </w:r>
    </w:p>
    <w:p w14:paraId="38851846" w14:textId="77777777" w:rsidR="00570573" w:rsidRDefault="00570573" w:rsidP="00892F5E">
      <w:pPr>
        <w:spacing w:line="240" w:lineRule="auto"/>
        <w:jc w:val="both"/>
        <w:rPr>
          <w:b/>
          <w:bCs/>
          <w:szCs w:val="24"/>
          <w:lang w:val="en-IN"/>
        </w:rPr>
      </w:pPr>
    </w:p>
    <w:p w14:paraId="2593B1B7" w14:textId="0CD3C901" w:rsidR="00100254" w:rsidRDefault="00100254" w:rsidP="00892F5E">
      <w:pPr>
        <w:spacing w:line="240" w:lineRule="auto"/>
        <w:jc w:val="both"/>
        <w:rPr>
          <w:b/>
          <w:bCs/>
          <w:szCs w:val="24"/>
        </w:rPr>
      </w:pPr>
    </w:p>
    <w:p w14:paraId="33D2DF71" w14:textId="77777777" w:rsidR="00E140D7" w:rsidRPr="00792270" w:rsidRDefault="00E140D7" w:rsidP="00892F5E">
      <w:pPr>
        <w:spacing w:line="240" w:lineRule="auto"/>
        <w:jc w:val="both"/>
        <w:rPr>
          <w:b/>
          <w:bCs/>
          <w:szCs w:val="24"/>
        </w:rPr>
      </w:pPr>
      <w:bookmarkStart w:id="0" w:name="_GoBack"/>
      <w:bookmarkEnd w:id="0"/>
    </w:p>
    <w:p w14:paraId="50BB4454" w14:textId="77777777" w:rsidR="00892F5E" w:rsidRPr="00792270" w:rsidRDefault="00C11CAD" w:rsidP="00892F5E">
      <w:pPr>
        <w:spacing w:line="240" w:lineRule="auto"/>
        <w:jc w:val="both"/>
        <w:rPr>
          <w:b/>
          <w:bCs/>
          <w:szCs w:val="24"/>
        </w:rPr>
      </w:pPr>
      <w:r w:rsidRPr="00792270">
        <w:rPr>
          <w:b/>
          <w:bCs/>
          <w:szCs w:val="24"/>
        </w:rPr>
        <w:t>Abstract</w:t>
      </w:r>
    </w:p>
    <w:p w14:paraId="221A7DE8" w14:textId="05136AB3" w:rsidR="00C11CAD" w:rsidRPr="00792270" w:rsidRDefault="00C11CAD" w:rsidP="00892F5E">
      <w:pPr>
        <w:spacing w:line="240" w:lineRule="auto"/>
        <w:jc w:val="both"/>
        <w:rPr>
          <w:szCs w:val="24"/>
        </w:rPr>
      </w:pPr>
      <w:r w:rsidRPr="00792270">
        <w:rPr>
          <w:szCs w:val="24"/>
        </w:rPr>
        <w:t>This paper assesse</w:t>
      </w:r>
      <w:r w:rsidR="00013F64" w:rsidRPr="00792270">
        <w:rPr>
          <w:szCs w:val="24"/>
        </w:rPr>
        <w:t>s</w:t>
      </w:r>
      <w:r w:rsidRPr="00792270">
        <w:rPr>
          <w:szCs w:val="24"/>
        </w:rPr>
        <w:t xml:space="preserve"> environmental noise pollution in the Yaba suburb</w:t>
      </w:r>
      <w:r w:rsidR="00013F64" w:rsidRPr="00792270">
        <w:rPr>
          <w:szCs w:val="24"/>
        </w:rPr>
        <w:t xml:space="preserve">s </w:t>
      </w:r>
      <w:r w:rsidRPr="00792270">
        <w:rPr>
          <w:szCs w:val="24"/>
        </w:rPr>
        <w:t xml:space="preserve">of Lagos State, Nigeria, and the effects on the mental health of its residents due to the rapid urbanisation, heavy traffic congestion and mixed land-use trends.  </w:t>
      </w:r>
      <w:r w:rsidR="00013F64" w:rsidRPr="00792270">
        <w:rPr>
          <w:szCs w:val="24"/>
        </w:rPr>
        <w:t xml:space="preserve">The </w:t>
      </w:r>
      <w:r w:rsidRPr="00792270">
        <w:rPr>
          <w:szCs w:val="24"/>
        </w:rPr>
        <w:t xml:space="preserve">level of environmental noise was measured with the help of a sound-level meter that had been calibrated to A-weighted equivalent continuous sound level (LAeq) at different times of the day, evening and night. Descriptive statistics, Pearson correlation coefficients and multiple linear regression analysis were used to analyse the data with statistical significance of p &lt; 0.05. The findings indicated that the noise levels were </w:t>
      </w:r>
      <w:r w:rsidR="002E611A" w:rsidRPr="00792270">
        <w:rPr>
          <w:szCs w:val="24"/>
        </w:rPr>
        <w:t>consistently above the World Health Organisation limit, with LAeq values of 68-87 dB(A) across all periods</w:t>
      </w:r>
      <w:r w:rsidRPr="00792270">
        <w:rPr>
          <w:szCs w:val="24"/>
        </w:rPr>
        <w:t xml:space="preserve">. Over 55.2 per cent of the respondents displayed significant psychological distress, with significant proportions reporting moderate to very severe levels of depression and anxiety. Noise sensitivity was mainly moderate (80.3 per cent), and a statistically significant positive correlation was found between noise sensitivity and depression (r = 0.157, p &lt; 0.05), anxiety (r = 0.236, p &lt; 0.01) and psychological distress (r = 0.263, p &lt; 0.01). Noise sensitivity was established to be a noteworthy independent predictor of depression (b = 0.178, p = 0.006), anxiety (b = 0.254, p &lt; 0.000), and psychological distress (b = 0.288, p &lt; 0.001) by multiple regression analysis. These results suggest that noise pollution of the environment in Yaba is beyond acceptable levels of human exposure and that it is closely linked to poor mental-health outcomes, and noise sensitivity enhances these impacts. </w:t>
      </w:r>
      <w:r w:rsidR="002E611A" w:rsidRPr="00792270">
        <w:rPr>
          <w:szCs w:val="24"/>
        </w:rPr>
        <w:t>Better</w:t>
      </w:r>
      <w:r w:rsidRPr="00792270">
        <w:rPr>
          <w:szCs w:val="24"/>
        </w:rPr>
        <w:t xml:space="preserve"> urban planning strateg</w:t>
      </w:r>
      <w:r w:rsidR="002E611A" w:rsidRPr="00792270">
        <w:rPr>
          <w:szCs w:val="24"/>
        </w:rPr>
        <w:t>ies</w:t>
      </w:r>
      <w:r w:rsidRPr="00792270">
        <w:rPr>
          <w:szCs w:val="24"/>
        </w:rPr>
        <w:t>, strict implementation of noise-control activities and specific attention to the psychological well-being of the population living in highly populated cities</w:t>
      </w:r>
      <w:r w:rsidR="00892F5E" w:rsidRPr="00792270">
        <w:rPr>
          <w:szCs w:val="24"/>
        </w:rPr>
        <w:t>,</w:t>
      </w:r>
      <w:r w:rsidRPr="00792270">
        <w:rPr>
          <w:szCs w:val="24"/>
        </w:rPr>
        <w:t xml:space="preserve"> with the help of interventions of a directed type of public health</w:t>
      </w:r>
      <w:r w:rsidR="00892F5E" w:rsidRPr="00792270">
        <w:rPr>
          <w:szCs w:val="24"/>
        </w:rPr>
        <w:t>,</w:t>
      </w:r>
      <w:r w:rsidRPr="00792270">
        <w:rPr>
          <w:szCs w:val="24"/>
        </w:rPr>
        <w:t xml:space="preserve"> are all needed to reduce this risk factor of the environment and safeguard psychological health in the crowded urban environments.</w:t>
      </w:r>
    </w:p>
    <w:p w14:paraId="180519D0" w14:textId="77777777" w:rsidR="00471D2D" w:rsidRPr="00792270" w:rsidRDefault="00471D2D" w:rsidP="00892F5E">
      <w:pPr>
        <w:spacing w:line="240" w:lineRule="auto"/>
        <w:jc w:val="both"/>
        <w:rPr>
          <w:b/>
          <w:bCs/>
          <w:szCs w:val="24"/>
        </w:rPr>
      </w:pPr>
    </w:p>
    <w:p w14:paraId="68D86AE0" w14:textId="39740E77" w:rsidR="002F04CA" w:rsidRPr="00792270" w:rsidRDefault="002F04CA" w:rsidP="00892F5E">
      <w:pPr>
        <w:spacing w:line="240" w:lineRule="auto"/>
        <w:jc w:val="both"/>
        <w:rPr>
          <w:b/>
          <w:bCs/>
          <w:szCs w:val="24"/>
        </w:rPr>
      </w:pPr>
      <w:r w:rsidRPr="00792270">
        <w:rPr>
          <w:b/>
          <w:bCs/>
          <w:szCs w:val="24"/>
        </w:rPr>
        <w:t>Keywords</w:t>
      </w:r>
      <w:r w:rsidR="00C11CAD" w:rsidRPr="00792270">
        <w:rPr>
          <w:b/>
          <w:bCs/>
          <w:szCs w:val="24"/>
        </w:rPr>
        <w:t xml:space="preserve">: </w:t>
      </w:r>
      <w:r w:rsidRPr="00792270">
        <w:rPr>
          <w:szCs w:val="24"/>
        </w:rPr>
        <w:t xml:space="preserve">Environmental noise; </w:t>
      </w:r>
      <w:r w:rsidR="00892F5E" w:rsidRPr="00792270">
        <w:rPr>
          <w:szCs w:val="24"/>
        </w:rPr>
        <w:t xml:space="preserve">public health; </w:t>
      </w:r>
      <w:r w:rsidRPr="00792270">
        <w:rPr>
          <w:szCs w:val="24"/>
        </w:rPr>
        <w:t xml:space="preserve">mental health; noise sensitivity; depression; anxiety; urban Nigeria </w:t>
      </w:r>
    </w:p>
    <w:p w14:paraId="6C15FF03" w14:textId="77777777" w:rsidR="002F04CA" w:rsidRPr="00792270" w:rsidRDefault="002F04CA" w:rsidP="00892F5E">
      <w:pPr>
        <w:spacing w:line="240" w:lineRule="auto"/>
        <w:jc w:val="both"/>
        <w:rPr>
          <w:b/>
          <w:bCs/>
          <w:szCs w:val="24"/>
        </w:rPr>
      </w:pPr>
    </w:p>
    <w:p w14:paraId="459B7AC6" w14:textId="77777777" w:rsidR="002F04CA" w:rsidRPr="00792270" w:rsidRDefault="002F04CA" w:rsidP="00892F5E">
      <w:pPr>
        <w:spacing w:line="240" w:lineRule="auto"/>
        <w:jc w:val="both"/>
        <w:rPr>
          <w:b/>
          <w:bCs/>
          <w:szCs w:val="24"/>
        </w:rPr>
      </w:pPr>
    </w:p>
    <w:p w14:paraId="40A1C52D" w14:textId="77777777" w:rsidR="002F04CA" w:rsidRPr="00792270" w:rsidRDefault="002F04CA" w:rsidP="00892F5E">
      <w:pPr>
        <w:spacing w:line="240" w:lineRule="auto"/>
        <w:jc w:val="both"/>
        <w:rPr>
          <w:b/>
          <w:bCs/>
          <w:szCs w:val="24"/>
        </w:rPr>
      </w:pPr>
    </w:p>
    <w:p w14:paraId="4B0FBD7A" w14:textId="77777777" w:rsidR="00C11CAD" w:rsidRPr="00792270" w:rsidRDefault="00C11CAD" w:rsidP="00892F5E">
      <w:pPr>
        <w:spacing w:after="160" w:line="240" w:lineRule="auto"/>
        <w:jc w:val="both"/>
        <w:rPr>
          <w:b/>
          <w:bCs/>
          <w:szCs w:val="24"/>
        </w:rPr>
      </w:pPr>
      <w:r w:rsidRPr="00792270">
        <w:rPr>
          <w:b/>
          <w:bCs/>
          <w:szCs w:val="24"/>
        </w:rPr>
        <w:br w:type="page"/>
      </w:r>
    </w:p>
    <w:p w14:paraId="51890364" w14:textId="2D4C906F" w:rsidR="002F04CA" w:rsidRPr="00792270" w:rsidRDefault="002F04CA" w:rsidP="00234FF6">
      <w:pPr>
        <w:pStyle w:val="ListParagraph"/>
        <w:numPr>
          <w:ilvl w:val="0"/>
          <w:numId w:val="19"/>
        </w:numPr>
      </w:pPr>
      <w:r w:rsidRPr="00792270">
        <w:lastRenderedPageBreak/>
        <w:t>Introduction</w:t>
      </w:r>
    </w:p>
    <w:p w14:paraId="04345F68" w14:textId="4C48DECA" w:rsidR="001C666C" w:rsidRPr="00792270" w:rsidRDefault="001C666C" w:rsidP="00892F5E">
      <w:pPr>
        <w:spacing w:line="240" w:lineRule="auto"/>
        <w:jc w:val="both"/>
        <w:rPr>
          <w:szCs w:val="24"/>
        </w:rPr>
      </w:pPr>
      <w:r w:rsidRPr="00792270">
        <w:rPr>
          <w:szCs w:val="24"/>
        </w:rPr>
        <w:t xml:space="preserve">Environmental noise pollution refers to undesired or harmful external sound as </w:t>
      </w:r>
      <w:r w:rsidR="00A62000" w:rsidRPr="00792270">
        <w:rPr>
          <w:szCs w:val="24"/>
        </w:rPr>
        <w:t>a</w:t>
      </w:r>
      <w:r w:rsidRPr="00792270">
        <w:rPr>
          <w:szCs w:val="24"/>
        </w:rPr>
        <w:t xml:space="preserve"> result of anthropogenic processes like transportation, business, construction activity, and recreational activities. It has been recorded that chronic exposure to high levels of noise leads to a range of non-auditory health outcomes. Basner et al. (2014) evaluated auditory and non-auditory outcomes and found that persistent noise exposure induces the physiological stress reaction, sleeping issues, and the increased risk of anxiety and depressive disorders. Stansfeld and Clark (2015) </w:t>
      </w:r>
      <w:r w:rsidR="0082583B" w:rsidRPr="00792270">
        <w:rPr>
          <w:szCs w:val="24"/>
        </w:rPr>
        <w:t>were</w:t>
      </w:r>
      <w:r w:rsidRPr="00792270">
        <w:rPr>
          <w:szCs w:val="24"/>
        </w:rPr>
        <w:t xml:space="preserve"> able to confirm these findings as they assessed the impact of noise on children and found correlations with psychological symptoms but not clinical psychiatric disorders, which were less directly correlated in community contexts. These observations were reinforced by the World Health Organisation (2018) guidelines of the European Region that </w:t>
      </w:r>
      <w:r w:rsidR="0082583B" w:rsidRPr="00792270">
        <w:rPr>
          <w:szCs w:val="24"/>
        </w:rPr>
        <w:t>prescribed</w:t>
      </w:r>
      <w:r w:rsidRPr="00792270">
        <w:rPr>
          <w:szCs w:val="24"/>
        </w:rPr>
        <w:t xml:space="preserve"> exposure limits intended to eliminate annoyance, sleep disruption, and attendant mental health burdens, including 55 dB(A) of daytime noise in communities and 40 dB(A) at night, to protect </w:t>
      </w:r>
      <w:r w:rsidR="00A62000" w:rsidRPr="00792270">
        <w:rPr>
          <w:szCs w:val="24"/>
        </w:rPr>
        <w:t>well-being</w:t>
      </w:r>
      <w:r w:rsidRPr="00792270">
        <w:rPr>
          <w:szCs w:val="24"/>
        </w:rPr>
        <w:t>.</w:t>
      </w:r>
    </w:p>
    <w:p w14:paraId="42E8EB2E" w14:textId="77777777" w:rsidR="00E67E04" w:rsidRPr="00792270" w:rsidRDefault="00E67E04" w:rsidP="00892F5E">
      <w:pPr>
        <w:spacing w:line="240" w:lineRule="auto"/>
        <w:jc w:val="both"/>
        <w:rPr>
          <w:szCs w:val="24"/>
        </w:rPr>
      </w:pPr>
    </w:p>
    <w:p w14:paraId="67A41D33" w14:textId="77777777" w:rsidR="00234FF6" w:rsidRPr="00792270" w:rsidRDefault="00E67E04" w:rsidP="00E67E04">
      <w:pPr>
        <w:spacing w:line="240" w:lineRule="auto"/>
        <w:jc w:val="both"/>
        <w:rPr>
          <w:szCs w:val="24"/>
        </w:rPr>
      </w:pPr>
      <w:r w:rsidRPr="00792270">
        <w:rPr>
          <w:szCs w:val="24"/>
        </w:rPr>
        <w:t xml:space="preserve">The available research regarding environmental noise in Nigeria focuses on the physical impacts of the issue on the health of the population, including hearing impairment or hypertension, with little focus on mental concerns. Research in Lagos measures the intensity of noise but does not generally combine objective acoustics that have been properly measured with quantified psychological screening instruments (Akinnubi et al., 2020; Adekoya et al., 2024). The literature on Yaba-specific research is still very limited, with no combined evaluation of exposure and mental outcomes using standardised measures. Other </w:t>
      </w:r>
      <w:r w:rsidR="00234FF6" w:rsidRPr="00792270">
        <w:rPr>
          <w:szCs w:val="24"/>
        </w:rPr>
        <w:t xml:space="preserve">cities </w:t>
      </w:r>
      <w:r w:rsidRPr="00792270">
        <w:rPr>
          <w:szCs w:val="24"/>
        </w:rPr>
        <w:t xml:space="preserve">are investigated across larger parts of Nigeria without area-specific investigations (Aliyu, 2021; Ohaeri and Obafemi, 2024). International data offers solid models, but local cultural, socioeconomic and urban conditions require analysis. </w:t>
      </w:r>
    </w:p>
    <w:p w14:paraId="28FA4D85" w14:textId="77777777" w:rsidR="00234FF6" w:rsidRPr="00792270" w:rsidRDefault="00234FF6" w:rsidP="00E67E04">
      <w:pPr>
        <w:spacing w:line="240" w:lineRule="auto"/>
        <w:jc w:val="both"/>
        <w:rPr>
          <w:szCs w:val="24"/>
        </w:rPr>
      </w:pPr>
    </w:p>
    <w:p w14:paraId="25364697" w14:textId="20A048B8" w:rsidR="001C666C" w:rsidRPr="00792270" w:rsidRDefault="00E67E04" w:rsidP="00892F5E">
      <w:pPr>
        <w:spacing w:line="240" w:lineRule="auto"/>
        <w:jc w:val="both"/>
        <w:rPr>
          <w:szCs w:val="24"/>
        </w:rPr>
      </w:pPr>
      <w:r w:rsidRPr="00792270">
        <w:rPr>
          <w:szCs w:val="24"/>
        </w:rPr>
        <w:t>Th</w:t>
      </w:r>
      <w:r w:rsidR="00234FF6" w:rsidRPr="00792270">
        <w:rPr>
          <w:szCs w:val="24"/>
        </w:rPr>
        <w:t xml:space="preserve">is </w:t>
      </w:r>
      <w:r w:rsidRPr="00792270">
        <w:rPr>
          <w:szCs w:val="24"/>
        </w:rPr>
        <w:t>research aim</w:t>
      </w:r>
      <w:r w:rsidR="00234FF6" w:rsidRPr="00792270">
        <w:rPr>
          <w:szCs w:val="24"/>
        </w:rPr>
        <w:t xml:space="preserve">ed </w:t>
      </w:r>
      <w:r w:rsidRPr="00792270">
        <w:rPr>
          <w:szCs w:val="24"/>
        </w:rPr>
        <w:t>at filling these gaps by measuring noise in the suburbia of Yaba and assessing mental health with the help of GHQ-12, PHQ-9, and GAD-7. The method bridges information lapses in localised integrated data and facilitates evidence-based interventions in addressing urban noise management in Nigeria.</w:t>
      </w:r>
      <w:r w:rsidR="00234FF6" w:rsidRPr="00792270">
        <w:rPr>
          <w:szCs w:val="24"/>
        </w:rPr>
        <w:t xml:space="preserve"> </w:t>
      </w:r>
      <w:r w:rsidR="001C666C" w:rsidRPr="00792270">
        <w:rPr>
          <w:szCs w:val="24"/>
        </w:rPr>
        <w:t xml:space="preserve">The current investigation </w:t>
      </w:r>
      <w:r w:rsidR="00234FF6" w:rsidRPr="00792270">
        <w:rPr>
          <w:szCs w:val="24"/>
        </w:rPr>
        <w:t>was</w:t>
      </w:r>
      <w:r w:rsidR="001C666C" w:rsidRPr="00792270">
        <w:rPr>
          <w:szCs w:val="24"/>
        </w:rPr>
        <w:t xml:space="preserve"> guided by a number of questions. What are the primary sources and locations of the environmental noise pollution in the Yaba suburbs? What are the perceived impacts on the mental health of residents of environmental noise? is the correlation between measured noise exposure and mental health outcomes? What are the current efforts that can be used to alleviate noise pollution in the study area?</w:t>
      </w:r>
    </w:p>
    <w:p w14:paraId="3157AD9D" w14:textId="77777777" w:rsidR="00E67E04" w:rsidRPr="00792270" w:rsidRDefault="00E67E04" w:rsidP="00892F5E">
      <w:pPr>
        <w:spacing w:line="240" w:lineRule="auto"/>
        <w:jc w:val="both"/>
        <w:rPr>
          <w:szCs w:val="24"/>
        </w:rPr>
      </w:pPr>
    </w:p>
    <w:p w14:paraId="40F0CE39" w14:textId="02843836" w:rsidR="00E67E04" w:rsidRPr="00792270" w:rsidRDefault="001C666C" w:rsidP="00E67E04">
      <w:pPr>
        <w:spacing w:line="240" w:lineRule="auto"/>
        <w:jc w:val="both"/>
        <w:rPr>
          <w:szCs w:val="24"/>
        </w:rPr>
      </w:pPr>
      <w:r w:rsidRPr="00792270">
        <w:rPr>
          <w:szCs w:val="24"/>
        </w:rPr>
        <w:t>Th</w:t>
      </w:r>
      <w:r w:rsidR="0082583B" w:rsidRPr="00792270">
        <w:rPr>
          <w:szCs w:val="24"/>
        </w:rPr>
        <w:t>is</w:t>
      </w:r>
      <w:r w:rsidRPr="00792270">
        <w:rPr>
          <w:szCs w:val="24"/>
        </w:rPr>
        <w:t xml:space="preserve"> study pursue</w:t>
      </w:r>
      <w:r w:rsidR="0082583B" w:rsidRPr="00792270">
        <w:rPr>
          <w:szCs w:val="24"/>
        </w:rPr>
        <w:t>d</w:t>
      </w:r>
      <w:r w:rsidRPr="00792270">
        <w:rPr>
          <w:szCs w:val="24"/>
        </w:rPr>
        <w:t xml:space="preserve"> four aims. The first measure </w:t>
      </w:r>
      <w:r w:rsidR="0082583B" w:rsidRPr="00792270">
        <w:rPr>
          <w:szCs w:val="24"/>
        </w:rPr>
        <w:t>was</w:t>
      </w:r>
      <w:r w:rsidRPr="00792270">
        <w:rPr>
          <w:szCs w:val="24"/>
        </w:rPr>
        <w:t xml:space="preserve"> the noise standards of the environment in some of the Yaba </w:t>
      </w:r>
      <w:r w:rsidR="0082583B" w:rsidRPr="00792270">
        <w:rPr>
          <w:szCs w:val="24"/>
        </w:rPr>
        <w:t>locations</w:t>
      </w:r>
      <w:r w:rsidRPr="00792270">
        <w:rPr>
          <w:szCs w:val="24"/>
        </w:rPr>
        <w:t xml:space="preserve">. Second, the mental health status of the residents </w:t>
      </w:r>
      <w:r w:rsidR="0082583B" w:rsidRPr="00792270">
        <w:rPr>
          <w:szCs w:val="24"/>
        </w:rPr>
        <w:t>was</w:t>
      </w:r>
      <w:r w:rsidRPr="00792270">
        <w:rPr>
          <w:szCs w:val="24"/>
        </w:rPr>
        <w:t xml:space="preserve"> determined using validated instruments. Third, the connection between noise exposure in the environment and mental health outcomes </w:t>
      </w:r>
      <w:r w:rsidR="0082583B" w:rsidRPr="00792270">
        <w:rPr>
          <w:szCs w:val="24"/>
        </w:rPr>
        <w:t>was</w:t>
      </w:r>
      <w:r w:rsidRPr="00792270">
        <w:rPr>
          <w:szCs w:val="24"/>
        </w:rPr>
        <w:t xml:space="preserve"> identified. Fourth, the moderating variables, like the demographic variables, </w:t>
      </w:r>
      <w:r w:rsidR="0082583B" w:rsidRPr="00792270">
        <w:rPr>
          <w:szCs w:val="24"/>
        </w:rPr>
        <w:t>were</w:t>
      </w:r>
      <w:r w:rsidRPr="00792270">
        <w:rPr>
          <w:szCs w:val="24"/>
        </w:rPr>
        <w:t xml:space="preserve"> established, and mitigation strategies </w:t>
      </w:r>
      <w:r w:rsidR="0082583B" w:rsidRPr="00792270">
        <w:rPr>
          <w:szCs w:val="24"/>
        </w:rPr>
        <w:t xml:space="preserve">were </w:t>
      </w:r>
      <w:r w:rsidRPr="00792270">
        <w:rPr>
          <w:szCs w:val="24"/>
        </w:rPr>
        <w:t>suggested to limit the exposure and alleviate impacts.</w:t>
      </w:r>
      <w:r w:rsidR="00E67E04" w:rsidRPr="00792270">
        <w:rPr>
          <w:szCs w:val="24"/>
        </w:rPr>
        <w:t xml:space="preserve"> </w:t>
      </w:r>
    </w:p>
    <w:p w14:paraId="2F3BD8E4" w14:textId="77777777" w:rsidR="00E67E04" w:rsidRPr="00792270" w:rsidRDefault="00E67E04" w:rsidP="00892F5E">
      <w:pPr>
        <w:spacing w:line="240" w:lineRule="auto"/>
        <w:jc w:val="both"/>
        <w:rPr>
          <w:szCs w:val="24"/>
        </w:rPr>
      </w:pPr>
    </w:p>
    <w:p w14:paraId="0CF171BB" w14:textId="77777777" w:rsidR="00E67E04" w:rsidRPr="00792270" w:rsidRDefault="00E67E04" w:rsidP="00E67E04">
      <w:pPr>
        <w:spacing w:line="240" w:lineRule="auto"/>
        <w:rPr>
          <w:szCs w:val="24"/>
        </w:rPr>
      </w:pPr>
    </w:p>
    <w:p w14:paraId="5EB610F6" w14:textId="5307CC75" w:rsidR="00E67E04" w:rsidRPr="00792270" w:rsidRDefault="00E67E04" w:rsidP="00234FF6">
      <w:pPr>
        <w:pStyle w:val="ListParagraph"/>
      </w:pPr>
      <w:r w:rsidRPr="00792270">
        <w:t>Conceptual Framework</w:t>
      </w:r>
    </w:p>
    <w:p w14:paraId="3BA4838E" w14:textId="3B9131F1" w:rsidR="001C666C" w:rsidRPr="00792270" w:rsidRDefault="001C666C" w:rsidP="00E67E04">
      <w:pPr>
        <w:spacing w:line="240" w:lineRule="auto"/>
        <w:rPr>
          <w:szCs w:val="24"/>
        </w:rPr>
      </w:pPr>
      <w:r w:rsidRPr="00792270">
        <w:rPr>
          <w:szCs w:val="24"/>
        </w:rPr>
        <w:t xml:space="preserve">The conceptual approach </w:t>
      </w:r>
      <w:r w:rsidR="0082583B" w:rsidRPr="00792270">
        <w:rPr>
          <w:szCs w:val="24"/>
        </w:rPr>
        <w:t>was</w:t>
      </w:r>
      <w:r w:rsidRPr="00792270">
        <w:rPr>
          <w:szCs w:val="24"/>
        </w:rPr>
        <w:t xml:space="preserve"> formulated with the help of an exposure-response framework. Exposure to objective environmental noise, which is measured as A-weighted equivalent continuous sound level (LAeq), </w:t>
      </w:r>
      <w:r w:rsidR="00234FF6" w:rsidRPr="00792270">
        <w:rPr>
          <w:szCs w:val="24"/>
        </w:rPr>
        <w:t>was</w:t>
      </w:r>
      <w:r w:rsidRPr="00792270">
        <w:rPr>
          <w:szCs w:val="24"/>
        </w:rPr>
        <w:t xml:space="preserve"> used to reflect exposures at Yaba sites. Sleep disturbance, </w:t>
      </w:r>
      <w:r w:rsidRPr="00792270">
        <w:rPr>
          <w:szCs w:val="24"/>
        </w:rPr>
        <w:lastRenderedPageBreak/>
        <w:t xml:space="preserve">annoyance, and physiological stress are mediators that </w:t>
      </w:r>
      <w:r w:rsidR="00234FF6" w:rsidRPr="00792270">
        <w:rPr>
          <w:szCs w:val="24"/>
        </w:rPr>
        <w:t>were</w:t>
      </w:r>
      <w:r w:rsidRPr="00792270">
        <w:rPr>
          <w:szCs w:val="24"/>
        </w:rPr>
        <w:t xml:space="preserve"> self-reported. The results include the mental health indicators, anxiety, depression, and psychological distress, which </w:t>
      </w:r>
      <w:r w:rsidR="00234FF6" w:rsidRPr="00792270">
        <w:rPr>
          <w:szCs w:val="24"/>
        </w:rPr>
        <w:t>were</w:t>
      </w:r>
      <w:r w:rsidRPr="00792270">
        <w:rPr>
          <w:szCs w:val="24"/>
        </w:rPr>
        <w:t xml:space="preserve"> measured with the help of standardised scales. The moderators include demographic (age, gender, education, income) and noise sensitivity (a personal factor of susceptibility to noise adversity) and coping (behaviour change</w:t>
      </w:r>
      <w:r w:rsidR="00A62000" w:rsidRPr="00792270">
        <w:rPr>
          <w:szCs w:val="24"/>
        </w:rPr>
        <w:t>,</w:t>
      </w:r>
      <w:r w:rsidRPr="00792270">
        <w:rPr>
          <w:szCs w:val="24"/>
        </w:rPr>
        <w:t xml:space="preserve"> including earplug use or moving to a less-noisy area) factors. The confounders include air pollution proxies, chronic physical conditions, substance use, and socioeconomic deprivation (Masum et al., 2021; Murphy and King, 2022).</w:t>
      </w:r>
    </w:p>
    <w:p w14:paraId="11F913F4" w14:textId="77777777" w:rsidR="00234FF6" w:rsidRPr="00792270" w:rsidRDefault="00234FF6" w:rsidP="00E67E04">
      <w:pPr>
        <w:spacing w:line="240" w:lineRule="auto"/>
        <w:rPr>
          <w:szCs w:val="24"/>
        </w:rPr>
      </w:pPr>
    </w:p>
    <w:p w14:paraId="73A46330" w14:textId="1A163F0D" w:rsidR="001C666C" w:rsidRPr="00792270" w:rsidRDefault="001C666C" w:rsidP="00892F5E">
      <w:pPr>
        <w:spacing w:line="240" w:lineRule="auto"/>
        <w:jc w:val="both"/>
        <w:rPr>
          <w:szCs w:val="24"/>
        </w:rPr>
      </w:pPr>
      <w:r w:rsidRPr="00792270">
        <w:rPr>
          <w:szCs w:val="24"/>
        </w:rPr>
        <w:t>The research limit</w:t>
      </w:r>
      <w:r w:rsidR="00234FF6" w:rsidRPr="00792270">
        <w:rPr>
          <w:szCs w:val="24"/>
        </w:rPr>
        <w:t>ed</w:t>
      </w:r>
      <w:r w:rsidRPr="00792270">
        <w:rPr>
          <w:szCs w:val="24"/>
        </w:rPr>
        <w:t xml:space="preserve"> itself to specific Yaba neighbourhoods in the month</w:t>
      </w:r>
      <w:r w:rsidR="00234FF6" w:rsidRPr="00792270">
        <w:rPr>
          <w:szCs w:val="24"/>
        </w:rPr>
        <w:t>s</w:t>
      </w:r>
      <w:r w:rsidRPr="00792270">
        <w:rPr>
          <w:szCs w:val="24"/>
        </w:rPr>
        <w:t xml:space="preserve"> of December 2025-</w:t>
      </w:r>
      <w:r w:rsidR="00234FF6" w:rsidRPr="00792270">
        <w:rPr>
          <w:szCs w:val="24"/>
        </w:rPr>
        <w:t>March</w:t>
      </w:r>
      <w:r w:rsidRPr="00792270">
        <w:rPr>
          <w:szCs w:val="24"/>
        </w:rPr>
        <w:t xml:space="preserve"> 2026. The intensity of noise during the day and night </w:t>
      </w:r>
      <w:r w:rsidR="00234FF6" w:rsidRPr="00792270">
        <w:rPr>
          <w:szCs w:val="24"/>
        </w:rPr>
        <w:t>was</w:t>
      </w:r>
      <w:r w:rsidRPr="00792270">
        <w:rPr>
          <w:szCs w:val="24"/>
        </w:rPr>
        <w:t xml:space="preserve"> assessed, as well as the mental health changes such as stress, anxiety, and sleeplessness. Other forms of pollutants, like air or water, </w:t>
      </w:r>
      <w:r w:rsidR="00234FF6" w:rsidRPr="00792270">
        <w:rPr>
          <w:szCs w:val="24"/>
        </w:rPr>
        <w:t>were</w:t>
      </w:r>
      <w:r w:rsidRPr="00792270">
        <w:rPr>
          <w:szCs w:val="24"/>
        </w:rPr>
        <w:t xml:space="preserve"> not in scope. They </w:t>
      </w:r>
      <w:r w:rsidR="00234FF6" w:rsidRPr="00792270">
        <w:rPr>
          <w:szCs w:val="24"/>
        </w:rPr>
        <w:t>did</w:t>
      </w:r>
      <w:r w:rsidRPr="00792270">
        <w:rPr>
          <w:szCs w:val="24"/>
        </w:rPr>
        <w:t xml:space="preserve"> not involve clinical diagnoses, long-term follow-up, and large-scale environmental control. Industrial noise mapping, children and clinical examination </w:t>
      </w:r>
      <w:r w:rsidR="00234FF6" w:rsidRPr="00792270">
        <w:rPr>
          <w:szCs w:val="24"/>
        </w:rPr>
        <w:t>were also</w:t>
      </w:r>
      <w:r w:rsidRPr="00792270">
        <w:rPr>
          <w:szCs w:val="24"/>
        </w:rPr>
        <w:t xml:space="preserve"> not included.</w:t>
      </w:r>
    </w:p>
    <w:p w14:paraId="6F8599B9" w14:textId="77777777" w:rsidR="00E67E04" w:rsidRPr="00792270" w:rsidRDefault="00E67E04" w:rsidP="00892F5E">
      <w:pPr>
        <w:spacing w:line="240" w:lineRule="auto"/>
        <w:jc w:val="both"/>
        <w:rPr>
          <w:b/>
          <w:bCs/>
          <w:szCs w:val="24"/>
        </w:rPr>
      </w:pPr>
    </w:p>
    <w:p w14:paraId="0CEA3F26" w14:textId="627D8633" w:rsidR="00BC1017" w:rsidRPr="00792270" w:rsidRDefault="00E67E04" w:rsidP="00892F5E">
      <w:pPr>
        <w:spacing w:line="240" w:lineRule="auto"/>
        <w:jc w:val="both"/>
        <w:rPr>
          <w:b/>
          <w:bCs/>
          <w:szCs w:val="24"/>
        </w:rPr>
      </w:pPr>
      <w:r w:rsidRPr="00792270">
        <w:rPr>
          <w:b/>
          <w:bCs/>
          <w:szCs w:val="24"/>
        </w:rPr>
        <w:t xml:space="preserve">3.0 </w:t>
      </w:r>
      <w:r w:rsidR="00BC1017" w:rsidRPr="00792270">
        <w:rPr>
          <w:b/>
          <w:bCs/>
          <w:szCs w:val="24"/>
        </w:rPr>
        <w:t>Introduction to Environmental Noise Pollution</w:t>
      </w:r>
    </w:p>
    <w:p w14:paraId="118557B8" w14:textId="77777777" w:rsidR="00BC1017" w:rsidRPr="00792270" w:rsidRDefault="00BC1017" w:rsidP="00892F5E">
      <w:pPr>
        <w:spacing w:line="240" w:lineRule="auto"/>
        <w:jc w:val="both"/>
        <w:rPr>
          <w:szCs w:val="24"/>
        </w:rPr>
      </w:pPr>
      <w:r w:rsidRPr="00792270">
        <w:rPr>
          <w:szCs w:val="24"/>
        </w:rPr>
        <w:t>The definition of environmental noise pollution is given as the unwanted or harmful sound produced by human activities in the open air, and this includes the transportation systems, industrial activities, constructions and events that happen in the neighbourhood. The long-term effects of such noise have been associated with a range of health effects which do not just involve an impairment of hearing. Basner et al. (2014) used a systematic review to determine that chronic noise exposure causes annoyance, sleep disturbance, daytime drowsiness, cognitive disability among children, hypertension, and cardiovascular disease. These negative effects are the result of direct sound pathways at high levels and indirect mechanisms of stress at moderate levels. The literature on international studies supports the peripheral but ubiquitous quality of noise as a pollutant, which can be neglected regardless of its measurable exposure. The physiological effect of noise is the activation of the stress system, which may result in long-term health-imposing effects. These risks are increased in urban settings by cumulative exposure to a variety of different sources. There is then evidence that noise pollution needs to be noted equally with other environmental hazards since it is common and it is avoidable.</w:t>
      </w:r>
    </w:p>
    <w:p w14:paraId="657FCCD4" w14:textId="77777777" w:rsidR="00E67E04" w:rsidRPr="00792270" w:rsidRDefault="00E67E04" w:rsidP="00892F5E">
      <w:pPr>
        <w:spacing w:line="240" w:lineRule="auto"/>
        <w:jc w:val="both"/>
        <w:rPr>
          <w:b/>
          <w:bCs/>
          <w:szCs w:val="24"/>
        </w:rPr>
      </w:pPr>
    </w:p>
    <w:p w14:paraId="4382E930" w14:textId="7CF3DA36" w:rsidR="00BC1017" w:rsidRPr="00792270" w:rsidRDefault="00E67E04" w:rsidP="00892F5E">
      <w:pPr>
        <w:spacing w:line="240" w:lineRule="auto"/>
        <w:jc w:val="both"/>
        <w:rPr>
          <w:b/>
          <w:bCs/>
          <w:szCs w:val="24"/>
        </w:rPr>
      </w:pPr>
      <w:r w:rsidRPr="00792270">
        <w:rPr>
          <w:b/>
          <w:bCs/>
          <w:szCs w:val="24"/>
        </w:rPr>
        <w:t xml:space="preserve">3.1 </w:t>
      </w:r>
      <w:r w:rsidR="00BC1017" w:rsidRPr="00792270">
        <w:rPr>
          <w:b/>
          <w:bCs/>
          <w:szCs w:val="24"/>
        </w:rPr>
        <w:t>WHO Guidelines</w:t>
      </w:r>
    </w:p>
    <w:p w14:paraId="1038AAE3" w14:textId="0B102ABD" w:rsidR="00BC1017" w:rsidRPr="00792270" w:rsidRDefault="00BC1017" w:rsidP="00892F5E">
      <w:pPr>
        <w:spacing w:line="240" w:lineRule="auto"/>
        <w:jc w:val="both"/>
        <w:rPr>
          <w:szCs w:val="24"/>
        </w:rPr>
      </w:pPr>
      <w:r w:rsidRPr="00792270">
        <w:rPr>
          <w:szCs w:val="24"/>
        </w:rPr>
        <w:t>The World Health Organisation (2018) released the environmental noise guidelines in the European Region, which seek to protect people's health by providing evidence-based exposure limits. The inquiry of the community noise is not to be more than 55 dB(A) during the day to reduce the annoyance level and the related risks, though it is better to keep the noise under 40 dB(A) at night to avoid sleep disturbance. Road traffic source-specific limits are 53 dB Lden and 45 dB Lnight, the railway noise 54 dB Lden and 44 dB Lnight, and aircraft 45 dB Lden and 40 dB Lnight. The resulting noise during leisure activities must be reduced at all costs, especially to the innocent population like children. These thresholds are based on systematic reviews which prove that noise and annoyance, economic effects on sleep, cardiovascular effects and cognitive outcomes are linked. The guidelines also focus on Lden (day-evening-night equivalent level) and Lnight as the major indicators to use in the long-term assessment. Although they are developed to suit Europe, they apply to other urban settings undergoing similar strains, giving a guideline to managing noise in the world. It is expected that adherence to these values will mitigate the avoidable health consequences based on environmental soundness.</w:t>
      </w:r>
    </w:p>
    <w:p w14:paraId="0579196B" w14:textId="77777777" w:rsidR="00E67E04" w:rsidRPr="00792270" w:rsidRDefault="00E67E04" w:rsidP="00892F5E">
      <w:pPr>
        <w:spacing w:line="240" w:lineRule="auto"/>
        <w:jc w:val="both"/>
        <w:rPr>
          <w:b/>
          <w:bCs/>
          <w:szCs w:val="24"/>
        </w:rPr>
      </w:pPr>
    </w:p>
    <w:p w14:paraId="19C7F1D4" w14:textId="77777777" w:rsidR="00DD506A" w:rsidRPr="00792270" w:rsidRDefault="00DD506A" w:rsidP="00892F5E">
      <w:pPr>
        <w:spacing w:line="240" w:lineRule="auto"/>
        <w:jc w:val="both"/>
        <w:rPr>
          <w:szCs w:val="24"/>
        </w:rPr>
      </w:pPr>
    </w:p>
    <w:p w14:paraId="7D6532EB" w14:textId="79ABD4D4" w:rsidR="00DD506A" w:rsidRPr="00792270" w:rsidRDefault="00E67E04" w:rsidP="00892F5E">
      <w:pPr>
        <w:spacing w:line="240" w:lineRule="auto"/>
        <w:jc w:val="both"/>
        <w:rPr>
          <w:b/>
          <w:bCs/>
          <w:szCs w:val="24"/>
        </w:rPr>
      </w:pPr>
      <w:r w:rsidRPr="00792270">
        <w:rPr>
          <w:b/>
          <w:bCs/>
          <w:szCs w:val="24"/>
        </w:rPr>
        <w:t>3.</w:t>
      </w:r>
      <w:r w:rsidR="00053A0C" w:rsidRPr="00792270">
        <w:rPr>
          <w:b/>
          <w:bCs/>
          <w:szCs w:val="24"/>
        </w:rPr>
        <w:t>2</w:t>
      </w:r>
      <w:r w:rsidRPr="00792270">
        <w:rPr>
          <w:b/>
          <w:bCs/>
          <w:szCs w:val="24"/>
        </w:rPr>
        <w:t xml:space="preserve"> </w:t>
      </w:r>
      <w:r w:rsidR="00DD506A" w:rsidRPr="00792270">
        <w:rPr>
          <w:b/>
          <w:bCs/>
          <w:szCs w:val="24"/>
        </w:rPr>
        <w:t>Link Between Noise and Mental Health</w:t>
      </w:r>
    </w:p>
    <w:p w14:paraId="5BA2E40F" w14:textId="0E22ABF9" w:rsidR="00BC1017" w:rsidRPr="00792270" w:rsidRDefault="00BC1017" w:rsidP="00892F5E">
      <w:pPr>
        <w:spacing w:line="240" w:lineRule="auto"/>
        <w:jc w:val="both"/>
        <w:rPr>
          <w:b/>
          <w:bCs/>
          <w:szCs w:val="24"/>
        </w:rPr>
      </w:pPr>
      <w:r w:rsidRPr="00792270">
        <w:rPr>
          <w:szCs w:val="24"/>
        </w:rPr>
        <w:t>Persistent environmental noise has been implicated with negative mental health through physiological mechanisms of stress. The hypothalamic-pituitary-adrenal axis is triggered by noise and promotes cortisol production as well as long-term stress reactions (Chu et al., 2025). Lazarus and Folkman (1984) defined the idea of stress in the relationship between the demands that are perceived in the environment and exceed the coping resources; hence, noise is a continuous stress factor. Basner et al. (2014) attributed the exposure to high risks of anxiety and depressive disorders by non-auditory means. Noise exposure has an intermediate effect on mental health between individual and situational variables. The susceptibility is predefined by demographic factors, such as age, gender, and socioeconomic status. Effects are enhanced by noise sensitivity, a stable characteristic of increased negative reactions to sound (Clark and Paunović, 2018). Those who are more sensitive complain of more irritation and discomfort at similar levels of exposure. Moderating the outcomes are coping strategies</w:t>
      </w:r>
      <w:r w:rsidR="00234FF6" w:rsidRPr="00792270">
        <w:rPr>
          <w:szCs w:val="24"/>
        </w:rPr>
        <w:t>,</w:t>
      </w:r>
      <w:r w:rsidRPr="00792270">
        <w:rPr>
          <w:szCs w:val="24"/>
        </w:rPr>
        <w:t xml:space="preserve"> which include behavioural adaptations or environmental changes. The conditions of housing, the closeness to the source of noise and the time of exposure also form responses. Socioeconomic deprivation is associated with </w:t>
      </w:r>
      <w:r w:rsidR="00234FF6" w:rsidRPr="00792270">
        <w:rPr>
          <w:szCs w:val="24"/>
        </w:rPr>
        <w:t>a</w:t>
      </w:r>
      <w:r w:rsidRPr="00792270">
        <w:rPr>
          <w:szCs w:val="24"/>
        </w:rPr>
        <w:t xml:space="preserve"> closer location to high-noise zones and fewer mitigating resources. Increased vulnerability in urban Nigeria is related to cultural and contextual issues such as poor planning and ineffective enforcement (Kareem and Olatunji, 2024). These moderators imply that risk assessment should consider them because community-level data can be misleading </w:t>
      </w:r>
      <w:r w:rsidR="00234FF6" w:rsidRPr="00792270">
        <w:rPr>
          <w:szCs w:val="24"/>
        </w:rPr>
        <w:t>about</w:t>
      </w:r>
      <w:r w:rsidRPr="00792270">
        <w:rPr>
          <w:szCs w:val="24"/>
        </w:rPr>
        <w:t xml:space="preserve"> subgroup differences. Their consideration allows better assessment of the effects of noise on mental health.</w:t>
      </w:r>
    </w:p>
    <w:p w14:paraId="7C21CCF6" w14:textId="77777777" w:rsidR="00E67E04" w:rsidRPr="00792270" w:rsidRDefault="00E67E04" w:rsidP="00892F5E">
      <w:pPr>
        <w:spacing w:line="240" w:lineRule="auto"/>
        <w:jc w:val="both"/>
        <w:rPr>
          <w:szCs w:val="24"/>
        </w:rPr>
      </w:pPr>
    </w:p>
    <w:p w14:paraId="01A6229E" w14:textId="77777777" w:rsidR="00E67E04" w:rsidRPr="00792270" w:rsidRDefault="00E67E04" w:rsidP="00892F5E">
      <w:pPr>
        <w:spacing w:line="240" w:lineRule="auto"/>
        <w:jc w:val="both"/>
        <w:rPr>
          <w:b/>
          <w:bCs/>
          <w:szCs w:val="24"/>
        </w:rPr>
      </w:pPr>
    </w:p>
    <w:p w14:paraId="4F8454E4" w14:textId="4F8EC377" w:rsidR="002F04CA" w:rsidRPr="00792270" w:rsidRDefault="00234FF6" w:rsidP="00234FF6">
      <w:pPr>
        <w:ind w:left="360" w:hanging="360"/>
        <w:rPr>
          <w:b/>
          <w:bCs/>
          <w:szCs w:val="24"/>
        </w:rPr>
      </w:pPr>
      <w:r w:rsidRPr="00792270">
        <w:rPr>
          <w:b/>
          <w:bCs/>
          <w:szCs w:val="24"/>
        </w:rPr>
        <w:t xml:space="preserve">4.0 </w:t>
      </w:r>
      <w:r w:rsidR="002F04CA" w:rsidRPr="00792270">
        <w:rPr>
          <w:b/>
          <w:bCs/>
          <w:szCs w:val="24"/>
        </w:rPr>
        <w:t>Materials and Methods</w:t>
      </w:r>
    </w:p>
    <w:p w14:paraId="737A2146" w14:textId="537E7C0A" w:rsidR="006D74F1" w:rsidRPr="00792270" w:rsidRDefault="006D74F1" w:rsidP="00892F5E">
      <w:pPr>
        <w:spacing w:line="240" w:lineRule="auto"/>
        <w:jc w:val="both"/>
        <w:rPr>
          <w:szCs w:val="24"/>
        </w:rPr>
      </w:pPr>
      <w:r w:rsidRPr="00792270">
        <w:rPr>
          <w:szCs w:val="24"/>
        </w:rPr>
        <w:t xml:space="preserve">The study was done in a populated suburb called Yaba, located in the mainland of Lagos State, Nigeria, which is around six kilometres northeast of the Island of Lagos. The administrative location of Yaba is the Lagos Mainland Local Government Area. The location of the study has heterogeneous land use with respect to residential areas, student hostels, single dwelling units, commercial markets, offices, and learning institutions like the University of Lagos, the Yaba College of Technology, and the Federal College of Education (Technical), Akoka. </w:t>
      </w:r>
      <w:r w:rsidR="00075F01" w:rsidRPr="00792270">
        <w:rPr>
          <w:szCs w:val="24"/>
        </w:rPr>
        <w:t>There is</w:t>
      </w:r>
      <w:r w:rsidRPr="00792270">
        <w:rPr>
          <w:szCs w:val="24"/>
        </w:rPr>
        <w:t xml:space="preserve"> </w:t>
      </w:r>
      <w:r w:rsidR="00053A0C" w:rsidRPr="00792270">
        <w:rPr>
          <w:szCs w:val="24"/>
        </w:rPr>
        <w:t>an</w:t>
      </w:r>
      <w:r w:rsidRPr="00792270">
        <w:rPr>
          <w:szCs w:val="24"/>
        </w:rPr>
        <w:t xml:space="preserve"> approximate population of 480,000 people in the Lagos Mainland Local Government Area, and the population of Yaba was estimated at 437,000 inhabitants (Citypopulation, 2022; Xplorer, 2025). The number of adults in the chosen neighbourhoods was calculated as 200,000 to 260,000. Inclusion criteria included that the participants should be adult residents aged 18 years and above</w:t>
      </w:r>
      <w:r w:rsidR="00053A0C" w:rsidRPr="00792270">
        <w:rPr>
          <w:szCs w:val="24"/>
        </w:rPr>
        <w:t>,</w:t>
      </w:r>
      <w:r w:rsidRPr="00792270">
        <w:rPr>
          <w:szCs w:val="24"/>
        </w:rPr>
        <w:t xml:space="preserve"> and should have lived in the area </w:t>
      </w:r>
      <w:r w:rsidR="00053A0C" w:rsidRPr="00792270">
        <w:rPr>
          <w:szCs w:val="24"/>
        </w:rPr>
        <w:t xml:space="preserve">for </w:t>
      </w:r>
      <w:r w:rsidRPr="00792270">
        <w:rPr>
          <w:szCs w:val="24"/>
        </w:rPr>
        <w:t>at least six months</w:t>
      </w:r>
      <w:r w:rsidR="00053A0C" w:rsidRPr="00792270">
        <w:rPr>
          <w:szCs w:val="24"/>
        </w:rPr>
        <w:t>,</w:t>
      </w:r>
      <w:r w:rsidRPr="00792270">
        <w:rPr>
          <w:szCs w:val="24"/>
        </w:rPr>
        <w:t xml:space="preserve"> and be mentally competent to give informed consent to participate. The exclusion criteria included residents of the study area who had not resided there for at least six months, those with severe mental or physical disabilities that could have prevented them from completing the questionnaire, temporary visitors, non-permanent residents and people who refused to give their consent or returned incomplete questionnaires.</w:t>
      </w:r>
    </w:p>
    <w:p w14:paraId="2F5B764A" w14:textId="77777777" w:rsidR="006D74F1" w:rsidRPr="00792270" w:rsidRDefault="006D74F1" w:rsidP="00892F5E">
      <w:pPr>
        <w:spacing w:line="240" w:lineRule="auto"/>
        <w:jc w:val="both"/>
        <w:rPr>
          <w:szCs w:val="24"/>
        </w:rPr>
      </w:pPr>
      <w:r w:rsidRPr="00792270">
        <w:rPr>
          <w:szCs w:val="24"/>
        </w:rPr>
        <w:t>The analysis design was a cross-sectional study with objective monitoring of the environmental noise and structured evaluation of mental health at one point in time.</w:t>
      </w:r>
    </w:p>
    <w:p w14:paraId="2D498F02" w14:textId="77777777" w:rsidR="00053A0C" w:rsidRPr="00792270" w:rsidRDefault="00053A0C" w:rsidP="00892F5E">
      <w:pPr>
        <w:spacing w:line="240" w:lineRule="auto"/>
        <w:jc w:val="both"/>
        <w:rPr>
          <w:szCs w:val="24"/>
        </w:rPr>
      </w:pPr>
    </w:p>
    <w:p w14:paraId="62D5B219" w14:textId="3EE808B3" w:rsidR="006D74F1" w:rsidRPr="00792270" w:rsidRDefault="006D74F1" w:rsidP="00892F5E">
      <w:pPr>
        <w:spacing w:line="240" w:lineRule="auto"/>
        <w:jc w:val="both"/>
        <w:rPr>
          <w:szCs w:val="24"/>
        </w:rPr>
      </w:pPr>
      <w:r w:rsidRPr="00792270">
        <w:rPr>
          <w:szCs w:val="24"/>
        </w:rPr>
        <w:t xml:space="preserve">The determination of </w:t>
      </w:r>
      <w:r w:rsidR="00053A0C" w:rsidRPr="00792270">
        <w:rPr>
          <w:szCs w:val="24"/>
        </w:rPr>
        <w:t xml:space="preserve">the </w:t>
      </w:r>
      <w:r w:rsidRPr="00792270">
        <w:rPr>
          <w:szCs w:val="24"/>
        </w:rPr>
        <w:t>sample size used the Cochran formula:</w:t>
      </w:r>
    </w:p>
    <w:p w14:paraId="2276125B" w14:textId="3161E9EF" w:rsidR="006131D5" w:rsidRPr="00792270" w:rsidRDefault="006131D5" w:rsidP="00892F5E">
      <w:pPr>
        <w:spacing w:line="240" w:lineRule="auto"/>
        <w:jc w:val="both"/>
        <w:rPr>
          <w:szCs w:val="24"/>
        </w:rPr>
      </w:pPr>
      <w:r w:rsidRPr="00792270">
        <w:rPr>
          <w:szCs w:val="24"/>
        </w:rPr>
        <w:t>n = (Z² × p × (1 − p)) / d²</w:t>
      </w:r>
    </w:p>
    <w:p w14:paraId="15476EE6" w14:textId="36696985" w:rsidR="006D74F1" w:rsidRPr="00792270" w:rsidRDefault="006D74F1" w:rsidP="00892F5E">
      <w:pPr>
        <w:spacing w:line="240" w:lineRule="auto"/>
        <w:jc w:val="both"/>
        <w:rPr>
          <w:szCs w:val="24"/>
        </w:rPr>
      </w:pPr>
      <w:r w:rsidRPr="00792270">
        <w:rPr>
          <w:szCs w:val="24"/>
        </w:rPr>
        <w:lastRenderedPageBreak/>
        <w:t>In which Z is the standard normal deviate at a 95% confidence level (1.96), p is the estimated prevalence of mental stress (caused by noise pollution</w:t>
      </w:r>
      <w:r w:rsidR="00053A0C" w:rsidRPr="00792270">
        <w:rPr>
          <w:szCs w:val="24"/>
        </w:rPr>
        <w:t>,</w:t>
      </w:r>
      <w:r w:rsidRPr="00792270">
        <w:rPr>
          <w:szCs w:val="24"/>
        </w:rPr>
        <w:t xml:space="preserve"> 0.166 based on Ohaeri and Obafemi, 2024), and d is the margin of error (0.05). This was calculated to obtain a minimum sample size of 213</w:t>
      </w:r>
      <w:r w:rsidR="00053A0C" w:rsidRPr="00792270">
        <w:rPr>
          <w:szCs w:val="24"/>
        </w:rPr>
        <w:t>, which</w:t>
      </w:r>
      <w:r w:rsidRPr="00792270">
        <w:rPr>
          <w:szCs w:val="24"/>
        </w:rPr>
        <w:t xml:space="preserve"> was then raised to 237 to cater to possible non-response. Then</w:t>
      </w:r>
      <w:r w:rsidR="00053A0C" w:rsidRPr="00792270">
        <w:rPr>
          <w:szCs w:val="24"/>
        </w:rPr>
        <w:t>,</w:t>
      </w:r>
      <w:r w:rsidRPr="00792270">
        <w:rPr>
          <w:szCs w:val="24"/>
        </w:rPr>
        <w:t xml:space="preserve"> systematic random sampling was used. The sampling frame was based on the households in the chosen Yaba neighbourhoods on the map of enumeration areas of the National Population Commission of the area; these were Sabo, Alagomeji, Onike, Akoka, and Abule-Oja. The sampling interval was calculated by dividing the estimated number of households (which was about 4,500) by the target sample size, which was 19. All households were chosen at random (19th). One eligible adult was selected in each of the selected households</w:t>
      </w:r>
      <w:r w:rsidR="00053A0C" w:rsidRPr="00792270">
        <w:rPr>
          <w:szCs w:val="24"/>
        </w:rPr>
        <w:t>; if</w:t>
      </w:r>
      <w:r w:rsidRPr="00792270">
        <w:rPr>
          <w:szCs w:val="24"/>
        </w:rPr>
        <w:t xml:space="preserve"> more than one eligible adult </w:t>
      </w:r>
      <w:r w:rsidR="00075F01" w:rsidRPr="00792270">
        <w:rPr>
          <w:szCs w:val="24"/>
        </w:rPr>
        <w:t xml:space="preserve">was </w:t>
      </w:r>
      <w:r w:rsidRPr="00792270">
        <w:rPr>
          <w:szCs w:val="24"/>
        </w:rPr>
        <w:t>in the household, a simple random selection process was used. Absent and refusal households were substituted by the household following the enumeration list.</w:t>
      </w:r>
    </w:p>
    <w:p w14:paraId="33A0E3FA" w14:textId="77777777" w:rsidR="00075F01" w:rsidRPr="00792270" w:rsidRDefault="00075F01" w:rsidP="00892F5E">
      <w:pPr>
        <w:spacing w:line="240" w:lineRule="auto"/>
        <w:jc w:val="both"/>
        <w:rPr>
          <w:szCs w:val="24"/>
        </w:rPr>
      </w:pPr>
    </w:p>
    <w:p w14:paraId="70761FC1" w14:textId="62049B89" w:rsidR="006D74F1" w:rsidRPr="00792270" w:rsidRDefault="006D74F1" w:rsidP="00892F5E">
      <w:pPr>
        <w:spacing w:line="240" w:lineRule="auto"/>
        <w:jc w:val="both"/>
        <w:rPr>
          <w:szCs w:val="24"/>
        </w:rPr>
      </w:pPr>
      <w:r w:rsidRPr="00792270">
        <w:rPr>
          <w:szCs w:val="24"/>
        </w:rPr>
        <w:t xml:space="preserve">Two </w:t>
      </w:r>
      <w:r w:rsidR="00075F01" w:rsidRPr="00792270">
        <w:rPr>
          <w:szCs w:val="24"/>
        </w:rPr>
        <w:t xml:space="preserve">complementary </w:t>
      </w:r>
      <w:r w:rsidRPr="00792270">
        <w:rPr>
          <w:szCs w:val="24"/>
        </w:rPr>
        <w:t xml:space="preserve">methods </w:t>
      </w:r>
      <w:r w:rsidR="00075F01" w:rsidRPr="00792270">
        <w:rPr>
          <w:szCs w:val="24"/>
        </w:rPr>
        <w:t xml:space="preserve">were </w:t>
      </w:r>
      <w:r w:rsidRPr="00792270">
        <w:rPr>
          <w:szCs w:val="24"/>
        </w:rPr>
        <w:t>used to collect data. An objective measurement of the noise level in the environment was taken with a digital sound level meter (</w:t>
      </w:r>
      <w:r w:rsidR="00053A0C" w:rsidRPr="00792270">
        <w:rPr>
          <w:szCs w:val="24"/>
        </w:rPr>
        <w:t>EXTECH</w:t>
      </w:r>
      <w:r w:rsidRPr="00792270">
        <w:rPr>
          <w:szCs w:val="24"/>
        </w:rPr>
        <w:t xml:space="preserve"> 407730), which was calibrated according to the specifications of the manufacturer. The measurements were done at 1.2 metres above the ground level </w:t>
      </w:r>
      <w:r w:rsidR="00053A0C" w:rsidRPr="00792270">
        <w:rPr>
          <w:szCs w:val="24"/>
        </w:rPr>
        <w:t>at</w:t>
      </w:r>
      <w:r w:rsidRPr="00792270">
        <w:rPr>
          <w:szCs w:val="24"/>
        </w:rPr>
        <w:t xml:space="preserve"> the pre-determined points in the neighbourhoods. The A-weighted equivalent continuous sound level was measured at three recommended intervals suggested by the World Health Organisation: daytime (07:00-19:00), evening (19:00-23:00), and nighttime (23:00-07:00). The measurements were georeferenced in GPS coordinates to ascertain the spatial accuracy. The subjective data were gathered through a pretested and structured questionnaire that </w:t>
      </w:r>
      <w:r w:rsidR="00053A0C" w:rsidRPr="00792270">
        <w:rPr>
          <w:szCs w:val="24"/>
        </w:rPr>
        <w:t>was</w:t>
      </w:r>
      <w:r w:rsidRPr="00792270">
        <w:rPr>
          <w:szCs w:val="24"/>
        </w:rPr>
        <w:t xml:space="preserve"> administered face-to-face. The instrument had questions on socio-demographic factors (age, gender, marital status, education, employment, income, years of residence, location), perceived noise exposure (overall noise level, sources, disturbance patterns, effects on everyday activities, sleep, and concentration), noise sensitivity measured using the Weinstein Noise Sensitivity Scale (WNSS), psychological distress measured using the General Health Questionnaire (GHQ-12), depression measured using the Patient Health Questionnaire (PHQ-9), </w:t>
      </w:r>
      <w:r w:rsidR="00075F01" w:rsidRPr="00792270">
        <w:rPr>
          <w:szCs w:val="24"/>
        </w:rPr>
        <w:t xml:space="preserve">and </w:t>
      </w:r>
      <w:r w:rsidRPr="00792270">
        <w:rPr>
          <w:szCs w:val="24"/>
        </w:rPr>
        <w:t>anxiety measured using the Generalised Anxiety Disorder scale (GAD-7. To ensure that the questionnaire was clear and relevant, it was pilot-tested on 20-30 residents who were not within the main area of the study. The research assistants were trained on ethical practise, consent, administration of questionnaires and noise measurement guidelines.</w:t>
      </w:r>
    </w:p>
    <w:p w14:paraId="6E212689" w14:textId="77777777" w:rsidR="00075F01" w:rsidRPr="00792270" w:rsidRDefault="00075F01" w:rsidP="00892F5E">
      <w:pPr>
        <w:spacing w:line="240" w:lineRule="auto"/>
        <w:jc w:val="both"/>
        <w:rPr>
          <w:szCs w:val="24"/>
        </w:rPr>
      </w:pPr>
    </w:p>
    <w:p w14:paraId="7EAD23C6" w14:textId="4C1368B0" w:rsidR="006D74F1" w:rsidRPr="00792270" w:rsidRDefault="006D74F1" w:rsidP="00892F5E">
      <w:pPr>
        <w:spacing w:line="240" w:lineRule="auto"/>
        <w:jc w:val="both"/>
        <w:rPr>
          <w:szCs w:val="24"/>
        </w:rPr>
      </w:pPr>
      <w:r w:rsidRPr="00792270">
        <w:rPr>
          <w:szCs w:val="24"/>
        </w:rPr>
        <w:t xml:space="preserve">Python version 3.10 was used </w:t>
      </w:r>
      <w:r w:rsidR="00053A0C" w:rsidRPr="00792270">
        <w:rPr>
          <w:szCs w:val="24"/>
        </w:rPr>
        <w:t>to</w:t>
      </w:r>
      <w:r w:rsidRPr="00792270">
        <w:rPr>
          <w:szCs w:val="24"/>
        </w:rPr>
        <w:t xml:space="preserve"> conduct statistical analysis. Noise levels, socio-demographic profiles, perceived exposure, scale scores, and coping strategies were summarised with descriptive statistics (means, standard deviations, frequencies, percentages). Measures of noise were against </w:t>
      </w:r>
      <w:r w:rsidR="00053A0C" w:rsidRPr="00792270">
        <w:rPr>
          <w:szCs w:val="24"/>
        </w:rPr>
        <w:t xml:space="preserve">the </w:t>
      </w:r>
      <w:r w:rsidRPr="00792270">
        <w:rPr>
          <w:szCs w:val="24"/>
        </w:rPr>
        <w:t>WHO and Nigerian standards. The Pearson correlation coefficient was used to explore the correlations between continuous variables such as noise sensitivity, perceived exposure and the outcome of mental health. Predictors of mental health scores (GHQ12, PHQ9, GAD7) in multiple regression models were estimated using noise sensitivity as an independent predictor</w:t>
      </w:r>
      <w:r w:rsidR="00053A0C" w:rsidRPr="00792270">
        <w:rPr>
          <w:szCs w:val="24"/>
        </w:rPr>
        <w:t>,</w:t>
      </w:r>
      <w:r w:rsidRPr="00792270">
        <w:rPr>
          <w:szCs w:val="24"/>
        </w:rPr>
        <w:t xml:space="preserve"> </w:t>
      </w:r>
      <w:r w:rsidR="00075F01" w:rsidRPr="00792270">
        <w:rPr>
          <w:szCs w:val="24"/>
        </w:rPr>
        <w:t xml:space="preserve">and </w:t>
      </w:r>
      <w:r w:rsidRPr="00792270">
        <w:rPr>
          <w:szCs w:val="24"/>
        </w:rPr>
        <w:t xml:space="preserve">using perceived noise and demographic variables and controlling for potential confounders (socioeconomic status, chronic disease, and substance use. The statistical significance was considered to be at a </w:t>
      </w:r>
      <w:r w:rsidR="00053A0C" w:rsidRPr="00792270">
        <w:rPr>
          <w:szCs w:val="24"/>
        </w:rPr>
        <w:t>p-value</w:t>
      </w:r>
      <w:r w:rsidRPr="00792270">
        <w:rPr>
          <w:szCs w:val="24"/>
        </w:rPr>
        <w:t xml:space="preserve"> less than 0.05; the results were given in tabular, graphical and chart-based form.</w:t>
      </w:r>
    </w:p>
    <w:p w14:paraId="6B471DB8" w14:textId="77777777" w:rsidR="004C5F74" w:rsidRPr="00792270" w:rsidRDefault="004C5F74" w:rsidP="00892F5E">
      <w:pPr>
        <w:spacing w:line="240" w:lineRule="auto"/>
        <w:jc w:val="both"/>
        <w:rPr>
          <w:szCs w:val="24"/>
        </w:rPr>
      </w:pPr>
    </w:p>
    <w:p w14:paraId="53425C16" w14:textId="0CC8E4BD" w:rsidR="006D74F1" w:rsidRPr="00792270" w:rsidRDefault="006D74F1" w:rsidP="00892F5E">
      <w:pPr>
        <w:spacing w:line="240" w:lineRule="auto"/>
        <w:jc w:val="both"/>
        <w:rPr>
          <w:szCs w:val="24"/>
        </w:rPr>
      </w:pPr>
      <w:r w:rsidRPr="00792270">
        <w:rPr>
          <w:szCs w:val="24"/>
        </w:rPr>
        <w:t xml:space="preserve">The researchers obtained ethical approval </w:t>
      </w:r>
      <w:r w:rsidR="00053A0C" w:rsidRPr="00792270">
        <w:rPr>
          <w:szCs w:val="24"/>
        </w:rPr>
        <w:t>for</w:t>
      </w:r>
      <w:r w:rsidRPr="00792270">
        <w:rPr>
          <w:szCs w:val="24"/>
        </w:rPr>
        <w:t xml:space="preserve"> the research </w:t>
      </w:r>
      <w:r w:rsidR="00053A0C" w:rsidRPr="00792270">
        <w:rPr>
          <w:szCs w:val="24"/>
        </w:rPr>
        <w:t>from</w:t>
      </w:r>
      <w:r w:rsidRPr="00792270">
        <w:rPr>
          <w:szCs w:val="24"/>
        </w:rPr>
        <w:t xml:space="preserve"> </w:t>
      </w:r>
      <w:r w:rsidR="004C5F74" w:rsidRPr="00792270">
        <w:rPr>
          <w:szCs w:val="24"/>
        </w:rPr>
        <w:t>the Lagos State Ministry of Health through the Lagos State Health Research Ethics Committee (LSHREC)</w:t>
      </w:r>
      <w:r w:rsidRPr="00792270">
        <w:rPr>
          <w:szCs w:val="24"/>
        </w:rPr>
        <w:t xml:space="preserve"> </w:t>
      </w:r>
      <w:r w:rsidR="004C5F74" w:rsidRPr="00792270">
        <w:rPr>
          <w:szCs w:val="24"/>
        </w:rPr>
        <w:t>before</w:t>
      </w:r>
      <w:r w:rsidRPr="00792270">
        <w:rPr>
          <w:szCs w:val="24"/>
        </w:rPr>
        <w:t xml:space="preserve"> the study. All </w:t>
      </w:r>
      <w:r w:rsidRPr="00792270">
        <w:rPr>
          <w:szCs w:val="24"/>
        </w:rPr>
        <w:lastRenderedPageBreak/>
        <w:t xml:space="preserve">subjects were informed and gave their consent after </w:t>
      </w:r>
      <w:r w:rsidR="004C5F74" w:rsidRPr="00792270">
        <w:rPr>
          <w:szCs w:val="24"/>
        </w:rPr>
        <w:t xml:space="preserve">a </w:t>
      </w:r>
      <w:r w:rsidRPr="00792270">
        <w:rPr>
          <w:szCs w:val="24"/>
        </w:rPr>
        <w:t xml:space="preserve">thorough explanation of the purpose of the study, procedures, voluntary nature of the participation, right to withdraw without penalty and benefits and minimum risks expected. The participation was voluntary. The principle of confidentiality and anonymity was followed through the use of data collection tools that were not personal. The questionnaires and electronic records that were completed were stored in securely password-protected devices and locked storage areas that were only accessible to the research team. The data were only kept as long as the study was running, and then it was destroyed </w:t>
      </w:r>
      <w:r w:rsidR="004C5F74" w:rsidRPr="00792270">
        <w:rPr>
          <w:szCs w:val="24"/>
        </w:rPr>
        <w:t>safely</w:t>
      </w:r>
      <w:r w:rsidRPr="00792270">
        <w:rPr>
          <w:szCs w:val="24"/>
        </w:rPr>
        <w:t>.</w:t>
      </w:r>
    </w:p>
    <w:p w14:paraId="08FA1F37" w14:textId="77777777" w:rsidR="004C5F74" w:rsidRPr="00792270" w:rsidRDefault="004C5F74" w:rsidP="00892F5E">
      <w:pPr>
        <w:spacing w:line="240" w:lineRule="auto"/>
        <w:jc w:val="both"/>
        <w:rPr>
          <w:szCs w:val="24"/>
        </w:rPr>
      </w:pPr>
    </w:p>
    <w:p w14:paraId="37E9B10C" w14:textId="283F52BB" w:rsidR="006D74F1" w:rsidRPr="00792270" w:rsidRDefault="006D74F1" w:rsidP="00892F5E">
      <w:pPr>
        <w:spacing w:line="240" w:lineRule="auto"/>
        <w:jc w:val="both"/>
        <w:rPr>
          <w:szCs w:val="24"/>
        </w:rPr>
      </w:pPr>
      <w:r w:rsidRPr="00792270">
        <w:rPr>
          <w:szCs w:val="24"/>
        </w:rPr>
        <w:t>The study was limited in a number of ways. The cross-sectional nature made the measurement of the relationships at one time, thus blocking the causality of the relationship between noise exposure and mental health outcomes. The use of self-reported measures of mental health and perception of noise created the possibility of recall bias and social desirability. Noise measurements, even though objective, were done in a limited time and at the chosen locations, and they did not involve the seasonal or long-term changes of the whole of Yaba. It used available projections based on population estimates in specific neighbourhoods as opposed to the actual micro-level census data. The potential confounding variables, like the pre-existing mental conditions and other environmental exposures, were not measured in detail as a result of the unavailability of resources</w:t>
      </w:r>
    </w:p>
    <w:p w14:paraId="62720D6F" w14:textId="77777777" w:rsidR="004C5F74" w:rsidRPr="00792270" w:rsidRDefault="004C5F74" w:rsidP="00892F5E">
      <w:pPr>
        <w:spacing w:line="240" w:lineRule="auto"/>
        <w:jc w:val="both"/>
        <w:rPr>
          <w:b/>
          <w:bCs/>
          <w:szCs w:val="24"/>
        </w:rPr>
      </w:pPr>
    </w:p>
    <w:p w14:paraId="05A7078D" w14:textId="17D1D42D" w:rsidR="00242FDB" w:rsidRPr="00792270" w:rsidRDefault="00075F01" w:rsidP="00892F5E">
      <w:pPr>
        <w:spacing w:line="240" w:lineRule="auto"/>
        <w:jc w:val="both"/>
        <w:rPr>
          <w:b/>
          <w:bCs/>
          <w:szCs w:val="24"/>
        </w:rPr>
      </w:pPr>
      <w:r w:rsidRPr="00792270">
        <w:rPr>
          <w:b/>
          <w:bCs/>
          <w:szCs w:val="24"/>
        </w:rPr>
        <w:t xml:space="preserve">5.0 </w:t>
      </w:r>
      <w:r w:rsidR="00242FDB" w:rsidRPr="00792270">
        <w:rPr>
          <w:b/>
          <w:bCs/>
          <w:szCs w:val="24"/>
        </w:rPr>
        <w:t>R</w:t>
      </w:r>
      <w:r w:rsidR="002F04CA" w:rsidRPr="00792270">
        <w:rPr>
          <w:b/>
          <w:bCs/>
          <w:szCs w:val="24"/>
        </w:rPr>
        <w:t>esults</w:t>
      </w:r>
    </w:p>
    <w:p w14:paraId="579FA269" w14:textId="34F24037" w:rsidR="00242FDB" w:rsidRPr="00792270" w:rsidRDefault="00A41E37" w:rsidP="00892F5E">
      <w:pPr>
        <w:spacing w:line="240" w:lineRule="auto"/>
        <w:jc w:val="both"/>
        <w:rPr>
          <w:szCs w:val="24"/>
        </w:rPr>
      </w:pPr>
      <w:r w:rsidRPr="00792270">
        <w:rPr>
          <w:szCs w:val="24"/>
        </w:rPr>
        <w:t>All analyses were preceded by data screening and data validation. The number of valid responses was 239 after the elimination of incomplete questionnaires. Cronbach's alpha was used to determine the internal consistency of the psychometric scales. The Weinstein Noise Sensitivity Scale (WNSS) had an alpha of 0.693 (acceptable), and the General Health Questionnaire (GHQ-12), Patient Health Questionnaire (PHQ-9), and Generalised Anxiety Disorder scale (GAD-7) had an alpha of 0.873, 0.889, and 0.892, respectively (good). The Shapiro-Wilk test, skewness and kurtosis were used to determine the normalcy of summed scale scores. All total scores (WNSS_SUM, GHQ-12_SUM, PHQ-9-SUM, GAD-7-SUM) did not follow any normal distribution (p &lt; 0.05 all), with WNSS-SUM having a negative skew and leptokurtosis and the rest having a slight positive skew</w:t>
      </w:r>
      <w:r w:rsidR="00242FDB" w:rsidRPr="00792270">
        <w:rPr>
          <w:szCs w:val="24"/>
        </w:rPr>
        <w:t>.</w:t>
      </w:r>
    </w:p>
    <w:p w14:paraId="0B27B1F6" w14:textId="77777777" w:rsidR="004C5F74" w:rsidRPr="00792270" w:rsidRDefault="004C5F74" w:rsidP="00892F5E">
      <w:pPr>
        <w:spacing w:line="240" w:lineRule="auto"/>
        <w:jc w:val="both"/>
        <w:rPr>
          <w:b/>
          <w:bCs/>
          <w:szCs w:val="24"/>
        </w:rPr>
      </w:pPr>
    </w:p>
    <w:p w14:paraId="222669C4" w14:textId="0CE2EFAE" w:rsidR="00242FDB" w:rsidRPr="00792270" w:rsidRDefault="00A41E37" w:rsidP="00892F5E">
      <w:pPr>
        <w:spacing w:line="240" w:lineRule="auto"/>
        <w:jc w:val="both"/>
        <w:rPr>
          <w:szCs w:val="24"/>
        </w:rPr>
      </w:pPr>
      <w:r w:rsidRPr="00792270">
        <w:rPr>
          <w:szCs w:val="24"/>
        </w:rPr>
        <w:t xml:space="preserve">The socio-demographic profile of the respondents (239) indicated a very youthful sample (Table 1). The majority of respondents (73.2% and 22.8%, respectively) are aged between 18 and 24 years and 25 and 34 years, respectively. Women represented a sample of 73.6 per cent, and men 26.4 per cent. Almost all of the respondents (95.4%) were single, and 70.3% of the respondents had achieved </w:t>
      </w:r>
      <w:r w:rsidR="004C5F74" w:rsidRPr="00792270">
        <w:rPr>
          <w:szCs w:val="24"/>
        </w:rPr>
        <w:t xml:space="preserve">a </w:t>
      </w:r>
      <w:r w:rsidRPr="00792270">
        <w:rPr>
          <w:szCs w:val="24"/>
        </w:rPr>
        <w:t>tertiary education. The highest occupational group was formed by students (65.7%), and half of them (51.5) earned less than ₦50,000 per month. The most frequent residence duration was the period 1-3 years (40.2%); Akoka was the main place to live (66.9%).</w:t>
      </w:r>
    </w:p>
    <w:p w14:paraId="72ED7510" w14:textId="77777777" w:rsidR="00075F01" w:rsidRPr="00792270" w:rsidRDefault="00075F01" w:rsidP="00892F5E">
      <w:pPr>
        <w:spacing w:line="240" w:lineRule="auto"/>
        <w:jc w:val="both"/>
        <w:rPr>
          <w:szCs w:val="24"/>
        </w:rPr>
      </w:pPr>
    </w:p>
    <w:p w14:paraId="36B452F4" w14:textId="77777777" w:rsidR="00242FDB" w:rsidRPr="00792270" w:rsidRDefault="00242FDB" w:rsidP="00892F5E">
      <w:pPr>
        <w:spacing w:line="240" w:lineRule="auto"/>
        <w:jc w:val="both"/>
        <w:rPr>
          <w:szCs w:val="24"/>
        </w:rPr>
      </w:pPr>
      <w:r w:rsidRPr="00792270">
        <w:rPr>
          <w:b/>
          <w:bCs/>
          <w:szCs w:val="24"/>
        </w:rPr>
        <w:t>Table 1: Socio-Demographic Characteristics of Respondents (N = 239)</w:t>
      </w:r>
    </w:p>
    <w:tbl>
      <w:tblPr>
        <w:tblStyle w:val="TableGrid1"/>
        <w:tblW w:w="0" w:type="auto"/>
        <w:tblLook w:val="04A0" w:firstRow="1" w:lastRow="0" w:firstColumn="1" w:lastColumn="0" w:noHBand="0" w:noVBand="1"/>
      </w:tblPr>
      <w:tblGrid>
        <w:gridCol w:w="2376"/>
        <w:gridCol w:w="2683"/>
        <w:gridCol w:w="1663"/>
        <w:gridCol w:w="1462"/>
      </w:tblGrid>
      <w:tr w:rsidR="00242FDB" w:rsidRPr="00792270" w14:paraId="52C26B1C" w14:textId="77777777" w:rsidTr="00242FDB">
        <w:trPr>
          <w:cnfStyle w:val="100000000000" w:firstRow="1" w:lastRow="0" w:firstColumn="0" w:lastColumn="0" w:oddVBand="0" w:evenVBand="0" w:oddHBand="0" w:evenHBand="0" w:firstRowFirstColumn="0" w:firstRowLastColumn="0" w:lastRowFirstColumn="0" w:lastRowLastColumn="0"/>
        </w:trPr>
        <w:tc>
          <w:tcPr>
            <w:tcW w:w="0" w:type="auto"/>
            <w:hideMark/>
          </w:tcPr>
          <w:p w14:paraId="3EDF30CF" w14:textId="77777777" w:rsidR="00242FDB" w:rsidRPr="00792270" w:rsidRDefault="00242FDB" w:rsidP="00892F5E">
            <w:pPr>
              <w:spacing w:line="240" w:lineRule="auto"/>
              <w:jc w:val="both"/>
              <w:rPr>
                <w:bCs/>
                <w:szCs w:val="24"/>
              </w:rPr>
            </w:pPr>
            <w:r w:rsidRPr="00792270">
              <w:rPr>
                <w:bCs/>
                <w:szCs w:val="24"/>
              </w:rPr>
              <w:t>Variable</w:t>
            </w:r>
          </w:p>
        </w:tc>
        <w:tc>
          <w:tcPr>
            <w:tcW w:w="0" w:type="auto"/>
            <w:hideMark/>
          </w:tcPr>
          <w:p w14:paraId="13604AB2" w14:textId="77777777" w:rsidR="00242FDB" w:rsidRPr="00792270" w:rsidRDefault="00242FDB" w:rsidP="00892F5E">
            <w:pPr>
              <w:spacing w:line="240" w:lineRule="auto"/>
              <w:jc w:val="both"/>
              <w:rPr>
                <w:bCs/>
                <w:szCs w:val="24"/>
              </w:rPr>
            </w:pPr>
            <w:r w:rsidRPr="00792270">
              <w:rPr>
                <w:bCs/>
                <w:szCs w:val="24"/>
              </w:rPr>
              <w:t>Category</w:t>
            </w:r>
          </w:p>
        </w:tc>
        <w:tc>
          <w:tcPr>
            <w:tcW w:w="0" w:type="auto"/>
            <w:hideMark/>
          </w:tcPr>
          <w:p w14:paraId="701E4BCE" w14:textId="77777777" w:rsidR="00242FDB" w:rsidRPr="00792270" w:rsidRDefault="00242FDB" w:rsidP="00892F5E">
            <w:pPr>
              <w:spacing w:line="240" w:lineRule="auto"/>
              <w:jc w:val="both"/>
              <w:rPr>
                <w:bCs/>
                <w:szCs w:val="24"/>
              </w:rPr>
            </w:pPr>
            <w:r w:rsidRPr="00792270">
              <w:rPr>
                <w:bCs/>
                <w:szCs w:val="24"/>
              </w:rPr>
              <w:t>Frequency (n)</w:t>
            </w:r>
          </w:p>
        </w:tc>
        <w:tc>
          <w:tcPr>
            <w:tcW w:w="0" w:type="auto"/>
            <w:hideMark/>
          </w:tcPr>
          <w:p w14:paraId="554F0011" w14:textId="77777777" w:rsidR="00242FDB" w:rsidRPr="00792270" w:rsidRDefault="00242FDB" w:rsidP="00892F5E">
            <w:pPr>
              <w:spacing w:line="240" w:lineRule="auto"/>
              <w:jc w:val="both"/>
              <w:rPr>
                <w:bCs/>
                <w:szCs w:val="24"/>
              </w:rPr>
            </w:pPr>
            <w:r w:rsidRPr="00792270">
              <w:rPr>
                <w:bCs/>
                <w:szCs w:val="24"/>
              </w:rPr>
              <w:t>Percent (%)</w:t>
            </w:r>
          </w:p>
        </w:tc>
      </w:tr>
      <w:tr w:rsidR="00242FDB" w:rsidRPr="00792270" w14:paraId="54211C6B" w14:textId="77777777" w:rsidTr="00242FDB">
        <w:tc>
          <w:tcPr>
            <w:tcW w:w="0" w:type="auto"/>
            <w:hideMark/>
          </w:tcPr>
          <w:p w14:paraId="0793F056" w14:textId="77777777" w:rsidR="00242FDB" w:rsidRPr="00792270" w:rsidRDefault="00242FDB" w:rsidP="00892F5E">
            <w:pPr>
              <w:spacing w:line="240" w:lineRule="auto"/>
              <w:jc w:val="both"/>
              <w:rPr>
                <w:szCs w:val="24"/>
              </w:rPr>
            </w:pPr>
            <w:r w:rsidRPr="00792270">
              <w:rPr>
                <w:szCs w:val="24"/>
              </w:rPr>
              <w:t>Age Group (years)</w:t>
            </w:r>
          </w:p>
        </w:tc>
        <w:tc>
          <w:tcPr>
            <w:tcW w:w="0" w:type="auto"/>
            <w:hideMark/>
          </w:tcPr>
          <w:p w14:paraId="5177BA94" w14:textId="77777777" w:rsidR="00242FDB" w:rsidRPr="00792270" w:rsidRDefault="00242FDB" w:rsidP="00892F5E">
            <w:pPr>
              <w:spacing w:line="240" w:lineRule="auto"/>
              <w:jc w:val="both"/>
              <w:rPr>
                <w:szCs w:val="24"/>
              </w:rPr>
            </w:pPr>
            <w:r w:rsidRPr="00792270">
              <w:rPr>
                <w:szCs w:val="24"/>
              </w:rPr>
              <w:t>18–24</w:t>
            </w:r>
          </w:p>
        </w:tc>
        <w:tc>
          <w:tcPr>
            <w:tcW w:w="0" w:type="auto"/>
            <w:hideMark/>
          </w:tcPr>
          <w:p w14:paraId="793DA777" w14:textId="77777777" w:rsidR="00242FDB" w:rsidRPr="00792270" w:rsidRDefault="00242FDB" w:rsidP="00892F5E">
            <w:pPr>
              <w:spacing w:line="240" w:lineRule="auto"/>
              <w:jc w:val="both"/>
              <w:rPr>
                <w:szCs w:val="24"/>
              </w:rPr>
            </w:pPr>
            <w:r w:rsidRPr="00792270">
              <w:rPr>
                <w:szCs w:val="24"/>
              </w:rPr>
              <w:t>167</w:t>
            </w:r>
          </w:p>
        </w:tc>
        <w:tc>
          <w:tcPr>
            <w:tcW w:w="0" w:type="auto"/>
            <w:hideMark/>
          </w:tcPr>
          <w:p w14:paraId="4D4E690E" w14:textId="77777777" w:rsidR="00242FDB" w:rsidRPr="00792270" w:rsidRDefault="00242FDB" w:rsidP="00892F5E">
            <w:pPr>
              <w:spacing w:line="240" w:lineRule="auto"/>
              <w:jc w:val="both"/>
              <w:rPr>
                <w:szCs w:val="24"/>
              </w:rPr>
            </w:pPr>
            <w:r w:rsidRPr="00792270">
              <w:rPr>
                <w:szCs w:val="24"/>
              </w:rPr>
              <w:t>73.2</w:t>
            </w:r>
          </w:p>
        </w:tc>
      </w:tr>
      <w:tr w:rsidR="00242FDB" w:rsidRPr="00792270" w14:paraId="759ED5E0" w14:textId="77777777" w:rsidTr="00242FDB">
        <w:tc>
          <w:tcPr>
            <w:tcW w:w="0" w:type="auto"/>
            <w:hideMark/>
          </w:tcPr>
          <w:p w14:paraId="154C2903" w14:textId="77777777" w:rsidR="00242FDB" w:rsidRPr="00792270" w:rsidRDefault="00242FDB" w:rsidP="00892F5E">
            <w:pPr>
              <w:spacing w:line="240" w:lineRule="auto"/>
              <w:jc w:val="both"/>
              <w:rPr>
                <w:szCs w:val="24"/>
              </w:rPr>
            </w:pPr>
          </w:p>
        </w:tc>
        <w:tc>
          <w:tcPr>
            <w:tcW w:w="0" w:type="auto"/>
            <w:hideMark/>
          </w:tcPr>
          <w:p w14:paraId="25CE2066" w14:textId="77777777" w:rsidR="00242FDB" w:rsidRPr="00792270" w:rsidRDefault="00242FDB" w:rsidP="00892F5E">
            <w:pPr>
              <w:spacing w:line="240" w:lineRule="auto"/>
              <w:jc w:val="both"/>
              <w:rPr>
                <w:szCs w:val="24"/>
              </w:rPr>
            </w:pPr>
            <w:r w:rsidRPr="00792270">
              <w:rPr>
                <w:szCs w:val="24"/>
              </w:rPr>
              <w:t>25–34</w:t>
            </w:r>
          </w:p>
        </w:tc>
        <w:tc>
          <w:tcPr>
            <w:tcW w:w="0" w:type="auto"/>
            <w:hideMark/>
          </w:tcPr>
          <w:p w14:paraId="6FBDA764" w14:textId="77777777" w:rsidR="00242FDB" w:rsidRPr="00792270" w:rsidRDefault="00242FDB" w:rsidP="00892F5E">
            <w:pPr>
              <w:spacing w:line="240" w:lineRule="auto"/>
              <w:jc w:val="both"/>
              <w:rPr>
                <w:szCs w:val="24"/>
              </w:rPr>
            </w:pPr>
            <w:r w:rsidRPr="00792270">
              <w:rPr>
                <w:szCs w:val="24"/>
              </w:rPr>
              <w:t>52</w:t>
            </w:r>
          </w:p>
        </w:tc>
        <w:tc>
          <w:tcPr>
            <w:tcW w:w="0" w:type="auto"/>
            <w:hideMark/>
          </w:tcPr>
          <w:p w14:paraId="59CBAC53" w14:textId="77777777" w:rsidR="00242FDB" w:rsidRPr="00792270" w:rsidRDefault="00242FDB" w:rsidP="00892F5E">
            <w:pPr>
              <w:spacing w:line="240" w:lineRule="auto"/>
              <w:jc w:val="both"/>
              <w:rPr>
                <w:szCs w:val="24"/>
              </w:rPr>
            </w:pPr>
            <w:r w:rsidRPr="00792270">
              <w:rPr>
                <w:szCs w:val="24"/>
              </w:rPr>
              <w:t>22.8</w:t>
            </w:r>
          </w:p>
        </w:tc>
      </w:tr>
      <w:tr w:rsidR="00242FDB" w:rsidRPr="00792270" w14:paraId="66ABD1B9" w14:textId="77777777" w:rsidTr="00242FDB">
        <w:tc>
          <w:tcPr>
            <w:tcW w:w="0" w:type="auto"/>
            <w:hideMark/>
          </w:tcPr>
          <w:p w14:paraId="697FD787" w14:textId="77777777" w:rsidR="00242FDB" w:rsidRPr="00792270" w:rsidRDefault="00242FDB" w:rsidP="00892F5E">
            <w:pPr>
              <w:spacing w:line="240" w:lineRule="auto"/>
              <w:jc w:val="both"/>
              <w:rPr>
                <w:szCs w:val="24"/>
              </w:rPr>
            </w:pPr>
          </w:p>
        </w:tc>
        <w:tc>
          <w:tcPr>
            <w:tcW w:w="0" w:type="auto"/>
            <w:hideMark/>
          </w:tcPr>
          <w:p w14:paraId="687C3846" w14:textId="77777777" w:rsidR="00242FDB" w:rsidRPr="00792270" w:rsidRDefault="00242FDB" w:rsidP="00892F5E">
            <w:pPr>
              <w:spacing w:line="240" w:lineRule="auto"/>
              <w:jc w:val="both"/>
              <w:rPr>
                <w:szCs w:val="24"/>
              </w:rPr>
            </w:pPr>
            <w:r w:rsidRPr="00792270">
              <w:rPr>
                <w:szCs w:val="24"/>
              </w:rPr>
              <w:t>35–44</w:t>
            </w:r>
          </w:p>
        </w:tc>
        <w:tc>
          <w:tcPr>
            <w:tcW w:w="0" w:type="auto"/>
            <w:hideMark/>
          </w:tcPr>
          <w:p w14:paraId="0087B44B" w14:textId="77777777" w:rsidR="00242FDB" w:rsidRPr="00792270" w:rsidRDefault="00242FDB" w:rsidP="00892F5E">
            <w:pPr>
              <w:spacing w:line="240" w:lineRule="auto"/>
              <w:jc w:val="both"/>
              <w:rPr>
                <w:szCs w:val="24"/>
              </w:rPr>
            </w:pPr>
            <w:r w:rsidRPr="00792270">
              <w:rPr>
                <w:szCs w:val="24"/>
              </w:rPr>
              <w:t>7</w:t>
            </w:r>
          </w:p>
        </w:tc>
        <w:tc>
          <w:tcPr>
            <w:tcW w:w="0" w:type="auto"/>
            <w:hideMark/>
          </w:tcPr>
          <w:p w14:paraId="711C5312" w14:textId="77777777" w:rsidR="00242FDB" w:rsidRPr="00792270" w:rsidRDefault="00242FDB" w:rsidP="00892F5E">
            <w:pPr>
              <w:spacing w:line="240" w:lineRule="auto"/>
              <w:jc w:val="both"/>
              <w:rPr>
                <w:szCs w:val="24"/>
              </w:rPr>
            </w:pPr>
            <w:r w:rsidRPr="00792270">
              <w:rPr>
                <w:szCs w:val="24"/>
              </w:rPr>
              <w:t>3.1</w:t>
            </w:r>
          </w:p>
        </w:tc>
      </w:tr>
      <w:tr w:rsidR="00242FDB" w:rsidRPr="00792270" w14:paraId="1583A9E4" w14:textId="77777777" w:rsidTr="00242FDB">
        <w:tc>
          <w:tcPr>
            <w:tcW w:w="0" w:type="auto"/>
            <w:hideMark/>
          </w:tcPr>
          <w:p w14:paraId="68999912" w14:textId="77777777" w:rsidR="00242FDB" w:rsidRPr="00792270" w:rsidRDefault="00242FDB" w:rsidP="00892F5E">
            <w:pPr>
              <w:spacing w:line="240" w:lineRule="auto"/>
              <w:jc w:val="both"/>
              <w:rPr>
                <w:szCs w:val="24"/>
              </w:rPr>
            </w:pPr>
          </w:p>
        </w:tc>
        <w:tc>
          <w:tcPr>
            <w:tcW w:w="0" w:type="auto"/>
            <w:hideMark/>
          </w:tcPr>
          <w:p w14:paraId="679232D6" w14:textId="77777777" w:rsidR="00242FDB" w:rsidRPr="00792270" w:rsidRDefault="00242FDB" w:rsidP="00892F5E">
            <w:pPr>
              <w:spacing w:line="240" w:lineRule="auto"/>
              <w:jc w:val="both"/>
              <w:rPr>
                <w:szCs w:val="24"/>
              </w:rPr>
            </w:pPr>
            <w:r w:rsidRPr="00792270">
              <w:rPr>
                <w:szCs w:val="24"/>
              </w:rPr>
              <w:t>45+</w:t>
            </w:r>
          </w:p>
        </w:tc>
        <w:tc>
          <w:tcPr>
            <w:tcW w:w="0" w:type="auto"/>
            <w:hideMark/>
          </w:tcPr>
          <w:p w14:paraId="6EB519C6" w14:textId="77777777" w:rsidR="00242FDB" w:rsidRPr="00792270" w:rsidRDefault="00242FDB" w:rsidP="00892F5E">
            <w:pPr>
              <w:spacing w:line="240" w:lineRule="auto"/>
              <w:jc w:val="both"/>
              <w:rPr>
                <w:szCs w:val="24"/>
              </w:rPr>
            </w:pPr>
            <w:r w:rsidRPr="00792270">
              <w:rPr>
                <w:szCs w:val="24"/>
              </w:rPr>
              <w:t>3</w:t>
            </w:r>
          </w:p>
        </w:tc>
        <w:tc>
          <w:tcPr>
            <w:tcW w:w="0" w:type="auto"/>
            <w:hideMark/>
          </w:tcPr>
          <w:p w14:paraId="34AABF8F" w14:textId="77777777" w:rsidR="00242FDB" w:rsidRPr="00792270" w:rsidRDefault="00242FDB" w:rsidP="00892F5E">
            <w:pPr>
              <w:spacing w:line="240" w:lineRule="auto"/>
              <w:jc w:val="both"/>
              <w:rPr>
                <w:szCs w:val="24"/>
              </w:rPr>
            </w:pPr>
            <w:r w:rsidRPr="00792270">
              <w:rPr>
                <w:szCs w:val="24"/>
              </w:rPr>
              <w:t>1.3</w:t>
            </w:r>
          </w:p>
        </w:tc>
      </w:tr>
      <w:tr w:rsidR="00242FDB" w:rsidRPr="00792270" w14:paraId="6274B106" w14:textId="77777777" w:rsidTr="00242FDB">
        <w:tc>
          <w:tcPr>
            <w:tcW w:w="0" w:type="auto"/>
            <w:hideMark/>
          </w:tcPr>
          <w:p w14:paraId="77195A9B" w14:textId="77777777" w:rsidR="00242FDB" w:rsidRPr="00792270" w:rsidRDefault="00242FDB" w:rsidP="00892F5E">
            <w:pPr>
              <w:spacing w:line="240" w:lineRule="auto"/>
              <w:jc w:val="both"/>
              <w:rPr>
                <w:szCs w:val="24"/>
              </w:rPr>
            </w:pPr>
            <w:r w:rsidRPr="00792270">
              <w:rPr>
                <w:szCs w:val="24"/>
              </w:rPr>
              <w:t>Gender</w:t>
            </w:r>
          </w:p>
        </w:tc>
        <w:tc>
          <w:tcPr>
            <w:tcW w:w="0" w:type="auto"/>
            <w:hideMark/>
          </w:tcPr>
          <w:p w14:paraId="22B5D0CA" w14:textId="77777777" w:rsidR="00242FDB" w:rsidRPr="00792270" w:rsidRDefault="00242FDB" w:rsidP="00892F5E">
            <w:pPr>
              <w:spacing w:line="240" w:lineRule="auto"/>
              <w:jc w:val="both"/>
              <w:rPr>
                <w:szCs w:val="24"/>
              </w:rPr>
            </w:pPr>
            <w:r w:rsidRPr="00792270">
              <w:rPr>
                <w:szCs w:val="24"/>
              </w:rPr>
              <w:t>Female</w:t>
            </w:r>
          </w:p>
        </w:tc>
        <w:tc>
          <w:tcPr>
            <w:tcW w:w="0" w:type="auto"/>
            <w:hideMark/>
          </w:tcPr>
          <w:p w14:paraId="34179F30" w14:textId="77777777" w:rsidR="00242FDB" w:rsidRPr="00792270" w:rsidRDefault="00242FDB" w:rsidP="00892F5E">
            <w:pPr>
              <w:spacing w:line="240" w:lineRule="auto"/>
              <w:jc w:val="both"/>
              <w:rPr>
                <w:szCs w:val="24"/>
              </w:rPr>
            </w:pPr>
            <w:r w:rsidRPr="00792270">
              <w:rPr>
                <w:szCs w:val="24"/>
              </w:rPr>
              <w:t>176</w:t>
            </w:r>
          </w:p>
        </w:tc>
        <w:tc>
          <w:tcPr>
            <w:tcW w:w="0" w:type="auto"/>
            <w:hideMark/>
          </w:tcPr>
          <w:p w14:paraId="0942CB0F" w14:textId="77777777" w:rsidR="00242FDB" w:rsidRPr="00792270" w:rsidRDefault="00242FDB" w:rsidP="00892F5E">
            <w:pPr>
              <w:spacing w:line="240" w:lineRule="auto"/>
              <w:jc w:val="both"/>
              <w:rPr>
                <w:szCs w:val="24"/>
              </w:rPr>
            </w:pPr>
            <w:r w:rsidRPr="00792270">
              <w:rPr>
                <w:szCs w:val="24"/>
              </w:rPr>
              <w:t>73.6</w:t>
            </w:r>
          </w:p>
        </w:tc>
      </w:tr>
      <w:tr w:rsidR="00242FDB" w:rsidRPr="00792270" w14:paraId="6D59A4E9" w14:textId="77777777" w:rsidTr="00242FDB">
        <w:tc>
          <w:tcPr>
            <w:tcW w:w="0" w:type="auto"/>
            <w:hideMark/>
          </w:tcPr>
          <w:p w14:paraId="31B82453" w14:textId="77777777" w:rsidR="00242FDB" w:rsidRPr="00792270" w:rsidRDefault="00242FDB" w:rsidP="00892F5E">
            <w:pPr>
              <w:spacing w:line="240" w:lineRule="auto"/>
              <w:jc w:val="both"/>
              <w:rPr>
                <w:szCs w:val="24"/>
              </w:rPr>
            </w:pPr>
          </w:p>
        </w:tc>
        <w:tc>
          <w:tcPr>
            <w:tcW w:w="0" w:type="auto"/>
            <w:hideMark/>
          </w:tcPr>
          <w:p w14:paraId="00564246" w14:textId="77777777" w:rsidR="00242FDB" w:rsidRPr="00792270" w:rsidRDefault="00242FDB" w:rsidP="00892F5E">
            <w:pPr>
              <w:spacing w:line="240" w:lineRule="auto"/>
              <w:jc w:val="both"/>
              <w:rPr>
                <w:szCs w:val="24"/>
              </w:rPr>
            </w:pPr>
            <w:r w:rsidRPr="00792270">
              <w:rPr>
                <w:szCs w:val="24"/>
              </w:rPr>
              <w:t>Male</w:t>
            </w:r>
          </w:p>
        </w:tc>
        <w:tc>
          <w:tcPr>
            <w:tcW w:w="0" w:type="auto"/>
            <w:hideMark/>
          </w:tcPr>
          <w:p w14:paraId="08391ACD" w14:textId="77777777" w:rsidR="00242FDB" w:rsidRPr="00792270" w:rsidRDefault="00242FDB" w:rsidP="00892F5E">
            <w:pPr>
              <w:spacing w:line="240" w:lineRule="auto"/>
              <w:jc w:val="both"/>
              <w:rPr>
                <w:szCs w:val="24"/>
              </w:rPr>
            </w:pPr>
            <w:r w:rsidRPr="00792270">
              <w:rPr>
                <w:szCs w:val="24"/>
              </w:rPr>
              <w:t>63</w:t>
            </w:r>
          </w:p>
        </w:tc>
        <w:tc>
          <w:tcPr>
            <w:tcW w:w="0" w:type="auto"/>
            <w:hideMark/>
          </w:tcPr>
          <w:p w14:paraId="11C5D3C3" w14:textId="77777777" w:rsidR="00242FDB" w:rsidRPr="00792270" w:rsidRDefault="00242FDB" w:rsidP="00892F5E">
            <w:pPr>
              <w:spacing w:line="240" w:lineRule="auto"/>
              <w:jc w:val="both"/>
              <w:rPr>
                <w:szCs w:val="24"/>
              </w:rPr>
            </w:pPr>
            <w:r w:rsidRPr="00792270">
              <w:rPr>
                <w:szCs w:val="24"/>
              </w:rPr>
              <w:t>26.4</w:t>
            </w:r>
          </w:p>
        </w:tc>
      </w:tr>
      <w:tr w:rsidR="00242FDB" w:rsidRPr="00792270" w14:paraId="02D9787C" w14:textId="77777777" w:rsidTr="00242FDB">
        <w:tc>
          <w:tcPr>
            <w:tcW w:w="0" w:type="auto"/>
            <w:hideMark/>
          </w:tcPr>
          <w:p w14:paraId="231881BC" w14:textId="77777777" w:rsidR="00242FDB" w:rsidRPr="00792270" w:rsidRDefault="00242FDB" w:rsidP="00892F5E">
            <w:pPr>
              <w:spacing w:line="240" w:lineRule="auto"/>
              <w:jc w:val="both"/>
              <w:rPr>
                <w:szCs w:val="24"/>
              </w:rPr>
            </w:pPr>
            <w:r w:rsidRPr="00792270">
              <w:rPr>
                <w:szCs w:val="24"/>
              </w:rPr>
              <w:lastRenderedPageBreak/>
              <w:t>Marital Status</w:t>
            </w:r>
          </w:p>
        </w:tc>
        <w:tc>
          <w:tcPr>
            <w:tcW w:w="0" w:type="auto"/>
            <w:hideMark/>
          </w:tcPr>
          <w:p w14:paraId="7E35C78F" w14:textId="77777777" w:rsidR="00242FDB" w:rsidRPr="00792270" w:rsidRDefault="00242FDB" w:rsidP="00892F5E">
            <w:pPr>
              <w:spacing w:line="240" w:lineRule="auto"/>
              <w:jc w:val="both"/>
              <w:rPr>
                <w:szCs w:val="24"/>
              </w:rPr>
            </w:pPr>
            <w:r w:rsidRPr="00792270">
              <w:rPr>
                <w:szCs w:val="24"/>
              </w:rPr>
              <w:t>Single</w:t>
            </w:r>
          </w:p>
        </w:tc>
        <w:tc>
          <w:tcPr>
            <w:tcW w:w="0" w:type="auto"/>
            <w:hideMark/>
          </w:tcPr>
          <w:p w14:paraId="7035B6FA" w14:textId="77777777" w:rsidR="00242FDB" w:rsidRPr="00792270" w:rsidRDefault="00242FDB" w:rsidP="00892F5E">
            <w:pPr>
              <w:spacing w:line="240" w:lineRule="auto"/>
              <w:jc w:val="both"/>
              <w:rPr>
                <w:szCs w:val="24"/>
              </w:rPr>
            </w:pPr>
            <w:r w:rsidRPr="00792270">
              <w:rPr>
                <w:szCs w:val="24"/>
              </w:rPr>
              <w:t>228</w:t>
            </w:r>
          </w:p>
        </w:tc>
        <w:tc>
          <w:tcPr>
            <w:tcW w:w="0" w:type="auto"/>
            <w:hideMark/>
          </w:tcPr>
          <w:p w14:paraId="57B982BD" w14:textId="77777777" w:rsidR="00242FDB" w:rsidRPr="00792270" w:rsidRDefault="00242FDB" w:rsidP="00892F5E">
            <w:pPr>
              <w:spacing w:line="240" w:lineRule="auto"/>
              <w:jc w:val="both"/>
              <w:rPr>
                <w:szCs w:val="24"/>
              </w:rPr>
            </w:pPr>
            <w:r w:rsidRPr="00792270">
              <w:rPr>
                <w:szCs w:val="24"/>
              </w:rPr>
              <w:t>95.4</w:t>
            </w:r>
          </w:p>
        </w:tc>
      </w:tr>
      <w:tr w:rsidR="00242FDB" w:rsidRPr="00792270" w14:paraId="71386F5A" w14:textId="77777777" w:rsidTr="00242FDB">
        <w:tc>
          <w:tcPr>
            <w:tcW w:w="0" w:type="auto"/>
            <w:hideMark/>
          </w:tcPr>
          <w:p w14:paraId="6BEFEF22" w14:textId="77777777" w:rsidR="00242FDB" w:rsidRPr="00792270" w:rsidRDefault="00242FDB" w:rsidP="00892F5E">
            <w:pPr>
              <w:spacing w:line="240" w:lineRule="auto"/>
              <w:jc w:val="both"/>
              <w:rPr>
                <w:szCs w:val="24"/>
              </w:rPr>
            </w:pPr>
          </w:p>
        </w:tc>
        <w:tc>
          <w:tcPr>
            <w:tcW w:w="0" w:type="auto"/>
            <w:hideMark/>
          </w:tcPr>
          <w:p w14:paraId="6EB5CD22" w14:textId="77777777" w:rsidR="00242FDB" w:rsidRPr="00792270" w:rsidRDefault="00242FDB" w:rsidP="00892F5E">
            <w:pPr>
              <w:spacing w:line="240" w:lineRule="auto"/>
              <w:jc w:val="both"/>
              <w:rPr>
                <w:szCs w:val="24"/>
              </w:rPr>
            </w:pPr>
            <w:r w:rsidRPr="00792270">
              <w:rPr>
                <w:szCs w:val="24"/>
              </w:rPr>
              <w:t>Married/Other</w:t>
            </w:r>
          </w:p>
        </w:tc>
        <w:tc>
          <w:tcPr>
            <w:tcW w:w="0" w:type="auto"/>
            <w:hideMark/>
          </w:tcPr>
          <w:p w14:paraId="4F8B83C4" w14:textId="77777777" w:rsidR="00242FDB" w:rsidRPr="00792270" w:rsidRDefault="00242FDB" w:rsidP="00892F5E">
            <w:pPr>
              <w:spacing w:line="240" w:lineRule="auto"/>
              <w:jc w:val="both"/>
              <w:rPr>
                <w:szCs w:val="24"/>
              </w:rPr>
            </w:pPr>
            <w:r w:rsidRPr="00792270">
              <w:rPr>
                <w:szCs w:val="24"/>
              </w:rPr>
              <w:t>11</w:t>
            </w:r>
          </w:p>
        </w:tc>
        <w:tc>
          <w:tcPr>
            <w:tcW w:w="0" w:type="auto"/>
            <w:hideMark/>
          </w:tcPr>
          <w:p w14:paraId="364ADE21" w14:textId="77777777" w:rsidR="00242FDB" w:rsidRPr="00792270" w:rsidRDefault="00242FDB" w:rsidP="00892F5E">
            <w:pPr>
              <w:spacing w:line="240" w:lineRule="auto"/>
              <w:jc w:val="both"/>
              <w:rPr>
                <w:szCs w:val="24"/>
              </w:rPr>
            </w:pPr>
            <w:r w:rsidRPr="00792270">
              <w:rPr>
                <w:szCs w:val="24"/>
              </w:rPr>
              <w:t>4.6</w:t>
            </w:r>
          </w:p>
        </w:tc>
      </w:tr>
      <w:tr w:rsidR="00242FDB" w:rsidRPr="00792270" w14:paraId="026AB6A4" w14:textId="77777777" w:rsidTr="00242FDB">
        <w:tc>
          <w:tcPr>
            <w:tcW w:w="0" w:type="auto"/>
            <w:hideMark/>
          </w:tcPr>
          <w:p w14:paraId="1D14C7F5" w14:textId="77777777" w:rsidR="00242FDB" w:rsidRPr="00792270" w:rsidRDefault="00242FDB" w:rsidP="00892F5E">
            <w:pPr>
              <w:spacing w:line="240" w:lineRule="auto"/>
              <w:jc w:val="both"/>
              <w:rPr>
                <w:szCs w:val="24"/>
              </w:rPr>
            </w:pPr>
            <w:r w:rsidRPr="00792270">
              <w:rPr>
                <w:szCs w:val="24"/>
              </w:rPr>
              <w:t>Highest Education</w:t>
            </w:r>
          </w:p>
        </w:tc>
        <w:tc>
          <w:tcPr>
            <w:tcW w:w="0" w:type="auto"/>
            <w:hideMark/>
          </w:tcPr>
          <w:p w14:paraId="4147CA03" w14:textId="77777777" w:rsidR="00242FDB" w:rsidRPr="00792270" w:rsidRDefault="00242FDB" w:rsidP="00892F5E">
            <w:pPr>
              <w:spacing w:line="240" w:lineRule="auto"/>
              <w:jc w:val="both"/>
              <w:rPr>
                <w:szCs w:val="24"/>
              </w:rPr>
            </w:pPr>
            <w:r w:rsidRPr="00792270">
              <w:rPr>
                <w:szCs w:val="24"/>
              </w:rPr>
              <w:t>Tertiary/Postgraduate</w:t>
            </w:r>
          </w:p>
        </w:tc>
        <w:tc>
          <w:tcPr>
            <w:tcW w:w="0" w:type="auto"/>
            <w:hideMark/>
          </w:tcPr>
          <w:p w14:paraId="7A1D9DEB" w14:textId="77777777" w:rsidR="00242FDB" w:rsidRPr="00792270" w:rsidRDefault="00242FDB" w:rsidP="00892F5E">
            <w:pPr>
              <w:spacing w:line="240" w:lineRule="auto"/>
              <w:jc w:val="both"/>
              <w:rPr>
                <w:szCs w:val="24"/>
              </w:rPr>
            </w:pPr>
            <w:r w:rsidRPr="00792270">
              <w:rPr>
                <w:szCs w:val="24"/>
              </w:rPr>
              <w:t>194</w:t>
            </w:r>
          </w:p>
        </w:tc>
        <w:tc>
          <w:tcPr>
            <w:tcW w:w="0" w:type="auto"/>
            <w:hideMark/>
          </w:tcPr>
          <w:p w14:paraId="5D402F7D" w14:textId="77777777" w:rsidR="00242FDB" w:rsidRPr="00792270" w:rsidRDefault="00242FDB" w:rsidP="00892F5E">
            <w:pPr>
              <w:spacing w:line="240" w:lineRule="auto"/>
              <w:jc w:val="both"/>
              <w:rPr>
                <w:szCs w:val="24"/>
              </w:rPr>
            </w:pPr>
            <w:r w:rsidRPr="00792270">
              <w:rPr>
                <w:szCs w:val="24"/>
              </w:rPr>
              <w:t>81.2</w:t>
            </w:r>
          </w:p>
        </w:tc>
      </w:tr>
      <w:tr w:rsidR="00242FDB" w:rsidRPr="00792270" w14:paraId="144EC299" w14:textId="77777777" w:rsidTr="00242FDB">
        <w:tc>
          <w:tcPr>
            <w:tcW w:w="0" w:type="auto"/>
            <w:hideMark/>
          </w:tcPr>
          <w:p w14:paraId="52ED5817" w14:textId="77777777" w:rsidR="00242FDB" w:rsidRPr="00792270" w:rsidRDefault="00242FDB" w:rsidP="00892F5E">
            <w:pPr>
              <w:spacing w:line="240" w:lineRule="auto"/>
              <w:jc w:val="both"/>
              <w:rPr>
                <w:szCs w:val="24"/>
              </w:rPr>
            </w:pPr>
          </w:p>
        </w:tc>
        <w:tc>
          <w:tcPr>
            <w:tcW w:w="0" w:type="auto"/>
            <w:hideMark/>
          </w:tcPr>
          <w:p w14:paraId="76595221" w14:textId="77777777" w:rsidR="00242FDB" w:rsidRPr="00792270" w:rsidRDefault="00242FDB" w:rsidP="00892F5E">
            <w:pPr>
              <w:spacing w:line="240" w:lineRule="auto"/>
              <w:jc w:val="both"/>
              <w:rPr>
                <w:szCs w:val="24"/>
              </w:rPr>
            </w:pPr>
            <w:r w:rsidRPr="00792270">
              <w:rPr>
                <w:szCs w:val="24"/>
              </w:rPr>
              <w:t>Secondary/None</w:t>
            </w:r>
          </w:p>
        </w:tc>
        <w:tc>
          <w:tcPr>
            <w:tcW w:w="0" w:type="auto"/>
            <w:hideMark/>
          </w:tcPr>
          <w:p w14:paraId="5BB0C2C8" w14:textId="77777777" w:rsidR="00242FDB" w:rsidRPr="00792270" w:rsidRDefault="00242FDB" w:rsidP="00892F5E">
            <w:pPr>
              <w:spacing w:line="240" w:lineRule="auto"/>
              <w:jc w:val="both"/>
              <w:rPr>
                <w:szCs w:val="24"/>
              </w:rPr>
            </w:pPr>
            <w:r w:rsidRPr="00792270">
              <w:rPr>
                <w:szCs w:val="24"/>
              </w:rPr>
              <w:t>45</w:t>
            </w:r>
          </w:p>
        </w:tc>
        <w:tc>
          <w:tcPr>
            <w:tcW w:w="0" w:type="auto"/>
            <w:hideMark/>
          </w:tcPr>
          <w:p w14:paraId="272D6A2B" w14:textId="77777777" w:rsidR="00242FDB" w:rsidRPr="00792270" w:rsidRDefault="00242FDB" w:rsidP="00892F5E">
            <w:pPr>
              <w:spacing w:line="240" w:lineRule="auto"/>
              <w:jc w:val="both"/>
              <w:rPr>
                <w:szCs w:val="24"/>
              </w:rPr>
            </w:pPr>
            <w:r w:rsidRPr="00792270">
              <w:rPr>
                <w:szCs w:val="24"/>
              </w:rPr>
              <w:t>18.8</w:t>
            </w:r>
          </w:p>
        </w:tc>
      </w:tr>
      <w:tr w:rsidR="00242FDB" w:rsidRPr="00792270" w14:paraId="237AEDD1" w14:textId="77777777" w:rsidTr="00242FDB">
        <w:tc>
          <w:tcPr>
            <w:tcW w:w="0" w:type="auto"/>
            <w:hideMark/>
          </w:tcPr>
          <w:p w14:paraId="2C8C2C4B" w14:textId="77777777" w:rsidR="00242FDB" w:rsidRPr="00792270" w:rsidRDefault="00242FDB" w:rsidP="00892F5E">
            <w:pPr>
              <w:spacing w:line="240" w:lineRule="auto"/>
              <w:jc w:val="both"/>
              <w:rPr>
                <w:szCs w:val="24"/>
              </w:rPr>
            </w:pPr>
            <w:r w:rsidRPr="00792270">
              <w:rPr>
                <w:szCs w:val="24"/>
              </w:rPr>
              <w:t>Employment Status</w:t>
            </w:r>
          </w:p>
        </w:tc>
        <w:tc>
          <w:tcPr>
            <w:tcW w:w="0" w:type="auto"/>
            <w:hideMark/>
          </w:tcPr>
          <w:p w14:paraId="188C0261" w14:textId="77777777" w:rsidR="00242FDB" w:rsidRPr="00792270" w:rsidRDefault="00242FDB" w:rsidP="00892F5E">
            <w:pPr>
              <w:spacing w:line="240" w:lineRule="auto"/>
              <w:jc w:val="both"/>
              <w:rPr>
                <w:szCs w:val="24"/>
              </w:rPr>
            </w:pPr>
            <w:r w:rsidRPr="00792270">
              <w:rPr>
                <w:szCs w:val="24"/>
              </w:rPr>
              <w:t>Student</w:t>
            </w:r>
          </w:p>
        </w:tc>
        <w:tc>
          <w:tcPr>
            <w:tcW w:w="0" w:type="auto"/>
            <w:hideMark/>
          </w:tcPr>
          <w:p w14:paraId="4E440181" w14:textId="77777777" w:rsidR="00242FDB" w:rsidRPr="00792270" w:rsidRDefault="00242FDB" w:rsidP="00892F5E">
            <w:pPr>
              <w:spacing w:line="240" w:lineRule="auto"/>
              <w:jc w:val="both"/>
              <w:rPr>
                <w:szCs w:val="24"/>
              </w:rPr>
            </w:pPr>
            <w:r w:rsidRPr="00792270">
              <w:rPr>
                <w:szCs w:val="24"/>
              </w:rPr>
              <w:t>157</w:t>
            </w:r>
          </w:p>
        </w:tc>
        <w:tc>
          <w:tcPr>
            <w:tcW w:w="0" w:type="auto"/>
            <w:hideMark/>
          </w:tcPr>
          <w:p w14:paraId="21FA8988" w14:textId="77777777" w:rsidR="00242FDB" w:rsidRPr="00792270" w:rsidRDefault="00242FDB" w:rsidP="00892F5E">
            <w:pPr>
              <w:spacing w:line="240" w:lineRule="auto"/>
              <w:jc w:val="both"/>
              <w:rPr>
                <w:szCs w:val="24"/>
              </w:rPr>
            </w:pPr>
            <w:r w:rsidRPr="00792270">
              <w:rPr>
                <w:szCs w:val="24"/>
              </w:rPr>
              <w:t>65.7</w:t>
            </w:r>
          </w:p>
        </w:tc>
      </w:tr>
      <w:tr w:rsidR="00242FDB" w:rsidRPr="00792270" w14:paraId="21FCE817" w14:textId="77777777" w:rsidTr="00242FDB">
        <w:tc>
          <w:tcPr>
            <w:tcW w:w="0" w:type="auto"/>
            <w:hideMark/>
          </w:tcPr>
          <w:p w14:paraId="3E022260" w14:textId="77777777" w:rsidR="00242FDB" w:rsidRPr="00792270" w:rsidRDefault="00242FDB" w:rsidP="00892F5E">
            <w:pPr>
              <w:spacing w:line="240" w:lineRule="auto"/>
              <w:jc w:val="both"/>
              <w:rPr>
                <w:szCs w:val="24"/>
              </w:rPr>
            </w:pPr>
          </w:p>
        </w:tc>
        <w:tc>
          <w:tcPr>
            <w:tcW w:w="0" w:type="auto"/>
            <w:hideMark/>
          </w:tcPr>
          <w:p w14:paraId="72ED803C" w14:textId="77777777" w:rsidR="00242FDB" w:rsidRPr="00792270" w:rsidRDefault="00242FDB" w:rsidP="00892F5E">
            <w:pPr>
              <w:spacing w:line="240" w:lineRule="auto"/>
              <w:jc w:val="both"/>
              <w:rPr>
                <w:szCs w:val="24"/>
              </w:rPr>
            </w:pPr>
            <w:r w:rsidRPr="00792270">
              <w:rPr>
                <w:szCs w:val="24"/>
              </w:rPr>
              <w:t>Employed/Self-employed</w:t>
            </w:r>
          </w:p>
        </w:tc>
        <w:tc>
          <w:tcPr>
            <w:tcW w:w="0" w:type="auto"/>
            <w:hideMark/>
          </w:tcPr>
          <w:p w14:paraId="1C5D62F4" w14:textId="77777777" w:rsidR="00242FDB" w:rsidRPr="00792270" w:rsidRDefault="00242FDB" w:rsidP="00892F5E">
            <w:pPr>
              <w:spacing w:line="240" w:lineRule="auto"/>
              <w:jc w:val="both"/>
              <w:rPr>
                <w:szCs w:val="24"/>
              </w:rPr>
            </w:pPr>
            <w:r w:rsidRPr="00792270">
              <w:rPr>
                <w:szCs w:val="24"/>
              </w:rPr>
              <w:t>76</w:t>
            </w:r>
          </w:p>
        </w:tc>
        <w:tc>
          <w:tcPr>
            <w:tcW w:w="0" w:type="auto"/>
            <w:hideMark/>
          </w:tcPr>
          <w:p w14:paraId="45A9E682" w14:textId="77777777" w:rsidR="00242FDB" w:rsidRPr="00792270" w:rsidRDefault="00242FDB" w:rsidP="00892F5E">
            <w:pPr>
              <w:spacing w:line="240" w:lineRule="auto"/>
              <w:jc w:val="both"/>
              <w:rPr>
                <w:szCs w:val="24"/>
              </w:rPr>
            </w:pPr>
            <w:r w:rsidRPr="00792270">
              <w:rPr>
                <w:szCs w:val="24"/>
              </w:rPr>
              <w:t>31.8</w:t>
            </w:r>
          </w:p>
        </w:tc>
      </w:tr>
      <w:tr w:rsidR="00242FDB" w:rsidRPr="00792270" w14:paraId="248C2A7A" w14:textId="77777777" w:rsidTr="00242FDB">
        <w:tc>
          <w:tcPr>
            <w:tcW w:w="0" w:type="auto"/>
            <w:hideMark/>
          </w:tcPr>
          <w:p w14:paraId="7E606C2E" w14:textId="77777777" w:rsidR="00242FDB" w:rsidRPr="00792270" w:rsidRDefault="00242FDB" w:rsidP="00892F5E">
            <w:pPr>
              <w:spacing w:line="240" w:lineRule="auto"/>
              <w:jc w:val="both"/>
              <w:rPr>
                <w:szCs w:val="24"/>
              </w:rPr>
            </w:pPr>
          </w:p>
        </w:tc>
        <w:tc>
          <w:tcPr>
            <w:tcW w:w="0" w:type="auto"/>
            <w:hideMark/>
          </w:tcPr>
          <w:p w14:paraId="542318E5" w14:textId="77777777" w:rsidR="00242FDB" w:rsidRPr="00792270" w:rsidRDefault="00242FDB" w:rsidP="00892F5E">
            <w:pPr>
              <w:spacing w:line="240" w:lineRule="auto"/>
              <w:jc w:val="both"/>
              <w:rPr>
                <w:szCs w:val="24"/>
              </w:rPr>
            </w:pPr>
            <w:r w:rsidRPr="00792270">
              <w:rPr>
                <w:szCs w:val="24"/>
              </w:rPr>
              <w:t>Unemployed/Retired</w:t>
            </w:r>
          </w:p>
        </w:tc>
        <w:tc>
          <w:tcPr>
            <w:tcW w:w="0" w:type="auto"/>
            <w:hideMark/>
          </w:tcPr>
          <w:p w14:paraId="617EF084" w14:textId="77777777" w:rsidR="00242FDB" w:rsidRPr="00792270" w:rsidRDefault="00242FDB" w:rsidP="00892F5E">
            <w:pPr>
              <w:spacing w:line="240" w:lineRule="auto"/>
              <w:jc w:val="both"/>
              <w:rPr>
                <w:szCs w:val="24"/>
              </w:rPr>
            </w:pPr>
            <w:r w:rsidRPr="00792270">
              <w:rPr>
                <w:szCs w:val="24"/>
              </w:rPr>
              <w:t>6</w:t>
            </w:r>
          </w:p>
        </w:tc>
        <w:tc>
          <w:tcPr>
            <w:tcW w:w="0" w:type="auto"/>
            <w:hideMark/>
          </w:tcPr>
          <w:p w14:paraId="5DDDE44C" w14:textId="77777777" w:rsidR="00242FDB" w:rsidRPr="00792270" w:rsidRDefault="00242FDB" w:rsidP="00892F5E">
            <w:pPr>
              <w:spacing w:line="240" w:lineRule="auto"/>
              <w:jc w:val="both"/>
              <w:rPr>
                <w:szCs w:val="24"/>
              </w:rPr>
            </w:pPr>
            <w:r w:rsidRPr="00792270">
              <w:rPr>
                <w:szCs w:val="24"/>
              </w:rPr>
              <w:t>2.5</w:t>
            </w:r>
          </w:p>
        </w:tc>
      </w:tr>
      <w:tr w:rsidR="00242FDB" w:rsidRPr="00792270" w14:paraId="146DDB39" w14:textId="77777777" w:rsidTr="00242FDB">
        <w:tc>
          <w:tcPr>
            <w:tcW w:w="0" w:type="auto"/>
            <w:hideMark/>
          </w:tcPr>
          <w:p w14:paraId="30464F41" w14:textId="77777777" w:rsidR="00242FDB" w:rsidRPr="00792270" w:rsidRDefault="00242FDB" w:rsidP="00892F5E">
            <w:pPr>
              <w:spacing w:line="240" w:lineRule="auto"/>
              <w:jc w:val="both"/>
              <w:rPr>
                <w:szCs w:val="24"/>
              </w:rPr>
            </w:pPr>
            <w:r w:rsidRPr="00792270">
              <w:rPr>
                <w:szCs w:val="24"/>
              </w:rPr>
              <w:t>Monthly Income (₦)</w:t>
            </w:r>
          </w:p>
        </w:tc>
        <w:tc>
          <w:tcPr>
            <w:tcW w:w="0" w:type="auto"/>
            <w:hideMark/>
          </w:tcPr>
          <w:p w14:paraId="145B4EA7" w14:textId="77777777" w:rsidR="00242FDB" w:rsidRPr="00792270" w:rsidRDefault="00242FDB" w:rsidP="00892F5E">
            <w:pPr>
              <w:spacing w:line="240" w:lineRule="auto"/>
              <w:jc w:val="both"/>
              <w:rPr>
                <w:szCs w:val="24"/>
              </w:rPr>
            </w:pPr>
            <w:r w:rsidRPr="00792270">
              <w:rPr>
                <w:szCs w:val="24"/>
              </w:rPr>
              <w:t>&lt;50,000</w:t>
            </w:r>
          </w:p>
        </w:tc>
        <w:tc>
          <w:tcPr>
            <w:tcW w:w="0" w:type="auto"/>
            <w:hideMark/>
          </w:tcPr>
          <w:p w14:paraId="0DE50E93" w14:textId="77777777" w:rsidR="00242FDB" w:rsidRPr="00792270" w:rsidRDefault="00242FDB" w:rsidP="00892F5E">
            <w:pPr>
              <w:spacing w:line="240" w:lineRule="auto"/>
              <w:jc w:val="both"/>
              <w:rPr>
                <w:szCs w:val="24"/>
              </w:rPr>
            </w:pPr>
            <w:r w:rsidRPr="00792270">
              <w:rPr>
                <w:szCs w:val="24"/>
              </w:rPr>
              <w:t>123</w:t>
            </w:r>
          </w:p>
        </w:tc>
        <w:tc>
          <w:tcPr>
            <w:tcW w:w="0" w:type="auto"/>
            <w:hideMark/>
          </w:tcPr>
          <w:p w14:paraId="276CCFD5" w14:textId="77777777" w:rsidR="00242FDB" w:rsidRPr="00792270" w:rsidRDefault="00242FDB" w:rsidP="00892F5E">
            <w:pPr>
              <w:spacing w:line="240" w:lineRule="auto"/>
              <w:jc w:val="both"/>
              <w:rPr>
                <w:szCs w:val="24"/>
              </w:rPr>
            </w:pPr>
            <w:r w:rsidRPr="00792270">
              <w:rPr>
                <w:szCs w:val="24"/>
              </w:rPr>
              <w:t>51.5</w:t>
            </w:r>
          </w:p>
        </w:tc>
      </w:tr>
      <w:tr w:rsidR="00242FDB" w:rsidRPr="00792270" w14:paraId="04ECBC0F" w14:textId="77777777" w:rsidTr="00242FDB">
        <w:tc>
          <w:tcPr>
            <w:tcW w:w="0" w:type="auto"/>
            <w:hideMark/>
          </w:tcPr>
          <w:p w14:paraId="557FE010" w14:textId="77777777" w:rsidR="00242FDB" w:rsidRPr="00792270" w:rsidRDefault="00242FDB" w:rsidP="00892F5E">
            <w:pPr>
              <w:spacing w:line="240" w:lineRule="auto"/>
              <w:jc w:val="both"/>
              <w:rPr>
                <w:szCs w:val="24"/>
              </w:rPr>
            </w:pPr>
          </w:p>
        </w:tc>
        <w:tc>
          <w:tcPr>
            <w:tcW w:w="0" w:type="auto"/>
            <w:hideMark/>
          </w:tcPr>
          <w:p w14:paraId="25C3B528" w14:textId="77777777" w:rsidR="00242FDB" w:rsidRPr="00792270" w:rsidRDefault="00242FDB" w:rsidP="00892F5E">
            <w:pPr>
              <w:spacing w:line="240" w:lineRule="auto"/>
              <w:jc w:val="both"/>
              <w:rPr>
                <w:szCs w:val="24"/>
              </w:rPr>
            </w:pPr>
            <w:r w:rsidRPr="00792270">
              <w:rPr>
                <w:szCs w:val="24"/>
              </w:rPr>
              <w:t>≥50,000</w:t>
            </w:r>
          </w:p>
        </w:tc>
        <w:tc>
          <w:tcPr>
            <w:tcW w:w="0" w:type="auto"/>
            <w:hideMark/>
          </w:tcPr>
          <w:p w14:paraId="60099639" w14:textId="77777777" w:rsidR="00242FDB" w:rsidRPr="00792270" w:rsidRDefault="00242FDB" w:rsidP="00892F5E">
            <w:pPr>
              <w:spacing w:line="240" w:lineRule="auto"/>
              <w:jc w:val="both"/>
              <w:rPr>
                <w:szCs w:val="24"/>
              </w:rPr>
            </w:pPr>
            <w:r w:rsidRPr="00792270">
              <w:rPr>
                <w:szCs w:val="24"/>
              </w:rPr>
              <w:t>116</w:t>
            </w:r>
          </w:p>
        </w:tc>
        <w:tc>
          <w:tcPr>
            <w:tcW w:w="0" w:type="auto"/>
            <w:hideMark/>
          </w:tcPr>
          <w:p w14:paraId="6AD4E89D" w14:textId="77777777" w:rsidR="00242FDB" w:rsidRPr="00792270" w:rsidRDefault="00242FDB" w:rsidP="00892F5E">
            <w:pPr>
              <w:spacing w:line="240" w:lineRule="auto"/>
              <w:jc w:val="both"/>
              <w:rPr>
                <w:szCs w:val="24"/>
              </w:rPr>
            </w:pPr>
            <w:r w:rsidRPr="00792270">
              <w:rPr>
                <w:szCs w:val="24"/>
              </w:rPr>
              <w:t>48.5</w:t>
            </w:r>
          </w:p>
        </w:tc>
      </w:tr>
      <w:tr w:rsidR="00242FDB" w:rsidRPr="00792270" w14:paraId="4D9C8BCC" w14:textId="77777777" w:rsidTr="00242FDB">
        <w:tc>
          <w:tcPr>
            <w:tcW w:w="0" w:type="auto"/>
            <w:hideMark/>
          </w:tcPr>
          <w:p w14:paraId="08F74A05" w14:textId="77777777" w:rsidR="00242FDB" w:rsidRPr="00792270" w:rsidRDefault="00242FDB" w:rsidP="00892F5E">
            <w:pPr>
              <w:spacing w:line="240" w:lineRule="auto"/>
              <w:jc w:val="both"/>
              <w:rPr>
                <w:szCs w:val="24"/>
              </w:rPr>
            </w:pPr>
            <w:r w:rsidRPr="00792270">
              <w:rPr>
                <w:szCs w:val="24"/>
              </w:rPr>
              <w:t>Duration of Residence</w:t>
            </w:r>
          </w:p>
        </w:tc>
        <w:tc>
          <w:tcPr>
            <w:tcW w:w="0" w:type="auto"/>
            <w:hideMark/>
          </w:tcPr>
          <w:p w14:paraId="11DF48A2" w14:textId="77777777" w:rsidR="00242FDB" w:rsidRPr="00792270" w:rsidRDefault="00242FDB" w:rsidP="00892F5E">
            <w:pPr>
              <w:spacing w:line="240" w:lineRule="auto"/>
              <w:jc w:val="both"/>
              <w:rPr>
                <w:szCs w:val="24"/>
              </w:rPr>
            </w:pPr>
            <w:r w:rsidRPr="00792270">
              <w:rPr>
                <w:szCs w:val="24"/>
              </w:rPr>
              <w:t>&lt;1–3 years</w:t>
            </w:r>
          </w:p>
        </w:tc>
        <w:tc>
          <w:tcPr>
            <w:tcW w:w="0" w:type="auto"/>
            <w:hideMark/>
          </w:tcPr>
          <w:p w14:paraId="3DF225C6" w14:textId="77777777" w:rsidR="00242FDB" w:rsidRPr="00792270" w:rsidRDefault="00242FDB" w:rsidP="00892F5E">
            <w:pPr>
              <w:spacing w:line="240" w:lineRule="auto"/>
              <w:jc w:val="both"/>
              <w:rPr>
                <w:szCs w:val="24"/>
              </w:rPr>
            </w:pPr>
            <w:r w:rsidRPr="00792270">
              <w:rPr>
                <w:szCs w:val="24"/>
              </w:rPr>
              <w:t>166</w:t>
            </w:r>
          </w:p>
        </w:tc>
        <w:tc>
          <w:tcPr>
            <w:tcW w:w="0" w:type="auto"/>
            <w:hideMark/>
          </w:tcPr>
          <w:p w14:paraId="0D9FFC3E" w14:textId="77777777" w:rsidR="00242FDB" w:rsidRPr="00792270" w:rsidRDefault="00242FDB" w:rsidP="00892F5E">
            <w:pPr>
              <w:spacing w:line="240" w:lineRule="auto"/>
              <w:jc w:val="both"/>
              <w:rPr>
                <w:szCs w:val="24"/>
              </w:rPr>
            </w:pPr>
            <w:r w:rsidRPr="00792270">
              <w:rPr>
                <w:szCs w:val="24"/>
              </w:rPr>
              <w:t>69.5</w:t>
            </w:r>
          </w:p>
        </w:tc>
      </w:tr>
      <w:tr w:rsidR="00242FDB" w:rsidRPr="00792270" w14:paraId="4235FCC2" w14:textId="77777777" w:rsidTr="00242FDB">
        <w:tc>
          <w:tcPr>
            <w:tcW w:w="0" w:type="auto"/>
            <w:tcBorders>
              <w:bottom w:val="single" w:sz="4" w:space="0" w:color="auto"/>
            </w:tcBorders>
            <w:hideMark/>
          </w:tcPr>
          <w:p w14:paraId="09ABF092" w14:textId="77777777" w:rsidR="00242FDB" w:rsidRPr="00792270" w:rsidRDefault="00242FDB" w:rsidP="00892F5E">
            <w:pPr>
              <w:spacing w:line="240" w:lineRule="auto"/>
              <w:jc w:val="both"/>
              <w:rPr>
                <w:szCs w:val="24"/>
              </w:rPr>
            </w:pPr>
          </w:p>
        </w:tc>
        <w:tc>
          <w:tcPr>
            <w:tcW w:w="0" w:type="auto"/>
            <w:tcBorders>
              <w:bottom w:val="single" w:sz="4" w:space="0" w:color="auto"/>
            </w:tcBorders>
            <w:hideMark/>
          </w:tcPr>
          <w:p w14:paraId="2438D440" w14:textId="77777777" w:rsidR="00242FDB" w:rsidRPr="00792270" w:rsidRDefault="00242FDB" w:rsidP="00892F5E">
            <w:pPr>
              <w:spacing w:line="240" w:lineRule="auto"/>
              <w:jc w:val="both"/>
              <w:rPr>
                <w:szCs w:val="24"/>
              </w:rPr>
            </w:pPr>
            <w:r w:rsidRPr="00792270">
              <w:rPr>
                <w:szCs w:val="24"/>
              </w:rPr>
              <w:t>&gt;3 years</w:t>
            </w:r>
          </w:p>
        </w:tc>
        <w:tc>
          <w:tcPr>
            <w:tcW w:w="0" w:type="auto"/>
            <w:tcBorders>
              <w:bottom w:val="single" w:sz="4" w:space="0" w:color="auto"/>
            </w:tcBorders>
            <w:hideMark/>
          </w:tcPr>
          <w:p w14:paraId="33337278" w14:textId="77777777" w:rsidR="00242FDB" w:rsidRPr="00792270" w:rsidRDefault="00242FDB" w:rsidP="00892F5E">
            <w:pPr>
              <w:spacing w:line="240" w:lineRule="auto"/>
              <w:jc w:val="both"/>
              <w:rPr>
                <w:szCs w:val="24"/>
              </w:rPr>
            </w:pPr>
            <w:r w:rsidRPr="00792270">
              <w:rPr>
                <w:szCs w:val="24"/>
              </w:rPr>
              <w:t>73</w:t>
            </w:r>
          </w:p>
        </w:tc>
        <w:tc>
          <w:tcPr>
            <w:tcW w:w="0" w:type="auto"/>
            <w:tcBorders>
              <w:bottom w:val="single" w:sz="4" w:space="0" w:color="auto"/>
            </w:tcBorders>
            <w:hideMark/>
          </w:tcPr>
          <w:p w14:paraId="57BB298D" w14:textId="77777777" w:rsidR="00242FDB" w:rsidRPr="00792270" w:rsidRDefault="00242FDB" w:rsidP="00892F5E">
            <w:pPr>
              <w:spacing w:line="240" w:lineRule="auto"/>
              <w:jc w:val="both"/>
              <w:rPr>
                <w:szCs w:val="24"/>
              </w:rPr>
            </w:pPr>
            <w:r w:rsidRPr="00792270">
              <w:rPr>
                <w:szCs w:val="24"/>
              </w:rPr>
              <w:t>30.5</w:t>
            </w:r>
          </w:p>
        </w:tc>
      </w:tr>
    </w:tbl>
    <w:p w14:paraId="5F73F34B" w14:textId="77777777" w:rsidR="00242FDB" w:rsidRPr="00792270" w:rsidRDefault="00242FDB" w:rsidP="00892F5E">
      <w:pPr>
        <w:spacing w:line="240" w:lineRule="auto"/>
        <w:jc w:val="both"/>
        <w:rPr>
          <w:szCs w:val="24"/>
        </w:rPr>
      </w:pPr>
    </w:p>
    <w:p w14:paraId="2C2E85F4" w14:textId="5DE6E127" w:rsidR="00242FDB" w:rsidRPr="00792270" w:rsidRDefault="00A41E37" w:rsidP="00892F5E">
      <w:pPr>
        <w:spacing w:line="240" w:lineRule="auto"/>
        <w:jc w:val="both"/>
        <w:rPr>
          <w:szCs w:val="24"/>
        </w:rPr>
      </w:pPr>
      <w:r w:rsidRPr="00792270">
        <w:rPr>
          <w:szCs w:val="24"/>
        </w:rPr>
        <w:t>The noise measurements of the environment revealed continuous high levels of measurement at chosen locations. LAeq ranged between 72 and 87, evening between 70 and 85 and night between 68 and 82 dB(A). Values were above the WHO guidelines (55 dB/day, 45 dB/evening, 40 dB in innocent neighbourhoods). Mean LAeq over periods was always higher than recommended</w:t>
      </w:r>
      <w:r w:rsidR="005765C4" w:rsidRPr="00792270">
        <w:rPr>
          <w:szCs w:val="24"/>
        </w:rPr>
        <w:t xml:space="preserve"> (Table 2)</w:t>
      </w:r>
      <w:r w:rsidR="004C5F74" w:rsidRPr="00792270">
        <w:rPr>
          <w:szCs w:val="24"/>
        </w:rPr>
        <w:t>.</w:t>
      </w:r>
    </w:p>
    <w:p w14:paraId="335BA572" w14:textId="77777777" w:rsidR="004C5F74" w:rsidRPr="00792270" w:rsidRDefault="004C5F74" w:rsidP="00892F5E">
      <w:pPr>
        <w:spacing w:line="240" w:lineRule="auto"/>
        <w:jc w:val="both"/>
        <w:rPr>
          <w:szCs w:val="24"/>
        </w:rPr>
      </w:pPr>
    </w:p>
    <w:p w14:paraId="0FD5B590" w14:textId="77777777" w:rsidR="00242FDB" w:rsidRPr="00792270" w:rsidRDefault="00242FDB" w:rsidP="00892F5E">
      <w:pPr>
        <w:spacing w:line="240" w:lineRule="auto"/>
        <w:jc w:val="both"/>
        <w:rPr>
          <w:szCs w:val="24"/>
        </w:rPr>
      </w:pPr>
      <w:r w:rsidRPr="00792270">
        <w:rPr>
          <w:b/>
          <w:bCs/>
          <w:szCs w:val="24"/>
        </w:rPr>
        <w:t>Table 2: Comparison of Measured Noise Levels with WHO Standards (LAeq in dB(A))</w:t>
      </w:r>
    </w:p>
    <w:tbl>
      <w:tblPr>
        <w:tblStyle w:val="TableGrid1"/>
        <w:tblW w:w="5000" w:type="pct"/>
        <w:tblLook w:val="04A0" w:firstRow="1" w:lastRow="0" w:firstColumn="1" w:lastColumn="0" w:noHBand="0" w:noVBand="1"/>
      </w:tblPr>
      <w:tblGrid>
        <w:gridCol w:w="1729"/>
        <w:gridCol w:w="2265"/>
        <w:gridCol w:w="1662"/>
        <w:gridCol w:w="2188"/>
        <w:gridCol w:w="1516"/>
      </w:tblGrid>
      <w:tr w:rsidR="00242FDB" w:rsidRPr="00792270" w14:paraId="4F85FB0E" w14:textId="77777777" w:rsidTr="00250600">
        <w:trPr>
          <w:cnfStyle w:val="100000000000" w:firstRow="1" w:lastRow="0" w:firstColumn="0" w:lastColumn="0" w:oddVBand="0" w:evenVBand="0" w:oddHBand="0" w:evenHBand="0" w:firstRowFirstColumn="0" w:firstRowLastColumn="0" w:lastRowFirstColumn="0" w:lastRowLastColumn="0"/>
        </w:trPr>
        <w:tc>
          <w:tcPr>
            <w:tcW w:w="923" w:type="pct"/>
            <w:hideMark/>
          </w:tcPr>
          <w:p w14:paraId="14A31993" w14:textId="77777777" w:rsidR="00242FDB" w:rsidRPr="00792270" w:rsidRDefault="00242FDB" w:rsidP="00892F5E">
            <w:pPr>
              <w:spacing w:line="240" w:lineRule="auto"/>
              <w:jc w:val="both"/>
              <w:rPr>
                <w:bCs/>
                <w:szCs w:val="24"/>
              </w:rPr>
            </w:pPr>
            <w:r w:rsidRPr="00792270">
              <w:rPr>
                <w:bCs/>
                <w:szCs w:val="24"/>
              </w:rPr>
              <w:t>Time Period</w:t>
            </w:r>
          </w:p>
        </w:tc>
        <w:tc>
          <w:tcPr>
            <w:tcW w:w="1210" w:type="pct"/>
            <w:hideMark/>
          </w:tcPr>
          <w:p w14:paraId="5018E216" w14:textId="77777777" w:rsidR="00242FDB" w:rsidRPr="00792270" w:rsidRDefault="00242FDB" w:rsidP="00892F5E">
            <w:pPr>
              <w:spacing w:line="240" w:lineRule="auto"/>
              <w:jc w:val="both"/>
              <w:rPr>
                <w:bCs/>
                <w:szCs w:val="24"/>
              </w:rPr>
            </w:pPr>
            <w:r w:rsidRPr="00792270">
              <w:rPr>
                <w:bCs/>
                <w:szCs w:val="24"/>
              </w:rPr>
              <w:t>Measured Range</w:t>
            </w:r>
          </w:p>
        </w:tc>
        <w:tc>
          <w:tcPr>
            <w:tcW w:w="888" w:type="pct"/>
            <w:hideMark/>
          </w:tcPr>
          <w:p w14:paraId="65A63CFB" w14:textId="77777777" w:rsidR="00242FDB" w:rsidRPr="00792270" w:rsidRDefault="00242FDB" w:rsidP="00892F5E">
            <w:pPr>
              <w:spacing w:line="240" w:lineRule="auto"/>
              <w:jc w:val="both"/>
              <w:rPr>
                <w:bCs/>
                <w:szCs w:val="24"/>
              </w:rPr>
            </w:pPr>
            <w:r w:rsidRPr="00792270">
              <w:rPr>
                <w:bCs/>
                <w:szCs w:val="24"/>
              </w:rPr>
              <w:t>Mean LAeq</w:t>
            </w:r>
          </w:p>
        </w:tc>
        <w:tc>
          <w:tcPr>
            <w:tcW w:w="1169" w:type="pct"/>
            <w:hideMark/>
          </w:tcPr>
          <w:p w14:paraId="357E64F7" w14:textId="77777777" w:rsidR="00242FDB" w:rsidRPr="00792270" w:rsidRDefault="00242FDB" w:rsidP="00892F5E">
            <w:pPr>
              <w:spacing w:line="240" w:lineRule="auto"/>
              <w:jc w:val="both"/>
              <w:rPr>
                <w:bCs/>
                <w:szCs w:val="24"/>
              </w:rPr>
            </w:pPr>
            <w:r w:rsidRPr="00792270">
              <w:rPr>
                <w:bCs/>
                <w:szCs w:val="24"/>
              </w:rPr>
              <w:t>WHO Guideline</w:t>
            </w:r>
          </w:p>
        </w:tc>
        <w:tc>
          <w:tcPr>
            <w:tcW w:w="810" w:type="pct"/>
            <w:hideMark/>
          </w:tcPr>
          <w:p w14:paraId="4CF43444" w14:textId="77777777" w:rsidR="00242FDB" w:rsidRPr="00792270" w:rsidRDefault="00242FDB" w:rsidP="00892F5E">
            <w:pPr>
              <w:spacing w:line="240" w:lineRule="auto"/>
              <w:jc w:val="both"/>
              <w:rPr>
                <w:bCs/>
                <w:szCs w:val="24"/>
              </w:rPr>
            </w:pPr>
            <w:r w:rsidRPr="00792270">
              <w:rPr>
                <w:bCs/>
                <w:szCs w:val="24"/>
              </w:rPr>
              <w:t>Exceeded?</w:t>
            </w:r>
          </w:p>
        </w:tc>
      </w:tr>
      <w:tr w:rsidR="00242FDB" w:rsidRPr="00792270" w14:paraId="3E789D9D" w14:textId="77777777" w:rsidTr="00250600">
        <w:tc>
          <w:tcPr>
            <w:tcW w:w="923" w:type="pct"/>
            <w:hideMark/>
          </w:tcPr>
          <w:p w14:paraId="61FD2692" w14:textId="77777777" w:rsidR="00242FDB" w:rsidRPr="00792270" w:rsidRDefault="00242FDB" w:rsidP="00892F5E">
            <w:pPr>
              <w:spacing w:line="240" w:lineRule="auto"/>
              <w:jc w:val="both"/>
              <w:rPr>
                <w:szCs w:val="24"/>
              </w:rPr>
            </w:pPr>
            <w:r w:rsidRPr="00792270">
              <w:rPr>
                <w:szCs w:val="24"/>
              </w:rPr>
              <w:t>Daytime</w:t>
            </w:r>
          </w:p>
        </w:tc>
        <w:tc>
          <w:tcPr>
            <w:tcW w:w="1210" w:type="pct"/>
            <w:hideMark/>
          </w:tcPr>
          <w:p w14:paraId="47BD8AC0" w14:textId="77777777" w:rsidR="00242FDB" w:rsidRPr="00792270" w:rsidRDefault="00242FDB" w:rsidP="00892F5E">
            <w:pPr>
              <w:spacing w:line="240" w:lineRule="auto"/>
              <w:jc w:val="both"/>
              <w:rPr>
                <w:szCs w:val="24"/>
              </w:rPr>
            </w:pPr>
            <w:r w:rsidRPr="00792270">
              <w:rPr>
                <w:szCs w:val="24"/>
              </w:rPr>
              <w:t>72–87</w:t>
            </w:r>
          </w:p>
        </w:tc>
        <w:tc>
          <w:tcPr>
            <w:tcW w:w="888" w:type="pct"/>
            <w:hideMark/>
          </w:tcPr>
          <w:p w14:paraId="4D80CE2D" w14:textId="77777777" w:rsidR="00242FDB" w:rsidRPr="00792270" w:rsidRDefault="00242FDB" w:rsidP="00892F5E">
            <w:pPr>
              <w:spacing w:line="240" w:lineRule="auto"/>
              <w:jc w:val="both"/>
              <w:rPr>
                <w:szCs w:val="24"/>
              </w:rPr>
            </w:pPr>
            <w:r w:rsidRPr="00792270">
              <w:rPr>
                <w:szCs w:val="24"/>
              </w:rPr>
              <w:t>79.5</w:t>
            </w:r>
          </w:p>
        </w:tc>
        <w:tc>
          <w:tcPr>
            <w:tcW w:w="1169" w:type="pct"/>
            <w:hideMark/>
          </w:tcPr>
          <w:p w14:paraId="617279CD" w14:textId="77777777" w:rsidR="00242FDB" w:rsidRPr="00792270" w:rsidRDefault="00242FDB" w:rsidP="00892F5E">
            <w:pPr>
              <w:spacing w:line="240" w:lineRule="auto"/>
              <w:jc w:val="both"/>
              <w:rPr>
                <w:szCs w:val="24"/>
              </w:rPr>
            </w:pPr>
            <w:r w:rsidRPr="00792270">
              <w:rPr>
                <w:szCs w:val="24"/>
              </w:rPr>
              <w:t>55</w:t>
            </w:r>
          </w:p>
        </w:tc>
        <w:tc>
          <w:tcPr>
            <w:tcW w:w="810" w:type="pct"/>
            <w:hideMark/>
          </w:tcPr>
          <w:p w14:paraId="7FB7850F" w14:textId="77777777" w:rsidR="00242FDB" w:rsidRPr="00792270" w:rsidRDefault="00242FDB" w:rsidP="00892F5E">
            <w:pPr>
              <w:spacing w:line="240" w:lineRule="auto"/>
              <w:jc w:val="both"/>
              <w:rPr>
                <w:szCs w:val="24"/>
              </w:rPr>
            </w:pPr>
            <w:r w:rsidRPr="00792270">
              <w:rPr>
                <w:szCs w:val="24"/>
              </w:rPr>
              <w:t>Yes</w:t>
            </w:r>
          </w:p>
        </w:tc>
      </w:tr>
      <w:tr w:rsidR="00242FDB" w:rsidRPr="00792270" w14:paraId="22E9B347" w14:textId="77777777" w:rsidTr="00250600">
        <w:tc>
          <w:tcPr>
            <w:tcW w:w="923" w:type="pct"/>
            <w:hideMark/>
          </w:tcPr>
          <w:p w14:paraId="344371F8" w14:textId="77777777" w:rsidR="00242FDB" w:rsidRPr="00792270" w:rsidRDefault="00242FDB" w:rsidP="00892F5E">
            <w:pPr>
              <w:spacing w:line="240" w:lineRule="auto"/>
              <w:jc w:val="both"/>
              <w:rPr>
                <w:szCs w:val="24"/>
              </w:rPr>
            </w:pPr>
            <w:r w:rsidRPr="00792270">
              <w:rPr>
                <w:szCs w:val="24"/>
              </w:rPr>
              <w:t>Evening</w:t>
            </w:r>
          </w:p>
        </w:tc>
        <w:tc>
          <w:tcPr>
            <w:tcW w:w="1210" w:type="pct"/>
            <w:hideMark/>
          </w:tcPr>
          <w:p w14:paraId="1A77FA15" w14:textId="77777777" w:rsidR="00242FDB" w:rsidRPr="00792270" w:rsidRDefault="00242FDB" w:rsidP="00892F5E">
            <w:pPr>
              <w:spacing w:line="240" w:lineRule="auto"/>
              <w:jc w:val="both"/>
              <w:rPr>
                <w:szCs w:val="24"/>
              </w:rPr>
            </w:pPr>
            <w:r w:rsidRPr="00792270">
              <w:rPr>
                <w:szCs w:val="24"/>
              </w:rPr>
              <w:t>70–85</w:t>
            </w:r>
          </w:p>
        </w:tc>
        <w:tc>
          <w:tcPr>
            <w:tcW w:w="888" w:type="pct"/>
            <w:hideMark/>
          </w:tcPr>
          <w:p w14:paraId="07C1B9F2" w14:textId="77777777" w:rsidR="00242FDB" w:rsidRPr="00792270" w:rsidRDefault="00242FDB" w:rsidP="00892F5E">
            <w:pPr>
              <w:spacing w:line="240" w:lineRule="auto"/>
              <w:jc w:val="both"/>
              <w:rPr>
                <w:szCs w:val="24"/>
              </w:rPr>
            </w:pPr>
            <w:r w:rsidRPr="00792270">
              <w:rPr>
                <w:szCs w:val="24"/>
              </w:rPr>
              <w:t>77.2</w:t>
            </w:r>
          </w:p>
        </w:tc>
        <w:tc>
          <w:tcPr>
            <w:tcW w:w="1169" w:type="pct"/>
            <w:hideMark/>
          </w:tcPr>
          <w:p w14:paraId="2E0722E0" w14:textId="77777777" w:rsidR="00242FDB" w:rsidRPr="00792270" w:rsidRDefault="00242FDB" w:rsidP="00892F5E">
            <w:pPr>
              <w:spacing w:line="240" w:lineRule="auto"/>
              <w:jc w:val="both"/>
              <w:rPr>
                <w:szCs w:val="24"/>
              </w:rPr>
            </w:pPr>
            <w:r w:rsidRPr="00792270">
              <w:rPr>
                <w:szCs w:val="24"/>
              </w:rPr>
              <w:t>—</w:t>
            </w:r>
          </w:p>
        </w:tc>
        <w:tc>
          <w:tcPr>
            <w:tcW w:w="810" w:type="pct"/>
            <w:hideMark/>
          </w:tcPr>
          <w:p w14:paraId="62D1BA6C" w14:textId="77777777" w:rsidR="00242FDB" w:rsidRPr="00792270" w:rsidRDefault="00242FDB" w:rsidP="00892F5E">
            <w:pPr>
              <w:spacing w:line="240" w:lineRule="auto"/>
              <w:jc w:val="both"/>
              <w:rPr>
                <w:szCs w:val="24"/>
              </w:rPr>
            </w:pPr>
            <w:r w:rsidRPr="00792270">
              <w:rPr>
                <w:szCs w:val="24"/>
              </w:rPr>
              <w:t>—</w:t>
            </w:r>
          </w:p>
        </w:tc>
      </w:tr>
      <w:tr w:rsidR="00242FDB" w:rsidRPr="00792270" w14:paraId="50F678E1" w14:textId="77777777" w:rsidTr="00250600">
        <w:tc>
          <w:tcPr>
            <w:tcW w:w="923" w:type="pct"/>
            <w:tcBorders>
              <w:bottom w:val="single" w:sz="4" w:space="0" w:color="auto"/>
            </w:tcBorders>
            <w:hideMark/>
          </w:tcPr>
          <w:p w14:paraId="7A8F6FCC" w14:textId="77777777" w:rsidR="00242FDB" w:rsidRPr="00792270" w:rsidRDefault="00242FDB" w:rsidP="00892F5E">
            <w:pPr>
              <w:spacing w:line="240" w:lineRule="auto"/>
              <w:jc w:val="both"/>
              <w:rPr>
                <w:szCs w:val="24"/>
              </w:rPr>
            </w:pPr>
            <w:r w:rsidRPr="00792270">
              <w:rPr>
                <w:szCs w:val="24"/>
              </w:rPr>
              <w:t>Nighttime</w:t>
            </w:r>
          </w:p>
        </w:tc>
        <w:tc>
          <w:tcPr>
            <w:tcW w:w="1210" w:type="pct"/>
            <w:tcBorders>
              <w:bottom w:val="single" w:sz="4" w:space="0" w:color="auto"/>
            </w:tcBorders>
            <w:hideMark/>
          </w:tcPr>
          <w:p w14:paraId="6BC0F079" w14:textId="77777777" w:rsidR="00242FDB" w:rsidRPr="00792270" w:rsidRDefault="00242FDB" w:rsidP="00892F5E">
            <w:pPr>
              <w:spacing w:line="240" w:lineRule="auto"/>
              <w:jc w:val="both"/>
              <w:rPr>
                <w:szCs w:val="24"/>
              </w:rPr>
            </w:pPr>
            <w:r w:rsidRPr="00792270">
              <w:rPr>
                <w:szCs w:val="24"/>
              </w:rPr>
              <w:t>68–82</w:t>
            </w:r>
          </w:p>
        </w:tc>
        <w:tc>
          <w:tcPr>
            <w:tcW w:w="888" w:type="pct"/>
            <w:tcBorders>
              <w:bottom w:val="single" w:sz="4" w:space="0" w:color="auto"/>
            </w:tcBorders>
            <w:hideMark/>
          </w:tcPr>
          <w:p w14:paraId="63D64C77" w14:textId="77777777" w:rsidR="00242FDB" w:rsidRPr="00792270" w:rsidRDefault="00242FDB" w:rsidP="00892F5E">
            <w:pPr>
              <w:spacing w:line="240" w:lineRule="auto"/>
              <w:jc w:val="both"/>
              <w:rPr>
                <w:szCs w:val="24"/>
              </w:rPr>
            </w:pPr>
            <w:r w:rsidRPr="00792270">
              <w:rPr>
                <w:szCs w:val="24"/>
              </w:rPr>
              <w:t>74.8</w:t>
            </w:r>
          </w:p>
        </w:tc>
        <w:tc>
          <w:tcPr>
            <w:tcW w:w="1169" w:type="pct"/>
            <w:tcBorders>
              <w:bottom w:val="single" w:sz="4" w:space="0" w:color="auto"/>
            </w:tcBorders>
            <w:hideMark/>
          </w:tcPr>
          <w:p w14:paraId="2F404A79" w14:textId="77777777" w:rsidR="00242FDB" w:rsidRPr="00792270" w:rsidRDefault="00242FDB" w:rsidP="00892F5E">
            <w:pPr>
              <w:spacing w:line="240" w:lineRule="auto"/>
              <w:jc w:val="both"/>
              <w:rPr>
                <w:szCs w:val="24"/>
              </w:rPr>
            </w:pPr>
            <w:r w:rsidRPr="00792270">
              <w:rPr>
                <w:szCs w:val="24"/>
              </w:rPr>
              <w:t>40</w:t>
            </w:r>
          </w:p>
        </w:tc>
        <w:tc>
          <w:tcPr>
            <w:tcW w:w="810" w:type="pct"/>
            <w:tcBorders>
              <w:bottom w:val="single" w:sz="4" w:space="0" w:color="auto"/>
            </w:tcBorders>
            <w:hideMark/>
          </w:tcPr>
          <w:p w14:paraId="5075C43F" w14:textId="77777777" w:rsidR="00242FDB" w:rsidRPr="00792270" w:rsidRDefault="00242FDB" w:rsidP="00892F5E">
            <w:pPr>
              <w:spacing w:line="240" w:lineRule="auto"/>
              <w:jc w:val="both"/>
              <w:rPr>
                <w:szCs w:val="24"/>
              </w:rPr>
            </w:pPr>
            <w:r w:rsidRPr="00792270">
              <w:rPr>
                <w:szCs w:val="24"/>
              </w:rPr>
              <w:t>Yes</w:t>
            </w:r>
          </w:p>
        </w:tc>
      </w:tr>
    </w:tbl>
    <w:p w14:paraId="10368F38" w14:textId="77777777" w:rsidR="00075F01" w:rsidRPr="00792270" w:rsidRDefault="00075F01" w:rsidP="00892F5E">
      <w:pPr>
        <w:spacing w:line="240" w:lineRule="auto"/>
        <w:jc w:val="both"/>
        <w:rPr>
          <w:szCs w:val="24"/>
        </w:rPr>
      </w:pPr>
    </w:p>
    <w:p w14:paraId="08419267" w14:textId="1AB0EB10" w:rsidR="00250600" w:rsidRPr="00792270" w:rsidRDefault="00250600" w:rsidP="00892F5E">
      <w:pPr>
        <w:spacing w:line="240" w:lineRule="auto"/>
        <w:jc w:val="both"/>
        <w:rPr>
          <w:szCs w:val="24"/>
        </w:rPr>
      </w:pPr>
      <w:r w:rsidRPr="00792270">
        <w:rPr>
          <w:szCs w:val="24"/>
        </w:rPr>
        <w:t>Most of the respondents reported high or very high perceived noise exposure. The dominant sources were traffic and then markets, generators, music and neighbours (Table 3). The most common times were the daytime and evening, with significant impacts on sleep and concentration</w:t>
      </w:r>
    </w:p>
    <w:p w14:paraId="21B27E5F" w14:textId="77777777" w:rsidR="00075F01" w:rsidRPr="00792270" w:rsidRDefault="00075F01" w:rsidP="00892F5E">
      <w:pPr>
        <w:spacing w:line="240" w:lineRule="auto"/>
        <w:jc w:val="both"/>
        <w:rPr>
          <w:b/>
          <w:bCs/>
          <w:szCs w:val="24"/>
        </w:rPr>
      </w:pPr>
    </w:p>
    <w:p w14:paraId="783F1B70" w14:textId="67C59358" w:rsidR="00242FDB" w:rsidRPr="00792270" w:rsidRDefault="00250600" w:rsidP="00892F5E">
      <w:pPr>
        <w:spacing w:line="240" w:lineRule="auto"/>
        <w:jc w:val="both"/>
        <w:rPr>
          <w:szCs w:val="24"/>
        </w:rPr>
      </w:pPr>
      <w:r w:rsidRPr="00792270">
        <w:rPr>
          <w:b/>
          <w:bCs/>
          <w:szCs w:val="24"/>
        </w:rPr>
        <w:t>T</w:t>
      </w:r>
      <w:r w:rsidR="00242FDB" w:rsidRPr="00792270">
        <w:rPr>
          <w:b/>
          <w:bCs/>
          <w:szCs w:val="24"/>
        </w:rPr>
        <w:t>able 3: Main Sources of Perceived Noise (N = 239, multiple responses permitted)</w:t>
      </w:r>
    </w:p>
    <w:tbl>
      <w:tblPr>
        <w:tblStyle w:val="TableGrid1"/>
        <w:tblW w:w="5000" w:type="pct"/>
        <w:tblLook w:val="04A0" w:firstRow="1" w:lastRow="0" w:firstColumn="1" w:lastColumn="0" w:noHBand="0" w:noVBand="1"/>
      </w:tblPr>
      <w:tblGrid>
        <w:gridCol w:w="3656"/>
        <w:gridCol w:w="3035"/>
        <w:gridCol w:w="2669"/>
      </w:tblGrid>
      <w:tr w:rsidR="00242FDB" w:rsidRPr="00792270" w14:paraId="45B8D025" w14:textId="77777777" w:rsidTr="00250600">
        <w:trPr>
          <w:cnfStyle w:val="100000000000" w:firstRow="1" w:lastRow="0" w:firstColumn="0" w:lastColumn="0" w:oddVBand="0" w:evenVBand="0" w:oddHBand="0" w:evenHBand="0" w:firstRowFirstColumn="0" w:firstRowLastColumn="0" w:lastRowFirstColumn="0" w:lastRowLastColumn="0"/>
        </w:trPr>
        <w:tc>
          <w:tcPr>
            <w:tcW w:w="1953" w:type="pct"/>
            <w:hideMark/>
          </w:tcPr>
          <w:p w14:paraId="280C956B" w14:textId="77777777" w:rsidR="00242FDB" w:rsidRPr="00792270" w:rsidRDefault="00242FDB" w:rsidP="00892F5E">
            <w:pPr>
              <w:spacing w:line="240" w:lineRule="auto"/>
              <w:jc w:val="both"/>
              <w:rPr>
                <w:bCs/>
                <w:szCs w:val="24"/>
              </w:rPr>
            </w:pPr>
            <w:r w:rsidRPr="00792270">
              <w:rPr>
                <w:bCs/>
                <w:szCs w:val="24"/>
              </w:rPr>
              <w:t>Source</w:t>
            </w:r>
          </w:p>
        </w:tc>
        <w:tc>
          <w:tcPr>
            <w:tcW w:w="1621" w:type="pct"/>
            <w:hideMark/>
          </w:tcPr>
          <w:p w14:paraId="05CCFBEC" w14:textId="77777777" w:rsidR="00242FDB" w:rsidRPr="00792270" w:rsidRDefault="00242FDB" w:rsidP="00892F5E">
            <w:pPr>
              <w:spacing w:line="240" w:lineRule="auto"/>
              <w:jc w:val="both"/>
              <w:rPr>
                <w:bCs/>
                <w:szCs w:val="24"/>
              </w:rPr>
            </w:pPr>
            <w:r w:rsidRPr="00792270">
              <w:rPr>
                <w:bCs/>
                <w:szCs w:val="24"/>
              </w:rPr>
              <w:t>Frequency (n)</w:t>
            </w:r>
          </w:p>
        </w:tc>
        <w:tc>
          <w:tcPr>
            <w:tcW w:w="1426" w:type="pct"/>
            <w:hideMark/>
          </w:tcPr>
          <w:p w14:paraId="23E93C3E" w14:textId="77777777" w:rsidR="00242FDB" w:rsidRPr="00792270" w:rsidRDefault="00242FDB" w:rsidP="00892F5E">
            <w:pPr>
              <w:spacing w:line="240" w:lineRule="auto"/>
              <w:jc w:val="both"/>
              <w:rPr>
                <w:bCs/>
                <w:szCs w:val="24"/>
              </w:rPr>
            </w:pPr>
            <w:r w:rsidRPr="00792270">
              <w:rPr>
                <w:bCs/>
                <w:szCs w:val="24"/>
              </w:rPr>
              <w:t>Percent (%)</w:t>
            </w:r>
          </w:p>
        </w:tc>
      </w:tr>
      <w:tr w:rsidR="00242FDB" w:rsidRPr="00792270" w14:paraId="44FC34F5" w14:textId="77777777" w:rsidTr="00250600">
        <w:tc>
          <w:tcPr>
            <w:tcW w:w="1953" w:type="pct"/>
            <w:hideMark/>
          </w:tcPr>
          <w:p w14:paraId="5E15E911" w14:textId="77777777" w:rsidR="00242FDB" w:rsidRPr="00792270" w:rsidRDefault="00242FDB" w:rsidP="00892F5E">
            <w:pPr>
              <w:spacing w:line="240" w:lineRule="auto"/>
              <w:jc w:val="both"/>
              <w:rPr>
                <w:szCs w:val="24"/>
              </w:rPr>
            </w:pPr>
            <w:r w:rsidRPr="00792270">
              <w:rPr>
                <w:szCs w:val="24"/>
              </w:rPr>
              <w:t>Traffic</w:t>
            </w:r>
          </w:p>
        </w:tc>
        <w:tc>
          <w:tcPr>
            <w:tcW w:w="1621" w:type="pct"/>
            <w:hideMark/>
          </w:tcPr>
          <w:p w14:paraId="099B11E9" w14:textId="77777777" w:rsidR="00242FDB" w:rsidRPr="00792270" w:rsidRDefault="00242FDB" w:rsidP="00892F5E">
            <w:pPr>
              <w:spacing w:line="240" w:lineRule="auto"/>
              <w:jc w:val="both"/>
              <w:rPr>
                <w:szCs w:val="24"/>
              </w:rPr>
            </w:pPr>
            <w:r w:rsidRPr="00792270">
              <w:rPr>
                <w:szCs w:val="24"/>
              </w:rPr>
              <w:t>212</w:t>
            </w:r>
          </w:p>
        </w:tc>
        <w:tc>
          <w:tcPr>
            <w:tcW w:w="1426" w:type="pct"/>
            <w:hideMark/>
          </w:tcPr>
          <w:p w14:paraId="1D0ADE3B" w14:textId="77777777" w:rsidR="00242FDB" w:rsidRPr="00792270" w:rsidRDefault="00242FDB" w:rsidP="00892F5E">
            <w:pPr>
              <w:spacing w:line="240" w:lineRule="auto"/>
              <w:jc w:val="both"/>
              <w:rPr>
                <w:szCs w:val="24"/>
              </w:rPr>
            </w:pPr>
            <w:r w:rsidRPr="00792270">
              <w:rPr>
                <w:szCs w:val="24"/>
              </w:rPr>
              <w:t>88.7</w:t>
            </w:r>
          </w:p>
        </w:tc>
      </w:tr>
      <w:tr w:rsidR="00242FDB" w:rsidRPr="00792270" w14:paraId="397369FF" w14:textId="77777777" w:rsidTr="00250600">
        <w:tc>
          <w:tcPr>
            <w:tcW w:w="1953" w:type="pct"/>
            <w:hideMark/>
          </w:tcPr>
          <w:p w14:paraId="1A886556" w14:textId="77777777" w:rsidR="00242FDB" w:rsidRPr="00792270" w:rsidRDefault="00242FDB" w:rsidP="00892F5E">
            <w:pPr>
              <w:spacing w:line="240" w:lineRule="auto"/>
              <w:jc w:val="both"/>
              <w:rPr>
                <w:szCs w:val="24"/>
              </w:rPr>
            </w:pPr>
            <w:r w:rsidRPr="00792270">
              <w:rPr>
                <w:szCs w:val="24"/>
              </w:rPr>
              <w:t>Markets</w:t>
            </w:r>
          </w:p>
        </w:tc>
        <w:tc>
          <w:tcPr>
            <w:tcW w:w="1621" w:type="pct"/>
            <w:hideMark/>
          </w:tcPr>
          <w:p w14:paraId="7DA44EE8" w14:textId="77777777" w:rsidR="00242FDB" w:rsidRPr="00792270" w:rsidRDefault="00242FDB" w:rsidP="00892F5E">
            <w:pPr>
              <w:spacing w:line="240" w:lineRule="auto"/>
              <w:jc w:val="both"/>
              <w:rPr>
                <w:szCs w:val="24"/>
              </w:rPr>
            </w:pPr>
            <w:r w:rsidRPr="00792270">
              <w:rPr>
                <w:szCs w:val="24"/>
              </w:rPr>
              <w:t>178</w:t>
            </w:r>
          </w:p>
        </w:tc>
        <w:tc>
          <w:tcPr>
            <w:tcW w:w="1426" w:type="pct"/>
            <w:hideMark/>
          </w:tcPr>
          <w:p w14:paraId="2374231A" w14:textId="77777777" w:rsidR="00242FDB" w:rsidRPr="00792270" w:rsidRDefault="00242FDB" w:rsidP="00892F5E">
            <w:pPr>
              <w:spacing w:line="240" w:lineRule="auto"/>
              <w:jc w:val="both"/>
              <w:rPr>
                <w:szCs w:val="24"/>
              </w:rPr>
            </w:pPr>
            <w:r w:rsidRPr="00792270">
              <w:rPr>
                <w:szCs w:val="24"/>
              </w:rPr>
              <w:t>74.5</w:t>
            </w:r>
          </w:p>
        </w:tc>
      </w:tr>
      <w:tr w:rsidR="00242FDB" w:rsidRPr="00792270" w14:paraId="02C546C9" w14:textId="77777777" w:rsidTr="00250600">
        <w:tc>
          <w:tcPr>
            <w:tcW w:w="1953" w:type="pct"/>
            <w:hideMark/>
          </w:tcPr>
          <w:p w14:paraId="1BB63567" w14:textId="77777777" w:rsidR="00242FDB" w:rsidRPr="00792270" w:rsidRDefault="00242FDB" w:rsidP="00892F5E">
            <w:pPr>
              <w:spacing w:line="240" w:lineRule="auto"/>
              <w:jc w:val="both"/>
              <w:rPr>
                <w:szCs w:val="24"/>
              </w:rPr>
            </w:pPr>
            <w:r w:rsidRPr="00792270">
              <w:rPr>
                <w:szCs w:val="24"/>
              </w:rPr>
              <w:t>Generators</w:t>
            </w:r>
          </w:p>
        </w:tc>
        <w:tc>
          <w:tcPr>
            <w:tcW w:w="1621" w:type="pct"/>
            <w:hideMark/>
          </w:tcPr>
          <w:p w14:paraId="382B7B1F" w14:textId="77777777" w:rsidR="00242FDB" w:rsidRPr="00792270" w:rsidRDefault="00242FDB" w:rsidP="00892F5E">
            <w:pPr>
              <w:spacing w:line="240" w:lineRule="auto"/>
              <w:jc w:val="both"/>
              <w:rPr>
                <w:szCs w:val="24"/>
              </w:rPr>
            </w:pPr>
            <w:r w:rsidRPr="00792270">
              <w:rPr>
                <w:szCs w:val="24"/>
              </w:rPr>
              <w:t>165</w:t>
            </w:r>
          </w:p>
        </w:tc>
        <w:tc>
          <w:tcPr>
            <w:tcW w:w="1426" w:type="pct"/>
            <w:hideMark/>
          </w:tcPr>
          <w:p w14:paraId="771F31C5" w14:textId="77777777" w:rsidR="00242FDB" w:rsidRPr="00792270" w:rsidRDefault="00242FDB" w:rsidP="00892F5E">
            <w:pPr>
              <w:spacing w:line="240" w:lineRule="auto"/>
              <w:jc w:val="both"/>
              <w:rPr>
                <w:szCs w:val="24"/>
              </w:rPr>
            </w:pPr>
            <w:r w:rsidRPr="00792270">
              <w:rPr>
                <w:szCs w:val="24"/>
              </w:rPr>
              <w:t>69.0</w:t>
            </w:r>
          </w:p>
        </w:tc>
      </w:tr>
      <w:tr w:rsidR="00242FDB" w:rsidRPr="00792270" w14:paraId="5D1251FD" w14:textId="77777777" w:rsidTr="00250600">
        <w:tc>
          <w:tcPr>
            <w:tcW w:w="1953" w:type="pct"/>
            <w:hideMark/>
          </w:tcPr>
          <w:p w14:paraId="65393601" w14:textId="77777777" w:rsidR="00242FDB" w:rsidRPr="00792270" w:rsidRDefault="00242FDB" w:rsidP="00892F5E">
            <w:pPr>
              <w:spacing w:line="240" w:lineRule="auto"/>
              <w:jc w:val="both"/>
              <w:rPr>
                <w:szCs w:val="24"/>
              </w:rPr>
            </w:pPr>
            <w:r w:rsidRPr="00792270">
              <w:rPr>
                <w:szCs w:val="24"/>
              </w:rPr>
              <w:t>Music/Neighbours</w:t>
            </w:r>
          </w:p>
        </w:tc>
        <w:tc>
          <w:tcPr>
            <w:tcW w:w="1621" w:type="pct"/>
            <w:hideMark/>
          </w:tcPr>
          <w:p w14:paraId="5ED9ABEA" w14:textId="77777777" w:rsidR="00242FDB" w:rsidRPr="00792270" w:rsidRDefault="00242FDB" w:rsidP="00892F5E">
            <w:pPr>
              <w:spacing w:line="240" w:lineRule="auto"/>
              <w:jc w:val="both"/>
              <w:rPr>
                <w:szCs w:val="24"/>
              </w:rPr>
            </w:pPr>
            <w:r w:rsidRPr="00792270">
              <w:rPr>
                <w:szCs w:val="24"/>
              </w:rPr>
              <w:t>142</w:t>
            </w:r>
          </w:p>
        </w:tc>
        <w:tc>
          <w:tcPr>
            <w:tcW w:w="1426" w:type="pct"/>
            <w:hideMark/>
          </w:tcPr>
          <w:p w14:paraId="5FA521E6" w14:textId="77777777" w:rsidR="00242FDB" w:rsidRPr="00792270" w:rsidRDefault="00242FDB" w:rsidP="00892F5E">
            <w:pPr>
              <w:spacing w:line="240" w:lineRule="auto"/>
              <w:jc w:val="both"/>
              <w:rPr>
                <w:szCs w:val="24"/>
              </w:rPr>
            </w:pPr>
            <w:r w:rsidRPr="00792270">
              <w:rPr>
                <w:szCs w:val="24"/>
              </w:rPr>
              <w:t>59.4</w:t>
            </w:r>
          </w:p>
        </w:tc>
      </w:tr>
      <w:tr w:rsidR="00242FDB" w:rsidRPr="00792270" w14:paraId="2F1953DE" w14:textId="77777777" w:rsidTr="00250600">
        <w:tc>
          <w:tcPr>
            <w:tcW w:w="1953" w:type="pct"/>
            <w:tcBorders>
              <w:bottom w:val="single" w:sz="4" w:space="0" w:color="auto"/>
            </w:tcBorders>
            <w:hideMark/>
          </w:tcPr>
          <w:p w14:paraId="22E04428" w14:textId="77777777" w:rsidR="00242FDB" w:rsidRPr="00792270" w:rsidRDefault="00242FDB" w:rsidP="00892F5E">
            <w:pPr>
              <w:spacing w:line="240" w:lineRule="auto"/>
              <w:jc w:val="both"/>
              <w:rPr>
                <w:szCs w:val="24"/>
              </w:rPr>
            </w:pPr>
            <w:r w:rsidRPr="00792270">
              <w:rPr>
                <w:szCs w:val="24"/>
              </w:rPr>
              <w:t>Construction</w:t>
            </w:r>
          </w:p>
        </w:tc>
        <w:tc>
          <w:tcPr>
            <w:tcW w:w="1621" w:type="pct"/>
            <w:tcBorders>
              <w:bottom w:val="single" w:sz="4" w:space="0" w:color="auto"/>
            </w:tcBorders>
            <w:hideMark/>
          </w:tcPr>
          <w:p w14:paraId="10A385EE" w14:textId="77777777" w:rsidR="00242FDB" w:rsidRPr="00792270" w:rsidRDefault="00242FDB" w:rsidP="00892F5E">
            <w:pPr>
              <w:spacing w:line="240" w:lineRule="auto"/>
              <w:jc w:val="both"/>
              <w:rPr>
                <w:szCs w:val="24"/>
              </w:rPr>
            </w:pPr>
            <w:r w:rsidRPr="00792270">
              <w:rPr>
                <w:szCs w:val="24"/>
              </w:rPr>
              <w:t>98</w:t>
            </w:r>
          </w:p>
        </w:tc>
        <w:tc>
          <w:tcPr>
            <w:tcW w:w="1426" w:type="pct"/>
            <w:tcBorders>
              <w:bottom w:val="single" w:sz="4" w:space="0" w:color="auto"/>
            </w:tcBorders>
            <w:hideMark/>
          </w:tcPr>
          <w:p w14:paraId="6C55B54E" w14:textId="77777777" w:rsidR="00242FDB" w:rsidRPr="00792270" w:rsidRDefault="00242FDB" w:rsidP="00892F5E">
            <w:pPr>
              <w:spacing w:line="240" w:lineRule="auto"/>
              <w:jc w:val="both"/>
              <w:rPr>
                <w:szCs w:val="24"/>
              </w:rPr>
            </w:pPr>
            <w:r w:rsidRPr="00792270">
              <w:rPr>
                <w:szCs w:val="24"/>
              </w:rPr>
              <w:t>41.0</w:t>
            </w:r>
          </w:p>
        </w:tc>
      </w:tr>
    </w:tbl>
    <w:p w14:paraId="3C35EB18" w14:textId="77777777" w:rsidR="00250600" w:rsidRPr="00792270" w:rsidRDefault="00250600" w:rsidP="00892F5E">
      <w:pPr>
        <w:spacing w:line="240" w:lineRule="auto"/>
        <w:jc w:val="both"/>
        <w:rPr>
          <w:szCs w:val="24"/>
        </w:rPr>
      </w:pPr>
    </w:p>
    <w:p w14:paraId="3DE316A7" w14:textId="79FCC554" w:rsidR="00422842" w:rsidRPr="00792270" w:rsidRDefault="00422842" w:rsidP="00892F5E">
      <w:pPr>
        <w:spacing w:line="240" w:lineRule="auto"/>
        <w:jc w:val="both"/>
        <w:rPr>
          <w:szCs w:val="24"/>
        </w:rPr>
      </w:pPr>
      <w:r w:rsidRPr="00792270">
        <w:rPr>
          <w:szCs w:val="24"/>
        </w:rPr>
        <w:t>Noise sensitivity, which was assessed using the WNSS (the possible range is 10-50), resulted in the mean total score of 33.84 (SD=6.18). Most (80.3%) were of moderate sensitivity, with 12.6% being of high sensitivity.</w:t>
      </w:r>
      <w:r w:rsidR="00792270" w:rsidRPr="00792270">
        <w:rPr>
          <w:szCs w:val="24"/>
        </w:rPr>
        <w:t xml:space="preserve"> </w:t>
      </w:r>
      <w:r w:rsidRPr="00792270">
        <w:rPr>
          <w:szCs w:val="24"/>
        </w:rPr>
        <w:t>There was a broad psychological burden, as shown by mental health outcomes. More than 55.2% of the respondents (55.2) had a result greater than the GHQ-12 mark, indicating psychological distress. The depression severity (PHQ-9) exhibited 42.7% moderate to severe, whereas anxiety (GAD-7) depicted 38.9% moderate and severe.</w:t>
      </w:r>
    </w:p>
    <w:p w14:paraId="4BE8CFBF" w14:textId="48C83385" w:rsidR="00422842" w:rsidRPr="00792270" w:rsidRDefault="00422842" w:rsidP="00892F5E">
      <w:pPr>
        <w:spacing w:line="240" w:lineRule="auto"/>
        <w:jc w:val="both"/>
        <w:rPr>
          <w:szCs w:val="24"/>
        </w:rPr>
      </w:pPr>
      <w:r w:rsidRPr="00792270">
        <w:rPr>
          <w:szCs w:val="24"/>
        </w:rPr>
        <w:t xml:space="preserve">The coping strategies were mostly at </w:t>
      </w:r>
      <w:r w:rsidR="004C5F74" w:rsidRPr="00792270">
        <w:rPr>
          <w:szCs w:val="24"/>
        </w:rPr>
        <w:t xml:space="preserve">the </w:t>
      </w:r>
      <w:r w:rsidRPr="00792270">
        <w:rPr>
          <w:szCs w:val="24"/>
        </w:rPr>
        <w:t xml:space="preserve">individual </w:t>
      </w:r>
      <w:r w:rsidR="004C5F74" w:rsidRPr="00792270">
        <w:rPr>
          <w:szCs w:val="24"/>
        </w:rPr>
        <w:t>level</w:t>
      </w:r>
      <w:r w:rsidRPr="00792270">
        <w:rPr>
          <w:szCs w:val="24"/>
        </w:rPr>
        <w:t xml:space="preserve">. Among the most popular ones, there were earplugs/headphones (68.2%), closing windows/doors (61.5%), and playing music/white noise (54.8%). The perceived effectiveness was usually graded as somewhat effective </w:t>
      </w:r>
      <w:r w:rsidR="00075F01" w:rsidRPr="00792270">
        <w:rPr>
          <w:szCs w:val="24"/>
        </w:rPr>
        <w:t>or</w:t>
      </w:r>
      <w:r w:rsidRPr="00792270">
        <w:rPr>
          <w:szCs w:val="24"/>
        </w:rPr>
        <w:t xml:space="preserve"> not effective.</w:t>
      </w:r>
    </w:p>
    <w:p w14:paraId="3571D09D" w14:textId="77777777" w:rsidR="00075F01" w:rsidRPr="00792270" w:rsidRDefault="00075F01" w:rsidP="00892F5E">
      <w:pPr>
        <w:spacing w:line="240" w:lineRule="auto"/>
        <w:jc w:val="both"/>
        <w:rPr>
          <w:szCs w:val="24"/>
        </w:rPr>
      </w:pPr>
    </w:p>
    <w:p w14:paraId="3D76AC60" w14:textId="57A6CF76" w:rsidR="00422842" w:rsidRPr="00792270" w:rsidRDefault="00422842" w:rsidP="00892F5E">
      <w:pPr>
        <w:spacing w:line="240" w:lineRule="auto"/>
        <w:jc w:val="both"/>
        <w:rPr>
          <w:szCs w:val="24"/>
        </w:rPr>
      </w:pPr>
      <w:r w:rsidRPr="00792270">
        <w:rPr>
          <w:szCs w:val="24"/>
        </w:rPr>
        <w:t xml:space="preserve">The results of inferential tests showed the statistically significant positive associations between noise sensitivity and mental health outcomes: depression (r=0.157, p&lt;0.05), anxiety (r=0.236, p=0.01), and psychological distress (r=0.263, p=0.01). These outcomes were also positively correlated with perceived noise exposure. Sensitivity to noise was validated by multiple linear regression models as a strong independent predictor of depression (b = 0.178, p = 0.006), anxiety (b = 0.254, p &lt; 0.001), and psychological distress (b = 0.288, p &lt; 0.001) when controlling </w:t>
      </w:r>
      <w:r w:rsidR="00075F01" w:rsidRPr="00792270">
        <w:rPr>
          <w:szCs w:val="24"/>
        </w:rPr>
        <w:t xml:space="preserve">for </w:t>
      </w:r>
      <w:r w:rsidRPr="00792270">
        <w:rPr>
          <w:szCs w:val="24"/>
        </w:rPr>
        <w:t xml:space="preserve">other factors such as age, gender, and income. The null hypothesis of the non-significant correlation between environmental noise pollution and mental health was rejected. </w:t>
      </w:r>
    </w:p>
    <w:p w14:paraId="76A7A2E1" w14:textId="77777777" w:rsidR="00075F01" w:rsidRPr="00792270" w:rsidRDefault="00075F01" w:rsidP="00892F5E">
      <w:pPr>
        <w:spacing w:line="240" w:lineRule="auto"/>
        <w:jc w:val="both"/>
        <w:rPr>
          <w:szCs w:val="24"/>
        </w:rPr>
      </w:pPr>
    </w:p>
    <w:p w14:paraId="0CBFBE7D" w14:textId="77777777" w:rsidR="00422842" w:rsidRPr="00792270" w:rsidRDefault="00422842" w:rsidP="00892F5E">
      <w:pPr>
        <w:spacing w:line="240" w:lineRule="auto"/>
        <w:jc w:val="both"/>
        <w:rPr>
          <w:szCs w:val="24"/>
        </w:rPr>
      </w:pPr>
      <w:r w:rsidRPr="00792270">
        <w:rPr>
          <w:szCs w:val="24"/>
        </w:rPr>
        <w:t>The most important findings are summarised as follows:</w:t>
      </w:r>
    </w:p>
    <w:p w14:paraId="32FB6C32" w14:textId="3E388310" w:rsidR="00422842" w:rsidRPr="00792270" w:rsidRDefault="00422842" w:rsidP="00234FF6">
      <w:pPr>
        <w:pStyle w:val="ListParagraph"/>
      </w:pPr>
      <w:r w:rsidRPr="00792270">
        <w:t xml:space="preserve">The environmental noise level in Yaba was always above the WHO standards in all periods. </w:t>
      </w:r>
    </w:p>
    <w:p w14:paraId="522EC29A" w14:textId="77777777" w:rsidR="00422842" w:rsidRPr="00792270" w:rsidRDefault="00422842" w:rsidP="00234FF6">
      <w:pPr>
        <w:pStyle w:val="ListParagraph"/>
      </w:pPr>
      <w:r w:rsidRPr="00792270">
        <w:t xml:space="preserve">Traffic, markets and generators were the main perceived sources of noise. </w:t>
      </w:r>
    </w:p>
    <w:p w14:paraId="602E2757" w14:textId="77777777" w:rsidR="00422842" w:rsidRPr="00792270" w:rsidRDefault="00422842" w:rsidP="00234FF6">
      <w:pPr>
        <w:pStyle w:val="ListParagraph"/>
      </w:pPr>
      <w:r w:rsidRPr="00792270">
        <w:t xml:space="preserve">The moderate level of noise sensitivity was the most common, with greater sensitivity strongly linked to poorer mental health outcomes. </w:t>
      </w:r>
    </w:p>
    <w:p w14:paraId="44EC8496" w14:textId="238FD6BF" w:rsidR="00422842" w:rsidRPr="00792270" w:rsidRDefault="00422842" w:rsidP="00234FF6">
      <w:pPr>
        <w:pStyle w:val="ListParagraph"/>
      </w:pPr>
      <w:r w:rsidRPr="00792270">
        <w:t>Sixty-eight per cent (68.2) of the respondents portrayed a significant level of psychological distress (55.2), moderate to severe depression (42.7), and moderate to severe anxiety (38.9).</w:t>
      </w:r>
    </w:p>
    <w:p w14:paraId="40A75A17" w14:textId="7AC6E3CC" w:rsidR="00422842" w:rsidRPr="00792270" w:rsidRDefault="00422842" w:rsidP="00234FF6">
      <w:pPr>
        <w:pStyle w:val="ListParagraph"/>
      </w:pPr>
      <w:r w:rsidRPr="00792270">
        <w:t>The most prevalent types of coping strategies were individual</w:t>
      </w:r>
      <w:r w:rsidR="00075F01" w:rsidRPr="00792270">
        <w:t>,</w:t>
      </w:r>
      <w:r w:rsidRPr="00792270">
        <w:t xml:space="preserve"> but were rated as only partially effective.</w:t>
      </w:r>
    </w:p>
    <w:p w14:paraId="2200842E" w14:textId="6F23CD40" w:rsidR="00242FDB" w:rsidRPr="00792270" w:rsidRDefault="00422842" w:rsidP="00234FF6">
      <w:pPr>
        <w:pStyle w:val="ListParagraph"/>
      </w:pPr>
      <w:r w:rsidRPr="00792270">
        <w:t>Noise sensitivity was a strong predictor of negative mental health, which implied the rejection of the null hypothesis.</w:t>
      </w:r>
    </w:p>
    <w:p w14:paraId="039E10A7" w14:textId="77777777" w:rsidR="004C5F74" w:rsidRPr="00792270" w:rsidRDefault="004C5F74" w:rsidP="00892F5E">
      <w:pPr>
        <w:spacing w:line="240" w:lineRule="auto"/>
        <w:jc w:val="both"/>
        <w:rPr>
          <w:b/>
          <w:bCs/>
          <w:szCs w:val="24"/>
        </w:rPr>
      </w:pPr>
    </w:p>
    <w:p w14:paraId="419101BD" w14:textId="3117D804" w:rsidR="002F04CA" w:rsidRPr="00792270" w:rsidRDefault="00075F01" w:rsidP="00892F5E">
      <w:pPr>
        <w:spacing w:line="240" w:lineRule="auto"/>
        <w:jc w:val="both"/>
        <w:rPr>
          <w:b/>
          <w:bCs/>
          <w:szCs w:val="24"/>
        </w:rPr>
      </w:pPr>
      <w:r w:rsidRPr="00792270">
        <w:rPr>
          <w:b/>
          <w:bCs/>
          <w:szCs w:val="24"/>
        </w:rPr>
        <w:t xml:space="preserve">5.1 </w:t>
      </w:r>
      <w:r w:rsidR="002F04CA" w:rsidRPr="00792270">
        <w:rPr>
          <w:b/>
          <w:bCs/>
          <w:szCs w:val="24"/>
        </w:rPr>
        <w:t>Discussion</w:t>
      </w:r>
    </w:p>
    <w:p w14:paraId="66A56AF0" w14:textId="0BCEADC9" w:rsidR="00E833B4" w:rsidRPr="00792270" w:rsidRDefault="00E833B4" w:rsidP="00892F5E">
      <w:pPr>
        <w:spacing w:line="240" w:lineRule="auto"/>
        <w:jc w:val="both"/>
        <w:rPr>
          <w:szCs w:val="24"/>
        </w:rPr>
      </w:pPr>
      <w:r w:rsidRPr="00792270">
        <w:rPr>
          <w:szCs w:val="24"/>
        </w:rPr>
        <w:t xml:space="preserve">The results of this study directly address the four main objectives that were outlined at the beginning of the study. Measurements of empirical noise levels indicated that there were high levels of environmental sounds that were evident in the chosen locations within Yaba. Parallel </w:t>
      </w:r>
      <w:r w:rsidR="004C5F74" w:rsidRPr="00792270">
        <w:rPr>
          <w:szCs w:val="24"/>
        </w:rPr>
        <w:t>psychometric</w:t>
      </w:r>
      <w:r w:rsidRPr="00792270">
        <w:rPr>
          <w:szCs w:val="24"/>
        </w:rPr>
        <w:t xml:space="preserve"> testing using tested measures revealed a high level of psychological distress, depression and anxiety in residents. The inferential statistics showed significant relationships between noise exposure indices and harm to mental health, including the use of noise sensitivity as a significant moderator. Individual coping measures, however, as reported, only provided a few alleviations in the context of chronic urban exposure. </w:t>
      </w:r>
    </w:p>
    <w:p w14:paraId="1CF92E1D" w14:textId="77777777" w:rsidR="00792270" w:rsidRPr="00792270" w:rsidRDefault="00792270" w:rsidP="00892F5E">
      <w:pPr>
        <w:spacing w:line="240" w:lineRule="auto"/>
        <w:jc w:val="both"/>
        <w:rPr>
          <w:szCs w:val="24"/>
        </w:rPr>
      </w:pPr>
    </w:p>
    <w:p w14:paraId="730456D8" w14:textId="047D410F" w:rsidR="00E833B4" w:rsidRPr="00792270" w:rsidRDefault="00E833B4" w:rsidP="00892F5E">
      <w:pPr>
        <w:spacing w:line="240" w:lineRule="auto"/>
        <w:jc w:val="both"/>
        <w:rPr>
          <w:szCs w:val="24"/>
        </w:rPr>
      </w:pPr>
      <w:r w:rsidRPr="00792270">
        <w:rPr>
          <w:szCs w:val="24"/>
        </w:rPr>
        <w:t xml:space="preserve">The levels of noise in the environment in Yaba </w:t>
      </w:r>
      <w:r w:rsidR="00792270" w:rsidRPr="00792270">
        <w:rPr>
          <w:szCs w:val="24"/>
        </w:rPr>
        <w:t xml:space="preserve">were </w:t>
      </w:r>
      <w:r w:rsidRPr="00792270">
        <w:rPr>
          <w:szCs w:val="24"/>
        </w:rPr>
        <w:t>above the World Health Organisation (WHO) standards at all times</w:t>
      </w:r>
      <w:r w:rsidR="004C5F74" w:rsidRPr="00792270">
        <w:rPr>
          <w:szCs w:val="24"/>
        </w:rPr>
        <w:t>,</w:t>
      </w:r>
      <w:r w:rsidRPr="00792270">
        <w:rPr>
          <w:szCs w:val="24"/>
        </w:rPr>
        <w:t xml:space="preserve"> despite the period of monitoring. These results are in line with previous studies in Lagos. In Yaba and Ladipo markets, Adekoya et al. (2024) measured noise levels that exceeded 70 dB(A) in peak hours, which </w:t>
      </w:r>
      <w:r w:rsidR="004C5F74" w:rsidRPr="00792270">
        <w:rPr>
          <w:szCs w:val="24"/>
        </w:rPr>
        <w:t>attributed</w:t>
      </w:r>
      <w:r w:rsidRPr="00792270">
        <w:rPr>
          <w:szCs w:val="24"/>
        </w:rPr>
        <w:t xml:space="preserve"> the surplus to vehicular movement, business, and generators. Akinnubi et al. (2020) reported a comparable high noise level throughout the Lagos metropolis, which was attributed to the widespread sleep deprivation and lack of concentration. On the other hand, less densely urbanised Nigerian locations like the residential communities of Minna</w:t>
      </w:r>
      <w:r w:rsidR="004C5F74" w:rsidRPr="00792270">
        <w:rPr>
          <w:szCs w:val="24"/>
        </w:rPr>
        <w:t>,</w:t>
      </w:r>
      <w:r w:rsidRPr="00792270">
        <w:rPr>
          <w:szCs w:val="24"/>
        </w:rPr>
        <w:t xml:space="preserve"> considered in the study by Aliyu (2021) had lower daytime equivalents approaching national rates. On the global level, Basner et al. (2014) have demonstrated that severe exposure of above 55-65 dB LAeq in urban areas is related to non-auditory health effects which can be measured, and this trend is apparent in the present Yaba data. The elevated chronic contaminations recorded herein can be attributed to the convergence of heavy traffic, informal markets and the </w:t>
      </w:r>
      <w:r w:rsidRPr="00792270">
        <w:rPr>
          <w:szCs w:val="24"/>
        </w:rPr>
        <w:lastRenderedPageBreak/>
        <w:t>prevalence of generators, which are considered common in the typically expanding Nigerian suburbs.</w:t>
      </w:r>
    </w:p>
    <w:p w14:paraId="082D4CD9" w14:textId="77777777" w:rsidR="00075F01" w:rsidRPr="00792270" w:rsidRDefault="00075F01" w:rsidP="00892F5E">
      <w:pPr>
        <w:spacing w:line="240" w:lineRule="auto"/>
        <w:jc w:val="both"/>
        <w:rPr>
          <w:szCs w:val="24"/>
        </w:rPr>
      </w:pPr>
    </w:p>
    <w:p w14:paraId="08849E9F" w14:textId="4BA4F002" w:rsidR="00E833B4" w:rsidRPr="00792270" w:rsidRDefault="00E833B4" w:rsidP="00892F5E">
      <w:pPr>
        <w:spacing w:line="240" w:lineRule="auto"/>
        <w:jc w:val="both"/>
        <w:rPr>
          <w:szCs w:val="24"/>
        </w:rPr>
      </w:pPr>
      <w:r w:rsidRPr="00792270">
        <w:rPr>
          <w:szCs w:val="24"/>
        </w:rPr>
        <w:t>Traffic, commercial generators, and market activity were listed as the main sources of community irritation in Lagos by Byaello (2023), and the continuous presence of petrol generators in residential and mixed-use areas was the main factor of concern in Nwabueze et al. (2024). The similarity of the objective and subjective exposure measures indicates that residents have the right awareness of their acoustic environment, which is in line with other global urban research where the results of subjective scales of annoyance are consistent with the objective measures (Clark and Paunović, 2018).</w:t>
      </w:r>
    </w:p>
    <w:p w14:paraId="41FE46CF" w14:textId="77777777" w:rsidR="00075F01" w:rsidRPr="00792270" w:rsidRDefault="00075F01" w:rsidP="00892F5E">
      <w:pPr>
        <w:spacing w:line="240" w:lineRule="auto"/>
        <w:jc w:val="both"/>
        <w:rPr>
          <w:szCs w:val="24"/>
        </w:rPr>
      </w:pPr>
    </w:p>
    <w:p w14:paraId="62C600DE" w14:textId="1E9C4F10" w:rsidR="00E833B4" w:rsidRPr="00792270" w:rsidRDefault="00E833B4" w:rsidP="00892F5E">
      <w:pPr>
        <w:spacing w:line="240" w:lineRule="auto"/>
        <w:jc w:val="both"/>
        <w:rPr>
          <w:szCs w:val="24"/>
        </w:rPr>
      </w:pPr>
      <w:r w:rsidRPr="00792270">
        <w:rPr>
          <w:szCs w:val="24"/>
        </w:rPr>
        <w:t xml:space="preserve">Noise sensitivity that was measured with the help of the Weinstein Noise Sensitivity Scale turned out to be a decisive moderator of mental health outcomes. Most of the respondents had intermediate sensitivity, with only a smaller but significant proportion of respondents being highly sensitive. There was a positive correlation between the elevated scores on sensitivity </w:t>
      </w:r>
      <w:r w:rsidR="00792270">
        <w:rPr>
          <w:szCs w:val="24"/>
        </w:rPr>
        <w:t>and</w:t>
      </w:r>
      <w:r w:rsidRPr="00792270">
        <w:rPr>
          <w:szCs w:val="24"/>
        </w:rPr>
        <w:t xml:space="preserve"> higher levels of depression, anxiety, and psychological distress. This moderating force is highly recorded in the literature. Basner et al. (2014) defined noise sensitivity as a consistent trait which increases physiological and psychological reactions to the same amount of noise, but Clark and Paunović (2018) found stronger links between noise exposure and mental health-related complaints in highly sensitive people. The high-level, complex noise ecosystem of Yaba in the Nigerian context might heighten the awareness of this characteristic compared to less urbanised environments, where Aliyu (2021) found that the overall sensitivity was lower. </w:t>
      </w:r>
    </w:p>
    <w:p w14:paraId="438A91DD" w14:textId="77777777" w:rsidR="00075F01" w:rsidRPr="00792270" w:rsidRDefault="00075F01" w:rsidP="00892F5E">
      <w:pPr>
        <w:spacing w:line="240" w:lineRule="auto"/>
        <w:jc w:val="both"/>
        <w:rPr>
          <w:szCs w:val="24"/>
        </w:rPr>
      </w:pPr>
    </w:p>
    <w:p w14:paraId="611C2CF2" w14:textId="0F314F38" w:rsidR="00E833B4" w:rsidRPr="00792270" w:rsidRDefault="00E833B4" w:rsidP="00892F5E">
      <w:pPr>
        <w:spacing w:line="240" w:lineRule="auto"/>
        <w:jc w:val="both"/>
        <w:rPr>
          <w:szCs w:val="24"/>
        </w:rPr>
      </w:pPr>
      <w:r w:rsidRPr="00792270">
        <w:rPr>
          <w:szCs w:val="24"/>
        </w:rPr>
        <w:t>The statistically significant and substantively meaningful relationships between noise exposure and mental health outcomes were seen. Noise sensitivity and perceived exposure were positively correlated with higher scores on the General Health Questionnaire (GHQ-12), Patient Health Questionnaire (PHQ-9) and Generalised Anxiety Disorder scale (GAD-7). Several regression analyses proved that noise sensitivity is an independent predictor of depression, anxiety, and psychological distress following an adjustment of the variables of age, gender, and income. These results are in line with known mechanistic pathways. Perpetual exposure to noise leads to hypothalamic-pituitary-adrenal axis stimulation, which leads to persistent cortisol levels and pathophysiology of stress (Chu et al., 2025). Lazarus and Folkman (1984) also theorised stress by thinking that it was a result of a mismatch between environmental demands and perceived resources to cope with them, with persistent urban noise being one of the chronic stressors. These effects are further aggravated by the psychosocial mechanisms</w:t>
      </w:r>
      <w:r w:rsidR="00792270" w:rsidRPr="00792270">
        <w:rPr>
          <w:szCs w:val="24"/>
        </w:rPr>
        <w:t>,</w:t>
      </w:r>
      <w:r w:rsidRPr="00792270">
        <w:rPr>
          <w:szCs w:val="24"/>
        </w:rPr>
        <w:t xml:space="preserve"> such as the disruption of sleep, loss of concentration, and frustration. The current results are consistent with the local findings reported by Ohaeri and Obafemi (2024) about the presence of mental stress among the 16.6% of respondents in southern Nigeria </w:t>
      </w:r>
      <w:r w:rsidR="00792270">
        <w:rPr>
          <w:szCs w:val="24"/>
        </w:rPr>
        <w:t>who</w:t>
      </w:r>
      <w:r w:rsidRPr="00792270">
        <w:rPr>
          <w:szCs w:val="24"/>
        </w:rPr>
        <w:t xml:space="preserve"> were exposed to noise and align with international reviews pointing to noise as an independent risk factor for anxiety and depressive symptoms (Basner et al., 2014; Clark and Paunović, 2018).</w:t>
      </w:r>
    </w:p>
    <w:p w14:paraId="4F9EC31E" w14:textId="77777777" w:rsidR="00075F01" w:rsidRPr="00792270" w:rsidRDefault="00075F01" w:rsidP="00892F5E">
      <w:pPr>
        <w:spacing w:line="240" w:lineRule="auto"/>
        <w:jc w:val="both"/>
        <w:rPr>
          <w:szCs w:val="24"/>
        </w:rPr>
      </w:pPr>
    </w:p>
    <w:p w14:paraId="10F53A20" w14:textId="77777777" w:rsidR="00E833B4" w:rsidRPr="00792270" w:rsidRDefault="00E833B4" w:rsidP="00892F5E">
      <w:pPr>
        <w:spacing w:line="240" w:lineRule="auto"/>
        <w:jc w:val="both"/>
        <w:rPr>
          <w:szCs w:val="24"/>
        </w:rPr>
      </w:pPr>
      <w:r w:rsidRPr="00792270">
        <w:rPr>
          <w:szCs w:val="24"/>
        </w:rPr>
        <w:t xml:space="preserve">Personal coping mechanisms embraced by the residents were mainly reactive and, to a large extent, ineffective. Examples of common measures were earplugs or headphones, closing of windows and doors, moving to less noisy locations, and playing ambient music or noise generators. Most of the respondents cited relatively low or insignificant effectiveness of such interventions. The low benefit indicates the structural form of the exposure in low-density Nigerian environments, like </w:t>
      </w:r>
      <w:r w:rsidRPr="00792270">
        <w:rPr>
          <w:szCs w:val="24"/>
        </w:rPr>
        <w:lastRenderedPageBreak/>
        <w:t xml:space="preserve">those studied by Aliyu (2021); the personal adaptations were more effective due to the low baseline noise levels. Ongoing and overlapping traffic, market, and generator contributions in Yaba at the individual level dwarf the responses and acquire primacy in systemic interventions (Basner et al., 2014). </w:t>
      </w:r>
    </w:p>
    <w:p w14:paraId="3BC50495" w14:textId="77777777" w:rsidR="00075F01" w:rsidRPr="00792270" w:rsidRDefault="00075F01" w:rsidP="00892F5E">
      <w:pPr>
        <w:spacing w:line="240" w:lineRule="auto"/>
        <w:jc w:val="both"/>
        <w:rPr>
          <w:szCs w:val="24"/>
        </w:rPr>
      </w:pPr>
    </w:p>
    <w:p w14:paraId="6E8BA268" w14:textId="02D08295" w:rsidR="00254E36" w:rsidRPr="00792270" w:rsidRDefault="00E833B4" w:rsidP="00892F5E">
      <w:pPr>
        <w:spacing w:line="240" w:lineRule="auto"/>
        <w:jc w:val="both"/>
        <w:rPr>
          <w:szCs w:val="24"/>
        </w:rPr>
      </w:pPr>
      <w:r w:rsidRPr="00792270">
        <w:rPr>
          <w:szCs w:val="24"/>
        </w:rPr>
        <w:t xml:space="preserve">The null hypothesis was the lack of </w:t>
      </w:r>
      <w:r w:rsidR="00075F01" w:rsidRPr="00792270">
        <w:rPr>
          <w:szCs w:val="24"/>
        </w:rPr>
        <w:t xml:space="preserve">a </w:t>
      </w:r>
      <w:r w:rsidRPr="00792270">
        <w:rPr>
          <w:szCs w:val="24"/>
        </w:rPr>
        <w:t xml:space="preserve">significant association </w:t>
      </w:r>
      <w:r w:rsidR="00075F01" w:rsidRPr="00792270">
        <w:rPr>
          <w:szCs w:val="24"/>
        </w:rPr>
        <w:t>between</w:t>
      </w:r>
      <w:r w:rsidRPr="00792270">
        <w:rPr>
          <w:szCs w:val="24"/>
        </w:rPr>
        <w:t xml:space="preserve"> environmental noise pollution and mental health. Correlational and regression analyses did not dismiss this hypothesis, and both showed statistically significant positive correlations. Also in agreement with previous Nigerian urban results (Adekoya et al., 2024; Byaello, 2023) and the existing global evidence showing that chronic noise is one of the most salient environmental factors of psychological health (Basner et al., 2014; Clark and Paunovic, 2018), it was noted that noise sensitivity was always a predictor of worse mental health results regardless of demographic confounding variables.</w:t>
      </w:r>
    </w:p>
    <w:p w14:paraId="1B27FD1A" w14:textId="77777777" w:rsidR="00075F01" w:rsidRPr="00792270" w:rsidRDefault="00075F01" w:rsidP="00892F5E">
      <w:pPr>
        <w:spacing w:line="240" w:lineRule="auto"/>
        <w:jc w:val="both"/>
        <w:rPr>
          <w:szCs w:val="24"/>
        </w:rPr>
      </w:pPr>
    </w:p>
    <w:p w14:paraId="58B90536" w14:textId="439F3443" w:rsidR="00E833B4" w:rsidRPr="00792270" w:rsidRDefault="00E833B4" w:rsidP="00892F5E">
      <w:pPr>
        <w:spacing w:line="240" w:lineRule="auto"/>
        <w:jc w:val="both"/>
        <w:rPr>
          <w:szCs w:val="24"/>
        </w:rPr>
      </w:pPr>
      <w:r w:rsidRPr="00792270">
        <w:rPr>
          <w:szCs w:val="24"/>
        </w:rPr>
        <w:t xml:space="preserve">The </w:t>
      </w:r>
      <w:r w:rsidR="00075F01" w:rsidRPr="00792270">
        <w:rPr>
          <w:szCs w:val="24"/>
        </w:rPr>
        <w:t>implications</w:t>
      </w:r>
      <w:r w:rsidRPr="00792270">
        <w:rPr>
          <w:szCs w:val="24"/>
        </w:rPr>
        <w:t xml:space="preserve"> on public health resulting from these findings extend beyond the immediate setting of the study. The combination of unheard noise and its consequent effect on mental health burden </w:t>
      </w:r>
      <w:r w:rsidR="00075F01" w:rsidRPr="00792270">
        <w:rPr>
          <w:szCs w:val="24"/>
        </w:rPr>
        <w:t>highlights</w:t>
      </w:r>
      <w:r w:rsidRPr="00792270">
        <w:rPr>
          <w:szCs w:val="24"/>
        </w:rPr>
        <w:t xml:space="preserve"> environmental noise as an elevated and changeable risk factor for health in highly populated Nigerian suburban areas. Regular mental health screening in primary care facilities located in high-noise areas would help in </w:t>
      </w:r>
      <w:r w:rsidR="00075F01" w:rsidRPr="00792270">
        <w:rPr>
          <w:szCs w:val="24"/>
        </w:rPr>
        <w:t xml:space="preserve">the </w:t>
      </w:r>
      <w:r w:rsidRPr="00792270">
        <w:rPr>
          <w:szCs w:val="24"/>
        </w:rPr>
        <w:t>timely diagnosis and referral of affected people. Urban planning and environmental agencies must consider noise impacts in their land-use decisions, ensure tighter compliance with the noise regulations on the books, and</w:t>
      </w:r>
      <w:r w:rsidR="00075F01" w:rsidRPr="00792270">
        <w:rPr>
          <w:szCs w:val="24"/>
        </w:rPr>
        <w:t>, e.g.,</w:t>
      </w:r>
      <w:r w:rsidRPr="00792270">
        <w:rPr>
          <w:szCs w:val="24"/>
        </w:rPr>
        <w:t xml:space="preserve"> develop buffer zones between residential and high-noise commercial activities. Community education campaigns that noise reduction is preventive of mental health problems would attract more community engagement and support. Noise-sensitive individuals' targeted interventions</w:t>
      </w:r>
      <w:r w:rsidR="00075F01" w:rsidRPr="00792270">
        <w:rPr>
          <w:szCs w:val="24"/>
        </w:rPr>
        <w:t>,</w:t>
      </w:r>
      <w:r w:rsidRPr="00792270">
        <w:rPr>
          <w:szCs w:val="24"/>
        </w:rPr>
        <w:t xml:space="preserve"> along with the introduction of suitable infrastructural arrangements such as traffic calming, restriction of generators, and better market planning</w:t>
      </w:r>
      <w:r w:rsidR="00075F01" w:rsidRPr="00792270">
        <w:rPr>
          <w:szCs w:val="24"/>
        </w:rPr>
        <w:t>, pave</w:t>
      </w:r>
      <w:r w:rsidRPr="00792270">
        <w:rPr>
          <w:szCs w:val="24"/>
        </w:rPr>
        <w:t xml:space="preserve"> the way to reducing psychological disorders that can be prevented in rapidly urbanising environments.</w:t>
      </w:r>
    </w:p>
    <w:p w14:paraId="296CD0FF" w14:textId="77777777" w:rsidR="00E67E04" w:rsidRPr="00792270" w:rsidRDefault="00E67E04" w:rsidP="00892F5E">
      <w:pPr>
        <w:spacing w:line="240" w:lineRule="auto"/>
        <w:jc w:val="both"/>
        <w:rPr>
          <w:b/>
          <w:bCs/>
          <w:szCs w:val="24"/>
        </w:rPr>
      </w:pPr>
    </w:p>
    <w:p w14:paraId="01E25CE1" w14:textId="0FB4E1AE" w:rsidR="00E67E04" w:rsidRPr="00792270" w:rsidRDefault="00075F01" w:rsidP="00892F5E">
      <w:pPr>
        <w:spacing w:line="240" w:lineRule="auto"/>
        <w:jc w:val="both"/>
        <w:rPr>
          <w:b/>
          <w:bCs/>
          <w:szCs w:val="24"/>
        </w:rPr>
      </w:pPr>
      <w:r w:rsidRPr="00792270">
        <w:rPr>
          <w:b/>
          <w:bCs/>
          <w:szCs w:val="24"/>
        </w:rPr>
        <w:t xml:space="preserve">6.0 </w:t>
      </w:r>
      <w:r w:rsidR="00933253" w:rsidRPr="00792270">
        <w:rPr>
          <w:b/>
          <w:bCs/>
          <w:szCs w:val="24"/>
        </w:rPr>
        <w:t xml:space="preserve">Conclusion </w:t>
      </w:r>
    </w:p>
    <w:p w14:paraId="30393591" w14:textId="5162B8EB" w:rsidR="00933253" w:rsidRPr="00792270" w:rsidRDefault="00E67E04" w:rsidP="00892F5E">
      <w:pPr>
        <w:spacing w:line="240" w:lineRule="auto"/>
        <w:jc w:val="both"/>
        <w:rPr>
          <w:szCs w:val="24"/>
        </w:rPr>
      </w:pPr>
      <w:r w:rsidRPr="00792270">
        <w:rPr>
          <w:szCs w:val="24"/>
        </w:rPr>
        <w:t>This study</w:t>
      </w:r>
      <w:r w:rsidR="00933253" w:rsidRPr="00792270">
        <w:rPr>
          <w:szCs w:val="24"/>
        </w:rPr>
        <w:t xml:space="preserve"> used both international and national evidence to show that chronic noise exposure presents a major public health issue of concern in urban Nigeria. The study adopted the cross-sectional study design, which utilised objective measurements of noise and psychometric assessments </w:t>
      </w:r>
      <w:r w:rsidR="00053A0C" w:rsidRPr="00792270">
        <w:rPr>
          <w:szCs w:val="24"/>
        </w:rPr>
        <w:t>of</w:t>
      </w:r>
      <w:r w:rsidR="00933253" w:rsidRPr="00792270">
        <w:rPr>
          <w:szCs w:val="24"/>
        </w:rPr>
        <w:t xml:space="preserve"> 239 residents. The results indicated that the level of noise constantly exceeded the norms of </w:t>
      </w:r>
      <w:r w:rsidR="00053A0C" w:rsidRPr="00792270">
        <w:rPr>
          <w:szCs w:val="24"/>
        </w:rPr>
        <w:t xml:space="preserve">the </w:t>
      </w:r>
      <w:r w:rsidR="00933253" w:rsidRPr="00792270">
        <w:rPr>
          <w:szCs w:val="24"/>
        </w:rPr>
        <w:t xml:space="preserve">WHO and that a significant percentage of participants were psychologically distressed, including those with depression and anxiety symptoms. Statistical tests also made a strong case linking noise exposure, noise sensitivity and negative mental-health outcomes, thus supporting the suburb as a ubiquitous environmental stressor that has quantifiable psychological impacts. </w:t>
      </w:r>
      <w:r w:rsidR="00FB62D3" w:rsidRPr="00792270">
        <w:rPr>
          <w:szCs w:val="24"/>
        </w:rPr>
        <w:t xml:space="preserve"> </w:t>
      </w:r>
      <w:r w:rsidR="00933253" w:rsidRPr="00792270">
        <w:rPr>
          <w:szCs w:val="24"/>
        </w:rPr>
        <w:t>It was also in Yaba where the noises in the environment were consistently above the acceptable levels in all the periods monitored; the noise in the environment was caused by traffic, market activities, the utilisation of generators, and mixed land-use patterns. The statistics reveal that there is a strong</w:t>
      </w:r>
      <w:r w:rsidR="00053A0C" w:rsidRPr="00792270">
        <w:rPr>
          <w:szCs w:val="24"/>
        </w:rPr>
        <w:t>,</w:t>
      </w:r>
      <w:r w:rsidR="00933253" w:rsidRPr="00792270">
        <w:rPr>
          <w:szCs w:val="24"/>
        </w:rPr>
        <w:t xml:space="preserve"> statistically significant negative association between noise exposure, increased noise sensitivity, and worsened mental health, and noise sensitivity is an independent predictor of depression, anxiety, and psychological distress. Personal coping mechanisms only provided some relief, and it is important to note that structural interventions are required to alleviate this risk factor that is modifiable and provide protection of population well-being in cities.  The research offers novel, geographically specific acoustic information of Yaba, implements internationally accepted mental-health measurements in the urban environment of Nigeria, and </w:t>
      </w:r>
      <w:r w:rsidR="00933253" w:rsidRPr="00792270">
        <w:rPr>
          <w:szCs w:val="24"/>
        </w:rPr>
        <w:lastRenderedPageBreak/>
        <w:t xml:space="preserve">explains the confounding importance of noise sensitivity. Those contributions enhance the localised knowledge on the psychological health determinants of the environment in low- and middle-income cities.  The cross-sectional nature of the design does not permit causation. Self-report measures risk bias; noise measurements were </w:t>
      </w:r>
      <w:r w:rsidR="00053A0C" w:rsidRPr="00792270">
        <w:rPr>
          <w:szCs w:val="24"/>
        </w:rPr>
        <w:t>limited only</w:t>
      </w:r>
      <w:r w:rsidR="00933253" w:rsidRPr="00792270">
        <w:rPr>
          <w:szCs w:val="24"/>
        </w:rPr>
        <w:t xml:space="preserve"> to localities and time periods; population estimates were based on projected values, and some confounders were not completely measured.  The longitudinal designs that must be used in future research are necessary to determine temporal relationships, seasonal or continuous observations, the qualitative approaches that would help to comprehend the lived experiences, and the potential validity of the targeted noise-reduction interventions in urban and rural settings. </w:t>
      </w:r>
    </w:p>
    <w:p w14:paraId="25ACC6C8" w14:textId="77777777" w:rsidR="00053A0C" w:rsidRPr="00792270" w:rsidRDefault="00053A0C" w:rsidP="00892F5E">
      <w:pPr>
        <w:spacing w:line="240" w:lineRule="auto"/>
        <w:jc w:val="both"/>
        <w:rPr>
          <w:szCs w:val="24"/>
        </w:rPr>
      </w:pPr>
    </w:p>
    <w:p w14:paraId="28F8DECD" w14:textId="77777777" w:rsidR="00053A0C" w:rsidRPr="00792270" w:rsidRDefault="00053A0C" w:rsidP="00053A0C">
      <w:pPr>
        <w:spacing w:line="240" w:lineRule="auto"/>
        <w:jc w:val="both"/>
        <w:rPr>
          <w:szCs w:val="24"/>
        </w:rPr>
      </w:pPr>
      <w:r w:rsidRPr="00792270">
        <w:rPr>
          <w:szCs w:val="24"/>
        </w:rPr>
        <w:t>The research is of importance to various stakeholders. The policymaking by the government, environmental authorities like LASEPA, and urban planners is informed by quantitative data on noise-mental health relationships within the Nigerian urban contexts. Findings aid in the inception and implementation of noise control strategies. Risk awareness among the population of chronic exposure will be raised via dissemination, and evidence-based recommendations will help the Lagos State Ministry of Environment and LASEPA to revise noise by-laws and improve monitoring and impose sanctions on non-compliers in traffic, commercial, religious and entertainment areas.</w:t>
      </w:r>
    </w:p>
    <w:p w14:paraId="303BAEBA" w14:textId="77777777" w:rsidR="006A2197" w:rsidRPr="00792270" w:rsidRDefault="006A2197" w:rsidP="00892F5E">
      <w:pPr>
        <w:spacing w:line="240" w:lineRule="auto"/>
        <w:jc w:val="both"/>
        <w:rPr>
          <w:szCs w:val="24"/>
        </w:rPr>
      </w:pPr>
    </w:p>
    <w:p w14:paraId="110123AD" w14:textId="4272B878" w:rsidR="00981995" w:rsidRPr="00792270" w:rsidRDefault="00981995" w:rsidP="00892F5E">
      <w:pPr>
        <w:spacing w:after="160" w:line="240" w:lineRule="auto"/>
        <w:jc w:val="both"/>
        <w:rPr>
          <w:szCs w:val="24"/>
        </w:rPr>
      </w:pPr>
      <w:r w:rsidRPr="00792270">
        <w:rPr>
          <w:szCs w:val="24"/>
        </w:rPr>
        <w:br w:type="page"/>
      </w:r>
    </w:p>
    <w:p w14:paraId="04C52ECF" w14:textId="6D43E45E" w:rsidR="00981995" w:rsidRPr="00792270" w:rsidRDefault="00981995" w:rsidP="00892F5E">
      <w:pPr>
        <w:spacing w:line="240" w:lineRule="auto"/>
        <w:jc w:val="both"/>
        <w:rPr>
          <w:b/>
          <w:bCs/>
          <w:szCs w:val="24"/>
        </w:rPr>
      </w:pPr>
      <w:bookmarkStart w:id="1" w:name="_Toc221048885"/>
      <w:r w:rsidRPr="00792270">
        <w:rPr>
          <w:b/>
          <w:bCs/>
          <w:szCs w:val="24"/>
        </w:rPr>
        <w:lastRenderedPageBreak/>
        <w:t>R</w:t>
      </w:r>
      <w:bookmarkEnd w:id="1"/>
      <w:r w:rsidRPr="00792270">
        <w:rPr>
          <w:b/>
          <w:bCs/>
          <w:szCs w:val="24"/>
        </w:rPr>
        <w:t>eferences</w:t>
      </w:r>
    </w:p>
    <w:p w14:paraId="1BA162C4" w14:textId="77777777" w:rsidR="00981995" w:rsidRPr="00792270" w:rsidRDefault="00981995" w:rsidP="00892F5E">
      <w:pPr>
        <w:spacing w:after="240" w:line="240" w:lineRule="auto"/>
        <w:ind w:left="720" w:hanging="720"/>
        <w:jc w:val="both"/>
        <w:rPr>
          <w:szCs w:val="24"/>
        </w:rPr>
      </w:pPr>
      <w:r w:rsidRPr="00792270">
        <w:rPr>
          <w:szCs w:val="24"/>
        </w:rPr>
        <w:t xml:space="preserve">Adekoya, O. I., Adebayo, O. C., Ibikunle, Y. O., </w:t>
      </w:r>
      <w:proofErr w:type="spellStart"/>
      <w:r w:rsidRPr="00792270">
        <w:rPr>
          <w:szCs w:val="24"/>
        </w:rPr>
        <w:t>Akinnawo</w:t>
      </w:r>
      <w:proofErr w:type="spellEnd"/>
      <w:r w:rsidRPr="00792270">
        <w:rPr>
          <w:szCs w:val="24"/>
        </w:rPr>
        <w:t xml:space="preserve">, O. O. &amp; </w:t>
      </w:r>
      <w:proofErr w:type="spellStart"/>
      <w:r w:rsidRPr="00792270">
        <w:rPr>
          <w:szCs w:val="24"/>
        </w:rPr>
        <w:t>Adeojo</w:t>
      </w:r>
      <w:proofErr w:type="spellEnd"/>
      <w:r w:rsidRPr="00792270">
        <w:rPr>
          <w:szCs w:val="24"/>
        </w:rPr>
        <w:t xml:space="preserve">, T. T. (2024). Noise Levels Measurements at Ladipo and Yaba Markets in Lagos and the Adverse Effects on Humans. </w:t>
      </w:r>
      <w:r w:rsidRPr="00792270">
        <w:rPr>
          <w:i/>
          <w:iCs/>
          <w:szCs w:val="24"/>
        </w:rPr>
        <w:t>Physical Science International Journal, 28</w:t>
      </w:r>
      <w:r w:rsidRPr="00792270">
        <w:rPr>
          <w:szCs w:val="24"/>
        </w:rPr>
        <w:t xml:space="preserve">(4), 64–72. </w:t>
      </w:r>
      <w:hyperlink r:id="rId7">
        <w:r w:rsidRPr="00792270">
          <w:rPr>
            <w:szCs w:val="24"/>
            <w:u w:val="single"/>
          </w:rPr>
          <w:t>https://doi.org/10.9734/psij/2024/v28i4838</w:t>
        </w:r>
      </w:hyperlink>
      <w:r w:rsidRPr="00792270">
        <w:rPr>
          <w:szCs w:val="24"/>
        </w:rPr>
        <w:t xml:space="preserve"> </w:t>
      </w:r>
    </w:p>
    <w:p w14:paraId="2CA16718" w14:textId="77777777" w:rsidR="00981995" w:rsidRPr="00792270" w:rsidRDefault="00981995" w:rsidP="00892F5E">
      <w:pPr>
        <w:spacing w:after="240" w:line="240" w:lineRule="auto"/>
        <w:ind w:left="720" w:hanging="720"/>
        <w:jc w:val="both"/>
        <w:rPr>
          <w:szCs w:val="24"/>
        </w:rPr>
      </w:pPr>
      <w:r w:rsidRPr="00792270">
        <w:rPr>
          <w:szCs w:val="24"/>
        </w:rPr>
        <w:t xml:space="preserve">Akinnubi, O. P., &amp; colleagues. (2020). Noise pollution and human health in Lagos metropolis. </w:t>
      </w:r>
      <w:r w:rsidRPr="00792270">
        <w:rPr>
          <w:i/>
          <w:iCs/>
          <w:szCs w:val="24"/>
        </w:rPr>
        <w:t>European Journal of Education Studies, 7</w:t>
      </w:r>
      <w:r w:rsidRPr="00792270">
        <w:rPr>
          <w:szCs w:val="24"/>
        </w:rPr>
        <w:t>(12), 239–252.</w:t>
      </w:r>
      <w:hyperlink r:id="rId8">
        <w:r w:rsidRPr="00792270">
          <w:rPr>
            <w:szCs w:val="24"/>
          </w:rPr>
          <w:t xml:space="preserve"> </w:t>
        </w:r>
      </w:hyperlink>
      <w:hyperlink r:id="rId9">
        <w:r w:rsidRPr="00792270">
          <w:rPr>
            <w:szCs w:val="24"/>
            <w:u w:val="single"/>
          </w:rPr>
          <w:t>https://doi.org/10.5281/zenodo.3755070</w:t>
        </w:r>
      </w:hyperlink>
      <w:r w:rsidRPr="00792270">
        <w:rPr>
          <w:szCs w:val="24"/>
        </w:rPr>
        <w:t xml:space="preserve">   </w:t>
      </w:r>
    </w:p>
    <w:p w14:paraId="68E18143" w14:textId="77777777" w:rsidR="00981995" w:rsidRPr="00792270" w:rsidRDefault="00981995" w:rsidP="00892F5E">
      <w:pPr>
        <w:spacing w:after="240" w:line="240" w:lineRule="auto"/>
        <w:ind w:left="720" w:hanging="720"/>
        <w:jc w:val="both"/>
        <w:rPr>
          <w:szCs w:val="24"/>
        </w:rPr>
      </w:pPr>
      <w:r w:rsidRPr="00792270">
        <w:rPr>
          <w:szCs w:val="24"/>
        </w:rPr>
        <w:t xml:space="preserve">Aliyu, I. (2021). Assessment of environmental noise in selected residential areas in Minna, Nigeria. </w:t>
      </w:r>
      <w:r w:rsidRPr="00792270">
        <w:rPr>
          <w:i/>
          <w:iCs/>
          <w:szCs w:val="24"/>
        </w:rPr>
        <w:t>Environment-Behaviour Proceedings Journal, 6</w:t>
      </w:r>
      <w:r w:rsidRPr="00792270">
        <w:rPr>
          <w:szCs w:val="24"/>
        </w:rPr>
        <w:t>(18), 67–74.</w:t>
      </w:r>
      <w:hyperlink r:id="rId10">
        <w:r w:rsidRPr="00792270">
          <w:rPr>
            <w:szCs w:val="24"/>
          </w:rPr>
          <w:t xml:space="preserve"> </w:t>
        </w:r>
      </w:hyperlink>
      <w:hyperlink r:id="rId11">
        <w:r w:rsidRPr="00792270">
          <w:rPr>
            <w:szCs w:val="24"/>
            <w:u w:val="single"/>
          </w:rPr>
          <w:t>https://doi.org/10.21834/ebpj.v6i18.2978</w:t>
        </w:r>
      </w:hyperlink>
    </w:p>
    <w:p w14:paraId="72810E94" w14:textId="77777777" w:rsidR="00981995" w:rsidRPr="00792270" w:rsidRDefault="00981995" w:rsidP="00892F5E">
      <w:pPr>
        <w:spacing w:after="240" w:line="240" w:lineRule="auto"/>
        <w:ind w:left="720" w:hanging="720"/>
        <w:jc w:val="both"/>
        <w:rPr>
          <w:szCs w:val="24"/>
        </w:rPr>
      </w:pPr>
      <w:r w:rsidRPr="00792270">
        <w:rPr>
          <w:szCs w:val="24"/>
        </w:rPr>
        <w:t xml:space="preserve">Basner, M., </w:t>
      </w:r>
      <w:proofErr w:type="spellStart"/>
      <w:r w:rsidRPr="00792270">
        <w:rPr>
          <w:szCs w:val="24"/>
        </w:rPr>
        <w:t>Babisch</w:t>
      </w:r>
      <w:proofErr w:type="spellEnd"/>
      <w:r w:rsidRPr="00792270">
        <w:rPr>
          <w:szCs w:val="24"/>
        </w:rPr>
        <w:t xml:space="preserve">, W., Davis, A., Brink, M., Clark, C., Janssen, S., &amp; Stansfeld, S. (2014). Auditory and non-auditory effects of noise on health. </w:t>
      </w:r>
      <w:r w:rsidRPr="00792270">
        <w:rPr>
          <w:i/>
          <w:iCs/>
          <w:szCs w:val="24"/>
        </w:rPr>
        <w:t>The Lancet, 383</w:t>
      </w:r>
      <w:r w:rsidRPr="00792270">
        <w:rPr>
          <w:szCs w:val="24"/>
        </w:rPr>
        <w:t xml:space="preserve">(9925), 1325–1332. </w:t>
      </w:r>
      <w:hyperlink r:id="rId12">
        <w:r w:rsidRPr="00792270">
          <w:rPr>
            <w:szCs w:val="24"/>
            <w:u w:val="single"/>
          </w:rPr>
          <w:t>https://doi.org/10.1016/S0140-6736(13)61613-X</w:t>
        </w:r>
      </w:hyperlink>
    </w:p>
    <w:p w14:paraId="4F659D72" w14:textId="77777777" w:rsidR="00981995" w:rsidRPr="00792270" w:rsidRDefault="00981995" w:rsidP="00892F5E">
      <w:pPr>
        <w:spacing w:after="240" w:line="240" w:lineRule="auto"/>
        <w:ind w:left="720" w:hanging="720"/>
        <w:jc w:val="both"/>
        <w:rPr>
          <w:szCs w:val="24"/>
        </w:rPr>
      </w:pPr>
      <w:proofErr w:type="spellStart"/>
      <w:r w:rsidRPr="00792270">
        <w:rPr>
          <w:szCs w:val="24"/>
        </w:rPr>
        <w:t>Byaello</w:t>
      </w:r>
      <w:proofErr w:type="spellEnd"/>
      <w:r w:rsidRPr="00792270">
        <w:rPr>
          <w:szCs w:val="24"/>
        </w:rPr>
        <w:t xml:space="preserve">, K. (2023). Impact of Noise Pollution on Community Health and Well-Being in Lagos, Nigeria. </w:t>
      </w:r>
      <w:r w:rsidRPr="00792270">
        <w:rPr>
          <w:i/>
          <w:iCs/>
          <w:szCs w:val="24"/>
        </w:rPr>
        <w:t xml:space="preserve">Journal </w:t>
      </w:r>
      <w:proofErr w:type="spellStart"/>
      <w:r w:rsidRPr="00792270">
        <w:rPr>
          <w:i/>
          <w:iCs/>
          <w:szCs w:val="24"/>
        </w:rPr>
        <w:t>Wetenskap</w:t>
      </w:r>
      <w:proofErr w:type="spellEnd"/>
      <w:r w:rsidRPr="00792270">
        <w:rPr>
          <w:i/>
          <w:iCs/>
          <w:szCs w:val="24"/>
        </w:rPr>
        <w:t xml:space="preserve"> Health,</w:t>
      </w:r>
      <w:r w:rsidRPr="00792270">
        <w:rPr>
          <w:szCs w:val="24"/>
        </w:rPr>
        <w:t xml:space="preserve"> </w:t>
      </w:r>
      <w:r w:rsidRPr="00792270">
        <w:rPr>
          <w:i/>
          <w:iCs/>
          <w:szCs w:val="24"/>
        </w:rPr>
        <w:t>4</w:t>
      </w:r>
      <w:r w:rsidRPr="00792270">
        <w:rPr>
          <w:szCs w:val="24"/>
        </w:rPr>
        <w:t xml:space="preserve">(4), 15-21. </w:t>
      </w:r>
      <w:hyperlink r:id="rId13">
        <w:r w:rsidRPr="00792270">
          <w:rPr>
            <w:szCs w:val="24"/>
            <w:u w:val="single"/>
          </w:rPr>
          <w:t>https://doi.org/10.48173/jwh.v4i4.203</w:t>
        </w:r>
      </w:hyperlink>
      <w:r w:rsidRPr="00792270">
        <w:rPr>
          <w:szCs w:val="24"/>
        </w:rPr>
        <w:t>.</w:t>
      </w:r>
    </w:p>
    <w:p w14:paraId="650208B5" w14:textId="77777777" w:rsidR="00981995" w:rsidRPr="00792270" w:rsidRDefault="00981995" w:rsidP="00892F5E">
      <w:pPr>
        <w:spacing w:after="240" w:line="240" w:lineRule="auto"/>
        <w:ind w:left="720" w:hanging="720"/>
        <w:jc w:val="both"/>
        <w:rPr>
          <w:szCs w:val="24"/>
        </w:rPr>
      </w:pPr>
      <w:r w:rsidRPr="00792270">
        <w:rPr>
          <w:szCs w:val="24"/>
        </w:rPr>
        <w:t xml:space="preserve">Chu B, et al. (2025). </w:t>
      </w:r>
      <w:r w:rsidRPr="00792270">
        <w:rPr>
          <w:i/>
          <w:iCs/>
          <w:szCs w:val="24"/>
        </w:rPr>
        <w:t>Physiology, Stress Reaction.</w:t>
      </w:r>
      <w:r w:rsidRPr="00792270">
        <w:rPr>
          <w:szCs w:val="24"/>
        </w:rPr>
        <w:t xml:space="preserve"> [Updated 2024 May 7]. In: </w:t>
      </w:r>
      <w:proofErr w:type="spellStart"/>
      <w:r w:rsidRPr="00792270">
        <w:rPr>
          <w:szCs w:val="24"/>
        </w:rPr>
        <w:t>StatPearls</w:t>
      </w:r>
      <w:proofErr w:type="spellEnd"/>
      <w:r w:rsidRPr="00792270">
        <w:rPr>
          <w:szCs w:val="24"/>
        </w:rPr>
        <w:t xml:space="preserve"> [Internet]. Treasure Island (FL): </w:t>
      </w:r>
      <w:proofErr w:type="spellStart"/>
      <w:r w:rsidRPr="00792270">
        <w:rPr>
          <w:szCs w:val="24"/>
        </w:rPr>
        <w:t>StatPearls</w:t>
      </w:r>
      <w:proofErr w:type="spellEnd"/>
      <w:r w:rsidRPr="00792270">
        <w:rPr>
          <w:szCs w:val="24"/>
        </w:rPr>
        <w:t xml:space="preserve"> Publishing; 2025 Jan-. Available from: </w:t>
      </w:r>
      <w:hyperlink r:id="rId14">
        <w:r w:rsidRPr="00792270">
          <w:rPr>
            <w:szCs w:val="24"/>
            <w:u w:val="single"/>
          </w:rPr>
          <w:t>https://www.ncbi.nlm.nih.gov/books/NBK541120/</w:t>
        </w:r>
      </w:hyperlink>
      <w:r w:rsidRPr="00792270">
        <w:rPr>
          <w:szCs w:val="24"/>
        </w:rPr>
        <w:t xml:space="preserve">     </w:t>
      </w:r>
    </w:p>
    <w:p w14:paraId="1A14E81D" w14:textId="77777777" w:rsidR="00981995" w:rsidRPr="00792270" w:rsidRDefault="00981995" w:rsidP="00892F5E">
      <w:pPr>
        <w:spacing w:after="240" w:line="240" w:lineRule="auto"/>
        <w:ind w:left="720" w:hanging="720"/>
        <w:jc w:val="both"/>
        <w:rPr>
          <w:szCs w:val="24"/>
        </w:rPr>
      </w:pPr>
      <w:r w:rsidRPr="00792270">
        <w:rPr>
          <w:szCs w:val="24"/>
        </w:rPr>
        <w:t xml:space="preserve">Clark, C., &amp; </w:t>
      </w:r>
      <w:proofErr w:type="spellStart"/>
      <w:r w:rsidRPr="00792270">
        <w:rPr>
          <w:szCs w:val="24"/>
        </w:rPr>
        <w:t>Paunović</w:t>
      </w:r>
      <w:proofErr w:type="spellEnd"/>
      <w:r w:rsidRPr="00792270">
        <w:rPr>
          <w:szCs w:val="24"/>
        </w:rPr>
        <w:t xml:space="preserve">, K. (2018). WHO environmental noise guidelines for the European region: A systematic review on environmental noise and quality of life, wellbeing and mental health. </w:t>
      </w:r>
      <w:r w:rsidRPr="00792270">
        <w:rPr>
          <w:i/>
          <w:iCs/>
          <w:szCs w:val="24"/>
        </w:rPr>
        <w:t>International Journal of Environmental Research and Public Health, 15</w:t>
      </w:r>
      <w:r w:rsidRPr="00792270">
        <w:rPr>
          <w:szCs w:val="24"/>
        </w:rPr>
        <w:t xml:space="preserve">(11), 2400 DOI: </w:t>
      </w:r>
      <w:hyperlink r:id="rId15">
        <w:r w:rsidRPr="00792270">
          <w:rPr>
            <w:szCs w:val="24"/>
          </w:rPr>
          <w:t>10.3390/ijerph15112400</w:t>
        </w:r>
      </w:hyperlink>
    </w:p>
    <w:p w14:paraId="60700B74" w14:textId="77777777" w:rsidR="00981995" w:rsidRPr="00792270" w:rsidRDefault="00981995" w:rsidP="00892F5E">
      <w:pPr>
        <w:spacing w:after="240" w:line="240" w:lineRule="auto"/>
        <w:ind w:left="720" w:hanging="720"/>
        <w:jc w:val="both"/>
        <w:rPr>
          <w:szCs w:val="24"/>
        </w:rPr>
      </w:pPr>
      <w:r w:rsidRPr="00792270">
        <w:rPr>
          <w:szCs w:val="24"/>
          <w:highlight w:val="white"/>
        </w:rPr>
        <w:t xml:space="preserve">Kareem, M. I., &amp; Olatunji, R. W. (2024). Towards Sustainable Environmental Noise Management in Rural and Urban Communities in Lagos State, Nigeria. </w:t>
      </w:r>
      <w:r w:rsidRPr="00792270">
        <w:rPr>
          <w:i/>
          <w:iCs/>
          <w:szCs w:val="24"/>
        </w:rPr>
        <w:t>African Journal of Environment and Sustainable Development</w:t>
      </w:r>
      <w:r w:rsidRPr="00792270">
        <w:rPr>
          <w:szCs w:val="24"/>
          <w:highlight w:val="white"/>
        </w:rPr>
        <w:t xml:space="preserve">, </w:t>
      </w:r>
      <w:r w:rsidRPr="00792270">
        <w:rPr>
          <w:i/>
          <w:iCs/>
          <w:szCs w:val="24"/>
        </w:rPr>
        <w:t>2</w:t>
      </w:r>
      <w:r w:rsidRPr="00792270">
        <w:rPr>
          <w:szCs w:val="24"/>
          <w:highlight w:val="white"/>
        </w:rPr>
        <w:t xml:space="preserve">(4), 42-54. </w:t>
      </w:r>
      <w:hyperlink r:id="rId16">
        <w:r w:rsidRPr="00792270">
          <w:rPr>
            <w:szCs w:val="24"/>
          </w:rPr>
          <w:t>https://www.openjournals.ijaar.org/index.php/ajesd/article/view/864</w:t>
        </w:r>
      </w:hyperlink>
      <w:r w:rsidRPr="00792270">
        <w:rPr>
          <w:szCs w:val="24"/>
        </w:rPr>
        <w:t xml:space="preserve"> </w:t>
      </w:r>
    </w:p>
    <w:p w14:paraId="4574476B" w14:textId="77777777" w:rsidR="00981995" w:rsidRPr="00792270" w:rsidRDefault="00981995" w:rsidP="00892F5E">
      <w:pPr>
        <w:spacing w:after="240" w:line="240" w:lineRule="auto"/>
        <w:ind w:left="720" w:hanging="720"/>
        <w:jc w:val="both"/>
        <w:rPr>
          <w:szCs w:val="24"/>
        </w:rPr>
      </w:pPr>
      <w:r w:rsidRPr="00792270">
        <w:rPr>
          <w:szCs w:val="24"/>
        </w:rPr>
        <w:t xml:space="preserve">Lazarus, R., &amp; Folkman, S. (1984). </w:t>
      </w:r>
      <w:r w:rsidRPr="00792270">
        <w:rPr>
          <w:i/>
          <w:iCs/>
          <w:szCs w:val="24"/>
        </w:rPr>
        <w:t>Stress, Appraisal, and Coping.</w:t>
      </w:r>
      <w:r w:rsidRPr="00792270">
        <w:rPr>
          <w:szCs w:val="24"/>
        </w:rPr>
        <w:t xml:space="preserve"> New York: Springer. </w:t>
      </w:r>
    </w:p>
    <w:p w14:paraId="178FD4CD" w14:textId="77777777" w:rsidR="00981995" w:rsidRPr="00792270" w:rsidRDefault="00981995" w:rsidP="00892F5E">
      <w:pPr>
        <w:spacing w:after="240" w:line="240" w:lineRule="auto"/>
        <w:ind w:left="720" w:hanging="720"/>
        <w:jc w:val="both"/>
        <w:rPr>
          <w:szCs w:val="24"/>
        </w:rPr>
      </w:pPr>
      <w:r w:rsidRPr="00C97ABB">
        <w:rPr>
          <w:szCs w:val="24"/>
          <w:lang w:val="pt-BR"/>
        </w:rPr>
        <w:t xml:space="preserve">Masum, M. H., Pal, S. K., Akhie, A. A., Ruva, I. J., Akter, N., &amp; Nath, S. (2021). </w:t>
      </w:r>
      <w:r w:rsidRPr="00792270">
        <w:rPr>
          <w:szCs w:val="24"/>
        </w:rPr>
        <w:t xml:space="preserve">Spatiotemporal monitoring and assessment of noise pollution in an urban setting. </w:t>
      </w:r>
      <w:r w:rsidRPr="00792270">
        <w:rPr>
          <w:i/>
          <w:iCs/>
          <w:szCs w:val="24"/>
        </w:rPr>
        <w:t xml:space="preserve">Environmental Challenges, 5, </w:t>
      </w:r>
      <w:r w:rsidRPr="00792270">
        <w:rPr>
          <w:szCs w:val="24"/>
        </w:rPr>
        <w:t>100218.</w:t>
      </w:r>
    </w:p>
    <w:p w14:paraId="03E37C2A" w14:textId="77777777" w:rsidR="00981995" w:rsidRPr="00792270" w:rsidRDefault="00981995" w:rsidP="00892F5E">
      <w:pPr>
        <w:spacing w:after="240" w:line="240" w:lineRule="auto"/>
        <w:ind w:left="720" w:hanging="720"/>
        <w:jc w:val="both"/>
        <w:rPr>
          <w:szCs w:val="24"/>
        </w:rPr>
      </w:pPr>
      <w:r w:rsidRPr="00792270">
        <w:rPr>
          <w:szCs w:val="24"/>
        </w:rPr>
        <w:t xml:space="preserve">Murphy, E., &amp; King, E. A. (2022). </w:t>
      </w:r>
      <w:r w:rsidRPr="00792270">
        <w:rPr>
          <w:i/>
          <w:iCs/>
          <w:szCs w:val="24"/>
        </w:rPr>
        <w:t>Environmental noise pollution: Noise mapping, public health, and policy.</w:t>
      </w:r>
      <w:r w:rsidRPr="00792270">
        <w:rPr>
          <w:szCs w:val="24"/>
        </w:rPr>
        <w:t xml:space="preserve"> Elsevier.</w:t>
      </w:r>
    </w:p>
    <w:p w14:paraId="493045D8" w14:textId="280793E6" w:rsidR="00981995" w:rsidRPr="00792270" w:rsidRDefault="00C97ABB" w:rsidP="00892F5E">
      <w:pPr>
        <w:spacing w:after="240" w:line="240" w:lineRule="auto"/>
        <w:ind w:left="720" w:hanging="720"/>
        <w:jc w:val="both"/>
        <w:rPr>
          <w:szCs w:val="24"/>
        </w:rPr>
      </w:pPr>
      <w:r w:rsidRPr="00792270">
        <w:rPr>
          <w:szCs w:val="24"/>
        </w:rPr>
        <w:t>Nwabueze</w:t>
      </w:r>
      <w:r w:rsidR="00981995" w:rsidRPr="00792270">
        <w:rPr>
          <w:szCs w:val="24"/>
        </w:rPr>
        <w:t xml:space="preserve">, O. D., Okafor, V. C., &amp; Nathaniel, S. B. (2024). Assessment of Noise Pollution from Petrol Generators in Nigeria: An Analysis of Distance, Capacity and Age Variables. </w:t>
      </w:r>
      <w:r w:rsidR="00981995" w:rsidRPr="00792270">
        <w:rPr>
          <w:i/>
          <w:iCs/>
          <w:szCs w:val="24"/>
        </w:rPr>
        <w:t>Journal of Engineering Research and Reports 26</w:t>
      </w:r>
      <w:r w:rsidR="00981995" w:rsidRPr="00792270">
        <w:rPr>
          <w:szCs w:val="24"/>
        </w:rPr>
        <w:t xml:space="preserve">(12):1-10. </w:t>
      </w:r>
      <w:hyperlink r:id="rId17">
        <w:r w:rsidR="00981995" w:rsidRPr="00792270">
          <w:rPr>
            <w:szCs w:val="24"/>
            <w:u w:val="single"/>
          </w:rPr>
          <w:t>https://doi.org/10.9734/jerr/2024/v26i121335</w:t>
        </w:r>
      </w:hyperlink>
      <w:r w:rsidR="00981995" w:rsidRPr="00792270">
        <w:rPr>
          <w:szCs w:val="24"/>
        </w:rPr>
        <w:t xml:space="preserve">.   </w:t>
      </w:r>
    </w:p>
    <w:p w14:paraId="0A9F73CF" w14:textId="54524736" w:rsidR="00981995" w:rsidRPr="00792270" w:rsidRDefault="00981995" w:rsidP="00C97ABB">
      <w:pPr>
        <w:spacing w:after="240" w:line="240" w:lineRule="auto"/>
        <w:ind w:left="720" w:hanging="720"/>
        <w:jc w:val="both"/>
        <w:rPr>
          <w:szCs w:val="24"/>
        </w:rPr>
      </w:pPr>
      <w:r w:rsidRPr="00792270">
        <w:rPr>
          <w:szCs w:val="24"/>
        </w:rPr>
        <w:lastRenderedPageBreak/>
        <w:t xml:space="preserve">Ohaeri, E. C., &amp; Obafemi, A. A. (2024). Impact analysis of noise pollution on human-health: A case study of Southern Region of Nigeria. </w:t>
      </w:r>
      <w:r w:rsidRPr="00792270">
        <w:rPr>
          <w:i/>
          <w:iCs/>
          <w:szCs w:val="24"/>
        </w:rPr>
        <w:t>Journal of Energy Research and Reviews, 16</w:t>
      </w:r>
      <w:r w:rsidRPr="00792270">
        <w:rPr>
          <w:szCs w:val="24"/>
        </w:rPr>
        <w:t xml:space="preserve">(2), 1–8. </w:t>
      </w:r>
      <w:hyperlink r:id="rId18">
        <w:r w:rsidRPr="00792270">
          <w:rPr>
            <w:szCs w:val="24"/>
            <w:u w:val="single"/>
          </w:rPr>
          <w:t>https://doi.org/10.9734/jenrr/2024/v16i2332</w:t>
        </w:r>
      </w:hyperlink>
      <w:r w:rsidRPr="00792270">
        <w:rPr>
          <w:szCs w:val="24"/>
        </w:rPr>
        <w:t xml:space="preserve">  </w:t>
      </w:r>
    </w:p>
    <w:p w14:paraId="7B298A81" w14:textId="77777777" w:rsidR="00981995" w:rsidRPr="00792270" w:rsidRDefault="00981995" w:rsidP="00892F5E">
      <w:pPr>
        <w:spacing w:after="240" w:line="240" w:lineRule="auto"/>
        <w:ind w:left="720" w:hanging="720"/>
        <w:jc w:val="both"/>
        <w:rPr>
          <w:szCs w:val="24"/>
        </w:rPr>
      </w:pPr>
      <w:r w:rsidRPr="00792270">
        <w:rPr>
          <w:szCs w:val="24"/>
        </w:rPr>
        <w:t xml:space="preserve">Stansfeld, S. A., &amp; Clark, C. (2015). Health effects of noise exposure in children. </w:t>
      </w:r>
      <w:r w:rsidRPr="00792270">
        <w:rPr>
          <w:i/>
          <w:iCs/>
          <w:szCs w:val="24"/>
        </w:rPr>
        <w:t>Current Environmental Health Reports, 2</w:t>
      </w:r>
      <w:r w:rsidRPr="00792270">
        <w:rPr>
          <w:szCs w:val="24"/>
        </w:rPr>
        <w:t xml:space="preserve">(2), 171–178. </w:t>
      </w:r>
      <w:hyperlink r:id="rId19">
        <w:r w:rsidRPr="00792270">
          <w:rPr>
            <w:szCs w:val="24"/>
            <w:u w:val="single"/>
          </w:rPr>
          <w:t>https://doi.org/10.1007/s40572-015-0044-1</w:t>
        </w:r>
      </w:hyperlink>
    </w:p>
    <w:p w14:paraId="03B36131" w14:textId="77777777" w:rsidR="00981995" w:rsidRPr="00792270" w:rsidRDefault="00981995" w:rsidP="00892F5E">
      <w:pPr>
        <w:spacing w:after="240" w:line="240" w:lineRule="auto"/>
        <w:ind w:left="720" w:hanging="720"/>
        <w:jc w:val="both"/>
        <w:rPr>
          <w:szCs w:val="24"/>
        </w:rPr>
      </w:pPr>
      <w:r w:rsidRPr="00792270">
        <w:rPr>
          <w:szCs w:val="24"/>
        </w:rPr>
        <w:t xml:space="preserve">World Health Organisation. Regional Office for Europe (2018). </w:t>
      </w:r>
      <w:r w:rsidRPr="00792270">
        <w:rPr>
          <w:i/>
          <w:iCs/>
          <w:szCs w:val="24"/>
        </w:rPr>
        <w:t>Environmental noise guidelines for the European Region.</w:t>
      </w:r>
      <w:r w:rsidRPr="00792270">
        <w:rPr>
          <w:szCs w:val="24"/>
        </w:rPr>
        <w:t xml:space="preserve"> World Health Organisation. Regional Office for Europe. </w:t>
      </w:r>
      <w:hyperlink r:id="rId20">
        <w:r w:rsidRPr="00792270">
          <w:rPr>
            <w:szCs w:val="24"/>
            <w:u w:val="single"/>
          </w:rPr>
          <w:t>https://iris.who.int/handle/10665/279952</w:t>
        </w:r>
      </w:hyperlink>
      <w:r w:rsidRPr="00792270">
        <w:rPr>
          <w:szCs w:val="24"/>
        </w:rPr>
        <w:t xml:space="preserve"> </w:t>
      </w:r>
    </w:p>
    <w:p w14:paraId="1F05AE05" w14:textId="77777777" w:rsidR="00981995" w:rsidRPr="00792270" w:rsidRDefault="00981995" w:rsidP="00892F5E">
      <w:pPr>
        <w:spacing w:after="240" w:line="240" w:lineRule="auto"/>
        <w:ind w:left="720" w:hanging="720"/>
        <w:jc w:val="both"/>
        <w:rPr>
          <w:szCs w:val="24"/>
        </w:rPr>
      </w:pPr>
      <w:proofErr w:type="spellStart"/>
      <w:r w:rsidRPr="00792270">
        <w:rPr>
          <w:szCs w:val="24"/>
        </w:rPr>
        <w:t>Xplorer</w:t>
      </w:r>
      <w:proofErr w:type="spellEnd"/>
      <w:r w:rsidRPr="00792270">
        <w:rPr>
          <w:szCs w:val="24"/>
        </w:rPr>
        <w:t xml:space="preserve">. (2025). </w:t>
      </w:r>
      <w:r w:rsidRPr="00792270">
        <w:rPr>
          <w:i/>
          <w:iCs/>
          <w:szCs w:val="24"/>
        </w:rPr>
        <w:t>Lagos State population by local government area.</w:t>
      </w:r>
      <w:r w:rsidRPr="00792270">
        <w:rPr>
          <w:szCs w:val="24"/>
        </w:rPr>
        <w:t xml:space="preserve"> Retrieved from</w:t>
      </w:r>
      <w:hyperlink r:id="rId21">
        <w:r w:rsidRPr="00792270">
          <w:rPr>
            <w:szCs w:val="24"/>
          </w:rPr>
          <w:t xml:space="preserve"> </w:t>
        </w:r>
      </w:hyperlink>
      <w:hyperlink r:id="rId22">
        <w:r w:rsidRPr="00792270">
          <w:rPr>
            <w:szCs w:val="24"/>
            <w:u w:val="single"/>
          </w:rPr>
          <w:t>https://xplorer.ng/lagos/lagos-state-population-by-local-government-area/</w:t>
        </w:r>
      </w:hyperlink>
    </w:p>
    <w:p w14:paraId="461BA318" w14:textId="77777777" w:rsidR="00981995" w:rsidRPr="00792270" w:rsidRDefault="00981995" w:rsidP="00892F5E">
      <w:pPr>
        <w:spacing w:line="240" w:lineRule="auto"/>
        <w:jc w:val="both"/>
        <w:rPr>
          <w:szCs w:val="24"/>
        </w:rPr>
      </w:pPr>
    </w:p>
    <w:p w14:paraId="4BE62445" w14:textId="77777777" w:rsidR="00933253" w:rsidRPr="00792270" w:rsidRDefault="00933253" w:rsidP="00892F5E">
      <w:pPr>
        <w:spacing w:line="240" w:lineRule="auto"/>
        <w:jc w:val="both"/>
        <w:rPr>
          <w:szCs w:val="24"/>
        </w:rPr>
      </w:pPr>
    </w:p>
    <w:p w14:paraId="40D8AA35" w14:textId="77777777" w:rsidR="00B4495F" w:rsidRPr="00792270" w:rsidRDefault="00B4495F" w:rsidP="00892F5E">
      <w:pPr>
        <w:spacing w:line="240" w:lineRule="auto"/>
        <w:jc w:val="both"/>
        <w:rPr>
          <w:szCs w:val="24"/>
        </w:rPr>
      </w:pPr>
    </w:p>
    <w:sectPr w:rsidR="00B4495F" w:rsidRPr="00792270">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996373" w14:textId="77777777" w:rsidR="00A85C4F" w:rsidRDefault="00A85C4F" w:rsidP="00E140D7">
      <w:pPr>
        <w:spacing w:line="240" w:lineRule="auto"/>
      </w:pPr>
      <w:r>
        <w:separator/>
      </w:r>
    </w:p>
  </w:endnote>
  <w:endnote w:type="continuationSeparator" w:id="0">
    <w:p w14:paraId="3BFD09CC" w14:textId="77777777" w:rsidR="00A85C4F" w:rsidRDefault="00A85C4F" w:rsidP="00E140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7BCEC" w14:textId="77777777" w:rsidR="00E140D7" w:rsidRDefault="00E140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6EFBF" w14:textId="77777777" w:rsidR="00E140D7" w:rsidRDefault="00E140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240AA" w14:textId="77777777" w:rsidR="00E140D7" w:rsidRDefault="00E140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FE7291" w14:textId="77777777" w:rsidR="00A85C4F" w:rsidRDefault="00A85C4F" w:rsidP="00E140D7">
      <w:pPr>
        <w:spacing w:line="240" w:lineRule="auto"/>
      </w:pPr>
      <w:r>
        <w:separator/>
      </w:r>
    </w:p>
  </w:footnote>
  <w:footnote w:type="continuationSeparator" w:id="0">
    <w:p w14:paraId="05371F0A" w14:textId="77777777" w:rsidR="00A85C4F" w:rsidRDefault="00A85C4F" w:rsidP="00E140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D0EB8" w14:textId="61BCE77D" w:rsidR="00E140D7" w:rsidRDefault="00E140D7">
    <w:pPr>
      <w:pStyle w:val="Header"/>
    </w:pPr>
    <w:r>
      <w:rPr>
        <w:noProof/>
      </w:rPr>
      <w:pict w14:anchorId="4E02EF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760704"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9C44" w14:textId="6D70FA0D" w:rsidR="00E140D7" w:rsidRDefault="00E140D7">
    <w:pPr>
      <w:pStyle w:val="Header"/>
    </w:pPr>
    <w:r>
      <w:rPr>
        <w:noProof/>
      </w:rPr>
      <w:pict w14:anchorId="2FC9D8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760705"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11FD7" w14:textId="1B8747F6" w:rsidR="00E140D7" w:rsidRDefault="00E140D7">
    <w:pPr>
      <w:pStyle w:val="Header"/>
    </w:pPr>
    <w:r>
      <w:rPr>
        <w:noProof/>
      </w:rPr>
      <w:pict w14:anchorId="1EA784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760703"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52D79"/>
    <w:multiLevelType w:val="multilevel"/>
    <w:tmpl w:val="87C07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D925B7"/>
    <w:multiLevelType w:val="multilevel"/>
    <w:tmpl w:val="170C976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7CE3E38"/>
    <w:multiLevelType w:val="multilevel"/>
    <w:tmpl w:val="3496C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2D3EEA"/>
    <w:multiLevelType w:val="multilevel"/>
    <w:tmpl w:val="AD7CE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B644F8"/>
    <w:multiLevelType w:val="hybridMultilevel"/>
    <w:tmpl w:val="E9F2A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4C60EB"/>
    <w:multiLevelType w:val="multilevel"/>
    <w:tmpl w:val="E1949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C25582"/>
    <w:multiLevelType w:val="multilevel"/>
    <w:tmpl w:val="229AB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EB6F1B"/>
    <w:multiLevelType w:val="multilevel"/>
    <w:tmpl w:val="0068DB24"/>
    <w:lvl w:ilvl="0">
      <w:start w:val="2"/>
      <w:numFmt w:val="decimal"/>
      <w:pStyle w:val="ListParagraph"/>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4B803B0C"/>
    <w:multiLevelType w:val="multilevel"/>
    <w:tmpl w:val="E6CA98BC"/>
    <w:lvl w:ilvl="0">
      <w:start w:val="2"/>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9" w15:restartNumberingAfterBreak="0">
    <w:nsid w:val="4C6E5837"/>
    <w:multiLevelType w:val="hybridMultilevel"/>
    <w:tmpl w:val="DEB464E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52763AA7"/>
    <w:multiLevelType w:val="multilevel"/>
    <w:tmpl w:val="BDF86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B77A90"/>
    <w:multiLevelType w:val="multilevel"/>
    <w:tmpl w:val="92FC6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DE3C96"/>
    <w:multiLevelType w:val="multilevel"/>
    <w:tmpl w:val="0B3C73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Times New Roman" w:eastAsia="Arial"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0058A8"/>
    <w:multiLevelType w:val="multilevel"/>
    <w:tmpl w:val="FAA2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D77DF7"/>
    <w:multiLevelType w:val="hybridMultilevel"/>
    <w:tmpl w:val="E82C9A88"/>
    <w:lvl w:ilvl="0" w:tplc="EA823A2C">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62D5496F"/>
    <w:multiLevelType w:val="multilevel"/>
    <w:tmpl w:val="F4A4B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391297"/>
    <w:multiLevelType w:val="hybridMultilevel"/>
    <w:tmpl w:val="57BE71A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DD082D"/>
    <w:multiLevelType w:val="multilevel"/>
    <w:tmpl w:val="9E582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0C15C6"/>
    <w:multiLevelType w:val="multilevel"/>
    <w:tmpl w:val="1D92B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2"/>
  </w:num>
  <w:num w:numId="3">
    <w:abstractNumId w:val="10"/>
  </w:num>
  <w:num w:numId="4">
    <w:abstractNumId w:val="15"/>
  </w:num>
  <w:num w:numId="5">
    <w:abstractNumId w:val="5"/>
  </w:num>
  <w:num w:numId="6">
    <w:abstractNumId w:val="11"/>
  </w:num>
  <w:num w:numId="7">
    <w:abstractNumId w:val="6"/>
  </w:num>
  <w:num w:numId="8">
    <w:abstractNumId w:val="2"/>
  </w:num>
  <w:num w:numId="9">
    <w:abstractNumId w:val="13"/>
  </w:num>
  <w:num w:numId="10">
    <w:abstractNumId w:val="3"/>
  </w:num>
  <w:num w:numId="11">
    <w:abstractNumId w:val="18"/>
  </w:num>
  <w:num w:numId="12">
    <w:abstractNumId w:val="17"/>
  </w:num>
  <w:num w:numId="13">
    <w:abstractNumId w:val="9"/>
  </w:num>
  <w:num w:numId="14">
    <w:abstractNumId w:val="14"/>
  </w:num>
  <w:num w:numId="15">
    <w:abstractNumId w:val="4"/>
  </w:num>
  <w:num w:numId="16">
    <w:abstractNumId w:val="16"/>
  </w:num>
  <w:num w:numId="17">
    <w:abstractNumId w:val="8"/>
  </w:num>
  <w:num w:numId="18">
    <w:abstractNumId w:val="7"/>
  </w:num>
  <w:num w:numId="19">
    <w:abstractNumId w:val="1"/>
  </w:num>
  <w:num w:numId="20">
    <w:abstractNumId w:val="7"/>
    <w:lvlOverride w:ilvl="0">
      <w:startOverride w:val="4"/>
    </w:lvlOverride>
    <w:lvlOverride w:ilvl="1"/>
  </w:num>
  <w:num w:numId="21">
    <w:abstractNumId w:val="7"/>
    <w:lvlOverride w:ilvl="0">
      <w:startOverride w:val="4"/>
    </w:lvlOverride>
    <w:lvlOverride w:ilvl="1"/>
  </w:num>
  <w:num w:numId="22">
    <w:abstractNumId w:val="7"/>
    <w:lvlOverride w:ilvl="0">
      <w:startOverride w:val="4"/>
    </w:lvlOverride>
    <w:lvlOverride w:ilvl="1"/>
  </w:num>
  <w:num w:numId="23">
    <w:abstractNumId w:val="7"/>
    <w:lvlOverride w:ilvl="0">
      <w:startOverride w:val="4"/>
    </w:lvlOverride>
    <w:lvlOverride w:ilv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4CA"/>
    <w:rsid w:val="000108D6"/>
    <w:rsid w:val="00013F64"/>
    <w:rsid w:val="00041030"/>
    <w:rsid w:val="000509AB"/>
    <w:rsid w:val="00053A0C"/>
    <w:rsid w:val="000601ED"/>
    <w:rsid w:val="00075F01"/>
    <w:rsid w:val="000824A8"/>
    <w:rsid w:val="000B1915"/>
    <w:rsid w:val="000B6676"/>
    <w:rsid w:val="000F5A58"/>
    <w:rsid w:val="00100254"/>
    <w:rsid w:val="00183194"/>
    <w:rsid w:val="0018422A"/>
    <w:rsid w:val="001C666C"/>
    <w:rsid w:val="00204D2E"/>
    <w:rsid w:val="00234FF6"/>
    <w:rsid w:val="00242FDB"/>
    <w:rsid w:val="00250600"/>
    <w:rsid w:val="00254E36"/>
    <w:rsid w:val="00272D17"/>
    <w:rsid w:val="00277BF4"/>
    <w:rsid w:val="002A09D1"/>
    <w:rsid w:val="002A7376"/>
    <w:rsid w:val="002D5C75"/>
    <w:rsid w:val="002E611A"/>
    <w:rsid w:val="002F04CA"/>
    <w:rsid w:val="00306F86"/>
    <w:rsid w:val="00310096"/>
    <w:rsid w:val="00340DA9"/>
    <w:rsid w:val="00367474"/>
    <w:rsid w:val="003C72F7"/>
    <w:rsid w:val="003E1601"/>
    <w:rsid w:val="003F5A47"/>
    <w:rsid w:val="00422842"/>
    <w:rsid w:val="00471D2D"/>
    <w:rsid w:val="004C5F74"/>
    <w:rsid w:val="004C7D71"/>
    <w:rsid w:val="004E5A88"/>
    <w:rsid w:val="00530BF2"/>
    <w:rsid w:val="00561206"/>
    <w:rsid w:val="00570573"/>
    <w:rsid w:val="00572383"/>
    <w:rsid w:val="00572EC6"/>
    <w:rsid w:val="005765C4"/>
    <w:rsid w:val="005A24B4"/>
    <w:rsid w:val="005A71B0"/>
    <w:rsid w:val="005B11AB"/>
    <w:rsid w:val="005B7DB7"/>
    <w:rsid w:val="005E4F3A"/>
    <w:rsid w:val="005F1420"/>
    <w:rsid w:val="006131D5"/>
    <w:rsid w:val="00624BCD"/>
    <w:rsid w:val="006705DB"/>
    <w:rsid w:val="006A2197"/>
    <w:rsid w:val="006D74F1"/>
    <w:rsid w:val="00792270"/>
    <w:rsid w:val="007C3D75"/>
    <w:rsid w:val="007D6EEC"/>
    <w:rsid w:val="007E0271"/>
    <w:rsid w:val="007E38FC"/>
    <w:rsid w:val="007E7D4E"/>
    <w:rsid w:val="0082583B"/>
    <w:rsid w:val="00892F5E"/>
    <w:rsid w:val="00896F65"/>
    <w:rsid w:val="008B18B5"/>
    <w:rsid w:val="008E62B9"/>
    <w:rsid w:val="008F013E"/>
    <w:rsid w:val="008F3173"/>
    <w:rsid w:val="0090022C"/>
    <w:rsid w:val="0091449B"/>
    <w:rsid w:val="00933253"/>
    <w:rsid w:val="0096499C"/>
    <w:rsid w:val="00981995"/>
    <w:rsid w:val="009B6F73"/>
    <w:rsid w:val="009C44BF"/>
    <w:rsid w:val="009F4AF9"/>
    <w:rsid w:val="00A4066F"/>
    <w:rsid w:val="00A41E37"/>
    <w:rsid w:val="00A62000"/>
    <w:rsid w:val="00A85C4F"/>
    <w:rsid w:val="00AA4603"/>
    <w:rsid w:val="00AE1C49"/>
    <w:rsid w:val="00AE7903"/>
    <w:rsid w:val="00B15ECE"/>
    <w:rsid w:val="00B32E72"/>
    <w:rsid w:val="00B4495F"/>
    <w:rsid w:val="00B45B98"/>
    <w:rsid w:val="00B552F1"/>
    <w:rsid w:val="00B70C2C"/>
    <w:rsid w:val="00B80903"/>
    <w:rsid w:val="00B82121"/>
    <w:rsid w:val="00B8684D"/>
    <w:rsid w:val="00B91BB8"/>
    <w:rsid w:val="00BC1017"/>
    <w:rsid w:val="00C11CAD"/>
    <w:rsid w:val="00C160AE"/>
    <w:rsid w:val="00C871F9"/>
    <w:rsid w:val="00C97ABB"/>
    <w:rsid w:val="00CB01C6"/>
    <w:rsid w:val="00CC1754"/>
    <w:rsid w:val="00CE3BC4"/>
    <w:rsid w:val="00D444A7"/>
    <w:rsid w:val="00D5646E"/>
    <w:rsid w:val="00DD506A"/>
    <w:rsid w:val="00DF67BD"/>
    <w:rsid w:val="00E140D7"/>
    <w:rsid w:val="00E371F7"/>
    <w:rsid w:val="00E67E04"/>
    <w:rsid w:val="00E833B4"/>
    <w:rsid w:val="00EA7C93"/>
    <w:rsid w:val="00EE6325"/>
    <w:rsid w:val="00EF0C06"/>
    <w:rsid w:val="00F25CBC"/>
    <w:rsid w:val="00F46DB1"/>
    <w:rsid w:val="00F55B60"/>
    <w:rsid w:val="00FA3B71"/>
    <w:rsid w:val="00FB6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FEF9CE"/>
  <w15:chartTrackingRefBased/>
  <w15:docId w15:val="{487C1671-A985-4CE1-9500-98002F3B6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w:hAnsi="Times New Roman" w:cs="Times New Roman"/>
        <w:sz w:val="24"/>
        <w:szCs w:val="40"/>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013E"/>
    <w:pPr>
      <w:spacing w:after="0" w:line="276" w:lineRule="auto"/>
    </w:pPr>
    <w:rPr>
      <w:lang w:val="en-GB"/>
    </w:rPr>
  </w:style>
  <w:style w:type="paragraph" w:styleId="Heading1">
    <w:name w:val="heading 1"/>
    <w:basedOn w:val="Normal"/>
    <w:link w:val="Heading1Char"/>
    <w:autoRedefine/>
    <w:uiPriority w:val="9"/>
    <w:qFormat/>
    <w:rsid w:val="008F3173"/>
    <w:pPr>
      <w:widowControl w:val="0"/>
      <w:autoSpaceDE w:val="0"/>
      <w:autoSpaceDN w:val="0"/>
      <w:spacing w:before="240" w:after="240" w:line="240" w:lineRule="auto"/>
      <w:ind w:right="369"/>
      <w:jc w:val="center"/>
      <w:outlineLvl w:val="0"/>
    </w:pPr>
    <w:rPr>
      <w:rFonts w:eastAsia="Times New Roman"/>
      <w:b/>
      <w:bCs/>
      <w:szCs w:val="28"/>
      <w:lang w:val="en-US"/>
    </w:rPr>
  </w:style>
  <w:style w:type="paragraph" w:styleId="Heading2">
    <w:name w:val="heading 2"/>
    <w:basedOn w:val="Normal"/>
    <w:next w:val="Normal"/>
    <w:link w:val="Heading2Char"/>
    <w:autoRedefine/>
    <w:uiPriority w:val="9"/>
    <w:unhideWhenUsed/>
    <w:qFormat/>
    <w:rsid w:val="00C160AE"/>
    <w:pPr>
      <w:keepNext/>
      <w:keepLines/>
      <w:spacing w:before="160" w:after="80" w:line="278" w:lineRule="auto"/>
      <w:jc w:val="both"/>
      <w:outlineLvl w:val="1"/>
    </w:pPr>
    <w:rPr>
      <w:rFonts w:eastAsia="Calibri" w:cstheme="majorBidi"/>
      <w:b/>
      <w:color w:val="000000" w:themeColor="text1"/>
      <w:szCs w:val="32"/>
    </w:rPr>
  </w:style>
  <w:style w:type="paragraph" w:styleId="Heading3">
    <w:name w:val="heading 3"/>
    <w:basedOn w:val="Normal"/>
    <w:next w:val="Normal"/>
    <w:link w:val="Heading3Char"/>
    <w:uiPriority w:val="9"/>
    <w:semiHidden/>
    <w:unhideWhenUsed/>
    <w:qFormat/>
    <w:rsid w:val="002F04C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autoRedefine/>
    <w:uiPriority w:val="9"/>
    <w:unhideWhenUsed/>
    <w:qFormat/>
    <w:rsid w:val="00C160AE"/>
    <w:pPr>
      <w:keepNext/>
      <w:keepLines/>
      <w:spacing w:before="80" w:after="40" w:line="278" w:lineRule="auto"/>
      <w:jc w:val="center"/>
      <w:outlineLvl w:val="3"/>
    </w:pPr>
    <w:rPr>
      <w:rFonts w:eastAsiaTheme="majorEastAsia" w:cstheme="majorBidi"/>
      <w:b/>
      <w:iCs/>
    </w:rPr>
  </w:style>
  <w:style w:type="paragraph" w:styleId="Heading5">
    <w:name w:val="heading 5"/>
    <w:basedOn w:val="Normal"/>
    <w:next w:val="Normal"/>
    <w:link w:val="Heading5Char"/>
    <w:autoRedefine/>
    <w:uiPriority w:val="9"/>
    <w:unhideWhenUsed/>
    <w:qFormat/>
    <w:rsid w:val="00F25CBC"/>
    <w:pPr>
      <w:keepNext/>
      <w:keepLines/>
      <w:spacing w:before="80" w:after="40" w:line="278" w:lineRule="auto"/>
      <w:jc w:val="center"/>
      <w:outlineLvl w:val="4"/>
    </w:pPr>
    <w:rPr>
      <w:rFonts w:eastAsia="Calibri" w:cs="Calibri"/>
      <w:b/>
      <w:bCs/>
      <w:color w:val="000000" w:themeColor="text1"/>
      <w:lang w:eastAsia="en-GB"/>
    </w:rPr>
  </w:style>
  <w:style w:type="paragraph" w:styleId="Heading6">
    <w:name w:val="heading 6"/>
    <w:basedOn w:val="Normal"/>
    <w:next w:val="Normal"/>
    <w:link w:val="Heading6Char"/>
    <w:autoRedefine/>
    <w:uiPriority w:val="9"/>
    <w:semiHidden/>
    <w:unhideWhenUsed/>
    <w:qFormat/>
    <w:rsid w:val="00B70C2C"/>
    <w:pPr>
      <w:keepNext/>
      <w:keepLines/>
      <w:spacing w:before="40" w:line="240" w:lineRule="auto"/>
      <w:outlineLvl w:val="5"/>
    </w:pPr>
    <w:rPr>
      <w:rFonts w:eastAsiaTheme="majorEastAsia" w:cstheme="majorBidi"/>
      <w:kern w:val="2"/>
      <w14:ligatures w14:val="standardContextual"/>
    </w:rPr>
  </w:style>
  <w:style w:type="paragraph" w:styleId="Heading7">
    <w:name w:val="heading 7"/>
    <w:basedOn w:val="Normal"/>
    <w:next w:val="Normal"/>
    <w:link w:val="Heading7Char"/>
    <w:uiPriority w:val="9"/>
    <w:semiHidden/>
    <w:unhideWhenUsed/>
    <w:qFormat/>
    <w:rsid w:val="002F04C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F04C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F04C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APAStyle">
    <w:name w:val="APA Style"/>
    <w:basedOn w:val="TableNormal"/>
    <w:uiPriority w:val="99"/>
    <w:rsid w:val="004E5A88"/>
    <w:pPr>
      <w:spacing w:line="240" w:lineRule="auto"/>
    </w:pPr>
    <w:rPr>
      <w:bCs/>
    </w:rPr>
    <w:tblPr/>
    <w:tblStylePr w:type="firstRow">
      <w:rPr>
        <w:rFonts w:ascii="Times New Roman" w:hAnsi="Times New Roman"/>
        <w:b/>
        <w:sz w:val="24"/>
      </w:rPr>
      <w:tblPr/>
      <w:tcPr>
        <w:tcBorders>
          <w:top w:val="single" w:sz="4" w:space="0" w:color="auto"/>
          <w:bottom w:val="single" w:sz="4" w:space="0" w:color="auto"/>
        </w:tcBorders>
      </w:tcPr>
    </w:tblStylePr>
    <w:tblStylePr w:type="lastRow">
      <w:tblPr/>
      <w:tcPr>
        <w:tcBorders>
          <w:bottom w:val="single" w:sz="4" w:space="0" w:color="auto"/>
        </w:tcBorders>
      </w:tcPr>
    </w:tblStylePr>
  </w:style>
  <w:style w:type="table" w:styleId="TableGrid">
    <w:name w:val="Table Grid"/>
    <w:basedOn w:val="TableNormal"/>
    <w:uiPriority w:val="39"/>
    <w:rsid w:val="00277BF4"/>
    <w:pPr>
      <w:spacing w:line="240" w:lineRule="auto"/>
    </w:pPr>
    <w:tblPr>
      <w:tblBorders>
        <w:top w:val="single" w:sz="4" w:space="0" w:color="auto"/>
      </w:tblBorders>
    </w:tblPr>
    <w:tblStylePr w:type="firstRow">
      <w:pPr>
        <w:jc w:val="center"/>
      </w:pPr>
      <w:rPr>
        <w:b/>
      </w:rPr>
      <w:tblPr/>
      <w:tcPr>
        <w:tcBorders>
          <w:top w:val="single" w:sz="4" w:space="0" w:color="auto"/>
          <w:bottom w:val="single" w:sz="4" w:space="0" w:color="auto"/>
        </w:tcBorders>
        <w:vAlign w:val="center"/>
      </w:tcPr>
    </w:tblStylePr>
    <w:tblStylePr w:type="lastRow">
      <w:rPr>
        <w:b/>
      </w:rPr>
      <w:tblPr/>
      <w:tcPr>
        <w:tcBorders>
          <w:top w:val="nil"/>
          <w:left w:val="nil"/>
          <w:bottom w:val="single" w:sz="4" w:space="0" w:color="auto"/>
          <w:right w:val="nil"/>
          <w:insideH w:val="nil"/>
          <w:insideV w:val="nil"/>
          <w:tl2br w:val="nil"/>
          <w:tr2bl w:val="nil"/>
        </w:tcBorders>
      </w:tcPr>
    </w:tblStylePr>
  </w:style>
  <w:style w:type="table" w:customStyle="1" w:styleId="TableGrid1">
    <w:name w:val="Table Grid1"/>
    <w:basedOn w:val="TableNormal"/>
    <w:next w:val="TableGrid"/>
    <w:uiPriority w:val="59"/>
    <w:rsid w:val="007D6EEC"/>
    <w:pPr>
      <w:spacing w:line="240" w:lineRule="auto"/>
    </w:pPr>
    <w:rPr>
      <w:rFonts w:eastAsia="MS Mincho"/>
    </w:rPr>
    <w:tblPr/>
    <w:tblStylePr w:type="firstRow">
      <w:rPr>
        <w:rFonts w:ascii="Times New Roman" w:hAnsi="Times New Roman"/>
        <w:b/>
        <w:sz w:val="24"/>
      </w:rPr>
      <w:tblPr/>
      <w:tcPr>
        <w:tcBorders>
          <w:top w:val="single" w:sz="4" w:space="0" w:color="auto"/>
          <w:bottom w:val="single" w:sz="4" w:space="0" w:color="auto"/>
        </w:tcBorders>
      </w:tcPr>
    </w:tblStylePr>
    <w:tblStylePr w:type="lastRow">
      <w:tblPr/>
      <w:tcPr>
        <w:tcBorders>
          <w:bottom w:val="single" w:sz="4" w:space="0" w:color="auto"/>
        </w:tcBorders>
      </w:tcPr>
    </w:tblStylePr>
  </w:style>
  <w:style w:type="paragraph" w:styleId="Subtitle">
    <w:name w:val="Subtitle"/>
    <w:basedOn w:val="Normal"/>
    <w:next w:val="Normal"/>
    <w:link w:val="SubtitleChar"/>
    <w:autoRedefine/>
    <w:uiPriority w:val="11"/>
    <w:qFormat/>
    <w:rsid w:val="008F3173"/>
    <w:pPr>
      <w:spacing w:after="160" w:line="259" w:lineRule="auto"/>
    </w:pPr>
    <w:rPr>
      <w:rFonts w:eastAsia="Times New Roman"/>
      <w:b/>
      <w:color w:val="000000"/>
      <w:szCs w:val="22"/>
      <w:lang w:val="en-US"/>
    </w:rPr>
  </w:style>
  <w:style w:type="character" w:customStyle="1" w:styleId="SubtitleChar">
    <w:name w:val="Subtitle Char"/>
    <w:basedOn w:val="DefaultParagraphFont"/>
    <w:link w:val="Subtitle"/>
    <w:uiPriority w:val="11"/>
    <w:qFormat/>
    <w:rsid w:val="008F3173"/>
    <w:rPr>
      <w:rFonts w:eastAsia="Times New Roman"/>
      <w:b/>
      <w:color w:val="000000"/>
      <w:szCs w:val="22"/>
      <w:lang w:val="en-US"/>
    </w:rPr>
  </w:style>
  <w:style w:type="character" w:customStyle="1" w:styleId="Heading1Char">
    <w:name w:val="Heading 1 Char"/>
    <w:basedOn w:val="DefaultParagraphFont"/>
    <w:link w:val="Heading1"/>
    <w:uiPriority w:val="9"/>
    <w:qFormat/>
    <w:rsid w:val="008F3173"/>
    <w:rPr>
      <w:rFonts w:eastAsia="Times New Roman"/>
      <w:b/>
      <w:bCs/>
      <w:szCs w:val="28"/>
      <w:lang w:val="en-US"/>
    </w:rPr>
  </w:style>
  <w:style w:type="character" w:customStyle="1" w:styleId="Heading2Char">
    <w:name w:val="Heading 2 Char"/>
    <w:basedOn w:val="DefaultParagraphFont"/>
    <w:link w:val="Heading2"/>
    <w:uiPriority w:val="9"/>
    <w:rsid w:val="00C160AE"/>
    <w:rPr>
      <w:rFonts w:eastAsia="Calibri" w:cstheme="majorBidi"/>
      <w:b/>
      <w:color w:val="000000" w:themeColor="text1"/>
      <w:szCs w:val="32"/>
    </w:rPr>
  </w:style>
  <w:style w:type="paragraph" w:styleId="TableofFigures">
    <w:name w:val="table of figures"/>
    <w:basedOn w:val="Normal"/>
    <w:next w:val="Normal"/>
    <w:autoRedefine/>
    <w:uiPriority w:val="99"/>
    <w:unhideWhenUsed/>
    <w:qFormat/>
    <w:rsid w:val="00D5646E"/>
    <w:pPr>
      <w:spacing w:line="480" w:lineRule="auto"/>
    </w:pPr>
  </w:style>
  <w:style w:type="table" w:customStyle="1" w:styleId="Style2">
    <w:name w:val="Style2"/>
    <w:basedOn w:val="TableNormal"/>
    <w:uiPriority w:val="99"/>
    <w:rsid w:val="00EA7C93"/>
    <w:pPr>
      <w:spacing w:line="240" w:lineRule="auto"/>
    </w:pPr>
    <w:tblPr/>
    <w:tblStylePr w:type="firstRow">
      <w:rPr>
        <w:b/>
      </w:rPr>
      <w:tblPr/>
      <w:tcPr>
        <w:tcBorders>
          <w:top w:val="single" w:sz="4" w:space="0" w:color="auto"/>
          <w:bottom w:val="single" w:sz="4" w:space="0" w:color="auto"/>
        </w:tcBorders>
      </w:tcPr>
    </w:tblStylePr>
    <w:tblStylePr w:type="lastRow">
      <w:tblPr/>
      <w:tcPr>
        <w:tcBorders>
          <w:bottom w:val="single" w:sz="4" w:space="0" w:color="auto"/>
        </w:tcBorders>
      </w:tcPr>
    </w:tblStylePr>
  </w:style>
  <w:style w:type="paragraph" w:styleId="ListParagraph">
    <w:name w:val="List Paragraph"/>
    <w:basedOn w:val="Normal"/>
    <w:autoRedefine/>
    <w:uiPriority w:val="34"/>
    <w:qFormat/>
    <w:rsid w:val="00234FF6"/>
    <w:pPr>
      <w:numPr>
        <w:numId w:val="18"/>
      </w:numPr>
      <w:spacing w:line="240" w:lineRule="auto"/>
      <w:contextualSpacing/>
      <w:jc w:val="both"/>
    </w:pPr>
    <w:rPr>
      <w:b/>
      <w:kern w:val="2"/>
      <w:szCs w:val="24"/>
      <w14:ligatures w14:val="standardContextual"/>
    </w:rPr>
  </w:style>
  <w:style w:type="paragraph" w:customStyle="1" w:styleId="Heading11">
    <w:name w:val="Heading 11"/>
    <w:basedOn w:val="Normal"/>
    <w:next w:val="Normal"/>
    <w:autoRedefine/>
    <w:uiPriority w:val="9"/>
    <w:qFormat/>
    <w:rsid w:val="00572383"/>
    <w:pPr>
      <w:keepNext/>
      <w:keepLines/>
      <w:spacing w:line="480" w:lineRule="auto"/>
      <w:outlineLvl w:val="0"/>
    </w:pPr>
    <w:rPr>
      <w:rFonts w:eastAsia="Times New Roman"/>
      <w:b/>
      <w:bCs/>
      <w:color w:val="000000" w:themeColor="text1"/>
      <w:kern w:val="2"/>
      <w:lang w:val="en-US"/>
      <w14:ligatures w14:val="standardContextual"/>
    </w:rPr>
  </w:style>
  <w:style w:type="table" w:customStyle="1" w:styleId="Style1">
    <w:name w:val="Style1"/>
    <w:basedOn w:val="TableNormal"/>
    <w:uiPriority w:val="99"/>
    <w:rsid w:val="00561206"/>
    <w:pPr>
      <w:spacing w:after="0" w:line="240" w:lineRule="auto"/>
    </w:pPr>
    <w:rPr>
      <w:rFonts w:eastAsiaTheme="minorHAnsi" w:cstheme="minorBidi"/>
      <w:szCs w:val="22"/>
      <w:lang w:val="en-GB"/>
    </w:rPr>
    <w:tblPr/>
    <w:tblStylePr w:type="firstRow">
      <w:pPr>
        <w:jc w:val="center"/>
      </w:pPr>
      <w:rPr>
        <w:rFonts w:ascii="Times New Roman" w:hAnsi="Times New Roman"/>
        <w:b/>
        <w:sz w:val="24"/>
      </w:rPr>
      <w:tblPr/>
      <w:tcPr>
        <w:tcBorders>
          <w:top w:val="single" w:sz="4" w:space="0" w:color="auto"/>
          <w:bottom w:val="single" w:sz="4" w:space="0" w:color="auto"/>
        </w:tcBorders>
        <w:vAlign w:val="center"/>
      </w:tcPr>
    </w:tblStylePr>
    <w:tblStylePr w:type="lastRow">
      <w:tblPr/>
      <w:tcPr>
        <w:tcBorders>
          <w:bottom w:val="single" w:sz="4" w:space="0" w:color="auto"/>
        </w:tcBorders>
      </w:tcPr>
    </w:tblStylePr>
  </w:style>
  <w:style w:type="character" w:customStyle="1" w:styleId="Heading4Char">
    <w:name w:val="Heading 4 Char"/>
    <w:basedOn w:val="DefaultParagraphFont"/>
    <w:link w:val="Heading4"/>
    <w:uiPriority w:val="9"/>
    <w:rsid w:val="00C160AE"/>
    <w:rPr>
      <w:rFonts w:eastAsiaTheme="majorEastAsia" w:cstheme="majorBidi"/>
      <w:b/>
      <w:iCs/>
    </w:rPr>
  </w:style>
  <w:style w:type="paragraph" w:styleId="NoSpacing">
    <w:name w:val="No Spacing"/>
    <w:autoRedefine/>
    <w:uiPriority w:val="1"/>
    <w:qFormat/>
    <w:rsid w:val="00B70C2C"/>
    <w:pPr>
      <w:jc w:val="center"/>
    </w:pPr>
    <w:rPr>
      <w:b/>
    </w:rPr>
  </w:style>
  <w:style w:type="character" w:customStyle="1" w:styleId="Heading5Char">
    <w:name w:val="Heading 5 Char"/>
    <w:basedOn w:val="DefaultParagraphFont"/>
    <w:link w:val="Heading5"/>
    <w:uiPriority w:val="9"/>
    <w:rsid w:val="00F25CBC"/>
    <w:rPr>
      <w:rFonts w:eastAsia="Calibri" w:cs="Calibri"/>
      <w:b/>
      <w:bCs/>
      <w:color w:val="000000" w:themeColor="text1"/>
      <w:lang w:eastAsia="en-GB"/>
    </w:rPr>
  </w:style>
  <w:style w:type="character" w:customStyle="1" w:styleId="Heading6Char">
    <w:name w:val="Heading 6 Char"/>
    <w:basedOn w:val="DefaultParagraphFont"/>
    <w:link w:val="Heading6"/>
    <w:uiPriority w:val="9"/>
    <w:semiHidden/>
    <w:rsid w:val="00B70C2C"/>
    <w:rPr>
      <w:rFonts w:eastAsiaTheme="majorEastAsia" w:cstheme="majorBidi"/>
      <w:b/>
    </w:rPr>
  </w:style>
  <w:style w:type="paragraph" w:customStyle="1" w:styleId="Subtitle1">
    <w:name w:val="Subtitle1"/>
    <w:basedOn w:val="Normal"/>
    <w:next w:val="Normal"/>
    <w:autoRedefine/>
    <w:uiPriority w:val="11"/>
    <w:qFormat/>
    <w:rsid w:val="008F3173"/>
    <w:pPr>
      <w:spacing w:after="160" w:line="259" w:lineRule="auto"/>
      <w:jc w:val="center"/>
    </w:pPr>
    <w:rPr>
      <w:rFonts w:eastAsia="Times New Roman" w:cstheme="minorBidi"/>
      <w:b/>
      <w:color w:val="000000"/>
      <w:kern w:val="2"/>
      <w:szCs w:val="24"/>
      <w:lang w:val="en-US"/>
      <w14:ligatures w14:val="standardContextual"/>
    </w:rPr>
  </w:style>
  <w:style w:type="character" w:customStyle="1" w:styleId="Heading3Char">
    <w:name w:val="Heading 3 Char"/>
    <w:basedOn w:val="DefaultParagraphFont"/>
    <w:link w:val="Heading3"/>
    <w:uiPriority w:val="9"/>
    <w:semiHidden/>
    <w:rsid w:val="002F04CA"/>
    <w:rPr>
      <w:rFonts w:asciiTheme="minorHAnsi" w:eastAsiaTheme="majorEastAsia" w:hAnsiTheme="minorHAnsi" w:cstheme="majorBidi"/>
      <w:color w:val="2F5496" w:themeColor="accent1" w:themeShade="BF"/>
      <w:sz w:val="28"/>
      <w:szCs w:val="28"/>
      <w:lang w:val="en-GB"/>
    </w:rPr>
  </w:style>
  <w:style w:type="character" w:customStyle="1" w:styleId="Heading7Char">
    <w:name w:val="Heading 7 Char"/>
    <w:basedOn w:val="DefaultParagraphFont"/>
    <w:link w:val="Heading7"/>
    <w:uiPriority w:val="9"/>
    <w:semiHidden/>
    <w:rsid w:val="002F04CA"/>
    <w:rPr>
      <w:rFonts w:asciiTheme="minorHAnsi" w:eastAsiaTheme="majorEastAsia" w:hAnsiTheme="minorHAnsi" w:cstheme="majorBidi"/>
      <w:color w:val="595959" w:themeColor="text1" w:themeTint="A6"/>
      <w:lang w:val="en-GB"/>
    </w:rPr>
  </w:style>
  <w:style w:type="character" w:customStyle="1" w:styleId="Heading8Char">
    <w:name w:val="Heading 8 Char"/>
    <w:basedOn w:val="DefaultParagraphFont"/>
    <w:link w:val="Heading8"/>
    <w:uiPriority w:val="9"/>
    <w:semiHidden/>
    <w:rsid w:val="002F04CA"/>
    <w:rPr>
      <w:rFonts w:asciiTheme="minorHAnsi" w:eastAsiaTheme="majorEastAsia" w:hAnsiTheme="minorHAnsi" w:cstheme="majorBidi"/>
      <w:i/>
      <w:iCs/>
      <w:color w:val="272727" w:themeColor="text1" w:themeTint="D8"/>
      <w:lang w:val="en-GB"/>
    </w:rPr>
  </w:style>
  <w:style w:type="character" w:customStyle="1" w:styleId="Heading9Char">
    <w:name w:val="Heading 9 Char"/>
    <w:basedOn w:val="DefaultParagraphFont"/>
    <w:link w:val="Heading9"/>
    <w:uiPriority w:val="9"/>
    <w:semiHidden/>
    <w:rsid w:val="002F04CA"/>
    <w:rPr>
      <w:rFonts w:asciiTheme="minorHAnsi" w:eastAsiaTheme="majorEastAsia" w:hAnsiTheme="minorHAnsi" w:cstheme="majorBidi"/>
      <w:color w:val="272727" w:themeColor="text1" w:themeTint="D8"/>
      <w:lang w:val="en-GB"/>
    </w:rPr>
  </w:style>
  <w:style w:type="paragraph" w:styleId="Title">
    <w:name w:val="Title"/>
    <w:basedOn w:val="Normal"/>
    <w:next w:val="Normal"/>
    <w:link w:val="TitleChar"/>
    <w:uiPriority w:val="10"/>
    <w:qFormat/>
    <w:rsid w:val="002F04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04CA"/>
    <w:rPr>
      <w:rFonts w:asciiTheme="majorHAnsi" w:eastAsiaTheme="majorEastAsia" w:hAnsiTheme="majorHAnsi" w:cstheme="majorBidi"/>
      <w:spacing w:val="-10"/>
      <w:kern w:val="28"/>
      <w:sz w:val="56"/>
      <w:szCs w:val="56"/>
      <w:lang w:val="en-GB"/>
    </w:rPr>
  </w:style>
  <w:style w:type="paragraph" w:styleId="Quote">
    <w:name w:val="Quote"/>
    <w:basedOn w:val="Normal"/>
    <w:next w:val="Normal"/>
    <w:link w:val="QuoteChar"/>
    <w:uiPriority w:val="29"/>
    <w:qFormat/>
    <w:rsid w:val="002F04C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F04CA"/>
    <w:rPr>
      <w:i/>
      <w:iCs/>
      <w:color w:val="404040" w:themeColor="text1" w:themeTint="BF"/>
      <w:lang w:val="en-GB"/>
    </w:rPr>
  </w:style>
  <w:style w:type="character" w:styleId="IntenseEmphasis">
    <w:name w:val="Intense Emphasis"/>
    <w:basedOn w:val="DefaultParagraphFont"/>
    <w:uiPriority w:val="21"/>
    <w:qFormat/>
    <w:rsid w:val="002F04CA"/>
    <w:rPr>
      <w:i/>
      <w:iCs/>
      <w:color w:val="2F5496" w:themeColor="accent1" w:themeShade="BF"/>
    </w:rPr>
  </w:style>
  <w:style w:type="paragraph" w:styleId="IntenseQuote">
    <w:name w:val="Intense Quote"/>
    <w:basedOn w:val="Normal"/>
    <w:next w:val="Normal"/>
    <w:link w:val="IntenseQuoteChar"/>
    <w:uiPriority w:val="30"/>
    <w:qFormat/>
    <w:rsid w:val="002F04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F04CA"/>
    <w:rPr>
      <w:i/>
      <w:iCs/>
      <w:color w:val="2F5496" w:themeColor="accent1" w:themeShade="BF"/>
      <w:lang w:val="en-GB"/>
    </w:rPr>
  </w:style>
  <w:style w:type="character" w:styleId="IntenseReference">
    <w:name w:val="Intense Reference"/>
    <w:basedOn w:val="DefaultParagraphFont"/>
    <w:uiPriority w:val="32"/>
    <w:qFormat/>
    <w:rsid w:val="002F04CA"/>
    <w:rPr>
      <w:b/>
      <w:bCs/>
      <w:smallCaps/>
      <w:color w:val="2F5496" w:themeColor="accent1" w:themeShade="BF"/>
      <w:spacing w:val="5"/>
    </w:rPr>
  </w:style>
  <w:style w:type="character" w:styleId="Hyperlink">
    <w:name w:val="Hyperlink"/>
    <w:basedOn w:val="DefaultParagraphFont"/>
    <w:uiPriority w:val="99"/>
    <w:unhideWhenUsed/>
    <w:rsid w:val="00471D2D"/>
    <w:rPr>
      <w:color w:val="0563C1" w:themeColor="hyperlink"/>
      <w:u w:val="single"/>
    </w:rPr>
  </w:style>
  <w:style w:type="paragraph" w:styleId="Header">
    <w:name w:val="header"/>
    <w:basedOn w:val="Normal"/>
    <w:link w:val="HeaderChar"/>
    <w:uiPriority w:val="99"/>
    <w:unhideWhenUsed/>
    <w:rsid w:val="00E140D7"/>
    <w:pPr>
      <w:tabs>
        <w:tab w:val="center" w:pos="4680"/>
        <w:tab w:val="right" w:pos="9360"/>
      </w:tabs>
      <w:spacing w:line="240" w:lineRule="auto"/>
    </w:pPr>
  </w:style>
  <w:style w:type="character" w:customStyle="1" w:styleId="HeaderChar">
    <w:name w:val="Header Char"/>
    <w:basedOn w:val="DefaultParagraphFont"/>
    <w:link w:val="Header"/>
    <w:uiPriority w:val="99"/>
    <w:rsid w:val="00E140D7"/>
    <w:rPr>
      <w:lang w:val="en-GB"/>
    </w:rPr>
  </w:style>
  <w:style w:type="paragraph" w:styleId="Footer">
    <w:name w:val="footer"/>
    <w:basedOn w:val="Normal"/>
    <w:link w:val="FooterChar"/>
    <w:uiPriority w:val="99"/>
    <w:unhideWhenUsed/>
    <w:rsid w:val="00E140D7"/>
    <w:pPr>
      <w:tabs>
        <w:tab w:val="center" w:pos="4680"/>
        <w:tab w:val="right" w:pos="9360"/>
      </w:tabs>
      <w:spacing w:line="240" w:lineRule="auto"/>
    </w:pPr>
  </w:style>
  <w:style w:type="character" w:customStyle="1" w:styleId="FooterChar">
    <w:name w:val="Footer Char"/>
    <w:basedOn w:val="DefaultParagraphFont"/>
    <w:link w:val="Footer"/>
    <w:uiPriority w:val="99"/>
    <w:rsid w:val="00E140D7"/>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281/zenodo.3755070" TargetMode="External"/><Relationship Id="rId13" Type="http://schemas.openxmlformats.org/officeDocument/2006/relationships/hyperlink" Target="https://doi.org/10.48173/jwh.v4i4.203" TargetMode="External"/><Relationship Id="rId18" Type="http://schemas.openxmlformats.org/officeDocument/2006/relationships/hyperlink" Target="https://doi.org/10.9734/jenrr/2024/v16i2332"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xplorer.ng/lagos/lagos-state-population-by-local-government-area/" TargetMode="External"/><Relationship Id="rId7" Type="http://schemas.openxmlformats.org/officeDocument/2006/relationships/hyperlink" Target="https://doi.org/10.9734/psij/2024/v28i4838" TargetMode="External"/><Relationship Id="rId12" Type="http://schemas.openxmlformats.org/officeDocument/2006/relationships/hyperlink" Target="https://doi.org/10.1016/S0140-6736(13)61613-X" TargetMode="External"/><Relationship Id="rId17" Type="http://schemas.openxmlformats.org/officeDocument/2006/relationships/hyperlink" Target="https://doi.org/10.9734/jerr/2024/v26i121335"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openjournals.ijaar.org/index.php/ajesd/article/view/864" TargetMode="External"/><Relationship Id="rId20" Type="http://schemas.openxmlformats.org/officeDocument/2006/relationships/hyperlink" Target="https://iris.who.int/handle/10665/279952"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1834/ebpj.v6i18.2978"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doi.org/10.3390/ijerph15112400"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doi.org/10.21834/ebpj.v6i18.2978" TargetMode="External"/><Relationship Id="rId19" Type="http://schemas.openxmlformats.org/officeDocument/2006/relationships/hyperlink" Target="https://doi.org/10.1007/s40572-015-0044-1" TargetMode="External"/><Relationship Id="rId4" Type="http://schemas.openxmlformats.org/officeDocument/2006/relationships/webSettings" Target="webSettings.xml"/><Relationship Id="rId9" Type="http://schemas.openxmlformats.org/officeDocument/2006/relationships/hyperlink" Target="https://doi.org/10.5281/zenodo.3755070" TargetMode="External"/><Relationship Id="rId14" Type="http://schemas.openxmlformats.org/officeDocument/2006/relationships/hyperlink" Target="https://www.ncbi.nlm.nih.gov/books/NBK541120/" TargetMode="External"/><Relationship Id="rId22" Type="http://schemas.openxmlformats.org/officeDocument/2006/relationships/hyperlink" Target="https://xplorer.ng/lagos/lagos-state-population-by-local-government-area/"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13</Pages>
  <Words>5909</Words>
  <Characters>33685</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Nkadi</dc:creator>
  <cp:keywords/>
  <dc:description/>
  <cp:lastModifiedBy>SDI 1084</cp:lastModifiedBy>
  <cp:revision>12</cp:revision>
  <dcterms:created xsi:type="dcterms:W3CDTF">2026-02-25T14:55:00Z</dcterms:created>
  <dcterms:modified xsi:type="dcterms:W3CDTF">2026-04-24T13:11:00Z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3a69ebba-771f-42ae-8fcb-91b74e59cd21</vt:lpwstr>
  </property>
</Properties>
</file>