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D57B2F" w14:textId="77777777" w:rsidR="00760213" w:rsidRDefault="00760213" w:rsidP="00F940FB">
      <w:pPr>
        <w:spacing w:line="360" w:lineRule="auto"/>
      </w:pPr>
    </w:p>
    <w:p w14:paraId="37E3774B" w14:textId="77777777" w:rsidR="00760213" w:rsidRDefault="00073C4C" w:rsidP="00F940FB">
      <w:pPr>
        <w:spacing w:after="200" w:line="360" w:lineRule="auto"/>
        <w:jc w:val="center"/>
      </w:pPr>
      <w:r>
        <w:rPr>
          <w:b/>
          <w:bCs/>
          <w:sz w:val="32"/>
          <w:szCs w:val="32"/>
        </w:rPr>
        <w:t>Environmental Implications of Plastic-Degrading Bacterial Enzymes in PET Bioremediation</w:t>
      </w:r>
    </w:p>
    <w:p w14:paraId="2C643B15" w14:textId="77777777" w:rsidR="00760213" w:rsidRDefault="00760213" w:rsidP="00F940FB">
      <w:pPr>
        <w:spacing w:line="360" w:lineRule="auto"/>
      </w:pPr>
    </w:p>
    <w:p w14:paraId="3104E0B7" w14:textId="77777777" w:rsidR="007E70AC" w:rsidRPr="00D30925" w:rsidRDefault="007E70AC" w:rsidP="007E70AC"/>
    <w:p w14:paraId="30D5DF19" w14:textId="77777777" w:rsidR="00760213" w:rsidRDefault="00073C4C" w:rsidP="00F940FB">
      <w:pPr>
        <w:pStyle w:val="Heading1"/>
        <w:spacing w:line="360" w:lineRule="auto"/>
      </w:pPr>
      <w:bookmarkStart w:id="0" w:name="_GoBack"/>
      <w:bookmarkEnd w:id="0"/>
      <w:r>
        <w:rPr>
          <w:caps/>
        </w:rPr>
        <w:t>Abstract</w:t>
      </w:r>
    </w:p>
    <w:p w14:paraId="363099B1" w14:textId="3B2B2C0F" w:rsidR="00403D2B" w:rsidRDefault="00403D2B" w:rsidP="00F940FB">
      <w:pPr>
        <w:spacing w:line="360" w:lineRule="auto"/>
      </w:pPr>
      <w:r w:rsidRPr="00403D2B">
        <w:t xml:space="preserve">Polyethylene terephthalate (PET) is one of the most widely found and environmentally recalcitrant synthetic polymers in the globe, with an annual production of over 70 million metric tonnes and reported persistence in natural ecosystems over a period of several centuries. Traditional physical and chemical recycling methods have proven to be not very effective in controlling the magnitude and spread of PET pollution, especially in aquatic and terrestrial environments. The bioremediation of the enzyme has become a mechanistically promising and environmentally compatible alternative to enzymatic bioremediation which is centered on bacterial hydrolyases such as PETase and its synergistic companion MHETase. </w:t>
      </w:r>
    </w:p>
    <w:p w14:paraId="024600E9" w14:textId="529DACBB" w:rsidR="00403D2B" w:rsidRDefault="00403D2B" w:rsidP="00F940FB">
      <w:pPr>
        <w:spacing w:line="360" w:lineRule="auto"/>
      </w:pPr>
    </w:p>
    <w:p w14:paraId="05F863B9" w14:textId="049C13F2" w:rsidR="00403D2B" w:rsidRDefault="00403D2B" w:rsidP="00F940FB">
      <w:pPr>
        <w:spacing w:line="360" w:lineRule="auto"/>
      </w:pPr>
      <w:r w:rsidRPr="00403D2B">
        <w:t xml:space="preserve">This review provides an analytical synthesis of the molecular mechanisms underlying PET enzymatic degradation, the biochemical pathways through which PET is depolymerized to recoverable monomers, and the multifaceted environmental implications of applying these systems at scale. Evidence from structural biochemistry, directed evolution studies, and environmental microbiology is integrated to evaluate the current state of the field. The review further critically examines scalability constraints, potential ecological risks associated with engineered enzyme deployment, and knowledge gaps that must be addressed before industrial-scale implementation becomes feasible. Studies demonstrate that while PETase and its engineered variants offer measurable improvements over abiotic degradation, significant barriers remain in achieving commercially viable reaction rates under ambient environmental conditions. </w:t>
      </w:r>
      <w:r>
        <w:t xml:space="preserve">Also, </w:t>
      </w:r>
      <w:r w:rsidRPr="00403D2B">
        <w:t>protein engineering, synthetic ecology, and environmental risk assessment a</w:t>
      </w:r>
      <w:r w:rsidR="00F940FB">
        <w:t>re</w:t>
      </w:r>
      <w:r w:rsidRPr="00403D2B">
        <w:t xml:space="preserve"> priority research domains and calls for standardized methodologies to evaluate the safety and efficacy of enzymatic bioremediation in situ.</w:t>
      </w:r>
    </w:p>
    <w:p w14:paraId="71829F6E" w14:textId="77777777" w:rsidR="00403D2B" w:rsidRPr="00403D2B" w:rsidRDefault="00403D2B" w:rsidP="00F940FB">
      <w:pPr>
        <w:spacing w:line="360" w:lineRule="auto"/>
      </w:pPr>
    </w:p>
    <w:p w14:paraId="7AA36053" w14:textId="77777777" w:rsidR="00760213" w:rsidRPr="00403D2B" w:rsidRDefault="00073C4C" w:rsidP="00F940FB">
      <w:pPr>
        <w:spacing w:after="160" w:line="360" w:lineRule="auto"/>
      </w:pPr>
      <w:r w:rsidRPr="00403D2B">
        <w:rPr>
          <w:b/>
          <w:bCs/>
        </w:rPr>
        <w:lastRenderedPageBreak/>
        <w:t xml:space="preserve">Keywords: </w:t>
      </w:r>
      <w:r w:rsidRPr="00403D2B">
        <w:t>PET biodegradation; PETase; MHETase; enzymatic bioremediation; plastic pollution; environmental biotechnology; circular economy; microplastics.</w:t>
      </w:r>
    </w:p>
    <w:p w14:paraId="68B34377" w14:textId="77777777" w:rsidR="00760213" w:rsidRDefault="00760213" w:rsidP="00F940FB">
      <w:pPr>
        <w:spacing w:line="360" w:lineRule="auto"/>
      </w:pPr>
    </w:p>
    <w:p w14:paraId="22490B81" w14:textId="17032B24" w:rsidR="00F940FB" w:rsidRDefault="00073C4C" w:rsidP="0055169A">
      <w:pPr>
        <w:pStyle w:val="Heading1"/>
        <w:spacing w:line="360" w:lineRule="auto"/>
      </w:pPr>
      <w:r>
        <w:rPr>
          <w:caps/>
        </w:rPr>
        <w:t>1. Introduction</w:t>
      </w:r>
    </w:p>
    <w:p w14:paraId="674B2588" w14:textId="77777777" w:rsidR="00F940FB" w:rsidRDefault="00F940FB" w:rsidP="00F940FB">
      <w:pPr>
        <w:pStyle w:val="NormalWeb"/>
        <w:spacing w:line="360" w:lineRule="auto"/>
      </w:pPr>
      <w:r>
        <w:t>Plastic pollution is one of the characteristic environmental disasters of the twenty-first century. Polyethylene terephthalate (PET) is one such material and is of particular concern due to its ubiquity in consumer packaging, textile production, and single-use applications. The world production of PET has steadily increased over the past decades, reaching about 70 million metric tonnes per annum, with further increases expected due to demand from developing markets (Geyer et al., 2017). Although useful, PET is highly resistant to abiotic degradation, as photochemical and hydrolytic processes under ambient environmental conditions proceed too slowly to prevent long-term accumulation in terrestrial and aquatic ecosystems (Urbanek et al., 2018).</w:t>
      </w:r>
    </w:p>
    <w:p w14:paraId="48EBD229" w14:textId="77777777" w:rsidR="00F940FB" w:rsidRDefault="00F940FB" w:rsidP="00F940FB">
      <w:pPr>
        <w:pStyle w:val="NormalWeb"/>
        <w:spacing w:line="360" w:lineRule="auto"/>
      </w:pPr>
      <w:r>
        <w:t>PET persistence has been well documented in terms of its consequences. Upon dislodgment through physical weathering and ultraviolet irradiation, PET releases microplastics (particles &lt; 5 mm) and nanoplastics (particles &lt; 1 micrometer) that enter food webs, sediment matrices, and drinking water systems (Eerkes-Medrano et al., 2015; Barboza et al., 2018). Evidence suggests that these particle fractions adsorb persistent organic contaminants and heavy metals, acting as vectors of secondary contamination (Koelmans et al., 2016; Hartmann et al., 2017). Moreover, microplastic ingestion has been associated with physical injury, inflammatory responses, and endocrine disruption across multiple animal taxa, although dose–response relationships in natural systems are not fully defined (Wright &amp; Kelly, 2017; Besseling et al., 2019).</w:t>
      </w:r>
    </w:p>
    <w:p w14:paraId="19EA3D1F" w14:textId="77777777" w:rsidR="00F940FB" w:rsidRDefault="00F940FB" w:rsidP="00F940FB">
      <w:pPr>
        <w:pStyle w:val="NormalWeb"/>
        <w:spacing w:line="360" w:lineRule="auto"/>
      </w:pPr>
      <w:r>
        <w:t xml:space="preserve">Traditional methods of PET management such as mechanical recycling, thermal reprocessing, and chemical depolymerization are limited by both economic and technical factors. In mechanical recycling, the length of polymer chains decreases with each processing cycle, progressively reducing material quality and limiting end-use applications. Chemical recycling via glycolysis or methanolysis requires high temperatures, concentrated reagents, and substantial energy input, making these approaches economically prohibitive at small scale and for </w:t>
      </w:r>
      <w:r>
        <w:lastRenderedPageBreak/>
        <w:t>heterogeneous plastic streams (Ragaert et al., 2017; Schyns &amp; Shaver, 2021). These limitations collectively underscore the need to complement or substitute these remediation technologies with alternative approaches.</w:t>
      </w:r>
    </w:p>
    <w:p w14:paraId="11E79F8A" w14:textId="434C59CE" w:rsidR="00760213" w:rsidRDefault="00073C4C" w:rsidP="00F940FB">
      <w:pPr>
        <w:spacing w:after="160" w:line="360" w:lineRule="auto"/>
        <w:ind w:firstLine="720"/>
        <w:jc w:val="both"/>
      </w:pPr>
      <w:r>
        <w:t>The discovery of Ideonella sakaiensis 201-F6, a bacterium capable of utilizing PET as its primary carbon source, marked a pivotal development in environmental biotechnology (Yoshida et al., 2016). The enzymatic machinery responsible for this, principally PETase (a serine hydrolase) and MHETase (a lactonase), provided proof-of-concept that biological systems could achieve selective depolymerization of PET under near-ambient conditions. Subsequent structural characterization and directed evolution studies have yielded engineered variants with substantially improved catalytic rates, positioning enzymatic bioremediation as a credible component of future plastic management frameworks (Bornscheuer, 2016; Joo et al., 2018).</w:t>
      </w:r>
    </w:p>
    <w:p w14:paraId="7DE0390F" w14:textId="77777777" w:rsidR="00760213" w:rsidRDefault="00073C4C" w:rsidP="00F940FB">
      <w:pPr>
        <w:spacing w:after="160" w:line="360" w:lineRule="auto"/>
        <w:ind w:firstLine="720"/>
        <w:jc w:val="both"/>
      </w:pPr>
      <w:r>
        <w:t>This review synthesizes current mechanistic, biochemical, and environmental knowledge pertaining to PET-degrading enzymes. It evaluates the evidence base for environmental applications, critically examines risks and limitations, and identifies priority research directions required to advance the field from proof-of-concept to scalable environmental deployment.</w:t>
      </w:r>
    </w:p>
    <w:p w14:paraId="1DFA030A" w14:textId="77777777" w:rsidR="00760213" w:rsidRDefault="00760213" w:rsidP="00F940FB">
      <w:pPr>
        <w:spacing w:line="360" w:lineRule="auto"/>
      </w:pPr>
    </w:p>
    <w:p w14:paraId="1B536396" w14:textId="77777777" w:rsidR="00760213" w:rsidRDefault="00073C4C" w:rsidP="00F940FB">
      <w:pPr>
        <w:pStyle w:val="Heading1"/>
        <w:spacing w:line="360" w:lineRule="auto"/>
      </w:pPr>
      <w:r>
        <w:rPr>
          <w:caps/>
        </w:rPr>
        <w:t>2. Literature Review</w:t>
      </w:r>
    </w:p>
    <w:p w14:paraId="692039DF" w14:textId="77777777" w:rsidR="00760213" w:rsidRDefault="00073C4C" w:rsidP="00F940FB">
      <w:pPr>
        <w:spacing w:after="160" w:line="360" w:lineRule="auto"/>
        <w:ind w:firstLine="720"/>
        <w:jc w:val="both"/>
      </w:pPr>
      <w:r>
        <w:t>The scientific literature on PET biodegradation spans environmental microbiology, structural biochemistry, protein engineering, and environmental impact assessment. An understanding of its trajectory is essential for situating current advances and identifying where critical evidence gaps remain.</w:t>
      </w:r>
    </w:p>
    <w:p w14:paraId="14590BB0" w14:textId="77777777" w:rsidR="00760213" w:rsidRDefault="00073C4C" w:rsidP="00F940FB">
      <w:pPr>
        <w:pStyle w:val="Heading2"/>
        <w:spacing w:line="360" w:lineRule="auto"/>
      </w:pPr>
      <w:r>
        <w:t>2.1 Historical Discovery of PET-Degrading Organisms</w:t>
      </w:r>
    </w:p>
    <w:p w14:paraId="37221317" w14:textId="77777777" w:rsidR="00760213" w:rsidRDefault="00073C4C" w:rsidP="00F940FB">
      <w:pPr>
        <w:spacing w:after="160" w:line="360" w:lineRule="auto"/>
        <w:ind w:firstLine="720"/>
        <w:jc w:val="both"/>
      </w:pPr>
      <w:r>
        <w:t xml:space="preserve">Prior to 2016, enzymatic degradation of PET under ambient conditions was considered negligible. Thermophilic cutinases from Thermobifida cellulosilytica and related actinobacteria were identified as capable of hydrolyzing PET at elevated temperatures (50-70 degrees Celsius), but these systems exhibited minimal activity under environmentally relevant conditions (Ribitsch et al., 2017). The landmark study by Yoshida and colleagues (2016) fundamentally altered the </w:t>
      </w:r>
      <w:r>
        <w:lastRenderedPageBreak/>
        <w:t>trajectory of the field by characterizing I. sakaiensis, isolated from PET-contaminated sediment in Japan. This organism expressed two enzymes, designated IsPETase and IsMHETase, capable of sequentially degrading PET to its constituent monomers terephthalic acid (TPA) and ethylene glycol (EG) at 30 degrees Celsius, representing the first demonstration of mesophilic enzymatic PET catabolism.</w:t>
      </w:r>
    </w:p>
    <w:p w14:paraId="31431D04" w14:textId="77777777" w:rsidR="00760213" w:rsidRDefault="00073C4C" w:rsidP="00F940FB">
      <w:pPr>
        <w:spacing w:after="160" w:line="360" w:lineRule="auto"/>
        <w:ind w:firstLine="720"/>
        <w:jc w:val="both"/>
      </w:pPr>
      <w:r>
        <w:t>Comparative sequence analysis revealed that IsPETase shared structural homology with cutinases but possessed distinct active site features, including a broader substrate-binding cleft and altered active site loop configurations, that conferred enhanced activity against solid-phase PET substrates (Han et al., 2017). This finding validated the hypothesis that PET degradation could be achieved by naturally evolved microbial enzymes rather than being an intrinsically intractable biochemical challenge. Subsequent environmental surveys identified related enzymatic sequences in diverse microbial communities, suggesting that plastic-degrading capacity may have expanded through adaptive evolution in response to accumulating anthropogenic polymer pollution (Zrimec et al., 2021).</w:t>
      </w:r>
    </w:p>
    <w:p w14:paraId="76BCFD1D" w14:textId="77777777" w:rsidR="00760213" w:rsidRDefault="00073C4C" w:rsidP="00F940FB">
      <w:pPr>
        <w:pStyle w:val="Heading2"/>
        <w:spacing w:line="360" w:lineRule="auto"/>
      </w:pPr>
      <w:r>
        <w:t>2.2 Structural and Biochemical Characterization</w:t>
      </w:r>
    </w:p>
    <w:p w14:paraId="4B47397F" w14:textId="77777777" w:rsidR="00760213" w:rsidRDefault="00073C4C" w:rsidP="00F940FB">
      <w:pPr>
        <w:spacing w:after="160" w:line="360" w:lineRule="auto"/>
        <w:ind w:firstLine="720"/>
        <w:jc w:val="both"/>
      </w:pPr>
      <w:r>
        <w:t>X-ray crystallography studies of IsPETase revealed a canonical serine hydrolase catalytic triad (Ser160-His237-Asp206) situated within a substrate-binding groove that accommodates the rigid aromatic rings of PET. Two disulfide bonds and a unique beta-sheet insertion adjacent to the active site distinguish PETase from its closest structural homologs. Biochemical studies demonstrate that PETase preferentially targets amorphous PET regions, where polymer chain mobility facilitates enzyme-substrate contact, and exhibits significantly diminished activity against crystalline PET owing to the reduced accessibility of ester bonds (Austin et al., 2018). Structural analyses further revealed that substrate binding induces conformational changes in the active site loops, a dynamic feature that has been targeted in subsequent engineering campaigns (Palm et al., 2019).</w:t>
      </w:r>
    </w:p>
    <w:p w14:paraId="06758FA3" w14:textId="1594EC5A" w:rsidR="00760213" w:rsidRDefault="00073C4C" w:rsidP="00F940FB">
      <w:pPr>
        <w:spacing w:after="160" w:line="360" w:lineRule="auto"/>
        <w:ind w:firstLine="720"/>
        <w:jc w:val="both"/>
      </w:pPr>
      <w:r>
        <w:t xml:space="preserve">Directed evolution and rational protein engineering campaigns have yielded a series of PETase variants with enhanced thermostability and catalytic efficiency. The FAST-PETase variant, generated through a machine learning-guided mutagenesis approach, demonstrated complete degradation of post-consumer PET samples within days at 50 degrees Celsius (Lu et al., </w:t>
      </w:r>
      <w:r>
        <w:lastRenderedPageBreak/>
        <w:t>2022). Similarly, the LCC-ICCG variant of the leaf-branch compost cutinase achieved near-complete PET depolymerization at industrial scale under defined reactor conditions, with monomer yields sufficient to support repolymerization (Tournier et al., 2020). More recently, DuraPETase and other thermostabilized variants have demonstrated extended operational stability that is relevant to industrial process applications (Cui et al., 2021).</w:t>
      </w:r>
    </w:p>
    <w:p w14:paraId="0D3C081F" w14:textId="5310556B" w:rsidR="008E5B6C" w:rsidRDefault="008E5B6C" w:rsidP="00F940FB">
      <w:pPr>
        <w:spacing w:after="160" w:line="360" w:lineRule="auto"/>
        <w:ind w:firstLine="720"/>
        <w:jc w:val="both"/>
      </w:pPr>
    </w:p>
    <w:p w14:paraId="6F501417" w14:textId="77777777" w:rsidR="008E5B6C" w:rsidRPr="00952F37" w:rsidRDefault="008E5B6C" w:rsidP="008E5B6C">
      <w:pPr>
        <w:pStyle w:val="NormalWeb"/>
        <w:rPr>
          <w:b/>
          <w:bCs/>
        </w:rPr>
      </w:pPr>
      <w:r w:rsidRPr="00952F37">
        <w:rPr>
          <w:b/>
          <w:bCs/>
        </w:rPr>
        <w:t>Table 1. Major PET-Degrading Enzymes and Engineered Variants Relevant to PET Bioremediation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02"/>
        <w:gridCol w:w="1613"/>
        <w:gridCol w:w="1663"/>
        <w:gridCol w:w="1359"/>
        <w:gridCol w:w="1435"/>
        <w:gridCol w:w="1678"/>
      </w:tblGrid>
      <w:tr w:rsidR="008E5B6C" w14:paraId="7DF95369" w14:textId="77777777" w:rsidTr="007A78A3">
        <w:trPr>
          <w:tblHeader/>
          <w:tblCellSpacing w:w="15" w:type="dxa"/>
        </w:trPr>
        <w:tc>
          <w:tcPr>
            <w:tcW w:w="0" w:type="auto"/>
            <w:vAlign w:val="center"/>
            <w:hideMark/>
          </w:tcPr>
          <w:p w14:paraId="6E1F9F41" w14:textId="77777777" w:rsidR="008E5B6C" w:rsidRDefault="008E5B6C" w:rsidP="007A78A3">
            <w:pPr>
              <w:jc w:val="center"/>
              <w:rPr>
                <w:b/>
                <w:bCs/>
              </w:rPr>
            </w:pPr>
            <w:r>
              <w:rPr>
                <w:b/>
                <w:bCs/>
              </w:rPr>
              <w:t>Enzyme or variant</w:t>
            </w:r>
          </w:p>
        </w:tc>
        <w:tc>
          <w:tcPr>
            <w:tcW w:w="0" w:type="auto"/>
            <w:vAlign w:val="center"/>
            <w:hideMark/>
          </w:tcPr>
          <w:p w14:paraId="4E2D65D7" w14:textId="77777777" w:rsidR="008E5B6C" w:rsidRDefault="008E5B6C" w:rsidP="007A78A3">
            <w:pPr>
              <w:jc w:val="center"/>
              <w:rPr>
                <w:b/>
                <w:bCs/>
              </w:rPr>
            </w:pPr>
            <w:r>
              <w:rPr>
                <w:b/>
                <w:bCs/>
              </w:rPr>
              <w:t>Source or development approach</w:t>
            </w:r>
          </w:p>
        </w:tc>
        <w:tc>
          <w:tcPr>
            <w:tcW w:w="0" w:type="auto"/>
            <w:vAlign w:val="center"/>
            <w:hideMark/>
          </w:tcPr>
          <w:p w14:paraId="3EA8D23B" w14:textId="77777777" w:rsidR="008E5B6C" w:rsidRDefault="008E5B6C" w:rsidP="007A78A3">
            <w:pPr>
              <w:jc w:val="center"/>
              <w:rPr>
                <w:b/>
                <w:bCs/>
              </w:rPr>
            </w:pPr>
            <w:r>
              <w:rPr>
                <w:b/>
                <w:bCs/>
              </w:rPr>
              <w:t>Main function</w:t>
            </w:r>
          </w:p>
        </w:tc>
        <w:tc>
          <w:tcPr>
            <w:tcW w:w="0" w:type="auto"/>
            <w:vAlign w:val="center"/>
            <w:hideMark/>
          </w:tcPr>
          <w:p w14:paraId="6D95F533" w14:textId="77777777" w:rsidR="008E5B6C" w:rsidRDefault="008E5B6C" w:rsidP="007A78A3">
            <w:pPr>
              <w:jc w:val="center"/>
              <w:rPr>
                <w:b/>
                <w:bCs/>
              </w:rPr>
            </w:pPr>
            <w:r>
              <w:rPr>
                <w:b/>
                <w:bCs/>
              </w:rPr>
              <w:t>Key strength</w:t>
            </w:r>
          </w:p>
        </w:tc>
        <w:tc>
          <w:tcPr>
            <w:tcW w:w="0" w:type="auto"/>
            <w:vAlign w:val="center"/>
            <w:hideMark/>
          </w:tcPr>
          <w:p w14:paraId="2CECA894" w14:textId="77777777" w:rsidR="008E5B6C" w:rsidRDefault="008E5B6C" w:rsidP="007A78A3">
            <w:pPr>
              <w:jc w:val="center"/>
              <w:rPr>
                <w:b/>
                <w:bCs/>
              </w:rPr>
            </w:pPr>
            <w:r>
              <w:rPr>
                <w:b/>
                <w:bCs/>
              </w:rPr>
              <w:t>Main limitation</w:t>
            </w:r>
          </w:p>
        </w:tc>
        <w:tc>
          <w:tcPr>
            <w:tcW w:w="0" w:type="auto"/>
            <w:vAlign w:val="center"/>
            <w:hideMark/>
          </w:tcPr>
          <w:p w14:paraId="0E0C03C5" w14:textId="77777777" w:rsidR="008E5B6C" w:rsidRDefault="008E5B6C" w:rsidP="007A78A3">
            <w:pPr>
              <w:jc w:val="center"/>
              <w:rPr>
                <w:b/>
                <w:bCs/>
              </w:rPr>
            </w:pPr>
            <w:r>
              <w:rPr>
                <w:b/>
                <w:bCs/>
              </w:rPr>
              <w:t>Relevance to PET bioremediation</w:t>
            </w:r>
          </w:p>
        </w:tc>
      </w:tr>
      <w:tr w:rsidR="008E5B6C" w14:paraId="61BECBC1" w14:textId="77777777" w:rsidTr="007A78A3">
        <w:trPr>
          <w:tblCellSpacing w:w="15" w:type="dxa"/>
        </w:trPr>
        <w:tc>
          <w:tcPr>
            <w:tcW w:w="0" w:type="auto"/>
            <w:vAlign w:val="center"/>
            <w:hideMark/>
          </w:tcPr>
          <w:p w14:paraId="6101E1D9" w14:textId="77777777" w:rsidR="008E5B6C" w:rsidRDefault="008E5B6C" w:rsidP="007A78A3">
            <w:proofErr w:type="spellStart"/>
            <w:r>
              <w:t>IsPETase</w:t>
            </w:r>
            <w:proofErr w:type="spellEnd"/>
          </w:p>
        </w:tc>
        <w:tc>
          <w:tcPr>
            <w:tcW w:w="0" w:type="auto"/>
            <w:vAlign w:val="center"/>
            <w:hideMark/>
          </w:tcPr>
          <w:p w14:paraId="204221AB" w14:textId="77777777" w:rsidR="008E5B6C" w:rsidRDefault="008E5B6C" w:rsidP="007A78A3">
            <w:r>
              <w:t xml:space="preserve">Naturally produced by </w:t>
            </w:r>
            <w:proofErr w:type="spellStart"/>
            <w:r>
              <w:rPr>
                <w:rStyle w:val="Emphasis"/>
              </w:rPr>
              <w:t>Ideonella</w:t>
            </w:r>
            <w:proofErr w:type="spellEnd"/>
            <w:r>
              <w:rPr>
                <w:rStyle w:val="Emphasis"/>
              </w:rPr>
              <w:t xml:space="preserve"> </w:t>
            </w:r>
            <w:proofErr w:type="spellStart"/>
            <w:r>
              <w:rPr>
                <w:rStyle w:val="Emphasis"/>
              </w:rPr>
              <w:t>sakaiensis</w:t>
            </w:r>
            <w:proofErr w:type="spellEnd"/>
            <w:r>
              <w:t xml:space="preserve"> 201-F6</w:t>
            </w:r>
          </w:p>
        </w:tc>
        <w:tc>
          <w:tcPr>
            <w:tcW w:w="0" w:type="auto"/>
            <w:vAlign w:val="center"/>
            <w:hideMark/>
          </w:tcPr>
          <w:p w14:paraId="24125CD0" w14:textId="77777777" w:rsidR="008E5B6C" w:rsidRDefault="008E5B6C" w:rsidP="007A78A3">
            <w:r>
              <w:t>Hydrolyses ester bonds in PET to generate soluble intermediates, mainly MHET, with smaller amounts of BHET, TPA, and EG</w:t>
            </w:r>
          </w:p>
        </w:tc>
        <w:tc>
          <w:tcPr>
            <w:tcW w:w="0" w:type="auto"/>
            <w:vAlign w:val="center"/>
            <w:hideMark/>
          </w:tcPr>
          <w:p w14:paraId="6F7F5A2C" w14:textId="77777777" w:rsidR="008E5B6C" w:rsidRDefault="008E5B6C" w:rsidP="007A78A3">
            <w:r>
              <w:t xml:space="preserve">Active under near-ambient conditions compared with earlier thermophilic </w:t>
            </w:r>
            <w:proofErr w:type="spellStart"/>
            <w:r>
              <w:t>cutinases</w:t>
            </w:r>
            <w:proofErr w:type="spellEnd"/>
          </w:p>
        </w:tc>
        <w:tc>
          <w:tcPr>
            <w:tcW w:w="0" w:type="auto"/>
            <w:vAlign w:val="center"/>
            <w:hideMark/>
          </w:tcPr>
          <w:p w14:paraId="03B3362F" w14:textId="77777777" w:rsidR="008E5B6C" w:rsidRDefault="008E5B6C" w:rsidP="007A78A3">
            <w:r>
              <w:t>Limited catalytic efficiency against highly crystalline PET</w:t>
            </w:r>
          </w:p>
        </w:tc>
        <w:tc>
          <w:tcPr>
            <w:tcW w:w="0" w:type="auto"/>
            <w:vAlign w:val="center"/>
            <w:hideMark/>
          </w:tcPr>
          <w:p w14:paraId="0D3267A5" w14:textId="77777777" w:rsidR="008E5B6C" w:rsidRDefault="008E5B6C" w:rsidP="007A78A3">
            <w:r>
              <w:t xml:space="preserve">Provides the foundational proof that bacterial enzymes can </w:t>
            </w:r>
            <w:proofErr w:type="spellStart"/>
            <w:r>
              <w:t>depolymerise</w:t>
            </w:r>
            <w:proofErr w:type="spellEnd"/>
            <w:r>
              <w:t xml:space="preserve"> PET under mild conditions</w:t>
            </w:r>
          </w:p>
        </w:tc>
      </w:tr>
      <w:tr w:rsidR="008E5B6C" w14:paraId="0E87CB2F" w14:textId="77777777" w:rsidTr="007A78A3">
        <w:trPr>
          <w:tblCellSpacing w:w="15" w:type="dxa"/>
        </w:trPr>
        <w:tc>
          <w:tcPr>
            <w:tcW w:w="0" w:type="auto"/>
            <w:vAlign w:val="center"/>
            <w:hideMark/>
          </w:tcPr>
          <w:p w14:paraId="6F9B8865" w14:textId="77777777" w:rsidR="008E5B6C" w:rsidRDefault="008E5B6C" w:rsidP="007A78A3">
            <w:proofErr w:type="spellStart"/>
            <w:r>
              <w:t>IsMHETase</w:t>
            </w:r>
            <w:proofErr w:type="spellEnd"/>
          </w:p>
        </w:tc>
        <w:tc>
          <w:tcPr>
            <w:tcW w:w="0" w:type="auto"/>
            <w:vAlign w:val="center"/>
            <w:hideMark/>
          </w:tcPr>
          <w:p w14:paraId="3CCC905D" w14:textId="77777777" w:rsidR="008E5B6C" w:rsidRDefault="008E5B6C" w:rsidP="007A78A3">
            <w:r>
              <w:t xml:space="preserve">Naturally produced by </w:t>
            </w:r>
            <w:proofErr w:type="spellStart"/>
            <w:r>
              <w:rPr>
                <w:rStyle w:val="Emphasis"/>
              </w:rPr>
              <w:t>Ideonella</w:t>
            </w:r>
            <w:proofErr w:type="spellEnd"/>
            <w:r>
              <w:rPr>
                <w:rStyle w:val="Emphasis"/>
              </w:rPr>
              <w:t xml:space="preserve"> </w:t>
            </w:r>
            <w:proofErr w:type="spellStart"/>
            <w:r>
              <w:rPr>
                <w:rStyle w:val="Emphasis"/>
              </w:rPr>
              <w:t>sakaiensis</w:t>
            </w:r>
            <w:proofErr w:type="spellEnd"/>
            <w:r>
              <w:t xml:space="preserve"> 201-F6</w:t>
            </w:r>
          </w:p>
        </w:tc>
        <w:tc>
          <w:tcPr>
            <w:tcW w:w="0" w:type="auto"/>
            <w:vAlign w:val="center"/>
            <w:hideMark/>
          </w:tcPr>
          <w:p w14:paraId="0ECB1B6D" w14:textId="77777777" w:rsidR="008E5B6C" w:rsidRDefault="008E5B6C" w:rsidP="007A78A3">
            <w:r>
              <w:t>Hydrolyses MHET into TPA and EG</w:t>
            </w:r>
          </w:p>
        </w:tc>
        <w:tc>
          <w:tcPr>
            <w:tcW w:w="0" w:type="auto"/>
            <w:vAlign w:val="center"/>
            <w:hideMark/>
          </w:tcPr>
          <w:p w14:paraId="20E7DDB2" w14:textId="77777777" w:rsidR="008E5B6C" w:rsidRDefault="008E5B6C" w:rsidP="007A78A3">
            <w:r>
              <w:t xml:space="preserve">Completes the </w:t>
            </w:r>
            <w:proofErr w:type="spellStart"/>
            <w:r>
              <w:t>PETase-MHETase</w:t>
            </w:r>
            <w:proofErr w:type="spellEnd"/>
            <w:r>
              <w:t xml:space="preserve"> cascade by removing MHET accumulation</w:t>
            </w:r>
          </w:p>
        </w:tc>
        <w:tc>
          <w:tcPr>
            <w:tcW w:w="0" w:type="auto"/>
            <w:vAlign w:val="center"/>
            <w:hideMark/>
          </w:tcPr>
          <w:p w14:paraId="7A30B8DF" w14:textId="77777777" w:rsidR="008E5B6C" w:rsidRDefault="008E5B6C" w:rsidP="007A78A3">
            <w:r>
              <w:t>Does not act directly on PET polymer</w:t>
            </w:r>
          </w:p>
        </w:tc>
        <w:tc>
          <w:tcPr>
            <w:tcW w:w="0" w:type="auto"/>
            <w:vAlign w:val="center"/>
            <w:hideMark/>
          </w:tcPr>
          <w:p w14:paraId="3A314098" w14:textId="77777777" w:rsidR="008E5B6C" w:rsidRDefault="008E5B6C" w:rsidP="007A78A3">
            <w:r>
              <w:t xml:space="preserve">Essential for improving overall </w:t>
            </w:r>
            <w:proofErr w:type="spellStart"/>
            <w:r>
              <w:t>depolymerisation</w:t>
            </w:r>
            <w:proofErr w:type="spellEnd"/>
            <w:r>
              <w:t xml:space="preserve"> efficiency and reducing product inhibition</w:t>
            </w:r>
          </w:p>
        </w:tc>
      </w:tr>
      <w:tr w:rsidR="008E5B6C" w14:paraId="4A280717" w14:textId="77777777" w:rsidTr="007A78A3">
        <w:trPr>
          <w:tblCellSpacing w:w="15" w:type="dxa"/>
        </w:trPr>
        <w:tc>
          <w:tcPr>
            <w:tcW w:w="0" w:type="auto"/>
            <w:vAlign w:val="center"/>
            <w:hideMark/>
          </w:tcPr>
          <w:p w14:paraId="0A8A73E3" w14:textId="77777777" w:rsidR="008E5B6C" w:rsidRDefault="008E5B6C" w:rsidP="007A78A3">
            <w:r>
              <w:t xml:space="preserve">Thermophilic </w:t>
            </w:r>
            <w:proofErr w:type="spellStart"/>
            <w:r>
              <w:t>cutinases</w:t>
            </w:r>
            <w:proofErr w:type="spellEnd"/>
          </w:p>
        </w:tc>
        <w:tc>
          <w:tcPr>
            <w:tcW w:w="0" w:type="auto"/>
            <w:vAlign w:val="center"/>
            <w:hideMark/>
          </w:tcPr>
          <w:p w14:paraId="7C8C8C93" w14:textId="77777777" w:rsidR="008E5B6C" w:rsidRDefault="008E5B6C" w:rsidP="007A78A3">
            <w:r>
              <w:t xml:space="preserve">Derived from organisms such as </w:t>
            </w:r>
            <w:proofErr w:type="spellStart"/>
            <w:r>
              <w:rPr>
                <w:rStyle w:val="Emphasis"/>
              </w:rPr>
              <w:t>Thermobifida</w:t>
            </w:r>
            <w:proofErr w:type="spellEnd"/>
            <w:r>
              <w:t xml:space="preserve"> species</w:t>
            </w:r>
          </w:p>
        </w:tc>
        <w:tc>
          <w:tcPr>
            <w:tcW w:w="0" w:type="auto"/>
            <w:vAlign w:val="center"/>
            <w:hideMark/>
          </w:tcPr>
          <w:p w14:paraId="36F9DDB0" w14:textId="77777777" w:rsidR="008E5B6C" w:rsidRDefault="008E5B6C" w:rsidP="007A78A3">
            <w:proofErr w:type="spellStart"/>
            <w:r>
              <w:t>Hydrolyse</w:t>
            </w:r>
            <w:proofErr w:type="spellEnd"/>
            <w:r>
              <w:t xml:space="preserve"> PET and related polyester substrates, especially at elevated temperatures</w:t>
            </w:r>
          </w:p>
        </w:tc>
        <w:tc>
          <w:tcPr>
            <w:tcW w:w="0" w:type="auto"/>
            <w:vAlign w:val="center"/>
            <w:hideMark/>
          </w:tcPr>
          <w:p w14:paraId="2ABA6D33" w14:textId="77777777" w:rsidR="008E5B6C" w:rsidRDefault="008E5B6C" w:rsidP="007A78A3">
            <w:r>
              <w:t>Better activity near or above PET glass transition conditions</w:t>
            </w:r>
          </w:p>
        </w:tc>
        <w:tc>
          <w:tcPr>
            <w:tcW w:w="0" w:type="auto"/>
            <w:vAlign w:val="center"/>
            <w:hideMark/>
          </w:tcPr>
          <w:p w14:paraId="4CFC0336" w14:textId="77777777" w:rsidR="008E5B6C" w:rsidRDefault="008E5B6C" w:rsidP="007A78A3">
            <w:r>
              <w:t>Poor activity under ambient environmental conditions</w:t>
            </w:r>
          </w:p>
        </w:tc>
        <w:tc>
          <w:tcPr>
            <w:tcW w:w="0" w:type="auto"/>
            <w:vAlign w:val="center"/>
            <w:hideMark/>
          </w:tcPr>
          <w:p w14:paraId="7B14059B" w14:textId="77777777" w:rsidR="008E5B6C" w:rsidRDefault="008E5B6C" w:rsidP="007A78A3">
            <w:r>
              <w:t>Useful for controlled reactor systems, but less suited for direct environmental deployment</w:t>
            </w:r>
          </w:p>
        </w:tc>
      </w:tr>
      <w:tr w:rsidR="008E5B6C" w14:paraId="24783436" w14:textId="77777777" w:rsidTr="007A78A3">
        <w:trPr>
          <w:tblCellSpacing w:w="15" w:type="dxa"/>
        </w:trPr>
        <w:tc>
          <w:tcPr>
            <w:tcW w:w="0" w:type="auto"/>
            <w:vAlign w:val="center"/>
            <w:hideMark/>
          </w:tcPr>
          <w:p w14:paraId="7CA4D9E3" w14:textId="77777777" w:rsidR="008E5B6C" w:rsidRDefault="008E5B6C" w:rsidP="007A78A3">
            <w:r>
              <w:t>LCC-ICCG</w:t>
            </w:r>
          </w:p>
        </w:tc>
        <w:tc>
          <w:tcPr>
            <w:tcW w:w="0" w:type="auto"/>
            <w:vAlign w:val="center"/>
            <w:hideMark/>
          </w:tcPr>
          <w:p w14:paraId="5B47E62E" w14:textId="77777777" w:rsidR="008E5B6C" w:rsidRDefault="008E5B6C" w:rsidP="007A78A3">
            <w:r>
              <w:t>Engineered variant of leaf-</w:t>
            </w:r>
            <w:r>
              <w:lastRenderedPageBreak/>
              <w:t xml:space="preserve">branch compost </w:t>
            </w:r>
            <w:proofErr w:type="spellStart"/>
            <w:r>
              <w:t>cutinase</w:t>
            </w:r>
            <w:proofErr w:type="spellEnd"/>
          </w:p>
        </w:tc>
        <w:tc>
          <w:tcPr>
            <w:tcW w:w="0" w:type="auto"/>
            <w:vAlign w:val="center"/>
            <w:hideMark/>
          </w:tcPr>
          <w:p w14:paraId="70565158" w14:textId="77777777" w:rsidR="008E5B6C" w:rsidRDefault="008E5B6C" w:rsidP="007A78A3">
            <w:r>
              <w:lastRenderedPageBreak/>
              <w:t xml:space="preserve">Rapidly </w:t>
            </w:r>
            <w:proofErr w:type="spellStart"/>
            <w:r>
              <w:t>depolymerises</w:t>
            </w:r>
            <w:proofErr w:type="spellEnd"/>
            <w:r>
              <w:t xml:space="preserve"> PET under </w:t>
            </w:r>
            <w:r>
              <w:lastRenderedPageBreak/>
              <w:t>industrial reactor conditions</w:t>
            </w:r>
          </w:p>
        </w:tc>
        <w:tc>
          <w:tcPr>
            <w:tcW w:w="0" w:type="auto"/>
            <w:vAlign w:val="center"/>
            <w:hideMark/>
          </w:tcPr>
          <w:p w14:paraId="3A7B869E" w14:textId="77777777" w:rsidR="008E5B6C" w:rsidRDefault="008E5B6C" w:rsidP="007A78A3">
            <w:r>
              <w:lastRenderedPageBreak/>
              <w:t xml:space="preserve">Demonstrated high monomer </w:t>
            </w:r>
            <w:r>
              <w:lastRenderedPageBreak/>
              <w:t>yield from post-consumer PET under controlled thermophilic conditions</w:t>
            </w:r>
          </w:p>
        </w:tc>
        <w:tc>
          <w:tcPr>
            <w:tcW w:w="0" w:type="auto"/>
            <w:vAlign w:val="center"/>
            <w:hideMark/>
          </w:tcPr>
          <w:p w14:paraId="2FE839BC" w14:textId="77777777" w:rsidR="008E5B6C" w:rsidRDefault="008E5B6C" w:rsidP="007A78A3">
            <w:r>
              <w:lastRenderedPageBreak/>
              <w:t xml:space="preserve">Requires elevated temperature </w:t>
            </w:r>
            <w:r>
              <w:lastRenderedPageBreak/>
              <w:t>and controlled processing conditions</w:t>
            </w:r>
          </w:p>
        </w:tc>
        <w:tc>
          <w:tcPr>
            <w:tcW w:w="0" w:type="auto"/>
            <w:vAlign w:val="center"/>
            <w:hideMark/>
          </w:tcPr>
          <w:p w14:paraId="7AFBAF12" w14:textId="77777777" w:rsidR="008E5B6C" w:rsidRDefault="008E5B6C" w:rsidP="007A78A3">
            <w:r>
              <w:lastRenderedPageBreak/>
              <w:t xml:space="preserve">Strong candidate for contained </w:t>
            </w:r>
            <w:r>
              <w:lastRenderedPageBreak/>
              <w:t>industrial enzymatic recycling</w:t>
            </w:r>
          </w:p>
        </w:tc>
      </w:tr>
      <w:tr w:rsidR="008E5B6C" w14:paraId="21143824" w14:textId="77777777" w:rsidTr="007A78A3">
        <w:trPr>
          <w:tblCellSpacing w:w="15" w:type="dxa"/>
        </w:trPr>
        <w:tc>
          <w:tcPr>
            <w:tcW w:w="0" w:type="auto"/>
            <w:vAlign w:val="center"/>
            <w:hideMark/>
          </w:tcPr>
          <w:p w14:paraId="3277BA09" w14:textId="77777777" w:rsidR="008E5B6C" w:rsidRDefault="008E5B6C" w:rsidP="007A78A3">
            <w:r>
              <w:lastRenderedPageBreak/>
              <w:t>FAST-</w:t>
            </w:r>
            <w:proofErr w:type="spellStart"/>
            <w:r>
              <w:t>PETase</w:t>
            </w:r>
            <w:proofErr w:type="spellEnd"/>
          </w:p>
        </w:tc>
        <w:tc>
          <w:tcPr>
            <w:tcW w:w="0" w:type="auto"/>
            <w:vAlign w:val="center"/>
            <w:hideMark/>
          </w:tcPr>
          <w:p w14:paraId="3628AA83" w14:textId="77777777" w:rsidR="008E5B6C" w:rsidRDefault="008E5B6C" w:rsidP="007A78A3">
            <w:r>
              <w:t xml:space="preserve">Machine-learning-guided engineered </w:t>
            </w:r>
            <w:proofErr w:type="spellStart"/>
            <w:r>
              <w:t>PETase</w:t>
            </w:r>
            <w:proofErr w:type="spellEnd"/>
            <w:r>
              <w:t xml:space="preserve"> variant</w:t>
            </w:r>
          </w:p>
        </w:tc>
        <w:tc>
          <w:tcPr>
            <w:tcW w:w="0" w:type="auto"/>
            <w:vAlign w:val="center"/>
            <w:hideMark/>
          </w:tcPr>
          <w:p w14:paraId="512222C1" w14:textId="77777777" w:rsidR="008E5B6C" w:rsidRDefault="008E5B6C" w:rsidP="007A78A3">
            <w:r>
              <w:t xml:space="preserve">Accelerates PET </w:t>
            </w:r>
            <w:proofErr w:type="spellStart"/>
            <w:r>
              <w:t>depolymerisation</w:t>
            </w:r>
            <w:proofErr w:type="spellEnd"/>
            <w:r>
              <w:t xml:space="preserve"> across selected post-consumer PET samples</w:t>
            </w:r>
          </w:p>
        </w:tc>
        <w:tc>
          <w:tcPr>
            <w:tcW w:w="0" w:type="auto"/>
            <w:vAlign w:val="center"/>
            <w:hideMark/>
          </w:tcPr>
          <w:p w14:paraId="259C24AD" w14:textId="77777777" w:rsidR="008E5B6C" w:rsidRDefault="008E5B6C" w:rsidP="007A78A3">
            <w:r>
              <w:t xml:space="preserve">Improved activity and practical degradation speed compared with wild-type </w:t>
            </w:r>
            <w:proofErr w:type="spellStart"/>
            <w:r>
              <w:t>PETase</w:t>
            </w:r>
            <w:proofErr w:type="spellEnd"/>
          </w:p>
        </w:tc>
        <w:tc>
          <w:tcPr>
            <w:tcW w:w="0" w:type="auto"/>
            <w:vAlign w:val="center"/>
            <w:hideMark/>
          </w:tcPr>
          <w:p w14:paraId="7237BD2A" w14:textId="77777777" w:rsidR="008E5B6C" w:rsidRDefault="008E5B6C" w:rsidP="007A78A3">
            <w:r>
              <w:t>Performance still depends on substrate properties and controlled conditions</w:t>
            </w:r>
          </w:p>
        </w:tc>
        <w:tc>
          <w:tcPr>
            <w:tcW w:w="0" w:type="auto"/>
            <w:vAlign w:val="center"/>
            <w:hideMark/>
          </w:tcPr>
          <w:p w14:paraId="5F60D690" w14:textId="77777777" w:rsidR="008E5B6C" w:rsidRDefault="008E5B6C" w:rsidP="007A78A3">
            <w:r>
              <w:t xml:space="preserve">Shows the value of machine learning and protein engineering for improving </w:t>
            </w:r>
            <w:proofErr w:type="spellStart"/>
            <w:r>
              <w:t>PETase</w:t>
            </w:r>
            <w:proofErr w:type="spellEnd"/>
            <w:r>
              <w:t xml:space="preserve"> function</w:t>
            </w:r>
          </w:p>
        </w:tc>
      </w:tr>
      <w:tr w:rsidR="008E5B6C" w14:paraId="0683E961" w14:textId="77777777" w:rsidTr="007A78A3">
        <w:trPr>
          <w:tblCellSpacing w:w="15" w:type="dxa"/>
        </w:trPr>
        <w:tc>
          <w:tcPr>
            <w:tcW w:w="0" w:type="auto"/>
            <w:vAlign w:val="center"/>
            <w:hideMark/>
          </w:tcPr>
          <w:p w14:paraId="1FBA9126" w14:textId="77777777" w:rsidR="008E5B6C" w:rsidRDefault="008E5B6C" w:rsidP="007A78A3">
            <w:proofErr w:type="spellStart"/>
            <w:r>
              <w:t>DuraPETase</w:t>
            </w:r>
            <w:proofErr w:type="spellEnd"/>
            <w:r>
              <w:t xml:space="preserve"> and related </w:t>
            </w:r>
            <w:proofErr w:type="spellStart"/>
            <w:r>
              <w:t>thermostabilised</w:t>
            </w:r>
            <w:proofErr w:type="spellEnd"/>
            <w:r>
              <w:t xml:space="preserve"> variants</w:t>
            </w:r>
          </w:p>
        </w:tc>
        <w:tc>
          <w:tcPr>
            <w:tcW w:w="0" w:type="auto"/>
            <w:vAlign w:val="center"/>
            <w:hideMark/>
          </w:tcPr>
          <w:p w14:paraId="535F3100" w14:textId="77777777" w:rsidR="008E5B6C" w:rsidRDefault="008E5B6C" w:rsidP="007A78A3">
            <w:r>
              <w:t xml:space="preserve">Computationally redesigned or engineered </w:t>
            </w:r>
            <w:proofErr w:type="spellStart"/>
            <w:r>
              <w:t>PETase</w:t>
            </w:r>
            <w:proofErr w:type="spellEnd"/>
            <w:r>
              <w:t xml:space="preserve"> variants</w:t>
            </w:r>
          </w:p>
        </w:tc>
        <w:tc>
          <w:tcPr>
            <w:tcW w:w="0" w:type="auto"/>
            <w:vAlign w:val="center"/>
            <w:hideMark/>
          </w:tcPr>
          <w:p w14:paraId="05E7B0CF" w14:textId="77777777" w:rsidR="008E5B6C" w:rsidRDefault="008E5B6C" w:rsidP="007A78A3">
            <w:r>
              <w:t xml:space="preserve">Improve </w:t>
            </w:r>
            <w:proofErr w:type="spellStart"/>
            <w:r>
              <w:t>PETase</w:t>
            </w:r>
            <w:proofErr w:type="spellEnd"/>
            <w:r>
              <w:t xml:space="preserve"> stability and catalytic performance</w:t>
            </w:r>
          </w:p>
        </w:tc>
        <w:tc>
          <w:tcPr>
            <w:tcW w:w="0" w:type="auto"/>
            <w:vAlign w:val="center"/>
            <w:hideMark/>
          </w:tcPr>
          <w:p w14:paraId="2476A694" w14:textId="77777777" w:rsidR="008E5B6C" w:rsidRDefault="008E5B6C" w:rsidP="007A78A3">
            <w:r>
              <w:t xml:space="preserve">Greater thermal and operational stability than wild-type </w:t>
            </w:r>
            <w:proofErr w:type="spellStart"/>
            <w:r>
              <w:t>PETase</w:t>
            </w:r>
            <w:proofErr w:type="spellEnd"/>
          </w:p>
        </w:tc>
        <w:tc>
          <w:tcPr>
            <w:tcW w:w="0" w:type="auto"/>
            <w:vAlign w:val="center"/>
            <w:hideMark/>
          </w:tcPr>
          <w:p w14:paraId="76E14A23" w14:textId="77777777" w:rsidR="008E5B6C" w:rsidRDefault="008E5B6C" w:rsidP="007A78A3">
            <w:r>
              <w:t>Environmental performance under complex field conditions remains uncertain</w:t>
            </w:r>
          </w:p>
        </w:tc>
        <w:tc>
          <w:tcPr>
            <w:tcW w:w="0" w:type="auto"/>
            <w:vAlign w:val="center"/>
            <w:hideMark/>
          </w:tcPr>
          <w:p w14:paraId="3BE620C5" w14:textId="77777777" w:rsidR="008E5B6C" w:rsidRDefault="008E5B6C" w:rsidP="007A78A3">
            <w:r>
              <w:t>Relevant to future development of more robust enzymes for industrial or environmental use</w:t>
            </w:r>
          </w:p>
        </w:tc>
      </w:tr>
      <w:tr w:rsidR="008E5B6C" w14:paraId="4694A18B" w14:textId="77777777" w:rsidTr="007A78A3">
        <w:trPr>
          <w:tblCellSpacing w:w="15" w:type="dxa"/>
        </w:trPr>
        <w:tc>
          <w:tcPr>
            <w:tcW w:w="0" w:type="auto"/>
            <w:vAlign w:val="center"/>
            <w:hideMark/>
          </w:tcPr>
          <w:p w14:paraId="0D9CF07A" w14:textId="77777777" w:rsidR="008E5B6C" w:rsidRDefault="008E5B6C" w:rsidP="007A78A3">
            <w:proofErr w:type="spellStart"/>
            <w:r>
              <w:t>PETase-MHETase</w:t>
            </w:r>
            <w:proofErr w:type="spellEnd"/>
            <w:r>
              <w:t xml:space="preserve"> fusion systems</w:t>
            </w:r>
          </w:p>
        </w:tc>
        <w:tc>
          <w:tcPr>
            <w:tcW w:w="0" w:type="auto"/>
            <w:vAlign w:val="center"/>
            <w:hideMark/>
          </w:tcPr>
          <w:p w14:paraId="58C241AD" w14:textId="77777777" w:rsidR="008E5B6C" w:rsidRDefault="008E5B6C" w:rsidP="007A78A3">
            <w:r>
              <w:t>Engineered multi-enzyme or fusion-protein constructs</w:t>
            </w:r>
          </w:p>
        </w:tc>
        <w:tc>
          <w:tcPr>
            <w:tcW w:w="0" w:type="auto"/>
            <w:vAlign w:val="center"/>
            <w:hideMark/>
          </w:tcPr>
          <w:p w14:paraId="2F5E5D05" w14:textId="77777777" w:rsidR="008E5B6C" w:rsidRDefault="008E5B6C" w:rsidP="007A78A3">
            <w:r>
              <w:t>Combine PET hydrolysis and MHET conversion within a linked enzymatic system</w:t>
            </w:r>
          </w:p>
        </w:tc>
        <w:tc>
          <w:tcPr>
            <w:tcW w:w="0" w:type="auto"/>
            <w:vAlign w:val="center"/>
            <w:hideMark/>
          </w:tcPr>
          <w:p w14:paraId="5223541E" w14:textId="77777777" w:rsidR="008E5B6C" w:rsidRDefault="008E5B6C" w:rsidP="007A78A3">
            <w:r>
              <w:t>Reduces MHET accumulation and improves cascade efficiency</w:t>
            </w:r>
          </w:p>
        </w:tc>
        <w:tc>
          <w:tcPr>
            <w:tcW w:w="0" w:type="auto"/>
            <w:vAlign w:val="center"/>
            <w:hideMark/>
          </w:tcPr>
          <w:p w14:paraId="305EF1CB" w14:textId="77777777" w:rsidR="008E5B6C" w:rsidRDefault="008E5B6C" w:rsidP="007A78A3">
            <w:r>
              <w:t>Design, stability, and scale-up remain technically challenging</w:t>
            </w:r>
          </w:p>
        </w:tc>
        <w:tc>
          <w:tcPr>
            <w:tcW w:w="0" w:type="auto"/>
            <w:vAlign w:val="center"/>
            <w:hideMark/>
          </w:tcPr>
          <w:p w14:paraId="456ECBFE" w14:textId="77777777" w:rsidR="008E5B6C" w:rsidRDefault="008E5B6C" w:rsidP="007A78A3">
            <w:r>
              <w:t>Useful model for enzyme-cocktail and synthetic-biology approaches to PET degradation</w:t>
            </w:r>
          </w:p>
        </w:tc>
      </w:tr>
    </w:tbl>
    <w:p w14:paraId="4F063C45" w14:textId="77777777" w:rsidR="008E5B6C" w:rsidRDefault="008E5B6C" w:rsidP="008E5B6C">
      <w:pPr>
        <w:spacing w:line="360" w:lineRule="auto"/>
      </w:pPr>
    </w:p>
    <w:p w14:paraId="71692A5C" w14:textId="77777777" w:rsidR="008E5B6C" w:rsidRDefault="008E5B6C" w:rsidP="008E5B6C">
      <w:pPr>
        <w:spacing w:after="160" w:line="360" w:lineRule="auto"/>
        <w:jc w:val="both"/>
      </w:pPr>
    </w:p>
    <w:p w14:paraId="23A2F3CD" w14:textId="44F7CC65" w:rsidR="00952F37" w:rsidRDefault="00AB3750" w:rsidP="008E5B6C">
      <w:pPr>
        <w:spacing w:after="160" w:line="360" w:lineRule="auto"/>
        <w:jc w:val="both"/>
      </w:pPr>
      <w:r>
        <w:rPr>
          <w:noProof/>
        </w:rPr>
        <mc:AlternateContent>
          <mc:Choice Requires="wps">
            <w:drawing>
              <wp:inline distT="0" distB="0" distL="0" distR="0" wp14:anchorId="3C18A9D3" wp14:editId="35F3A7BA">
                <wp:extent cx="304800" cy="304800"/>
                <wp:effectExtent l="0" t="0" r="0" b="0"/>
                <wp:docPr id="2" name="Rectangle 2" descr="Generated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5E73087" id="Rectangle 2" o:spid="_x0000_s1026" alt="Generated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xV+AEAANwDAAAOAAAAZHJzL2Uyb0RvYy54bWysU9tuEzEQfUfiHyy/k92EAGWVTVW1aoVU&#10;oKLwAY53dtdi7TFjJ5vy9Yy9SUjhDfFizcU+c+bMeHW5t4PYAQWDrpbzWSkFOI2NcV0tv329fXUh&#10;RYjKNWpAB7V8giAv1y9frEZfwQJ7HBogwSAuVKOvZR+jr4oi6B6sCjP04DjZIlkV2aWuaEiNjG6H&#10;YlGWb4sRqfGEGkLg6M2UlOuM37ag4+e2DRDFUEvmFvNJ+dyks1ivVNWR8r3RBxrqH1hYZRwXPUHd&#10;qKjElsxfUNZowoBtnGm0Bbat0ZB74G7m5R/dPPbKQ+6FxQn+JFP4f7D60+6BhGlquZDCKcsj+sKi&#10;KdcNIDjUQNAs1x04IBWhEcaqDpJsow8Vv370D5QaD/4e9fcgHF73/BqugmccXgmGPYaIcOxBNcx/&#10;niCKZxjJCYwmNuNHbJiI2kbMou5bsqkGyyX2eXZPp9nBPgrNwdfl8qLkCWtOHexUQVXHx55CvAO0&#10;Ihm1JGaXwdXuPsTp6vFKquXw1gwDx1U1uGcBxkyRTD7xnaTYYPPE3AmnFeMvwUaP9FOKkderluHH&#10;VhFIMXxw3P/7+XKZ9jE7yzfvFuzQeWZznlFOM1QtoxSTeR2nHd56Ml2fZZ44XrFmrcn9JD0nVgey&#10;vEJZkcO6px099/Ot359y/Qs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CuQ/xV+AEAANwDAAAOAAAAAAAAAAAAAAAAAC4CAABkcnMv&#10;ZTJvRG9jLnhtbFBLAQItABQABgAIAAAAIQBMoOks2AAAAAMBAAAPAAAAAAAAAAAAAAAAAFIEAABk&#10;cnMvZG93bnJldi54bWxQSwUGAAAAAAQABADzAAAAVwUAAAAA&#10;" filled="f" stroked="f">
                <o:lock v:ext="edit" aspectratio="t"/>
                <w10:anchorlock/>
              </v:rect>
            </w:pict>
          </mc:Fallback>
        </mc:AlternateContent>
      </w:r>
    </w:p>
    <w:p w14:paraId="6714132A" w14:textId="0154D6DC" w:rsidR="00760213" w:rsidRDefault="00073C4C" w:rsidP="00F940FB">
      <w:pPr>
        <w:pStyle w:val="Heading2"/>
        <w:spacing w:line="360" w:lineRule="auto"/>
      </w:pPr>
      <w:r>
        <w:t>2.3 Environmental Distribution of PET-Degrading Microorganisms</w:t>
      </w:r>
    </w:p>
    <w:p w14:paraId="08301FE2" w14:textId="77777777" w:rsidR="00760213" w:rsidRDefault="00073C4C" w:rsidP="00F940FB">
      <w:pPr>
        <w:spacing w:after="160" w:line="360" w:lineRule="auto"/>
        <w:ind w:firstLine="720"/>
        <w:jc w:val="both"/>
      </w:pPr>
      <w:r>
        <w:t xml:space="preserve">Metagenomic surveys have identified homologs of PETase-like enzymes in diverse environmental samples, including marine sediments, soil, and freshwater systems, suggesting that </w:t>
      </w:r>
      <w:r>
        <w:lastRenderedPageBreak/>
        <w:t>plastic-degrading enzymatic capacity may be more taxonomically widespread than originally recognized (Zrimec et al., 2021; Gambarini et al., 2022). However, the ecological significance of these sequences remains uncertain, as gene presence does not necessarily predict functional enzyme expression or relevant catalytic activity under in situ conditions. Limited data exist on the population dynamics, abundance, and spatial distribution of metabolically active PET-degrading organisms in natural environments.</w:t>
      </w:r>
    </w:p>
    <w:p w14:paraId="3943CA9D" w14:textId="77777777" w:rsidR="00760213" w:rsidRDefault="00073C4C" w:rsidP="00F940FB">
      <w:pPr>
        <w:spacing w:after="160" w:line="360" w:lineRule="auto"/>
        <w:ind w:firstLine="720"/>
        <w:jc w:val="both"/>
      </w:pPr>
      <w:r>
        <w:t>Studies examining biofilm formation on PET surfaces have documented the enrichment of specific microbial taxa that exhibit enhanced enzymatic degradation capacity relative to surrounding communities (Oberbeckmann &amp; Labrenz, 2020). Evidence suggests that the plastisphere constitutes a distinct ecological niche with compositional characteristics shaped by plastic type, surface weathering, and geographic location, though the contribution of plastisphere-associated microbiota to bulk plastic degradation in situ remains quantitatively unresolved (Wright et al., 2021).</w:t>
      </w:r>
    </w:p>
    <w:p w14:paraId="78C0B4A2" w14:textId="77777777" w:rsidR="00760213" w:rsidRDefault="00760213" w:rsidP="00F940FB">
      <w:pPr>
        <w:spacing w:line="360" w:lineRule="auto"/>
      </w:pPr>
    </w:p>
    <w:p w14:paraId="13DEB59F" w14:textId="77777777" w:rsidR="00760213" w:rsidRDefault="00073C4C" w:rsidP="00F940FB">
      <w:pPr>
        <w:pStyle w:val="Heading1"/>
        <w:spacing w:line="360" w:lineRule="auto"/>
      </w:pPr>
      <w:r>
        <w:rPr>
          <w:caps/>
        </w:rPr>
        <w:t>3. Mechanism of PET Biodegradation</w:t>
      </w:r>
    </w:p>
    <w:p w14:paraId="61EA5785" w14:textId="77777777" w:rsidR="00760213" w:rsidRDefault="00073C4C" w:rsidP="00F940FB">
      <w:pPr>
        <w:spacing w:after="160" w:line="360" w:lineRule="auto"/>
        <w:ind w:firstLine="720"/>
        <w:jc w:val="both"/>
      </w:pPr>
      <w:r>
        <w:t>PET biodegradation by bacterial enzymes proceeds through a defined biochemical pathway involving sequential enzymatic reactions, intermediate metabolite generation, and terminal monomer release. Understanding this pathway at the mechanistic level is essential for evaluating both the potential and the limitations of enzymatic bioremediation.</w:t>
      </w:r>
    </w:p>
    <w:p w14:paraId="762C8372" w14:textId="77777777" w:rsidR="00760213" w:rsidRDefault="00073C4C" w:rsidP="00F940FB">
      <w:pPr>
        <w:pStyle w:val="Heading2"/>
        <w:spacing w:line="360" w:lineRule="auto"/>
      </w:pPr>
      <w:r>
        <w:t>3.1 Enzymatic Hydrolysis by PETase</w:t>
      </w:r>
    </w:p>
    <w:p w14:paraId="24BBAF77" w14:textId="77777777" w:rsidR="00760213" w:rsidRDefault="00073C4C" w:rsidP="00F940FB">
      <w:pPr>
        <w:spacing w:after="160" w:line="360" w:lineRule="auto"/>
        <w:ind w:firstLine="720"/>
        <w:jc w:val="both"/>
      </w:pPr>
      <w:r>
        <w:t xml:space="preserve">PETase catalyzes the hydrolytic cleavage of ester bonds within PET polymer chains through a serine-dependent nucleophilic mechanism. The catalytic cycle initiates with the nucleophilic attack of the active site serine residue (Ser160) on the carbonyl carbon of an ester linkage within the PET substrate, forming an acyl-enzyme tetrahedral intermediate. Stabilization of this intermediate is facilitated by hydrogen bonding within the oxyanion hole, a conserved structural feature of serine hydrolases. Subsequent collapse of the tetrahedral intermediate releases the alcohol component and generates an acyl-enzyme ester intermediate. Hydrolysis of the acyl-enzyme species by an activated water molecule, coordinated through the histidine-aspartate dyad </w:t>
      </w:r>
      <w:r>
        <w:lastRenderedPageBreak/>
        <w:t>of the catalytic triad, regenerates the free enzyme and releases the acid component (Austin et al., 2018; Fecker et al., 2018).</w:t>
      </w:r>
    </w:p>
    <w:p w14:paraId="4F47363B" w14:textId="77777777" w:rsidR="00760213" w:rsidRDefault="00073C4C" w:rsidP="00F940FB">
      <w:pPr>
        <w:spacing w:after="160" w:line="360" w:lineRule="auto"/>
        <w:ind w:firstLine="720"/>
        <w:jc w:val="both"/>
      </w:pPr>
      <w:r>
        <w:t>PETase degrades PET through two mechanistic modes depending on the location of ester bond cleavage within the polymer chain. Endolytic cleavage of internal ester bonds generates intermediate oligomers, including mono(2-hydroxyethyl) terephthalate (MHET) and bis(2-hydroxyethyl) terephthalate (BHET), along with TPA and EG. Kinetic analysis indicates that MHET is the predominant initial soluble product under standard assay conditions, accumulating at concentrations that can inhibit PETase activity through product inhibition, a mechanistic constraint with direct implications for reaction efficiency (Knott et al., 2020).</w:t>
      </w:r>
    </w:p>
    <w:p w14:paraId="79F852A4" w14:textId="77777777" w:rsidR="00760213" w:rsidRDefault="00073C4C" w:rsidP="00F940FB">
      <w:pPr>
        <w:pStyle w:val="Heading2"/>
        <w:spacing w:line="360" w:lineRule="auto"/>
      </w:pPr>
      <w:r>
        <w:t>3.2 Secondary Hydrolysis by MHETase</w:t>
      </w:r>
    </w:p>
    <w:p w14:paraId="46875C48" w14:textId="77777777" w:rsidR="00760213" w:rsidRDefault="00073C4C" w:rsidP="00F940FB">
      <w:pPr>
        <w:spacing w:after="160" w:line="360" w:lineRule="auto"/>
        <w:ind w:firstLine="720"/>
        <w:jc w:val="both"/>
      </w:pPr>
      <w:r>
        <w:t>MHETase functions as a tannase-family hydrolase that specifically recognizes and cleaves MHET, the primary soluble intermediate generated by PETase activity. The enzyme binds MHET within a structured active site that accommodates the terephthalic acid moiety through aromatic stacking interactions, positioning the ester bond for nucleophilic attack by the catalytic serine. Hydrolysis of MHET by MHETase produces one molecule of TPA and one molecule of EG, completing the depolymerization of the PET repeat unit to its constituent monomers (Yoshida et al., 2016; Knott et al., 2020).</w:t>
      </w:r>
    </w:p>
    <w:p w14:paraId="51EC15FD" w14:textId="77777777" w:rsidR="00760213" w:rsidRDefault="00073C4C" w:rsidP="00F940FB">
      <w:pPr>
        <w:spacing w:after="160" w:line="360" w:lineRule="auto"/>
        <w:ind w:firstLine="720"/>
        <w:jc w:val="both"/>
      </w:pPr>
      <w:r>
        <w:t>Studies demonstrate that the co-expression or physical coupling of PETase and MHETase significantly enhances overall depolymerization efficiency relative to either enzyme alone. A bifunctional fusion enzyme comprising PETase and MHETase domains exhibited synergistic activity, reducing MHET accumulation and alleviating product inhibition of PETase (Kim et al., 2019). This finding has important implications for the design of enzymatic cocktails and fusion protein constructs for applied bioremediation, and has stimulated the exploration of multi-enzyme cascades that integrate additional hydrolases to address oligomer accumulation (Sagong et al., 2020).</w:t>
      </w:r>
    </w:p>
    <w:p w14:paraId="691470F6" w14:textId="77777777" w:rsidR="00760213" w:rsidRDefault="00073C4C" w:rsidP="00F940FB">
      <w:pPr>
        <w:pStyle w:val="Heading2"/>
        <w:spacing w:line="360" w:lineRule="auto"/>
      </w:pPr>
      <w:r>
        <w:t>3.3 Downstream Metabolism and Cellular Assimilation</w:t>
      </w:r>
    </w:p>
    <w:p w14:paraId="503E7657" w14:textId="77777777" w:rsidR="00760213" w:rsidRDefault="00073C4C" w:rsidP="00F940FB">
      <w:pPr>
        <w:spacing w:after="160" w:line="360" w:lineRule="auto"/>
        <w:ind w:firstLine="720"/>
        <w:jc w:val="both"/>
      </w:pPr>
      <w:r>
        <w:t xml:space="preserve">In I. sakaiensis, TPA and EG generated by the enzymatic cascade are transported into the bacterial cell via dedicated uptake systems and metabolized through distinct catabolic pathways. TPA is converted to protocatechuate by a TPA dioxygenase system (TphA and TphB), which is </w:t>
      </w:r>
      <w:r>
        <w:lastRenderedPageBreak/>
        <w:t>subsequently channeled into the tricarboxylic acid cycle via the beta-ketoadipate pathway. EG is metabolized through glycolaldehyde and glyoxylate intermediates to generate biosynthetic precursors and energy-yielding metabolites. The completeness of this metabolic pathway indicates that PET serves as a genuine growth substrate for I. sakaiensis, not merely as a target for enzymatic surface modification (Yoshida et al., 2016).</w:t>
      </w:r>
    </w:p>
    <w:p w14:paraId="074ED3CE" w14:textId="3F6DE43B" w:rsidR="00760213" w:rsidRDefault="00073C4C" w:rsidP="00F940FB">
      <w:pPr>
        <w:spacing w:after="160" w:line="360" w:lineRule="auto"/>
        <w:ind w:firstLine="720"/>
        <w:jc w:val="both"/>
      </w:pPr>
      <w:r>
        <w:t>The identification of defined catabolic routes for TPA and EG has facilitated the engineering of heterologous hosts for monomer recovery. Metabolic engineering approaches in Pseudomonas putida and Corynebacterium glutamicum have directed TPA flux toward extracellular accumulation or toward value-added metabolite production rather than intracellular catabolism, enabling the recovery of high-purity monomers or bio-based chemicals for downstream applications (Werner et al., 2021; Tiso et al., 2021).</w:t>
      </w:r>
    </w:p>
    <w:p w14:paraId="75D98C2A" w14:textId="35E31434" w:rsidR="00D8375A" w:rsidRDefault="00D8375A" w:rsidP="00F940FB">
      <w:pPr>
        <w:spacing w:after="160" w:line="360" w:lineRule="auto"/>
        <w:ind w:firstLine="720"/>
        <w:jc w:val="both"/>
      </w:pPr>
    </w:p>
    <w:p w14:paraId="638AECEC" w14:textId="63B0185D" w:rsidR="00D8375A" w:rsidRDefault="00D8375A" w:rsidP="00F940FB">
      <w:pPr>
        <w:spacing w:after="160" w:line="360" w:lineRule="auto"/>
        <w:ind w:firstLine="720"/>
        <w:jc w:val="both"/>
      </w:pPr>
    </w:p>
    <w:p w14:paraId="76204466" w14:textId="758734A0" w:rsidR="00760213" w:rsidRDefault="00760213" w:rsidP="00F940FB">
      <w:pPr>
        <w:spacing w:line="360" w:lineRule="auto"/>
      </w:pPr>
    </w:p>
    <w:p w14:paraId="5EFAD423" w14:textId="57A91FD9" w:rsidR="00952F37" w:rsidRDefault="00952F37" w:rsidP="00F940FB">
      <w:pPr>
        <w:spacing w:line="360" w:lineRule="auto"/>
      </w:pPr>
    </w:p>
    <w:p w14:paraId="2E675FBA" w14:textId="77777777" w:rsidR="00952F37" w:rsidRDefault="00952F37" w:rsidP="00952F37">
      <w:pPr>
        <w:pStyle w:val="NormalWeb"/>
        <w:rPr>
          <w:b/>
          <w:bCs/>
        </w:rPr>
      </w:pPr>
    </w:p>
    <w:p w14:paraId="20C51234" w14:textId="77777777" w:rsidR="00952F37" w:rsidRDefault="00952F37" w:rsidP="00952F37">
      <w:pPr>
        <w:pStyle w:val="NormalWeb"/>
        <w:rPr>
          <w:b/>
          <w:bCs/>
        </w:rPr>
      </w:pPr>
    </w:p>
    <w:p w14:paraId="2802D93F" w14:textId="77777777" w:rsidR="00952F37" w:rsidRDefault="00952F37" w:rsidP="00952F37">
      <w:pPr>
        <w:pStyle w:val="NormalWeb"/>
        <w:rPr>
          <w:b/>
          <w:bCs/>
        </w:rPr>
      </w:pPr>
    </w:p>
    <w:p w14:paraId="2AB50B01" w14:textId="77777777" w:rsidR="00952F37" w:rsidRDefault="00952F37" w:rsidP="00952F37">
      <w:pPr>
        <w:pStyle w:val="NormalWeb"/>
        <w:rPr>
          <w:b/>
          <w:bCs/>
        </w:rPr>
      </w:pPr>
    </w:p>
    <w:p w14:paraId="4277068C" w14:textId="77777777" w:rsidR="00952F37" w:rsidRDefault="00952F37" w:rsidP="00952F37">
      <w:pPr>
        <w:pStyle w:val="NormalWeb"/>
        <w:rPr>
          <w:b/>
          <w:bCs/>
        </w:rPr>
      </w:pPr>
    </w:p>
    <w:p w14:paraId="0394ECAC" w14:textId="77777777" w:rsidR="00952F37" w:rsidRDefault="00952F37" w:rsidP="00952F37">
      <w:pPr>
        <w:pStyle w:val="NormalWeb"/>
        <w:rPr>
          <w:b/>
          <w:bCs/>
        </w:rPr>
      </w:pPr>
    </w:p>
    <w:p w14:paraId="01F50AF1" w14:textId="77777777" w:rsidR="00952F37" w:rsidRDefault="00952F37" w:rsidP="00952F37">
      <w:pPr>
        <w:pStyle w:val="NormalWeb"/>
        <w:rPr>
          <w:b/>
          <w:bCs/>
        </w:rPr>
      </w:pPr>
    </w:p>
    <w:p w14:paraId="247F663B" w14:textId="77777777" w:rsidR="00952F37" w:rsidRDefault="00952F37" w:rsidP="00952F37">
      <w:pPr>
        <w:pStyle w:val="NormalWeb"/>
        <w:rPr>
          <w:b/>
          <w:bCs/>
        </w:rPr>
      </w:pPr>
    </w:p>
    <w:p w14:paraId="7680410B" w14:textId="77777777" w:rsidR="00952F37" w:rsidRDefault="00952F37" w:rsidP="00952F37">
      <w:pPr>
        <w:pStyle w:val="NormalWeb"/>
        <w:rPr>
          <w:b/>
          <w:bCs/>
        </w:rPr>
      </w:pPr>
    </w:p>
    <w:p w14:paraId="0B846613" w14:textId="714C8CAA" w:rsidR="008E5B6C" w:rsidRDefault="008E5B6C" w:rsidP="00F940FB">
      <w:pPr>
        <w:spacing w:line="360" w:lineRule="auto"/>
      </w:pPr>
      <w:r>
        <w:rPr>
          <w:noProof/>
        </w:rPr>
        <w:lastRenderedPageBreak/>
        <w:drawing>
          <wp:inline distT="0" distB="0" distL="0" distR="0" wp14:anchorId="20BD4494" wp14:editId="7C763C05">
            <wp:extent cx="6839809" cy="6762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62190" cy="6784879"/>
                    </a:xfrm>
                    <a:prstGeom prst="rect">
                      <a:avLst/>
                    </a:prstGeom>
                    <a:noFill/>
                  </pic:spPr>
                </pic:pic>
              </a:graphicData>
            </a:graphic>
          </wp:inline>
        </w:drawing>
      </w:r>
    </w:p>
    <w:p w14:paraId="3E042C4A" w14:textId="77777777" w:rsidR="008E5B6C" w:rsidRDefault="008E5B6C" w:rsidP="00F940FB">
      <w:pPr>
        <w:pStyle w:val="Heading1"/>
        <w:spacing w:line="360" w:lineRule="auto"/>
        <w:rPr>
          <w:caps/>
        </w:rPr>
      </w:pPr>
    </w:p>
    <w:p w14:paraId="1926736D" w14:textId="77777777" w:rsidR="008E5B6C" w:rsidRDefault="008E5B6C" w:rsidP="00F940FB">
      <w:pPr>
        <w:pStyle w:val="Heading1"/>
        <w:spacing w:line="360" w:lineRule="auto"/>
        <w:rPr>
          <w:caps/>
        </w:rPr>
      </w:pPr>
    </w:p>
    <w:p w14:paraId="4EECF098" w14:textId="4123E574" w:rsidR="00760213" w:rsidRDefault="00073C4C" w:rsidP="00F940FB">
      <w:pPr>
        <w:pStyle w:val="Heading1"/>
        <w:spacing w:line="360" w:lineRule="auto"/>
      </w:pPr>
      <w:r>
        <w:rPr>
          <w:caps/>
        </w:rPr>
        <w:lastRenderedPageBreak/>
        <w:t>4. Environmental Implications</w:t>
      </w:r>
    </w:p>
    <w:p w14:paraId="72D6D4A7" w14:textId="77777777" w:rsidR="00760213" w:rsidRDefault="00073C4C" w:rsidP="00F940FB">
      <w:pPr>
        <w:spacing w:after="160" w:line="360" w:lineRule="auto"/>
        <w:ind w:firstLine="720"/>
        <w:jc w:val="both"/>
      </w:pPr>
      <w:r>
        <w:t>The deployment of PET-degrading enzymes in environmental contexts carries a complex portfolio of potential benefits and risks. A rigorous assessment of these implications is essential for responsible technology development and regulatory evaluation.</w:t>
      </w:r>
    </w:p>
    <w:p w14:paraId="36A8F7EA" w14:textId="77777777" w:rsidR="00760213" w:rsidRDefault="00073C4C" w:rsidP="00F940FB">
      <w:pPr>
        <w:pStyle w:val="Heading2"/>
        <w:spacing w:line="360" w:lineRule="auto"/>
      </w:pPr>
      <w:r>
        <w:t>4.1 Reduction of PET Persistence and Microplastic Generation</w:t>
      </w:r>
    </w:p>
    <w:p w14:paraId="0B3B9F8E" w14:textId="77777777" w:rsidR="00760213" w:rsidRDefault="00073C4C" w:rsidP="00F940FB">
      <w:pPr>
        <w:spacing w:after="160" w:line="360" w:lineRule="auto"/>
        <w:ind w:firstLine="720"/>
        <w:jc w:val="both"/>
      </w:pPr>
      <w:r>
        <w:t>The most direct environmental benefit of enzymatic PET degradation is the acceleration of polymer breakdown in contaminated environments, thereby reducing the long-term accumulation of intact PET and limiting the physical fragmentation processes that generate microplastics and nanoplastics. Mathematical modeling of PET fragmentation kinetics indicates that even a modest increase in surface erosion rates through enzymatic activity could substantially reduce the steady-state mass of microplastics in affected ecosystems, given the exponential relationship between particle number and surface area during fragmentation (Shen et al., 2020). However, empirical field data validating these models are presently lacking, and the practical contribution of enzymatic activity to bulk microplastic reduction under environmental conditions has not been directly measured.</w:t>
      </w:r>
    </w:p>
    <w:p w14:paraId="0964D25F" w14:textId="77777777" w:rsidR="00760213" w:rsidRDefault="00073C4C" w:rsidP="00F940FB">
      <w:pPr>
        <w:spacing w:after="160" w:line="360" w:lineRule="auto"/>
        <w:ind w:firstLine="720"/>
        <w:jc w:val="both"/>
      </w:pPr>
      <w:r>
        <w:t>It is important to note that enzymatic degradation does not intrinsically prevent intermediate product accumulation. If MHET and BHET generated by PETase activity are not efficiently further metabolized or removed, these soluble aromatic compounds may themselves exert ecological effects, including inhibition of aquatic organisms and accumulation in sediments. The environmental fate of PET degradation intermediates in open systems remains an understudied and critical knowledge gap (Danso et al., 2019).</w:t>
      </w:r>
    </w:p>
    <w:p w14:paraId="7BE73A6F" w14:textId="77777777" w:rsidR="00760213" w:rsidRDefault="00073C4C" w:rsidP="00F940FB">
      <w:pPr>
        <w:pStyle w:val="Heading2"/>
        <w:spacing w:line="360" w:lineRule="auto"/>
      </w:pPr>
      <w:r>
        <w:t>4.2 Ecosystem Impacts of Enzymatic Activity</w:t>
      </w:r>
    </w:p>
    <w:p w14:paraId="70B9AFCE" w14:textId="77777777" w:rsidR="00760213" w:rsidRDefault="00073C4C" w:rsidP="00F940FB">
      <w:pPr>
        <w:spacing w:after="160" w:line="360" w:lineRule="auto"/>
        <w:ind w:firstLine="720"/>
        <w:jc w:val="both"/>
      </w:pPr>
      <w:r>
        <w:t xml:space="preserve">The introduction of PET-degrading enzymes or enzyme-producing microorganisms into natural ecosystems raises substantive ecological concerns that must be evaluated prior to large-scale deployment. Engineered microbial strains with enhanced PETase activity could displace native microbial communities if they confer competitive advantages in PET-colonized environments, potentially altering plastisphere dynamics and associated food web interactions. Studies on introduced biocontrol organisms in other environmental contexts demonstrate that </w:t>
      </w:r>
      <w:r>
        <w:lastRenderedPageBreak/>
        <w:t>displacement of native taxa can have cascading ecological consequences that are difficult to predict or reverse (Oberbeckmann &amp; Labrenz, 2020).</w:t>
      </w:r>
    </w:p>
    <w:p w14:paraId="1E9A58DD" w14:textId="77777777" w:rsidR="00760213" w:rsidRDefault="00073C4C" w:rsidP="00F940FB">
      <w:pPr>
        <w:spacing w:after="160" w:line="360" w:lineRule="auto"/>
        <w:ind w:firstLine="720"/>
        <w:jc w:val="both"/>
      </w:pPr>
      <w:r>
        <w:t>The specificity of PETase for PET ester bonds provides some degree of biochemical selectivity; however, the potential for off-target hydrolysis of structurally related natural polyesters, including suberin in plant tissues and cutin on leaf surfaces, has not been comprehensively evaluated. Evidence from in vitro substrate profiling studies indicates that PETase and related cutinases possess measurable activity against model cutin monomers, suggesting that ecological risk assessment must include evaluation of potential impacts on plant physiology and soil organic matter dynamics (Ribitsch et al., 2017; Palm et al., 2019).</w:t>
      </w:r>
    </w:p>
    <w:p w14:paraId="224FE6D6" w14:textId="77777777" w:rsidR="00760213" w:rsidRDefault="00073C4C" w:rsidP="00F940FB">
      <w:pPr>
        <w:spacing w:after="160" w:line="360" w:lineRule="auto"/>
        <w:ind w:firstLine="720"/>
        <w:jc w:val="both"/>
      </w:pPr>
      <w:r>
        <w:t>Aquatic environments merit particular attention. TPA, one of the terminal products of PET enzymatic degradation, is relatively recalcitrant in anaerobic conditions and has been detected at elevated concentrations in industrial effluents. The controlled degradation of PET in aerobic surface waters would generate TPA concentrations likely well below acute toxicity thresholds; however, chronic low-level exposure effects on aquatic biota remain inadequately characterized (Wierckx et al., 2015; Hartmann et al., 2017).</w:t>
      </w:r>
    </w:p>
    <w:p w14:paraId="6E575D55" w14:textId="77777777" w:rsidR="00760213" w:rsidRDefault="00073C4C" w:rsidP="00F940FB">
      <w:pPr>
        <w:pStyle w:val="Heading2"/>
        <w:spacing w:line="360" w:lineRule="auto"/>
      </w:pPr>
      <w:r>
        <w:t>4.3 Comparison with Conventional Recycling Approaches</w:t>
      </w:r>
    </w:p>
    <w:p w14:paraId="28A46B8F" w14:textId="77777777" w:rsidR="00760213" w:rsidRDefault="00073C4C" w:rsidP="00F940FB">
      <w:pPr>
        <w:spacing w:after="160" w:line="360" w:lineRule="auto"/>
        <w:ind w:firstLine="720"/>
        <w:jc w:val="both"/>
      </w:pPr>
      <w:r>
        <w:t>Enzymatic depolymerization offers mechanistic advantages over conventional PET recycling that are relevant from an environmental life cycle perspective. Mechanical recycling of PET is limited to materials with low contamination levels and specific color profiles, excludes composite or multilayer packaging, and yields downcycled polymer with degraded mechanical properties. In contrast, enzymatic depolymerization to TPA and EG produces virgin-equivalent monomers from diverse, contaminated, and colored PET streams, enabling true closed-loop recycling without quality deterioration (Ragaert et al., 2017; Schyns &amp; Shaver, 2021).</w:t>
      </w:r>
    </w:p>
    <w:p w14:paraId="46BF1328" w14:textId="77777777" w:rsidR="00760213" w:rsidRDefault="00073C4C" w:rsidP="00F940FB">
      <w:pPr>
        <w:spacing w:after="160" w:line="360" w:lineRule="auto"/>
        <w:ind w:firstLine="720"/>
        <w:jc w:val="both"/>
      </w:pPr>
      <w:r>
        <w:t xml:space="preserve">Life cycle assessment (LCA) studies of enzymatic PET recycling indicate significantly lower greenhouse gas emissions and energy consumption compared with conventional virgin PET production and thermal recycling routes, provided that the enzyme production process is itself optimized and the energy requirements of reactor heating are addressed (Tournier et al., 2020; Rosenboom et al., 2022). Evidence suggests that when enzymatic processes operate at or near ambient temperatures, as is the objective for in situ bioremediation applications, the carbon </w:t>
      </w:r>
      <w:r>
        <w:lastRenderedPageBreak/>
        <w:t>footprint advantage over chemical recycling is maximized. However, comparative LCA data for environmental release scenarios are essentially absent from the current literature.</w:t>
      </w:r>
    </w:p>
    <w:p w14:paraId="2B4EC6F1" w14:textId="77777777" w:rsidR="00760213" w:rsidRDefault="00073C4C" w:rsidP="00F940FB">
      <w:pPr>
        <w:pStyle w:val="Heading2"/>
        <w:spacing w:line="360" w:lineRule="auto"/>
      </w:pPr>
      <w:r>
        <w:t>4.4 Potential Contribution to Circular Economy Frameworks</w:t>
      </w:r>
    </w:p>
    <w:p w14:paraId="0832C420" w14:textId="77777777" w:rsidR="00760213" w:rsidRDefault="00073C4C" w:rsidP="00F940FB">
      <w:pPr>
        <w:spacing w:after="160" w:line="360" w:lineRule="auto"/>
        <w:ind w:firstLine="720"/>
        <w:jc w:val="both"/>
      </w:pPr>
      <w:r>
        <w:t>Enzymatic PET depolymerization aligns conceptually with circular economy principles by enabling material recovery from waste streams that are currently directed to landfill or incineration. The recovery of chemically pure TPA and EG monomers from enzymatic processes supports their reintegration into PET polymer production, closing the material loop in a manner that is not achievable through mechanical recycling of degraded or heterogeneous feedstocks (Tournier et al., 2020; Tiso et al., 2021). Studies demonstrate proof-of-concept for re-polymerization of enzymatically recovered TPA to produce PET with properties equivalent to virgin-grade material, though the economic viability of this pathway at commercial scale remains to be established (Rosenboom et al., 2022).</w:t>
      </w:r>
    </w:p>
    <w:p w14:paraId="1E9AB86C" w14:textId="77777777" w:rsidR="00760213" w:rsidRDefault="00760213" w:rsidP="00F940FB">
      <w:pPr>
        <w:spacing w:line="360" w:lineRule="auto"/>
      </w:pPr>
    </w:p>
    <w:p w14:paraId="30A1D4F0" w14:textId="77777777" w:rsidR="00760213" w:rsidRDefault="00073C4C" w:rsidP="00F940FB">
      <w:pPr>
        <w:pStyle w:val="Heading1"/>
        <w:spacing w:line="360" w:lineRule="auto"/>
      </w:pPr>
      <w:r>
        <w:rPr>
          <w:caps/>
        </w:rPr>
        <w:t>5. Applications</w:t>
      </w:r>
    </w:p>
    <w:p w14:paraId="4B72BC86" w14:textId="77777777" w:rsidR="00760213" w:rsidRDefault="00073C4C" w:rsidP="00F940FB">
      <w:pPr>
        <w:spacing w:after="160" w:line="360" w:lineRule="auto"/>
        <w:ind w:firstLine="720"/>
        <w:jc w:val="both"/>
      </w:pPr>
      <w:r>
        <w:t>PET-degrading enzymatic systems have been evaluated in a range of applied contexts, spanning controlled industrial processes to exploratory environmental deployment strategies.</w:t>
      </w:r>
    </w:p>
    <w:p w14:paraId="0BB74982" w14:textId="77777777" w:rsidR="00760213" w:rsidRDefault="00073C4C" w:rsidP="00F940FB">
      <w:pPr>
        <w:pStyle w:val="Heading2"/>
        <w:spacing w:line="360" w:lineRule="auto"/>
      </w:pPr>
      <w:r>
        <w:t>5.1 Industrial Enzymatic Recycling</w:t>
      </w:r>
    </w:p>
    <w:p w14:paraId="118BB820" w14:textId="77777777" w:rsidR="00760213" w:rsidRDefault="00073C4C" w:rsidP="00F940FB">
      <w:pPr>
        <w:spacing w:after="160" w:line="360" w:lineRule="auto"/>
        <w:ind w:firstLine="720"/>
        <w:jc w:val="both"/>
      </w:pPr>
      <w:r>
        <w:t>The most advanced and evidence-supported application of PET-degrading enzymes is contained industrial biorecycling. Carbios demonstrated pilot-scale enzymatic depolymerization of post-consumer PET waste using the engineered LCC-ICCG cutinase under thermophilic conditions (72 degrees Celsius), achieving greater than 90 percent monomer yield from colored, opaque PET within 10 hours (Tournier et al., 2020). This process has been validated at demonstration plant scale and represents the most proximate pathway to commercial deployment. The recovered TPA has been used to produce food-grade PET bottles, providing direct evidence for circular economy applicability. Techno-economic analyses indicate that industrial biorecycling can be economically competitive with virgin PET production under favorable market conditions, particularly when carbon pricing mechanisms are considered (Rosenboom et al., 2022).</w:t>
      </w:r>
    </w:p>
    <w:p w14:paraId="38236A6F" w14:textId="77777777" w:rsidR="00760213" w:rsidRDefault="00073C4C" w:rsidP="00F940FB">
      <w:pPr>
        <w:pStyle w:val="Heading2"/>
        <w:spacing w:line="360" w:lineRule="auto"/>
      </w:pPr>
      <w:r>
        <w:lastRenderedPageBreak/>
        <w:t>5.2 In Situ Bioremediation</w:t>
      </w:r>
    </w:p>
    <w:p w14:paraId="41B6F0C0" w14:textId="77777777" w:rsidR="00760213" w:rsidRDefault="00073C4C" w:rsidP="00F940FB">
      <w:pPr>
        <w:spacing w:after="160" w:line="360" w:lineRule="auto"/>
        <w:ind w:firstLine="720"/>
        <w:jc w:val="both"/>
      </w:pPr>
      <w:r>
        <w:t>The direct application of PET-degrading enzymes or microbial consortia to contaminated environmental compartments, including marine systems, freshwater bodies, and contaminated soils, represents a longer-term and substantially more uncertain application pathway. Laboratory-scale studies have demonstrated PETase activity in marine water chemistry simulations and soil microcosm experiments, but extrapolation to field conditions is constrained by multiple variables, including enzyme stability, mass transfer limitations, competitive inhibition by dissolved organic matter, and the heterogeneous physical state of environmental PET (Danso et al., 2019; Gambarini et al., 2022).</w:t>
      </w:r>
    </w:p>
    <w:p w14:paraId="223EDA15" w14:textId="77777777" w:rsidR="00760213" w:rsidRDefault="00073C4C" w:rsidP="00F940FB">
      <w:pPr>
        <w:spacing w:after="160" w:line="360" w:lineRule="auto"/>
        <w:ind w:firstLine="720"/>
        <w:jc w:val="both"/>
      </w:pPr>
      <w:r>
        <w:t>Immobilization strategies, in which PETase is conjugated to carriers such as silica nanoparticles, magnetic beads, or biodegradable polymers, have been explored as mechanisms to extend enzyme half-life in environmental matrices and facilitate recovery after treatment. Studies demonstrate that immobilized PETase retains functional activity through multiple use cycles, and that carrier materials can be engineered to provide targeted delivery to plastic-rich microenvironments (Cui et al., 2021). However, the ecological implications of introducing nanoparticle carriers into natural ecosystems introduce an additional layer of environmental risk assessment complexity.</w:t>
      </w:r>
    </w:p>
    <w:p w14:paraId="6041136C" w14:textId="77777777" w:rsidR="00760213" w:rsidRDefault="00073C4C" w:rsidP="00F940FB">
      <w:pPr>
        <w:pStyle w:val="Heading2"/>
        <w:spacing w:line="360" w:lineRule="auto"/>
      </w:pPr>
      <w:r>
        <w:t>5.3 Textile and Fiber Applications</w:t>
      </w:r>
    </w:p>
    <w:p w14:paraId="3B92EE20" w14:textId="77777777" w:rsidR="00760213" w:rsidRDefault="00073C4C" w:rsidP="00F940FB">
      <w:pPr>
        <w:spacing w:after="160" w:line="360" w:lineRule="auto"/>
        <w:ind w:firstLine="720"/>
        <w:jc w:val="both"/>
      </w:pPr>
      <w:r>
        <w:t>Enzymatic surface modification of PET textiles, using PETase at sub-degrading concentrations, has been proposed as a means to improve dyeability, moisture management, and the end-of-life biodegradability of polyester fabrics without compromising structural integrity. Controlled surface etching by PETase generates carboxyl and hydroxyl functionalities on PET fiber surfaces, potentially reducing the finishing chemical burden of textile processing. This application domain remains in early-stage research, with limited data on the long-term consequences of enzymatically modified fibers during mechanical washing, a primary route of microplastic emission from synthetic textiles (Shen et al., 2020; Wright et al., 2021).</w:t>
      </w:r>
    </w:p>
    <w:p w14:paraId="0EC61DF1" w14:textId="77777777" w:rsidR="00760213" w:rsidRDefault="00760213" w:rsidP="00F940FB">
      <w:pPr>
        <w:spacing w:line="360" w:lineRule="auto"/>
      </w:pPr>
    </w:p>
    <w:p w14:paraId="30F43BF4" w14:textId="77777777" w:rsidR="0055169A" w:rsidRDefault="0055169A" w:rsidP="00F940FB">
      <w:pPr>
        <w:pStyle w:val="Heading1"/>
        <w:spacing w:line="360" w:lineRule="auto"/>
        <w:rPr>
          <w:caps/>
        </w:rPr>
      </w:pPr>
    </w:p>
    <w:p w14:paraId="617751A2" w14:textId="2B6DDE41" w:rsidR="00760213" w:rsidRDefault="00073C4C" w:rsidP="00F940FB">
      <w:pPr>
        <w:pStyle w:val="Heading1"/>
        <w:spacing w:line="360" w:lineRule="auto"/>
      </w:pPr>
      <w:r>
        <w:rPr>
          <w:caps/>
        </w:rPr>
        <w:lastRenderedPageBreak/>
        <w:t>6. Challenges and Limitations</w:t>
      </w:r>
    </w:p>
    <w:p w14:paraId="39839EB3" w14:textId="77777777" w:rsidR="00760213" w:rsidRDefault="00073C4C" w:rsidP="00F940FB">
      <w:pPr>
        <w:spacing w:after="160" w:line="360" w:lineRule="auto"/>
        <w:ind w:firstLine="720"/>
        <w:jc w:val="both"/>
      </w:pPr>
      <w:r>
        <w:t>Despite considerable progress in understanding and engineering PET-degrading enzymes, substantial scientific, technical, and regulatory challenges constrain the translation of laboratory findings to environmental practice.</w:t>
      </w:r>
    </w:p>
    <w:p w14:paraId="096C139F" w14:textId="77777777" w:rsidR="00760213" w:rsidRDefault="00073C4C" w:rsidP="00F940FB">
      <w:pPr>
        <w:pStyle w:val="Heading2"/>
        <w:spacing w:line="360" w:lineRule="auto"/>
      </w:pPr>
      <w:r>
        <w:t>6.1 Catalytic Efficiency and Substrate Accessibility</w:t>
      </w:r>
    </w:p>
    <w:p w14:paraId="4E04CE87" w14:textId="6BE45D70" w:rsidR="008E4BD7" w:rsidRDefault="008E4BD7" w:rsidP="008E4BD7">
      <w:pPr>
        <w:pStyle w:val="NormalWeb"/>
        <w:spacing w:line="360" w:lineRule="auto"/>
      </w:pPr>
      <w:r>
        <w:t>Even the most advanced engineered PETase variants exhibit catalytic efficiencies far below those of hydrolytic enzymes acting on soluble substrates, largely because degradation of solid-phase PET is constrained by interfacial enzyme–substrate interactions rather than intrinsic catalytic activity. This limitation is further compounded by the higher crystallinity of environmental PET compared to the amorphous substrates commonly used in laboratory studies. Evidence indicates that environmental PET often exhibits surface crystallinity exceeding 30 percent, which reduces effective enzyme binding site availability and significantly slows degradation relative to model systems (Knott et al., 2020; Lu et al., 2022).</w:t>
      </w:r>
    </w:p>
    <w:p w14:paraId="2B71E3CB" w14:textId="73861EE3" w:rsidR="008E4BD7" w:rsidRDefault="008E4BD7" w:rsidP="008E4BD7">
      <w:pPr>
        <w:spacing w:after="160" w:line="360" w:lineRule="auto"/>
        <w:ind w:firstLine="720"/>
        <w:jc w:val="both"/>
      </w:pPr>
      <w:r>
        <w:t>Pretreatment strategies such as thermal annealing below the glass transition temperature to reduce crystallinity, mechanical milling to increase surface area, and ultraviolet irradiation to induce surface oxidation have been shown to enhance enzymatic degradation under controlled conditions. However, the energy and resource demands associated with these processes partially offset the environmental advantages of enzymatic approaches over conventional recycling methods, and their applicability to dispersed environmental contamination remains limited (Urbanek et al., 2018; Fecker et al., 2018).</w:t>
      </w:r>
    </w:p>
    <w:p w14:paraId="2973E9D6" w14:textId="4B3CB8B0" w:rsidR="008E4BD7" w:rsidRDefault="008E4BD7" w:rsidP="008E4BD7">
      <w:pPr>
        <w:pStyle w:val="NormalWeb"/>
      </w:pPr>
    </w:p>
    <w:p w14:paraId="522730AD" w14:textId="77777777" w:rsidR="008E4BD7" w:rsidRDefault="008E4BD7" w:rsidP="00F940FB">
      <w:pPr>
        <w:spacing w:after="160" w:line="360" w:lineRule="auto"/>
        <w:ind w:firstLine="720"/>
        <w:jc w:val="both"/>
      </w:pPr>
    </w:p>
    <w:p w14:paraId="09FC2BF8" w14:textId="77777777" w:rsidR="00760213" w:rsidRDefault="00073C4C" w:rsidP="00F940FB">
      <w:pPr>
        <w:pStyle w:val="Heading2"/>
        <w:spacing w:line="360" w:lineRule="auto"/>
      </w:pPr>
      <w:r>
        <w:t>6.2 Environmental Stability of Enzymes</w:t>
      </w:r>
    </w:p>
    <w:p w14:paraId="2A2F71A2" w14:textId="77777777" w:rsidR="00760213" w:rsidRDefault="00073C4C" w:rsidP="00F940FB">
      <w:pPr>
        <w:spacing w:after="160" w:line="360" w:lineRule="auto"/>
        <w:ind w:firstLine="720"/>
        <w:jc w:val="both"/>
      </w:pPr>
      <w:r>
        <w:t xml:space="preserve">Protein stability under diverse environmental conditions presents a fundamental challenge for in situ applications. Free PETase in aquatic or soil environments is subject to proteolytic degradation, pH extremes, ultraviolet irradiation, adsorption to particulate matter, and competitive inhibition by humic acids and other dissolved organic compounds. Half-lives of free PETase in </w:t>
      </w:r>
      <w:r>
        <w:lastRenderedPageBreak/>
        <w:t>natural water samples have not been systematically reported, representing a critical data gap. Thermostabilizing mutations that improve reactor performance may not confer equivalent benefits under the fluctuating, low-temperature, and chemically complex conditions characteristic of contaminated natural environments (Bornscheuer, 2016; Palm et al., 2019).</w:t>
      </w:r>
    </w:p>
    <w:p w14:paraId="79271197" w14:textId="77777777" w:rsidR="00760213" w:rsidRDefault="00073C4C" w:rsidP="00F940FB">
      <w:pPr>
        <w:pStyle w:val="Heading2"/>
        <w:spacing w:line="360" w:lineRule="auto"/>
      </w:pPr>
      <w:r>
        <w:t>6.3 Scalability and Economic Viability</w:t>
      </w:r>
    </w:p>
    <w:p w14:paraId="6ADAC178" w14:textId="77777777" w:rsidR="00760213" w:rsidRDefault="00073C4C" w:rsidP="00F940FB">
      <w:pPr>
        <w:spacing w:after="160" w:line="360" w:lineRule="auto"/>
        <w:ind w:firstLine="720"/>
        <w:jc w:val="both"/>
      </w:pPr>
      <w:r>
        <w:t>The production cost of recombinant PETase at scale remains a significant economic barrier to broad deployment. Current enzyme production relies predominantly on laboratory fermentation systems, with production costs that are incompatible with application to diffuse environmental contamination. While industrial biorecycling in contained facilities can achieve cost recovery through the value of recovered monomers, environmental remediation applications do not generate product revenue streams and must be justified on the basis of avoided environmental damage costs (Schyns &amp; Shaver, 2021; Rosenboom et al., 2022).</w:t>
      </w:r>
    </w:p>
    <w:p w14:paraId="653CFCEC" w14:textId="77777777" w:rsidR="00760213" w:rsidRDefault="00073C4C" w:rsidP="00F940FB">
      <w:pPr>
        <w:spacing w:after="160" w:line="360" w:lineRule="auto"/>
        <w:ind w:firstLine="720"/>
        <w:jc w:val="both"/>
      </w:pPr>
      <w:r>
        <w:t>Regulatory frameworks for the deliberate release of engineered enzymes or genetically modified microorganisms into natural environments are nascent in most jurisdictions, and the approval process for field trials is expected to be lengthy and require extensive environmental safety data that are not currently available (Wierckx et al., 2015; Danso et al., 2019).</w:t>
      </w:r>
    </w:p>
    <w:p w14:paraId="6FBFCBF6" w14:textId="77777777" w:rsidR="00760213" w:rsidRDefault="00073C4C" w:rsidP="00F940FB">
      <w:pPr>
        <w:pStyle w:val="Heading2"/>
        <w:spacing w:line="360" w:lineRule="auto"/>
      </w:pPr>
      <w:r>
        <w:t>6.4 Ecological Risk Assessment Gaps</w:t>
      </w:r>
    </w:p>
    <w:p w14:paraId="2C00A197" w14:textId="77777777" w:rsidR="00760213" w:rsidRDefault="00073C4C" w:rsidP="00F940FB">
      <w:pPr>
        <w:spacing w:after="160" w:line="360" w:lineRule="auto"/>
        <w:ind w:firstLine="720"/>
        <w:jc w:val="both"/>
      </w:pPr>
      <w:r>
        <w:t>Limited data exist on the ecological consequences of enzymatic PET degradation at the community and ecosystem level. The fate of TPA and EG in diverse environmental matrices, particularly under anaerobic conditions prevalent in sediments and waterlogged soils, is inadequately characterized. The potential for horizontal gene transfer of PETase-encoding sequences from engineered strains to native microbial populations, and the ecological consequences of such transfer, has not been evaluated (Oberbeckmann &amp; Labrenz, 2020; Wright et al., 2021). Furthermore, the interactions between enzymatic degradation products and existing microplastic-associated contaminant complexes remain an open research question (Besseling et al., 2019; Hartmann et al., 2017).</w:t>
      </w:r>
    </w:p>
    <w:p w14:paraId="2F43F633" w14:textId="77777777" w:rsidR="00760213" w:rsidRDefault="00760213" w:rsidP="00F940FB">
      <w:pPr>
        <w:spacing w:line="360" w:lineRule="auto"/>
      </w:pPr>
    </w:p>
    <w:p w14:paraId="5D48BBEC" w14:textId="77777777" w:rsidR="00760213" w:rsidRDefault="00073C4C" w:rsidP="00F940FB">
      <w:pPr>
        <w:pStyle w:val="Heading1"/>
        <w:spacing w:line="360" w:lineRule="auto"/>
      </w:pPr>
      <w:r>
        <w:rPr>
          <w:caps/>
        </w:rPr>
        <w:t>7. Future Research Directions</w:t>
      </w:r>
    </w:p>
    <w:p w14:paraId="4A5E2BD1" w14:textId="77777777" w:rsidR="00760213" w:rsidRDefault="00073C4C" w:rsidP="00F940FB">
      <w:pPr>
        <w:spacing w:after="160" w:line="360" w:lineRule="auto"/>
        <w:ind w:firstLine="720"/>
        <w:jc w:val="both"/>
      </w:pPr>
      <w:r>
        <w:lastRenderedPageBreak/>
        <w:t>The current state of evidence identifies several high-priority research domains that are essential for the responsible advancement of PET enzymatic bioremediation.</w:t>
      </w:r>
    </w:p>
    <w:p w14:paraId="19C3DE06" w14:textId="77777777" w:rsidR="00760213" w:rsidRDefault="00073C4C" w:rsidP="00F940FB">
      <w:pPr>
        <w:pStyle w:val="Heading2"/>
        <w:spacing w:line="360" w:lineRule="auto"/>
      </w:pPr>
      <w:r>
        <w:t>7.1 Protein Engineering for Environmental Robustness</w:t>
      </w:r>
    </w:p>
    <w:p w14:paraId="0A2951A4" w14:textId="77777777" w:rsidR="00760213" w:rsidRDefault="00073C4C" w:rsidP="00F940FB">
      <w:pPr>
        <w:spacing w:after="160" w:line="360" w:lineRule="auto"/>
        <w:ind w:firstLine="720"/>
        <w:jc w:val="both"/>
      </w:pPr>
      <w:r>
        <w:t>Future protein engineering efforts should explicitly prioritize stability and activity under environmentally relevant conditions, including low temperatures (5-20 degrees Celsius), variable pH, and high-ionic-strength aqueous matrices, rather than optimizing primarily for performance in laboratory buffer systems or controlled reactor environments. Machine learning approaches, which have proven effective in generating thermostable PETase variants, should be extended to model the fitness landscape of cold-active and contaminant-tolerant variants (Lu et al., 2022; Cui et al., 2021). Additionally, engineering for resistance to proteolytic degradation and surface adsorption will be essential for extending functional enzyme half-life in open environmental systems.</w:t>
      </w:r>
    </w:p>
    <w:p w14:paraId="6E2DC2AA" w14:textId="77777777" w:rsidR="00760213" w:rsidRDefault="00073C4C" w:rsidP="00F940FB">
      <w:pPr>
        <w:pStyle w:val="Heading2"/>
        <w:spacing w:line="360" w:lineRule="auto"/>
      </w:pPr>
      <w:r>
        <w:t>7.2 Synthetic Ecology and Consortium Design</w:t>
      </w:r>
    </w:p>
    <w:p w14:paraId="6C91D589" w14:textId="77777777" w:rsidR="00760213" w:rsidRDefault="00073C4C" w:rsidP="00F940FB">
      <w:pPr>
        <w:spacing w:after="160" w:line="360" w:lineRule="auto"/>
        <w:ind w:firstLine="720"/>
        <w:jc w:val="both"/>
      </w:pPr>
      <w:r>
        <w:t>Rather than relying on single-organism or single-enzyme systems, future research should evaluate the potential of rationally designed microbial consortia in which PET degradation, intermediate metabolism, and biomass growth are distributed across complementary community members. Evidence from synthetic ecology demonstrates that microbial consortia frequently outperform monocultures in complex substrate utilization through metabolic division of labor and cross-feeding interactions (Tiso et al., 2021; Sagong et al., 2020). The design of consortia incorporating PETase-expressing organisms alongside efficient TPA and EG metabolizers could overcome the product inhibition constraints that limit single-enzyme systems.</w:t>
      </w:r>
    </w:p>
    <w:p w14:paraId="31B9EA9F" w14:textId="77777777" w:rsidR="00760213" w:rsidRDefault="00073C4C" w:rsidP="00F940FB">
      <w:pPr>
        <w:pStyle w:val="Heading2"/>
        <w:spacing w:line="360" w:lineRule="auto"/>
      </w:pPr>
      <w:r>
        <w:t>7.3 Environmental Fate and Risk Assessment</w:t>
      </w:r>
    </w:p>
    <w:p w14:paraId="446AA75C" w14:textId="77777777" w:rsidR="00760213" w:rsidRDefault="00073C4C" w:rsidP="00F940FB">
      <w:pPr>
        <w:spacing w:after="160" w:line="360" w:lineRule="auto"/>
        <w:ind w:firstLine="720"/>
        <w:jc w:val="both"/>
      </w:pPr>
      <w:r>
        <w:t>Systematic characterization of the environmental fate of PET degradation intermediates, including MHET, BHET, TPA, and EG, across diverse environmental matrices and redox conditions is an immediate research priority. Laboratory ecotoxicological assays using environmentally relevant exposure concentrations, complemented by field mesocosm experiments, are needed to establish safety thresholds and inform regulatory frameworks (Barboza et al., 2018; Besseling et al., 2019). Standardized protocols for assessing the ecological impact of enzymatic bioremediation interventions, analogous to those developed for petroleum hydrocarbon bioremediation, have yet to be developed for the plastic degradation context.</w:t>
      </w:r>
    </w:p>
    <w:p w14:paraId="4AA346D8" w14:textId="77777777" w:rsidR="00760213" w:rsidRDefault="00073C4C" w:rsidP="00F940FB">
      <w:pPr>
        <w:pStyle w:val="Heading2"/>
        <w:spacing w:line="360" w:lineRule="auto"/>
      </w:pPr>
      <w:r>
        <w:lastRenderedPageBreak/>
        <w:t>7.4 Life Cycle and Techno-Economic Assessment</w:t>
      </w:r>
    </w:p>
    <w:p w14:paraId="74E19ED0" w14:textId="77777777" w:rsidR="00760213" w:rsidRDefault="00073C4C" w:rsidP="00F940FB">
      <w:pPr>
        <w:spacing w:after="160" w:line="360" w:lineRule="auto"/>
        <w:ind w:firstLine="720"/>
        <w:jc w:val="both"/>
      </w:pPr>
      <w:r>
        <w:t>Comprehensive life cycle assessments of enzymatic PET bioremediation across its full application spectrum are needed to quantify net environmental benefits relative to alternative waste management strategies. These assessments should incorporate uncertainty analysis reflecting the current state of process development and should be updated as engineering performance data accumulates (Rosenboom et al., 2022; Gambarini et al., 2022). Techno-economic modeling that accounts for enzyme production costs, process infrastructure, and market dynamics for recovered monomers will be essential for identifying conditions under which enzymatic approaches become economically competitive.</w:t>
      </w:r>
    </w:p>
    <w:p w14:paraId="0E96834F" w14:textId="77777777" w:rsidR="00760213" w:rsidRDefault="00760213" w:rsidP="00F940FB">
      <w:pPr>
        <w:spacing w:line="360" w:lineRule="auto"/>
      </w:pPr>
    </w:p>
    <w:p w14:paraId="3F3816FC" w14:textId="77777777" w:rsidR="00760213" w:rsidRDefault="00073C4C" w:rsidP="00F940FB">
      <w:pPr>
        <w:pStyle w:val="Heading1"/>
        <w:spacing w:line="360" w:lineRule="auto"/>
      </w:pPr>
      <w:r>
        <w:rPr>
          <w:caps/>
        </w:rPr>
        <w:t>8. Conclusion</w:t>
      </w:r>
    </w:p>
    <w:p w14:paraId="35F6B04E" w14:textId="77777777" w:rsidR="0055169A" w:rsidRDefault="0055169A" w:rsidP="0055169A">
      <w:pPr>
        <w:spacing w:line="360" w:lineRule="auto"/>
      </w:pPr>
      <w:r>
        <w:t>Enzymatic bioremediation of PET, based on the principles of PETase and MHETase is a scientifically supported and mechanistically consistent method of dealing with plastic pollution that has intrinsic benefits over traditional chemical and mechanical recycling processes. Combined with significant advances in protein engineering and scale-up to industrial levels, the elucidation of the molecular aspects of the phenomenon of PET degradation has created a solid base to build on. Research shows that enzymatic depolymerization can produce high yields of monomers in a variety of waste streams of PET under controlled conditions, and the life cycle benefits in terms of energy consumption and greenhouse gas emissions (Tournier et al., 2020; Lu et al., 2022).</w:t>
      </w:r>
    </w:p>
    <w:p w14:paraId="53D67C32" w14:textId="77777777" w:rsidR="0055169A" w:rsidRDefault="0055169A" w:rsidP="0055169A">
      <w:pPr>
        <w:spacing w:line="360" w:lineRule="auto"/>
      </w:pPr>
      <w:r>
        <w:t>However, the translation of these laboratory and industrial reactor advances to environmental remediation application applications remains significantly limited by constraints on catalytic activity on crystalline surfaces, enzyme stability in natural matrices, ecological risk knowledge gaps, and the lack of regulatory frameworks to deploy enzymes into the environment. Evidence suggests that the most proximate and evidence-supported application pathway is contained industrial biorecycling, whereas open-environment remediation strategies require considerably more foundational research before deployment is scientifically justifiable (Danso et al., 2019; Oberbeckmann &amp; Labrenz, 2020).</w:t>
      </w:r>
    </w:p>
    <w:p w14:paraId="412E1541" w14:textId="66677E87" w:rsidR="00760213" w:rsidRDefault="0055169A" w:rsidP="0055169A">
      <w:pPr>
        <w:spacing w:line="360" w:lineRule="auto"/>
      </w:pPr>
      <w:r>
        <w:lastRenderedPageBreak/>
        <w:t>A change in the research focus towards environmental realism, with more emphasis on enzyme variants and microbial systems capable of functioning under ambient conditions, and the development of sound frameworks of ecological risk assessment would be of great benefit to the field. Integration of protein engineering, synthetic ecology, environmental chemistry and regulatory science will be necessary in order to achieve the full potential of enzymatic bioremediation as a part of sustainable plastic management. Enzymatic PET degradation has real potential as a technology to reduce plastic persistence and to facilitate the shift towards a circular materials economy.</w:t>
      </w:r>
    </w:p>
    <w:p w14:paraId="1FF22C64" w14:textId="77777777" w:rsidR="00760213" w:rsidRDefault="00073C4C" w:rsidP="00F940FB">
      <w:pPr>
        <w:pStyle w:val="Heading1"/>
        <w:spacing w:line="360" w:lineRule="auto"/>
      </w:pPr>
      <w:r>
        <w:rPr>
          <w:caps/>
        </w:rPr>
        <w:t>References</w:t>
      </w:r>
    </w:p>
    <w:p w14:paraId="289DC0A3" w14:textId="77777777" w:rsidR="00760213" w:rsidRDefault="00073C4C" w:rsidP="00F940FB">
      <w:pPr>
        <w:spacing w:after="120" w:line="360" w:lineRule="auto"/>
        <w:ind w:left="720" w:hanging="720"/>
        <w:jc w:val="both"/>
      </w:pPr>
      <w:r>
        <w:t>Austin, H. P., Allen, M. D., Donohoe, B. S., Rorrer, N. A., Kearns, F. L., Silveira, R. L., Pollard, B. C., Dominick, G., Duman, R., El Omari, K., Laker, V., Bhowmik, A., Melnichuk, R. I., Johnson, B. H., Sanborn, M. R., Gado, J. E., Riley, R., Subramanian, H. V., Houk, K. N., ... Beckham, G. T. (2018). Characterization and engineering of a plastic-degrading aromatic polyesterase. Proceedings of the National Academy of Sciences, 115(19), E4350-E4357. https://doi.org/10.1073/pnas.1718804115</w:t>
      </w:r>
    </w:p>
    <w:p w14:paraId="46F3EB8E" w14:textId="77777777" w:rsidR="00760213" w:rsidRDefault="00073C4C" w:rsidP="00F940FB">
      <w:pPr>
        <w:spacing w:after="120" w:line="360" w:lineRule="auto"/>
        <w:ind w:left="720" w:hanging="720"/>
        <w:jc w:val="both"/>
      </w:pPr>
      <w:r>
        <w:t>Barboza, L. G. A., Dick Vethaak, A., Lavorante, B. R. B. O., Lundebye, A. K., &amp; Guilhermino, L. (2018). Marine microplastic debris: An emerging issue for food security, food safety and human health. Marine Pollution Bulletin, 133, 336-348. https://doi.org/10.1016/j.marpolbul.2018.05.047</w:t>
      </w:r>
    </w:p>
    <w:p w14:paraId="16A08539" w14:textId="77777777" w:rsidR="00760213" w:rsidRDefault="00073C4C" w:rsidP="00F940FB">
      <w:pPr>
        <w:spacing w:after="120" w:line="360" w:lineRule="auto"/>
        <w:ind w:left="720" w:hanging="720"/>
        <w:jc w:val="both"/>
      </w:pPr>
      <w:r>
        <w:t>Besseling, E., Redondo-Hasselerharm, P., Foekema, E. M., &amp; Koelmans, A. A. (2019). Quantifying ecological risks of aquatic micro- and nanoplastic. Critical Reviews in Environmental Science and Technology, 49(1), 32-80. https://doi.org/10.1080/10643389.2018.1531688</w:t>
      </w:r>
    </w:p>
    <w:p w14:paraId="27239EFF" w14:textId="77777777" w:rsidR="00760213" w:rsidRDefault="00073C4C" w:rsidP="00F940FB">
      <w:pPr>
        <w:spacing w:after="120" w:line="360" w:lineRule="auto"/>
        <w:ind w:left="720" w:hanging="720"/>
        <w:jc w:val="both"/>
      </w:pPr>
      <w:r>
        <w:t>Bornscheuer, U. T. (2016). Feeding on plastic. Science, 351(6278), 1154-1155. https://doi.org/10.1126/science.aaf2853</w:t>
      </w:r>
    </w:p>
    <w:p w14:paraId="1C975476" w14:textId="77777777" w:rsidR="00760213" w:rsidRDefault="00073C4C" w:rsidP="00F940FB">
      <w:pPr>
        <w:spacing w:after="120" w:line="360" w:lineRule="auto"/>
        <w:ind w:left="720" w:hanging="720"/>
        <w:jc w:val="both"/>
      </w:pPr>
      <w:r>
        <w:t xml:space="preserve">Cui, Y., Chen, Y., Liu, X., Dong, S., Tian, Y., Qiao, Y., Mitra, R., Han, J., Li, C., Han, X., Liu, W., Chen, Q., Wei, W., Wang, X., Du, W., Tang, S., Xiang, H., Liu, H., Liang, Y., ... Wu, B. (2021). Computational redesign of a PETase for plastic biodegradation under ambient </w:t>
      </w:r>
      <w:r>
        <w:lastRenderedPageBreak/>
        <w:t>condition by the GRAPE strategy. ACS Catalysis, 11(3), 1340-1350. https://doi.org/10.1021/acscatal.0c05126</w:t>
      </w:r>
    </w:p>
    <w:p w14:paraId="748FF2B4" w14:textId="77777777" w:rsidR="00760213" w:rsidRDefault="00073C4C" w:rsidP="00F940FB">
      <w:pPr>
        <w:spacing w:after="120" w:line="360" w:lineRule="auto"/>
        <w:ind w:left="720" w:hanging="720"/>
        <w:jc w:val="both"/>
      </w:pPr>
      <w:r>
        <w:t>Danso, D., Chow, J., &amp; Streit, W. R. (2019). Plastics: environmental and biotechnological perspectives on microbial degradation. Applied and Environmental Microbiology, 85(19), e01095-19. https://doi.org/10.1128/AEM.01095-19</w:t>
      </w:r>
    </w:p>
    <w:p w14:paraId="515EDA4D" w14:textId="77777777" w:rsidR="00760213" w:rsidRDefault="00073C4C" w:rsidP="00F940FB">
      <w:pPr>
        <w:spacing w:after="120" w:line="360" w:lineRule="auto"/>
        <w:ind w:left="720" w:hanging="720"/>
        <w:jc w:val="both"/>
      </w:pPr>
      <w:r>
        <w:t>Eerkes-Medrano, D., Thompson, R. C., &amp; Aldridge, D. C. (2015). Microplastics in freshwater systems: a review of the emerging threats, identification of knowledge gaps and prioritisation of research needs. Water Research, 75, 63-82. https://doi.org/10.1016/j.watres.2015.02.012</w:t>
      </w:r>
    </w:p>
    <w:p w14:paraId="3EE9A001" w14:textId="77777777" w:rsidR="00760213" w:rsidRDefault="00073C4C" w:rsidP="00F940FB">
      <w:pPr>
        <w:spacing w:after="120" w:line="360" w:lineRule="auto"/>
        <w:ind w:left="720" w:hanging="720"/>
        <w:jc w:val="both"/>
      </w:pPr>
      <w:r>
        <w:t>Fecker, T., Galaz-Davison, P., Engelberger, F., Narui, Y., Sotomayor, M., Parra, L. P., &amp; Ramirez-Sarmiento, C. A. (2018). Active site flexibility as a hallmark for efficient PET degradation by I. sakaiensis PETase. Biophysical Journal, 114(6), 1302-1312. https://doi.org/10.1016/j.bpj.2018.02.005</w:t>
      </w:r>
    </w:p>
    <w:p w14:paraId="23AC0CA6" w14:textId="77777777" w:rsidR="00760213" w:rsidRDefault="00073C4C" w:rsidP="00F940FB">
      <w:pPr>
        <w:spacing w:after="120" w:line="360" w:lineRule="auto"/>
        <w:ind w:left="720" w:hanging="720"/>
        <w:jc w:val="both"/>
      </w:pPr>
      <w:r>
        <w:t>Gambarini, V., Pantos, O., Kingsbury, J. M., Weaver, L., Handley, K. M., &amp; Lear, G. (2022). Phylogenetic distribution of plastic-degrading microorganisms. mSystems, 7(1), e01112-21. https://doi.org/10.1128/msystems.01112-21</w:t>
      </w:r>
    </w:p>
    <w:p w14:paraId="1A6DFE52" w14:textId="77777777" w:rsidR="00760213" w:rsidRDefault="00073C4C" w:rsidP="00F940FB">
      <w:pPr>
        <w:spacing w:after="120" w:line="360" w:lineRule="auto"/>
        <w:ind w:left="720" w:hanging="720"/>
        <w:jc w:val="both"/>
      </w:pPr>
      <w:r>
        <w:t>Geyer, R., Jambeck, J. R., &amp; Law, K. L. (2017). Production, use, and fate of all plastics ever made. Science Advances, 3(7), e1700782. https://doi.org/10.1126/sciadv.1700782</w:t>
      </w:r>
    </w:p>
    <w:p w14:paraId="08C2443E" w14:textId="77777777" w:rsidR="00760213" w:rsidRDefault="00073C4C" w:rsidP="00F940FB">
      <w:pPr>
        <w:spacing w:after="120" w:line="360" w:lineRule="auto"/>
        <w:ind w:left="720" w:hanging="720"/>
        <w:jc w:val="both"/>
      </w:pPr>
      <w:r>
        <w:t>Han, X., Liu, W., Huang, J. W., Ma, J., Zheng, Y., Ko, T. P., Xu, L., Cheng, Y. S., Chen, C. C., &amp; Guo, R. T. (2017). Structural insight into catalytic mechanism of PET hydrolase. Nature Communications, 8, 2106. https://doi.org/10.1038/s41467-017-02255-z</w:t>
      </w:r>
    </w:p>
    <w:p w14:paraId="1FC0B7B2" w14:textId="77777777" w:rsidR="00760213" w:rsidRDefault="00073C4C" w:rsidP="00F940FB">
      <w:pPr>
        <w:spacing w:after="120" w:line="360" w:lineRule="auto"/>
        <w:ind w:left="720" w:hanging="720"/>
        <w:jc w:val="both"/>
      </w:pPr>
      <w:r>
        <w:t>Hartmann, N. B., Rist, S., Bodin, J., Jensen, L. H. S., Schmidt, S. N., Mayer, P., Meibom, A., &amp; Baun, A. (2017). Microplastics as vectors for environmental contaminants: exploring sorption, desorption, and transfer to biota. Integrated Environmental Assessment and Management, 13(3), 488-493. https://doi.org/10.1002/ieam.1904</w:t>
      </w:r>
    </w:p>
    <w:p w14:paraId="3F53F1D8" w14:textId="77777777" w:rsidR="00760213" w:rsidRDefault="00073C4C" w:rsidP="00F940FB">
      <w:pPr>
        <w:spacing w:after="120" w:line="360" w:lineRule="auto"/>
        <w:ind w:left="720" w:hanging="720"/>
        <w:jc w:val="both"/>
      </w:pPr>
      <w:r>
        <w:t>Joo, S., Cho, I. J., Seo, H., Son, H. F., Sagong, H. Y., Shin, T. J., Choi, S. Y., Lee, S. Y., &amp; Kim, K. J. (2018). Structural insight into molecular mechanism of poly(ethylene terephthalate) degradation. Nature Communications, 9, 382. https://doi.org/10.1038/s41467-018-02881-1</w:t>
      </w:r>
    </w:p>
    <w:p w14:paraId="1271BE91" w14:textId="77777777" w:rsidR="00760213" w:rsidRDefault="00073C4C" w:rsidP="00F940FB">
      <w:pPr>
        <w:spacing w:after="120" w:line="360" w:lineRule="auto"/>
        <w:ind w:left="720" w:hanging="720"/>
        <w:jc w:val="both"/>
      </w:pPr>
      <w:r>
        <w:lastRenderedPageBreak/>
        <w:t>Kim, H. T., Kim, J. K., Cha, H. G., Kang, M. J., Lee, H. S., Khang, T. U., Yun, E. J., Lee, D. H., Song, B. K., Park, S. J., Hwang, B. Y., Kim, B., Hyun, S. M., Kim, K. H., &amp; Kim, Y. G. (2019). Biological valorization of poly(ethylene terephthalate) monomers for upcycling waste PET. ACS Sustainable Chemistry &amp; Engineering, 7(24), 19396-19406. https://doi.org/10.1021/acssuschemeng.9b03908</w:t>
      </w:r>
    </w:p>
    <w:p w14:paraId="30A88503" w14:textId="77777777" w:rsidR="00760213" w:rsidRDefault="00073C4C" w:rsidP="00F940FB">
      <w:pPr>
        <w:spacing w:after="120" w:line="360" w:lineRule="auto"/>
        <w:ind w:left="720" w:hanging="720"/>
        <w:jc w:val="both"/>
      </w:pPr>
      <w:r>
        <w:t>Knott, B. C., Erickson, E., Allen, M. D., Gado, J. E., Graham, R., Kearns, F. L., Pardo, I., Topuzlu, E., Anderson, J. J., Austin, H. P., Dominick, G., Johnson, C. W., Rorrer, N. A., Szostkiewicz, C. J., Copie, V., Payne, C. M., Woodcock, H. L., Donohoe, B. S., Beckham, G. T., &amp; McGeehan, J. E. (2020). Characterization and engineering of a two-enzyme system for plastics depolymerization. Proceedings of the National Academy of Sciences, 117(41), 25476-25485. https://doi.org/10.1073/pnas.2006753117</w:t>
      </w:r>
    </w:p>
    <w:p w14:paraId="4C0390BE" w14:textId="77777777" w:rsidR="00760213" w:rsidRDefault="00073C4C" w:rsidP="00F940FB">
      <w:pPr>
        <w:spacing w:after="120" w:line="360" w:lineRule="auto"/>
        <w:ind w:left="720" w:hanging="720"/>
        <w:jc w:val="both"/>
      </w:pPr>
      <w:r>
        <w:t>Koelmans, A. A., Bakir, A., Burton, G. A., &amp; Janssen, C. R. (2016). Microplastic as a vector for chemicals in the aquatic environment: critical review and model-supported reinterpretation of empirical studies. Environmental Science &amp; Technology, 50(7), 3315-3326. https://doi.org/10.1021/acs.est.5b06069</w:t>
      </w:r>
    </w:p>
    <w:p w14:paraId="3FD49BE5" w14:textId="77777777" w:rsidR="00760213" w:rsidRDefault="00073C4C" w:rsidP="00F940FB">
      <w:pPr>
        <w:spacing w:after="120" w:line="360" w:lineRule="auto"/>
        <w:ind w:left="720" w:hanging="720"/>
        <w:jc w:val="both"/>
      </w:pPr>
      <w:r>
        <w:t>Lu, H., Diaz, D. J., Czarnecki, N. J., Zhu, C., Kim, W., Shroff, R., Acosta, D. J., Alexander, B. R., Cole, H. J., Zhang, Y., Lynd, N. A., Ellington, A. D., &amp; Alper, H. S. (2022). Machine learning-aided engineering of hydrolases for PET depolymerization. Nature, 604(7907), 662-667. https://doi.org/10.1038/s41586-022-04599-z</w:t>
      </w:r>
    </w:p>
    <w:p w14:paraId="5A6D75FC" w14:textId="77777777" w:rsidR="00760213" w:rsidRDefault="00073C4C" w:rsidP="00F940FB">
      <w:pPr>
        <w:spacing w:after="120" w:line="360" w:lineRule="auto"/>
        <w:ind w:left="720" w:hanging="720"/>
        <w:jc w:val="both"/>
      </w:pPr>
      <w:r>
        <w:t>Oberbeckmann, S., &amp; Labrenz, M. (2020). Marine microbial assemblages on microplastics: diversity, adaptation, and role in degradation. Annual Review of Marine Science, 12, 209-232. https://doi.org/10.1146/annurev-marine-010419-010633</w:t>
      </w:r>
    </w:p>
    <w:p w14:paraId="34541D90" w14:textId="77777777" w:rsidR="00760213" w:rsidRDefault="00073C4C" w:rsidP="00F940FB">
      <w:pPr>
        <w:spacing w:after="120" w:line="360" w:lineRule="auto"/>
        <w:ind w:left="720" w:hanging="720"/>
        <w:jc w:val="both"/>
      </w:pPr>
      <w:r>
        <w:t>Palm, G. J., Reisky, L., Bottcher, D., Muller, H., Michels, E. A. P., Walczak, M. C., Berndt, L., Weiss, M. S., Bornscheuer, U. T., &amp; Weber, G. (2019). Structure of the plastic-degrading Ideonella sakaiensis MHETase bound to a substrate. Nature Communications, 10, 1717. https://doi.org/10.1038/s41467-019-09326-3</w:t>
      </w:r>
    </w:p>
    <w:p w14:paraId="19FEEF10" w14:textId="77777777" w:rsidR="00760213" w:rsidRDefault="00073C4C" w:rsidP="00F940FB">
      <w:pPr>
        <w:spacing w:after="120" w:line="360" w:lineRule="auto"/>
        <w:ind w:left="720" w:hanging="720"/>
        <w:jc w:val="both"/>
      </w:pPr>
      <w:r>
        <w:t>Ragaert, K., Delva, L., &amp; Van Geem, K. (2017). Mechanical and chemical recycling of solid plastic waste. Waste Management, 69, 24-58. https://doi.org/10.1016/j.wasman.2017.07.044</w:t>
      </w:r>
    </w:p>
    <w:p w14:paraId="6425F2CE" w14:textId="77777777" w:rsidR="00760213" w:rsidRDefault="00073C4C" w:rsidP="00F940FB">
      <w:pPr>
        <w:spacing w:after="120" w:line="360" w:lineRule="auto"/>
        <w:ind w:left="720" w:hanging="720"/>
        <w:jc w:val="both"/>
      </w:pPr>
      <w:r>
        <w:lastRenderedPageBreak/>
        <w:t>Ribitsch, D., Hromic, A., Zitzenbacher, S., Zartl, B., Gamerith, C., Pellis, A., Acero, E. H., Arrell, M., Hoffmann, T., Steinkellner, G., Gruber, K., Tscheliessnig, R., &amp; Guebitz, G. M. (2017). Small cause, large effect: structural characterization of cutinases from Thermobifida cellulosilytica. Biotechnology and Bioengineering, 114(10), 2397-2406. https://doi.org/10.1002/bit.26372</w:t>
      </w:r>
    </w:p>
    <w:p w14:paraId="1EE0B94E" w14:textId="77777777" w:rsidR="00760213" w:rsidRDefault="00073C4C" w:rsidP="00F940FB">
      <w:pPr>
        <w:spacing w:after="120" w:line="360" w:lineRule="auto"/>
        <w:ind w:left="720" w:hanging="720"/>
        <w:jc w:val="both"/>
      </w:pPr>
      <w:r>
        <w:t>Rosenboom, J. G., Langer, R., &amp; Traverso, G. (2022). Bioplastics for a circular economy. Nature Reviews Materials, 7(2), 117-137. https://doi.org/10.1038/s41578-021-00407-8</w:t>
      </w:r>
    </w:p>
    <w:p w14:paraId="2E31B177" w14:textId="77777777" w:rsidR="00760213" w:rsidRDefault="00073C4C" w:rsidP="00F940FB">
      <w:pPr>
        <w:spacing w:after="120" w:line="360" w:lineRule="auto"/>
        <w:ind w:left="720" w:hanging="720"/>
        <w:jc w:val="both"/>
      </w:pPr>
      <w:r>
        <w:t>Sagong, H. Y., Son, H. F., Joo, S., Lee, S. H., Kim, I. K., Park, S. Y., Cho, H. Y., &amp; Kim, K. J. (2020). Structural basis of polyethylene terephthalate (PET) or polyethylene furanoate (PEF) recognition by the depolymerizing enzyme LCC. FEBS Letters, 594(2), 264-275. https://doi.org/10.1002/1873-3468.13660</w:t>
      </w:r>
    </w:p>
    <w:p w14:paraId="4371EAB0" w14:textId="77777777" w:rsidR="00760213" w:rsidRDefault="00073C4C" w:rsidP="00F940FB">
      <w:pPr>
        <w:spacing w:after="120" w:line="360" w:lineRule="auto"/>
        <w:ind w:left="720" w:hanging="720"/>
        <w:jc w:val="both"/>
      </w:pPr>
      <w:r>
        <w:t>Schyns, Z. O. G., &amp; Shaver, M. P. (2021). Mechanical recycling of packaging plastics: a design-for-recycling guide. Macromolecular Rapid Communications, 42(3), 2000415. https://doi.org/10.1002/marc.202000415</w:t>
      </w:r>
    </w:p>
    <w:p w14:paraId="04452E38" w14:textId="77777777" w:rsidR="00760213" w:rsidRDefault="00073C4C" w:rsidP="00F940FB">
      <w:pPr>
        <w:spacing w:after="120" w:line="360" w:lineRule="auto"/>
        <w:ind w:left="720" w:hanging="720"/>
        <w:jc w:val="both"/>
      </w:pPr>
      <w:r>
        <w:t>Shen, M., Ye, S., Zeng, G., Zhang, Y., Xing, L., Tang, W., Wen, X., &amp; Liu, S. (2020). Can microplastics pose a threat to ocean carbon sequestration? Marine Pollution Bulletin, 150, 110712. https://doi.org/10.1016/j.marpolbul.2019.110712</w:t>
      </w:r>
    </w:p>
    <w:p w14:paraId="6D0ACA5F" w14:textId="77777777" w:rsidR="00760213" w:rsidRDefault="00073C4C" w:rsidP="00F940FB">
      <w:pPr>
        <w:spacing w:after="120" w:line="360" w:lineRule="auto"/>
        <w:ind w:left="720" w:hanging="720"/>
        <w:jc w:val="both"/>
      </w:pPr>
      <w:r>
        <w:t>Tiso, T., Narancic, T., Wei, R., Pollet, E., Beagan, N., Schroeder, K., Honak, A., Jiang, M., Kenny, S. T., Wierckx, N., Perrin, R., Averous, L., Zimmermann, W., O'Connor, K., &amp; Blank, L. M. (2021). Towards bio-upcycling of polyethylene terephthalate. Metabolic Engineering, 66, 167-178. https://doi.org/10.1016/j.ymben.2021.03.011</w:t>
      </w:r>
    </w:p>
    <w:p w14:paraId="520288E9" w14:textId="77777777" w:rsidR="00760213" w:rsidRDefault="00073C4C" w:rsidP="00F940FB">
      <w:pPr>
        <w:spacing w:after="120" w:line="360" w:lineRule="auto"/>
        <w:ind w:left="720" w:hanging="720"/>
        <w:jc w:val="both"/>
      </w:pPr>
      <w:r>
        <w:t>Tournier, V., Topham, C. M., Gilles, A., David, B., Folgoas, C., Moya-Leclair, E., Kamionka, E., Desrousseaux, M. L., Texier, H., Gavalda, S., Cot, M., Guemard, E., Dalibey, M., Nomme, J., Cioci, G., Barbe, S., Chateau, M., Andre, I., Duquesne, S., &amp; Marty, A. (2020). An engineered PET depolymerase to break down and recycle plastic bottles. Nature, 580(7802), 216-219. https://doi.org/10.1038/s41586-020-2149-4</w:t>
      </w:r>
    </w:p>
    <w:p w14:paraId="464B29C9" w14:textId="77777777" w:rsidR="00760213" w:rsidRDefault="00073C4C" w:rsidP="00F940FB">
      <w:pPr>
        <w:spacing w:after="120" w:line="360" w:lineRule="auto"/>
        <w:ind w:left="720" w:hanging="720"/>
        <w:jc w:val="both"/>
      </w:pPr>
      <w:r>
        <w:t>Urbanek, A. K., Rymowicz, W., &amp; Mironczuk, A. M. (2018). Degradation of plastics and plastic-degrading bacteria in cold marine habitats. Applied Microbiology and Biotechnology, 102(18), 7669-7678. https://doi.org/10.1007/s00253-018-9195-y</w:t>
      </w:r>
    </w:p>
    <w:p w14:paraId="4C8EE760" w14:textId="77777777" w:rsidR="00760213" w:rsidRDefault="00073C4C" w:rsidP="00F940FB">
      <w:pPr>
        <w:spacing w:after="120" w:line="360" w:lineRule="auto"/>
        <w:ind w:left="720" w:hanging="720"/>
        <w:jc w:val="both"/>
      </w:pPr>
      <w:r>
        <w:lastRenderedPageBreak/>
        <w:t>Werner, A. Z., Clare, R., Mand, T. D., Haugen, S., Ramirez, K. J., Shea, T. M., Lindahl, P. A., Donohoe, B. S., &amp; Beckham, G. T. (2021). Tandem chemical deconstruction and biological upcycling of poly(ethylene terephthalate) to beta-ketoadipic acid by Pseudomonas putida KT2440. Metabolic Engineering, 67, 250-261. https://doi.org/10.1016/j.ymben.2021.07.005</w:t>
      </w:r>
    </w:p>
    <w:p w14:paraId="214F222C" w14:textId="77777777" w:rsidR="00760213" w:rsidRDefault="00073C4C" w:rsidP="00F940FB">
      <w:pPr>
        <w:spacing w:after="120" w:line="360" w:lineRule="auto"/>
        <w:ind w:left="720" w:hanging="720"/>
        <w:jc w:val="both"/>
      </w:pPr>
      <w:r>
        <w:t>Wierckx, N., Prieto, M. A., Pomposiello, P., de Lorenzo, V., O'Connor, K., &amp; Blank, L. M. (2015). Plastic waste as a novel substrate for industrial biotechnology. Microbial Biotechnology, 8(6), 900-903. https://doi.org/10.1111/1751-7915.12312</w:t>
      </w:r>
    </w:p>
    <w:p w14:paraId="73DEB2B8" w14:textId="77777777" w:rsidR="00760213" w:rsidRDefault="00073C4C" w:rsidP="00F940FB">
      <w:pPr>
        <w:spacing w:after="120" w:line="360" w:lineRule="auto"/>
        <w:ind w:left="720" w:hanging="720"/>
        <w:jc w:val="both"/>
      </w:pPr>
      <w:r>
        <w:t>Wright, R. J., Langille, M. G. I., &amp; Walker, T. R. (2021). Food or just a free ride? A meta-analysis reveals the global diversity of the plastisphere. ISME Journal, 15(3), 789-806. https://doi.org/10.1038/s41396-020-00814-9</w:t>
      </w:r>
    </w:p>
    <w:p w14:paraId="417B3AA6" w14:textId="77777777" w:rsidR="00760213" w:rsidRDefault="00073C4C" w:rsidP="00F940FB">
      <w:pPr>
        <w:spacing w:after="120" w:line="360" w:lineRule="auto"/>
        <w:ind w:left="720" w:hanging="720"/>
        <w:jc w:val="both"/>
      </w:pPr>
      <w:r>
        <w:t>Wright, S. L., &amp; Kelly, F. J. (2017). Plastic and human health: a micro issue? Environmental Science &amp; Technology, 51(12), 6634-6647. https://doi.org/10.1021/acs.est.7b00423</w:t>
      </w:r>
    </w:p>
    <w:p w14:paraId="2F85CB3F" w14:textId="77777777" w:rsidR="00760213" w:rsidRDefault="00073C4C" w:rsidP="00F940FB">
      <w:pPr>
        <w:spacing w:after="120" w:line="360" w:lineRule="auto"/>
        <w:ind w:left="720" w:hanging="720"/>
        <w:jc w:val="both"/>
      </w:pPr>
      <w:r>
        <w:t>Yoshida, S., Hiraga, K., Takehana, T., Taniguchi, I., Yamaji, H., Maeda, Y., Toyohara, K., Miyamoto, K., Kimura, Y., &amp; Oda, K. (2016). A bacterium that degrades and assimilates poly(ethylene terephthalate). Science, 351(6278), 1196-1199. https://doi.org/10.1126/science.aad6359</w:t>
      </w:r>
    </w:p>
    <w:p w14:paraId="3AD2FAAA" w14:textId="77777777" w:rsidR="00760213" w:rsidRDefault="00073C4C" w:rsidP="00F940FB">
      <w:pPr>
        <w:spacing w:after="120" w:line="360" w:lineRule="auto"/>
        <w:ind w:left="720" w:hanging="720"/>
        <w:jc w:val="both"/>
      </w:pPr>
      <w:r>
        <w:t>Zrimec, J., Buric, F., Al-Subhi, A., Wahlstrom, R., Chen, J., Sjoling, A., Kadi, A. A., Wiemann, S., &amp; Zelezniak, A. (2021). Plastic-degrading potential across the global microbiome correlates with recent pollution trends. mBio, 12(5), e02155-21. https://doi.org/10.1128/mBio.02155-21</w:t>
      </w:r>
    </w:p>
    <w:sectPr w:rsidR="00760213">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3A0862" w14:textId="77777777" w:rsidR="00887AB8" w:rsidRDefault="00887AB8">
      <w:r>
        <w:separator/>
      </w:r>
    </w:p>
  </w:endnote>
  <w:endnote w:type="continuationSeparator" w:id="0">
    <w:p w14:paraId="55F7CAD3" w14:textId="77777777" w:rsidR="00887AB8" w:rsidRDefault="00887A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C7E9B" w14:textId="77777777" w:rsidR="00B3050B" w:rsidRDefault="00B305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34D26" w14:textId="77777777" w:rsidR="00760213" w:rsidRDefault="00073C4C">
    <w:pPr>
      <w:jc w:val="center"/>
    </w:pPr>
    <w:r>
      <w:rPr>
        <w:sz w:val="20"/>
        <w:szCs w:val="20"/>
      </w:rPr>
      <w:t xml:space="preserve">Page </w:t>
    </w:r>
    <w:r>
      <w:rPr>
        <w:sz w:val="20"/>
        <w:szCs w:val="20"/>
      </w:rPr>
      <w:fldChar w:fldCharType="begin"/>
    </w:r>
    <w:r>
      <w:rPr>
        <w:sz w:val="20"/>
        <w:szCs w:val="20"/>
      </w:rPr>
      <w:instrText>PAGE</w:instrText>
    </w:r>
    <w:r>
      <w:rPr>
        <w:sz w:val="20"/>
        <w:szCs w:val="20"/>
      </w:rPr>
      <w:fldChar w:fldCharType="separate"/>
    </w:r>
    <w:r w:rsidR="007C76BE">
      <w:rPr>
        <w:noProof/>
        <w:sz w:val="20"/>
        <w:szCs w:val="20"/>
      </w:rPr>
      <w:t>1</w:t>
    </w:r>
    <w:r>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D774E" w14:textId="77777777" w:rsidR="00B3050B" w:rsidRDefault="00B305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BEBCEC" w14:textId="77777777" w:rsidR="00887AB8" w:rsidRDefault="00887AB8">
      <w:r>
        <w:separator/>
      </w:r>
    </w:p>
  </w:footnote>
  <w:footnote w:type="continuationSeparator" w:id="0">
    <w:p w14:paraId="7E86AE43" w14:textId="77777777" w:rsidR="00887AB8" w:rsidRDefault="00887A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85DCF" w14:textId="088E9AFB" w:rsidR="00B3050B" w:rsidRDefault="00B3050B">
    <w:pPr>
      <w:pStyle w:val="Header"/>
    </w:pPr>
    <w:r>
      <w:rPr>
        <w:noProof/>
      </w:rPr>
      <w:pict w14:anchorId="6F00B0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743844"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6E7F7" w14:textId="5E96C9D0" w:rsidR="00760213" w:rsidRDefault="00B3050B">
    <w:pPr>
      <w:jc w:val="right"/>
    </w:pPr>
    <w:r>
      <w:rPr>
        <w:noProof/>
      </w:rPr>
      <w:pict w14:anchorId="6188F7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743845" o:spid="_x0000_s2051" type="#_x0000_t136" style="position:absolute;left:0;text-align:left;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F5B5B" w14:textId="7EEE76ED" w:rsidR="00B3050B" w:rsidRDefault="00B3050B">
    <w:pPr>
      <w:pStyle w:val="Header"/>
    </w:pPr>
    <w:r>
      <w:rPr>
        <w:noProof/>
      </w:rPr>
      <w:pict w14:anchorId="5A6C11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743843"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F6B50"/>
    <w:multiLevelType w:val="hybridMultilevel"/>
    <w:tmpl w:val="3C143A68"/>
    <w:lvl w:ilvl="0" w:tplc="1A3CBA1A">
      <w:start w:val="1"/>
      <w:numFmt w:val="bullet"/>
      <w:lvlText w:val="●"/>
      <w:lvlJc w:val="left"/>
      <w:pPr>
        <w:ind w:left="720" w:hanging="360"/>
      </w:pPr>
    </w:lvl>
    <w:lvl w:ilvl="1" w:tplc="F7EA8996">
      <w:start w:val="1"/>
      <w:numFmt w:val="bullet"/>
      <w:lvlText w:val="○"/>
      <w:lvlJc w:val="left"/>
      <w:pPr>
        <w:ind w:left="1440" w:hanging="360"/>
      </w:pPr>
    </w:lvl>
    <w:lvl w:ilvl="2" w:tplc="AA96BA6A">
      <w:start w:val="1"/>
      <w:numFmt w:val="bullet"/>
      <w:lvlText w:val="■"/>
      <w:lvlJc w:val="left"/>
      <w:pPr>
        <w:ind w:left="2160" w:hanging="360"/>
      </w:pPr>
    </w:lvl>
    <w:lvl w:ilvl="3" w:tplc="FCC25FCE">
      <w:start w:val="1"/>
      <w:numFmt w:val="bullet"/>
      <w:lvlText w:val="●"/>
      <w:lvlJc w:val="left"/>
      <w:pPr>
        <w:ind w:left="2880" w:hanging="360"/>
      </w:pPr>
    </w:lvl>
    <w:lvl w:ilvl="4" w:tplc="DC38D254">
      <w:start w:val="1"/>
      <w:numFmt w:val="bullet"/>
      <w:lvlText w:val="○"/>
      <w:lvlJc w:val="left"/>
      <w:pPr>
        <w:ind w:left="3600" w:hanging="360"/>
      </w:pPr>
    </w:lvl>
    <w:lvl w:ilvl="5" w:tplc="998CFBB2">
      <w:start w:val="1"/>
      <w:numFmt w:val="bullet"/>
      <w:lvlText w:val="■"/>
      <w:lvlJc w:val="left"/>
      <w:pPr>
        <w:ind w:left="4320" w:hanging="360"/>
      </w:pPr>
    </w:lvl>
    <w:lvl w:ilvl="6" w:tplc="A73E76C4">
      <w:start w:val="1"/>
      <w:numFmt w:val="bullet"/>
      <w:lvlText w:val="●"/>
      <w:lvlJc w:val="left"/>
      <w:pPr>
        <w:ind w:left="5040" w:hanging="360"/>
      </w:pPr>
    </w:lvl>
    <w:lvl w:ilvl="7" w:tplc="A956F348">
      <w:start w:val="1"/>
      <w:numFmt w:val="bullet"/>
      <w:lvlText w:val="●"/>
      <w:lvlJc w:val="left"/>
      <w:pPr>
        <w:ind w:left="5760" w:hanging="360"/>
      </w:pPr>
    </w:lvl>
    <w:lvl w:ilvl="8" w:tplc="B0A2BD12">
      <w:start w:val="1"/>
      <w:numFmt w:val="bullet"/>
      <w:lvlText w:val="●"/>
      <w:lvlJc w:val="left"/>
      <w:pPr>
        <w:ind w:left="6480" w:hanging="360"/>
      </w:p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213"/>
    <w:rsid w:val="00073C4C"/>
    <w:rsid w:val="00264517"/>
    <w:rsid w:val="00403D2B"/>
    <w:rsid w:val="00507006"/>
    <w:rsid w:val="0055169A"/>
    <w:rsid w:val="00760213"/>
    <w:rsid w:val="007C76BE"/>
    <w:rsid w:val="007E70AC"/>
    <w:rsid w:val="00887AB8"/>
    <w:rsid w:val="008E4BD7"/>
    <w:rsid w:val="008E5B6C"/>
    <w:rsid w:val="00952F37"/>
    <w:rsid w:val="00AB3750"/>
    <w:rsid w:val="00B3050B"/>
    <w:rsid w:val="00C35AAC"/>
    <w:rsid w:val="00D40232"/>
    <w:rsid w:val="00D65E4C"/>
    <w:rsid w:val="00D8375A"/>
    <w:rsid w:val="00F940FB"/>
    <w:rsid w:val="00FC50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8FBEEA8"/>
  <w15:docId w15:val="{23D102EE-BA7D-4413-A3CC-3A06558D6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uiPriority w:val="9"/>
    <w:qFormat/>
    <w:pPr>
      <w:spacing w:before="320" w:after="160"/>
      <w:outlineLvl w:val="0"/>
    </w:pPr>
    <w:rPr>
      <w:b/>
      <w:bCs/>
      <w:color w:val="000000"/>
      <w:sz w:val="28"/>
      <w:szCs w:val="28"/>
    </w:rPr>
  </w:style>
  <w:style w:type="paragraph" w:styleId="Heading2">
    <w:name w:val="heading 2"/>
    <w:uiPriority w:val="9"/>
    <w:unhideWhenUsed/>
    <w:qFormat/>
    <w:pPr>
      <w:spacing w:before="240" w:after="120"/>
      <w:outlineLvl w:val="1"/>
    </w:pPr>
    <w:rPr>
      <w:b/>
      <w:bCs/>
      <w:color w:val="000000"/>
    </w:rPr>
  </w:style>
  <w:style w:type="paragraph" w:styleId="Heading3">
    <w:name w:val="heading 3"/>
    <w:uiPriority w:val="9"/>
    <w:semiHidden/>
    <w:unhideWhenUsed/>
    <w:qFormat/>
    <w:pPr>
      <w:outlineLvl w:val="2"/>
    </w:pPr>
    <w:rPr>
      <w:color w:val="1F4D78"/>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403D2B"/>
    <w:pPr>
      <w:tabs>
        <w:tab w:val="center" w:pos="4680"/>
        <w:tab w:val="right" w:pos="9360"/>
      </w:tabs>
    </w:pPr>
  </w:style>
  <w:style w:type="character" w:customStyle="1" w:styleId="HeaderChar">
    <w:name w:val="Header Char"/>
    <w:basedOn w:val="DefaultParagraphFont"/>
    <w:link w:val="Header"/>
    <w:uiPriority w:val="99"/>
    <w:rsid w:val="00403D2B"/>
  </w:style>
  <w:style w:type="paragraph" w:styleId="Footer">
    <w:name w:val="footer"/>
    <w:basedOn w:val="Normal"/>
    <w:link w:val="FooterChar"/>
    <w:uiPriority w:val="99"/>
    <w:unhideWhenUsed/>
    <w:rsid w:val="00403D2B"/>
    <w:pPr>
      <w:tabs>
        <w:tab w:val="center" w:pos="4680"/>
        <w:tab w:val="right" w:pos="9360"/>
      </w:tabs>
    </w:pPr>
  </w:style>
  <w:style w:type="character" w:customStyle="1" w:styleId="FooterChar">
    <w:name w:val="Footer Char"/>
    <w:basedOn w:val="DefaultParagraphFont"/>
    <w:link w:val="Footer"/>
    <w:uiPriority w:val="99"/>
    <w:rsid w:val="00403D2B"/>
  </w:style>
  <w:style w:type="paragraph" w:styleId="NormalWeb">
    <w:name w:val="Normal (Web)"/>
    <w:basedOn w:val="Normal"/>
    <w:uiPriority w:val="99"/>
    <w:unhideWhenUsed/>
    <w:rsid w:val="00F940FB"/>
    <w:pPr>
      <w:spacing w:before="100" w:beforeAutospacing="1" w:after="100" w:afterAutospacing="1"/>
    </w:pPr>
  </w:style>
  <w:style w:type="character" w:styleId="Strong">
    <w:name w:val="Strong"/>
    <w:basedOn w:val="DefaultParagraphFont"/>
    <w:uiPriority w:val="22"/>
    <w:qFormat/>
    <w:rsid w:val="00F940FB"/>
    <w:rPr>
      <w:b/>
      <w:bCs/>
    </w:rPr>
  </w:style>
  <w:style w:type="character" w:styleId="Emphasis">
    <w:name w:val="Emphasis"/>
    <w:basedOn w:val="DefaultParagraphFont"/>
    <w:uiPriority w:val="20"/>
    <w:qFormat/>
    <w:rsid w:val="00952F37"/>
    <w:rPr>
      <w:i/>
      <w:iCs/>
    </w:rPr>
  </w:style>
  <w:style w:type="character" w:styleId="UnresolvedMention">
    <w:name w:val="Unresolved Mention"/>
    <w:basedOn w:val="DefaultParagraphFont"/>
    <w:uiPriority w:val="99"/>
    <w:semiHidden/>
    <w:unhideWhenUsed/>
    <w:rsid w:val="007E70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812923">
      <w:bodyDiv w:val="1"/>
      <w:marLeft w:val="0"/>
      <w:marRight w:val="0"/>
      <w:marTop w:val="0"/>
      <w:marBottom w:val="0"/>
      <w:divBdr>
        <w:top w:val="none" w:sz="0" w:space="0" w:color="auto"/>
        <w:left w:val="none" w:sz="0" w:space="0" w:color="auto"/>
        <w:bottom w:val="none" w:sz="0" w:space="0" w:color="auto"/>
        <w:right w:val="none" w:sz="0" w:space="0" w:color="auto"/>
      </w:divBdr>
    </w:div>
    <w:div w:id="272636548">
      <w:bodyDiv w:val="1"/>
      <w:marLeft w:val="0"/>
      <w:marRight w:val="0"/>
      <w:marTop w:val="0"/>
      <w:marBottom w:val="0"/>
      <w:divBdr>
        <w:top w:val="none" w:sz="0" w:space="0" w:color="auto"/>
        <w:left w:val="none" w:sz="0" w:space="0" w:color="auto"/>
        <w:bottom w:val="none" w:sz="0" w:space="0" w:color="auto"/>
        <w:right w:val="none" w:sz="0" w:space="0" w:color="auto"/>
      </w:divBdr>
      <w:divsChild>
        <w:div w:id="182717798">
          <w:marLeft w:val="0"/>
          <w:marRight w:val="0"/>
          <w:marTop w:val="0"/>
          <w:marBottom w:val="0"/>
          <w:divBdr>
            <w:top w:val="none" w:sz="0" w:space="0" w:color="auto"/>
            <w:left w:val="none" w:sz="0" w:space="0" w:color="auto"/>
            <w:bottom w:val="none" w:sz="0" w:space="0" w:color="auto"/>
            <w:right w:val="none" w:sz="0" w:space="0" w:color="auto"/>
          </w:divBdr>
          <w:divsChild>
            <w:div w:id="1535076223">
              <w:marLeft w:val="0"/>
              <w:marRight w:val="0"/>
              <w:marTop w:val="0"/>
              <w:marBottom w:val="0"/>
              <w:divBdr>
                <w:top w:val="none" w:sz="0" w:space="0" w:color="auto"/>
                <w:left w:val="none" w:sz="0" w:space="0" w:color="auto"/>
                <w:bottom w:val="none" w:sz="0" w:space="0" w:color="auto"/>
                <w:right w:val="none" w:sz="0" w:space="0" w:color="auto"/>
              </w:divBdr>
              <w:divsChild>
                <w:div w:id="1740591095">
                  <w:marLeft w:val="0"/>
                  <w:marRight w:val="0"/>
                  <w:marTop w:val="0"/>
                  <w:marBottom w:val="0"/>
                  <w:divBdr>
                    <w:top w:val="none" w:sz="0" w:space="0" w:color="auto"/>
                    <w:left w:val="none" w:sz="0" w:space="0" w:color="auto"/>
                    <w:bottom w:val="none" w:sz="0" w:space="0" w:color="auto"/>
                    <w:right w:val="none" w:sz="0" w:space="0" w:color="auto"/>
                  </w:divBdr>
                  <w:divsChild>
                    <w:div w:id="935551392">
                      <w:marLeft w:val="0"/>
                      <w:marRight w:val="0"/>
                      <w:marTop w:val="0"/>
                      <w:marBottom w:val="0"/>
                      <w:divBdr>
                        <w:top w:val="none" w:sz="0" w:space="0" w:color="auto"/>
                        <w:left w:val="none" w:sz="0" w:space="0" w:color="auto"/>
                        <w:bottom w:val="none" w:sz="0" w:space="0" w:color="auto"/>
                        <w:right w:val="none" w:sz="0" w:space="0" w:color="auto"/>
                      </w:divBdr>
                      <w:divsChild>
                        <w:div w:id="667288304">
                          <w:marLeft w:val="0"/>
                          <w:marRight w:val="0"/>
                          <w:marTop w:val="0"/>
                          <w:marBottom w:val="0"/>
                          <w:divBdr>
                            <w:top w:val="none" w:sz="0" w:space="0" w:color="auto"/>
                            <w:left w:val="none" w:sz="0" w:space="0" w:color="auto"/>
                            <w:bottom w:val="none" w:sz="0" w:space="0" w:color="auto"/>
                            <w:right w:val="none" w:sz="0" w:space="0" w:color="auto"/>
                          </w:divBdr>
                          <w:divsChild>
                            <w:div w:id="124980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0610013">
      <w:bodyDiv w:val="1"/>
      <w:marLeft w:val="0"/>
      <w:marRight w:val="0"/>
      <w:marTop w:val="0"/>
      <w:marBottom w:val="0"/>
      <w:divBdr>
        <w:top w:val="none" w:sz="0" w:space="0" w:color="auto"/>
        <w:left w:val="none" w:sz="0" w:space="0" w:color="auto"/>
        <w:bottom w:val="none" w:sz="0" w:space="0" w:color="auto"/>
        <w:right w:val="none" w:sz="0" w:space="0" w:color="auto"/>
      </w:divBdr>
    </w:div>
    <w:div w:id="995886974">
      <w:bodyDiv w:val="1"/>
      <w:marLeft w:val="0"/>
      <w:marRight w:val="0"/>
      <w:marTop w:val="0"/>
      <w:marBottom w:val="0"/>
      <w:divBdr>
        <w:top w:val="none" w:sz="0" w:space="0" w:color="auto"/>
        <w:left w:val="none" w:sz="0" w:space="0" w:color="auto"/>
        <w:bottom w:val="none" w:sz="0" w:space="0" w:color="auto"/>
        <w:right w:val="none" w:sz="0" w:space="0" w:color="auto"/>
      </w:divBdr>
      <w:divsChild>
        <w:div w:id="1909992950">
          <w:marLeft w:val="0"/>
          <w:marRight w:val="0"/>
          <w:marTop w:val="0"/>
          <w:marBottom w:val="0"/>
          <w:divBdr>
            <w:top w:val="none" w:sz="0" w:space="0" w:color="auto"/>
            <w:left w:val="none" w:sz="0" w:space="0" w:color="auto"/>
            <w:bottom w:val="none" w:sz="0" w:space="0" w:color="auto"/>
            <w:right w:val="none" w:sz="0" w:space="0" w:color="auto"/>
          </w:divBdr>
          <w:divsChild>
            <w:div w:id="272174601">
              <w:marLeft w:val="0"/>
              <w:marRight w:val="0"/>
              <w:marTop w:val="0"/>
              <w:marBottom w:val="0"/>
              <w:divBdr>
                <w:top w:val="none" w:sz="0" w:space="0" w:color="auto"/>
                <w:left w:val="none" w:sz="0" w:space="0" w:color="auto"/>
                <w:bottom w:val="none" w:sz="0" w:space="0" w:color="auto"/>
                <w:right w:val="none" w:sz="0" w:space="0" w:color="auto"/>
              </w:divBdr>
              <w:divsChild>
                <w:div w:id="1182940418">
                  <w:marLeft w:val="0"/>
                  <w:marRight w:val="0"/>
                  <w:marTop w:val="0"/>
                  <w:marBottom w:val="0"/>
                  <w:divBdr>
                    <w:top w:val="none" w:sz="0" w:space="0" w:color="auto"/>
                    <w:left w:val="none" w:sz="0" w:space="0" w:color="auto"/>
                    <w:bottom w:val="none" w:sz="0" w:space="0" w:color="auto"/>
                    <w:right w:val="none" w:sz="0" w:space="0" w:color="auto"/>
                  </w:divBdr>
                  <w:divsChild>
                    <w:div w:id="1043792971">
                      <w:marLeft w:val="0"/>
                      <w:marRight w:val="0"/>
                      <w:marTop w:val="0"/>
                      <w:marBottom w:val="0"/>
                      <w:divBdr>
                        <w:top w:val="none" w:sz="0" w:space="0" w:color="auto"/>
                        <w:left w:val="none" w:sz="0" w:space="0" w:color="auto"/>
                        <w:bottom w:val="none" w:sz="0" w:space="0" w:color="auto"/>
                        <w:right w:val="none" w:sz="0" w:space="0" w:color="auto"/>
                      </w:divBdr>
                      <w:divsChild>
                        <w:div w:id="1551064716">
                          <w:marLeft w:val="0"/>
                          <w:marRight w:val="0"/>
                          <w:marTop w:val="0"/>
                          <w:marBottom w:val="0"/>
                          <w:divBdr>
                            <w:top w:val="none" w:sz="0" w:space="0" w:color="auto"/>
                            <w:left w:val="none" w:sz="0" w:space="0" w:color="auto"/>
                            <w:bottom w:val="none" w:sz="0" w:space="0" w:color="auto"/>
                            <w:right w:val="none" w:sz="0" w:space="0" w:color="auto"/>
                          </w:divBdr>
                          <w:divsChild>
                            <w:div w:id="190290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2358533">
      <w:bodyDiv w:val="1"/>
      <w:marLeft w:val="0"/>
      <w:marRight w:val="0"/>
      <w:marTop w:val="0"/>
      <w:marBottom w:val="0"/>
      <w:divBdr>
        <w:top w:val="none" w:sz="0" w:space="0" w:color="auto"/>
        <w:left w:val="none" w:sz="0" w:space="0" w:color="auto"/>
        <w:bottom w:val="none" w:sz="0" w:space="0" w:color="auto"/>
        <w:right w:val="none" w:sz="0" w:space="0" w:color="auto"/>
      </w:divBdr>
    </w:div>
    <w:div w:id="16869023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337</TotalTime>
  <Pages>23</Pages>
  <Words>6912</Words>
  <Characters>39399</Characters>
  <Application>Microsoft Office Word</Application>
  <DocSecurity>0</DocSecurity>
  <Lines>328</Lines>
  <Paragraphs>92</Paragraphs>
  <ScaleCrop>false</ScaleCrop>
  <HeadingPairs>
    <vt:vector size="4" baseType="variant">
      <vt:variant>
        <vt:lpstr>Title</vt:lpstr>
      </vt:variant>
      <vt:variant>
        <vt:i4>1</vt:i4>
      </vt:variant>
      <vt:variant>
        <vt:lpstr>Headings</vt:lpstr>
      </vt:variant>
      <vt:variant>
        <vt:i4>34</vt:i4>
      </vt:variant>
    </vt:vector>
  </HeadingPairs>
  <TitlesOfParts>
    <vt:vector size="35" baseType="lpstr">
      <vt:lpstr/>
      <vt:lpstr>Abstract</vt:lpstr>
      <vt:lpstr>1. Introduction</vt:lpstr>
      <vt:lpstr>2. Literature Review</vt:lpstr>
      <vt:lpstr>    2.1 Historical Discovery of PET-Degrading Organisms</vt:lpstr>
      <vt:lpstr>    2.2 Structural and Biochemical Characterization</vt:lpstr>
      <vt:lpstr>    2.3 Environmental Distribution of PET-Degrading Microorganisms</vt:lpstr>
      <vt:lpstr>3. Mechanism of PET Biodegradation</vt:lpstr>
      <vt:lpstr>    3.1 Enzymatic Hydrolysis by PETase</vt:lpstr>
      <vt:lpstr>    3.2 Secondary Hydrolysis by MHETase</vt:lpstr>
      <vt:lpstr>    3.3 Downstream Metabolism and Cellular Assimilation</vt:lpstr>
      <vt:lpstr/>
      <vt:lpstr/>
      <vt:lpstr>4. Environmental Implications</vt:lpstr>
      <vt:lpstr>    4.1 Reduction of PET Persistence and Microplastic Generation</vt:lpstr>
      <vt:lpstr>    4.2 Ecosystem Impacts of Enzymatic Activity</vt:lpstr>
      <vt:lpstr>    4.3 Comparison with Conventional Recycling Approaches</vt:lpstr>
      <vt:lpstr>    4.4 Potential Contribution to Circular Economy Frameworks</vt:lpstr>
      <vt:lpstr>5. Applications</vt:lpstr>
      <vt:lpstr>    5.1 Industrial Enzymatic Recycling</vt:lpstr>
      <vt:lpstr>    5.2 In Situ Bioremediation</vt:lpstr>
      <vt:lpstr>    5.3 Textile and Fiber Applications</vt:lpstr>
      <vt:lpstr/>
      <vt:lpstr>6. Challenges and Limitations</vt:lpstr>
      <vt:lpstr>    6.1 Catalytic Efficiency and Substrate Accessibility</vt:lpstr>
      <vt:lpstr>    6.2 Environmental Stability of Enzymes</vt:lpstr>
      <vt:lpstr>    6.3 Scalability and Economic Viability</vt:lpstr>
      <vt:lpstr>    6.4 Ecological Risk Assessment Gaps</vt:lpstr>
      <vt:lpstr>7. Future Research Directions</vt:lpstr>
      <vt:lpstr>    7.1 Protein Engineering for Environmental Robustness</vt:lpstr>
      <vt:lpstr>    7.2 Synthetic Ecology and Consortium Design</vt:lpstr>
      <vt:lpstr>    7.3 Environmental Fate and Risk Assessment</vt:lpstr>
      <vt:lpstr>    7.4 Life Cycle and Techno-Economic Assessment</vt:lpstr>
      <vt:lpstr>8. Conclusion</vt:lpstr>
      <vt:lpstr>References</vt:lpstr>
    </vt:vector>
  </TitlesOfParts>
  <Company/>
  <LinksUpToDate>false</LinksUpToDate>
  <CharactersWithSpaces>46219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SDI 1084</cp:lastModifiedBy>
  <cp:revision>6</cp:revision>
  <dcterms:created xsi:type="dcterms:W3CDTF">2026-05-03T14:48:00Z</dcterms:created>
  <dcterms:modified xsi:type="dcterms:W3CDTF">2026-05-07T13:07:00Z</dcterms:modified>
</cp:coreProperties>
</file>