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89B17" w14:textId="0604B578" w:rsidR="00DF7224" w:rsidRDefault="002662A3" w:rsidP="00CB7FB8">
      <w:pPr>
        <w:spacing w:line="240" w:lineRule="auto"/>
        <w:jc w:val="both"/>
        <w:rPr>
          <w:rFonts w:cs="Times New Roman"/>
          <w:b/>
          <w:color w:val="000000" w:themeColor="text1"/>
          <w:szCs w:val="24"/>
        </w:rPr>
      </w:pPr>
      <w:r w:rsidRPr="00810686">
        <w:rPr>
          <w:rFonts w:cs="Times New Roman"/>
          <w:b/>
          <w:color w:val="000000" w:themeColor="text1"/>
          <w:szCs w:val="24"/>
        </w:rPr>
        <w:t>Agricultural Subsidies and Policy Frameworks</w:t>
      </w:r>
      <w:r w:rsidR="004E2753">
        <w:rPr>
          <w:rFonts w:cs="Times New Roman"/>
          <w:b/>
          <w:color w:val="000000" w:themeColor="text1"/>
          <w:szCs w:val="24"/>
        </w:rPr>
        <w:t xml:space="preserve"> </w:t>
      </w:r>
      <w:r w:rsidRPr="00810686">
        <w:rPr>
          <w:rFonts w:cs="Times New Roman"/>
          <w:b/>
          <w:color w:val="000000" w:themeColor="text1"/>
          <w:szCs w:val="24"/>
        </w:rPr>
        <w:t>in Sub-Saharan Africa:</w:t>
      </w:r>
      <w:r w:rsidR="004E2753">
        <w:rPr>
          <w:rFonts w:cs="Times New Roman"/>
          <w:b/>
          <w:color w:val="000000" w:themeColor="text1"/>
          <w:szCs w:val="24"/>
        </w:rPr>
        <w:t xml:space="preserve"> </w:t>
      </w:r>
      <w:r w:rsidRPr="00810686">
        <w:rPr>
          <w:rFonts w:cs="Times New Roman"/>
          <w:b/>
          <w:color w:val="000000" w:themeColor="text1"/>
          <w:szCs w:val="24"/>
        </w:rPr>
        <w:t>Challenges, Impacts, and Pathways for Sustainable Growth</w:t>
      </w:r>
    </w:p>
    <w:p w14:paraId="7A834E1F" w14:textId="4F0ABA2F" w:rsidR="00810686" w:rsidRDefault="00810686" w:rsidP="00CB7FB8">
      <w:pPr>
        <w:pStyle w:val="BodyText"/>
        <w:spacing w:line="240" w:lineRule="auto"/>
        <w:rPr>
          <w:rFonts w:cs="Times New Roman"/>
          <w:color w:val="000000" w:themeColor="text1"/>
          <w:szCs w:val="24"/>
        </w:rPr>
      </w:pPr>
    </w:p>
    <w:p w14:paraId="69957856" w14:textId="77777777" w:rsidR="00C761A9" w:rsidRDefault="00C761A9" w:rsidP="00CB7FB8">
      <w:pPr>
        <w:pStyle w:val="BodyText"/>
        <w:spacing w:line="240" w:lineRule="auto"/>
        <w:rPr>
          <w:rFonts w:cs="Times New Roman"/>
          <w:color w:val="000000" w:themeColor="text1"/>
          <w:szCs w:val="24"/>
        </w:rPr>
      </w:pPr>
      <w:bookmarkStart w:id="0" w:name="_GoBack"/>
      <w:bookmarkEnd w:id="0"/>
    </w:p>
    <w:p w14:paraId="65A5A402" w14:textId="77777777" w:rsidR="00DF7224" w:rsidRPr="00810686" w:rsidRDefault="002662A3" w:rsidP="00CB7FB8">
      <w:pPr>
        <w:pStyle w:val="Heading1"/>
        <w:spacing w:line="240" w:lineRule="auto"/>
        <w:jc w:val="both"/>
        <w:rPr>
          <w:rFonts w:ascii="Times New Roman" w:hAnsi="Times New Roman" w:cs="Times New Roman"/>
          <w:color w:val="000000" w:themeColor="text1"/>
          <w:sz w:val="24"/>
          <w:szCs w:val="24"/>
        </w:rPr>
      </w:pPr>
      <w:r w:rsidRPr="00810686">
        <w:rPr>
          <w:rFonts w:ascii="Times New Roman" w:hAnsi="Times New Roman" w:cs="Times New Roman"/>
          <w:color w:val="000000" w:themeColor="text1"/>
          <w:sz w:val="24"/>
          <w:szCs w:val="24"/>
        </w:rPr>
        <w:t>Abstract</w:t>
      </w:r>
    </w:p>
    <w:p w14:paraId="1E91C5A8"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Agricultural input subsidies remain one of the most debated agricultural policy instruments in Sub-Saharan Africa. Governments continue to use them because smallholder farmers face high input prices, weak credit markets, poor rural infrastructure, and climate-related production risks that limit the adoption of fertilizer, improved seed, and other productivity-enhancing technologies. This paper examines how subsidy programs have evolved from broad state-led distribution systems toward more targeted and market-oriented approaches, with attention to experiences in Kenya, Nigeria, Ghana, Tanzania, and Malawi. The analysis shows that subsidies can improve input access, raise crop output, and support household food security when they are well targeted, delivered on time, and linked to extension, soil fertility management, and functional input markets. However, the evidence also shows repeated problems: elite capture, leakage, late delivery, crowding out of commercial purchases, uneven benefits across farmer groups, and heavy fiscal costs. The paper argues that subsidies should not be treated as a permanent substitute for broader agricultural transformation. Instead, they should be designed as temporary, transparent, and performance-oriented instruments that strengthen smallholder resilience while encouraging graduation into commercial input markets. A more sustainable policy framework requires digital beneficiary systems, differentiated subsidy levels, stronger private sector participation, improved monitoring, soil health investments, and better alignment with climate-smart agriculture, rural finance, research, and market development.</w:t>
      </w:r>
    </w:p>
    <w:p w14:paraId="59588B35"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Ke</w:t>
      </w:r>
      <w:r w:rsidRPr="00810686">
        <w:rPr>
          <w:rFonts w:cs="Times New Roman"/>
          <w:b/>
          <w:bCs/>
          <w:color w:val="000000" w:themeColor="text1"/>
          <w:szCs w:val="24"/>
        </w:rPr>
        <w:t xml:space="preserve">ywords: </w:t>
      </w:r>
      <w:r w:rsidRPr="00810686">
        <w:rPr>
          <w:rFonts w:cs="Times New Roman"/>
          <w:color w:val="000000" w:themeColor="text1"/>
          <w:szCs w:val="24"/>
        </w:rPr>
        <w:t>agricultural subsidies; Sub-Saharan Africa; smallholder farmers; food security; input vouchers; policy reform; sustainable agriculture</w:t>
      </w:r>
    </w:p>
    <w:p w14:paraId="34E14D8A" w14:textId="77777777" w:rsidR="00DF7224" w:rsidRPr="00810686" w:rsidRDefault="002662A3" w:rsidP="00CB7FB8">
      <w:pPr>
        <w:pStyle w:val="Heading1"/>
        <w:spacing w:line="240" w:lineRule="auto"/>
        <w:jc w:val="both"/>
        <w:rPr>
          <w:rFonts w:ascii="Times New Roman" w:hAnsi="Times New Roman" w:cs="Times New Roman"/>
          <w:color w:val="000000" w:themeColor="text1"/>
          <w:sz w:val="24"/>
          <w:szCs w:val="24"/>
        </w:rPr>
      </w:pPr>
      <w:r w:rsidRPr="00810686">
        <w:rPr>
          <w:rFonts w:ascii="Times New Roman" w:hAnsi="Times New Roman" w:cs="Times New Roman"/>
          <w:color w:val="000000" w:themeColor="text1"/>
          <w:sz w:val="24"/>
          <w:szCs w:val="24"/>
        </w:rPr>
        <w:t>1. Introduction</w:t>
      </w:r>
    </w:p>
    <w:p w14:paraId="42688671" w14:textId="5FA3C50E"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 xml:space="preserve">Agriculture remains central to economic life in Sub-Saharan Africa because it employs a large share of rural households, supplies most domestic food, and provides raw materials for local trade and </w:t>
      </w:r>
      <w:proofErr w:type="spellStart"/>
      <w:r w:rsidRPr="00810686">
        <w:rPr>
          <w:rFonts w:cs="Times New Roman"/>
          <w:color w:val="000000" w:themeColor="text1"/>
          <w:szCs w:val="24"/>
        </w:rPr>
        <w:t>agro</w:t>
      </w:r>
      <w:proofErr w:type="spellEnd"/>
      <w:r w:rsidRPr="00810686">
        <w:rPr>
          <w:rFonts w:cs="Times New Roman"/>
          <w:color w:val="000000" w:themeColor="text1"/>
          <w:szCs w:val="24"/>
        </w:rPr>
        <w:t>-processing</w:t>
      </w:r>
      <w:r w:rsidR="00EC3863">
        <w:rPr>
          <w:rFonts w:cs="Times New Roman"/>
          <w:color w:val="000000" w:themeColor="text1"/>
          <w:szCs w:val="24"/>
        </w:rPr>
        <w:t xml:space="preserve"> (</w:t>
      </w:r>
      <w:proofErr w:type="spellStart"/>
      <w:r w:rsidR="00EC3863" w:rsidRPr="00037C75">
        <w:rPr>
          <w:rFonts w:cs="Times New Roman"/>
          <w:color w:val="000000" w:themeColor="text1"/>
          <w:szCs w:val="24"/>
          <w:highlight w:val="yellow"/>
        </w:rPr>
        <w:t>Kanza</w:t>
      </w:r>
      <w:proofErr w:type="spellEnd"/>
      <w:r w:rsidR="00EC3863" w:rsidRPr="00037C75">
        <w:rPr>
          <w:rFonts w:cs="Times New Roman"/>
          <w:color w:val="000000" w:themeColor="text1"/>
          <w:szCs w:val="24"/>
          <w:highlight w:val="yellow"/>
        </w:rPr>
        <w:t xml:space="preserve"> et al., 2022; Sithole &amp; Olorunfemi, 2024</w:t>
      </w:r>
      <w:r w:rsidR="00EC3863">
        <w:rPr>
          <w:rFonts w:cs="Times New Roman"/>
          <w:color w:val="000000" w:themeColor="text1"/>
          <w:szCs w:val="24"/>
        </w:rPr>
        <w:t>)</w:t>
      </w:r>
      <w:r w:rsidRPr="00810686">
        <w:rPr>
          <w:rFonts w:cs="Times New Roman"/>
          <w:color w:val="000000" w:themeColor="text1"/>
          <w:szCs w:val="24"/>
        </w:rPr>
        <w:t>. Yet the region's smallholder farmers often operate under difficult production conditions. Many cultivate small plots, depend on rainfall, face degraded soils, and sell into markets where prices fluctuate sharply</w:t>
      </w:r>
      <w:r w:rsidR="00EC3863">
        <w:rPr>
          <w:rFonts w:cs="Times New Roman"/>
          <w:color w:val="000000" w:themeColor="text1"/>
          <w:szCs w:val="24"/>
        </w:rPr>
        <w:t xml:space="preserve"> (</w:t>
      </w:r>
      <w:r w:rsidR="00062B3F" w:rsidRPr="00037C75">
        <w:rPr>
          <w:rFonts w:cs="Times New Roman"/>
          <w:color w:val="000000" w:themeColor="text1"/>
          <w:szCs w:val="24"/>
          <w:highlight w:val="yellow"/>
        </w:rPr>
        <w:t xml:space="preserve">Nyambo et al., 2022; </w:t>
      </w:r>
      <w:proofErr w:type="spellStart"/>
      <w:r w:rsidR="00EC3863" w:rsidRPr="00037C75">
        <w:rPr>
          <w:rFonts w:cs="Times New Roman"/>
          <w:color w:val="000000" w:themeColor="text1"/>
          <w:szCs w:val="24"/>
          <w:highlight w:val="yellow"/>
        </w:rPr>
        <w:t>Choruma</w:t>
      </w:r>
      <w:proofErr w:type="spellEnd"/>
      <w:r w:rsidR="00EC3863" w:rsidRPr="00037C75">
        <w:rPr>
          <w:rFonts w:cs="Times New Roman"/>
          <w:color w:val="000000" w:themeColor="text1"/>
          <w:szCs w:val="24"/>
          <w:highlight w:val="yellow"/>
        </w:rPr>
        <w:t xml:space="preserve"> et al., 2024</w:t>
      </w:r>
      <w:r w:rsidR="00062B3F" w:rsidRPr="00037C75">
        <w:rPr>
          <w:rFonts w:cs="Times New Roman"/>
          <w:color w:val="000000" w:themeColor="text1"/>
          <w:szCs w:val="24"/>
          <w:highlight w:val="yellow"/>
        </w:rPr>
        <w:t>)</w:t>
      </w:r>
      <w:r w:rsidRPr="00037C75">
        <w:rPr>
          <w:rFonts w:cs="Times New Roman"/>
          <w:color w:val="000000" w:themeColor="text1"/>
          <w:szCs w:val="24"/>
          <w:highlight w:val="yellow"/>
        </w:rPr>
        <w:t>.</w:t>
      </w:r>
      <w:r w:rsidRPr="00810686">
        <w:rPr>
          <w:rFonts w:cs="Times New Roman"/>
          <w:color w:val="000000" w:themeColor="text1"/>
          <w:szCs w:val="24"/>
        </w:rPr>
        <w:t xml:space="preserve"> These constraints make it difficult for farmers to invest in fertilizer, improved seed, irrigation, mechanization, and soil conservation technologies, even when those inputs could raise yields. For this reason, governments have repeatedly turned to agricultural input subsidies as a way to lower the cost of production and encourage the use of modern inputs.</w:t>
      </w:r>
    </w:p>
    <w:p w14:paraId="3EFA78B0" w14:textId="15A6C4B1"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Subsidies are not new in African agriculture, many governments used state marketing boards, controlled prices, and publicly supplied inputs to support food crop production</w:t>
      </w:r>
      <w:r w:rsidR="00EC3863">
        <w:rPr>
          <w:rFonts w:cs="Times New Roman"/>
          <w:color w:val="000000" w:themeColor="text1"/>
          <w:szCs w:val="24"/>
        </w:rPr>
        <w:t xml:space="preserve"> (</w:t>
      </w:r>
      <w:proofErr w:type="spellStart"/>
      <w:r w:rsidR="00EC3863" w:rsidRPr="00037C75">
        <w:rPr>
          <w:rFonts w:cs="Times New Roman"/>
          <w:color w:val="000000" w:themeColor="text1"/>
          <w:szCs w:val="24"/>
          <w:highlight w:val="yellow"/>
        </w:rPr>
        <w:t>Nhlengethwa</w:t>
      </w:r>
      <w:proofErr w:type="spellEnd"/>
      <w:r w:rsidR="00EC3863" w:rsidRPr="00037C75">
        <w:rPr>
          <w:rFonts w:cs="Times New Roman"/>
          <w:color w:val="000000" w:themeColor="text1"/>
          <w:szCs w:val="24"/>
          <w:highlight w:val="yellow"/>
        </w:rPr>
        <w:t xml:space="preserve"> et al., 2023; </w:t>
      </w:r>
      <w:proofErr w:type="spellStart"/>
      <w:r w:rsidR="00EC3863" w:rsidRPr="00037C75">
        <w:rPr>
          <w:rFonts w:cs="Times New Roman"/>
          <w:color w:val="000000" w:themeColor="text1"/>
          <w:szCs w:val="24"/>
          <w:highlight w:val="yellow"/>
        </w:rPr>
        <w:t>Manzvera</w:t>
      </w:r>
      <w:proofErr w:type="spellEnd"/>
      <w:r w:rsidR="00EC3863" w:rsidRPr="00037C75">
        <w:rPr>
          <w:rFonts w:cs="Times New Roman"/>
          <w:color w:val="000000" w:themeColor="text1"/>
          <w:szCs w:val="24"/>
          <w:highlight w:val="yellow"/>
        </w:rPr>
        <w:t xml:space="preserve"> &amp; </w:t>
      </w:r>
      <w:proofErr w:type="spellStart"/>
      <w:r w:rsidR="00EC3863" w:rsidRPr="00037C75">
        <w:rPr>
          <w:rFonts w:cs="Times New Roman"/>
          <w:color w:val="000000" w:themeColor="text1"/>
          <w:szCs w:val="24"/>
          <w:highlight w:val="yellow"/>
        </w:rPr>
        <w:t>Manyanga</w:t>
      </w:r>
      <w:proofErr w:type="spellEnd"/>
      <w:r w:rsidR="00EC3863" w:rsidRPr="00037C75">
        <w:rPr>
          <w:rFonts w:cs="Times New Roman"/>
          <w:color w:val="000000" w:themeColor="text1"/>
          <w:szCs w:val="24"/>
          <w:highlight w:val="yellow"/>
        </w:rPr>
        <w:t>, 2026)</w:t>
      </w:r>
      <w:r w:rsidRPr="00810686">
        <w:rPr>
          <w:rFonts w:cs="Times New Roman"/>
          <w:color w:val="000000" w:themeColor="text1"/>
          <w:szCs w:val="24"/>
        </w:rPr>
        <w:t xml:space="preserve">. During the structural adjustment period of the 1980s and 1990s, however, many of these programs were reduced because they were considered expensive, inefficient, and heavily politicized. By the early 2000s, a new generation of programs </w:t>
      </w:r>
      <w:r w:rsidRPr="00810686">
        <w:rPr>
          <w:rFonts w:cs="Times New Roman"/>
          <w:color w:val="000000" w:themeColor="text1"/>
          <w:szCs w:val="24"/>
        </w:rPr>
        <w:lastRenderedPageBreak/>
        <w:t>emerged in response to food crises, rising fertilizer prices, persistent rural poverty, and concerns that liberalized input markets were not reaching smallholder farmers. These newer approaches were often described as "smart subsidies" because they were expected to be targeted, temporary, transparent, and less damaging to private markets than earlier universal subsidies (Jayne et al., 2018).</w:t>
      </w:r>
    </w:p>
    <w:p w14:paraId="29F4D766" w14:textId="5168DCA9" w:rsidR="00DF7224" w:rsidRPr="00810686" w:rsidRDefault="00DF7224" w:rsidP="00CB7FB8">
      <w:pPr>
        <w:spacing w:line="240" w:lineRule="auto"/>
        <w:jc w:val="both"/>
        <w:rPr>
          <w:rFonts w:cs="Times New Roman"/>
          <w:color w:val="000000" w:themeColor="text1"/>
          <w:szCs w:val="24"/>
        </w:rPr>
      </w:pPr>
    </w:p>
    <w:p w14:paraId="30F82744" w14:textId="63C946C6" w:rsidR="00DF7224" w:rsidRPr="00810686" w:rsidRDefault="000F0A4D" w:rsidP="00CB7FB8">
      <w:pPr>
        <w:spacing w:line="240" w:lineRule="auto"/>
        <w:jc w:val="both"/>
        <w:rPr>
          <w:rFonts w:cs="Times New Roman"/>
          <w:color w:val="000000" w:themeColor="text1"/>
          <w:szCs w:val="24"/>
        </w:rPr>
      </w:pPr>
      <w:r w:rsidRPr="00810686">
        <w:rPr>
          <w:rFonts w:cs="Times New Roman"/>
          <w:color w:val="000000" w:themeColor="text1"/>
          <w:szCs w:val="24"/>
        </w:rPr>
        <w:t>The</w:t>
      </w:r>
      <w:r w:rsidR="002662A3" w:rsidRPr="00810686">
        <w:rPr>
          <w:rFonts w:cs="Times New Roman"/>
          <w:color w:val="000000" w:themeColor="text1"/>
          <w:szCs w:val="24"/>
        </w:rPr>
        <w:t xml:space="preserve"> policy debate remains unsettled. Evidence from Africa shows that subsidies often produce gains, but those gains are usually smaller and less durable than political promises suggest. A program may raise yields among participating farmers while failing to reach the poorest households. It may increase national maize production in one season but absorb public funds that could have financed rural roads, irrigation, research, or extension. It may support private input dealers in some districts while displacing their commercial sales in others. These mixed outcomes explain why the question is not simply whether subsidies are good or bad, but under what conditions they work, for whom, at what cost, and for how long.</w:t>
      </w:r>
    </w:p>
    <w:p w14:paraId="3B0732EC"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This paper rewrites and expands the original thesis by examining agricultural subsidy programs and policy frameworks in selected Sub-Saharan African countries. The discussion focuses on Kenya, Nigeria, Ghana, Tanzania, and Malawi because their experiences show different delivery systems, political settings, and reform pathways. The paper reviews current policy models, identifies common implementation challenges, evaluates impacts on smallholder farmers and food security, and proposes practical recommendations for sustainable growth. The central argument is that subsidies can be useful when they are carefully targeted and embedded in a wider agricultural development strategy, but they are weak instruments when they are used alone or treated mainly as political tools.</w:t>
      </w:r>
    </w:p>
    <w:p w14:paraId="1E394BB2" w14:textId="77777777" w:rsidR="00DF7224" w:rsidRPr="00810686" w:rsidRDefault="002662A3" w:rsidP="00CB7FB8">
      <w:pPr>
        <w:pStyle w:val="Heading1"/>
        <w:spacing w:line="240" w:lineRule="auto"/>
        <w:jc w:val="both"/>
        <w:rPr>
          <w:rFonts w:ascii="Times New Roman" w:hAnsi="Times New Roman" w:cs="Times New Roman"/>
          <w:color w:val="000000" w:themeColor="text1"/>
          <w:sz w:val="24"/>
          <w:szCs w:val="24"/>
        </w:rPr>
      </w:pPr>
      <w:r w:rsidRPr="00810686">
        <w:rPr>
          <w:rFonts w:ascii="Times New Roman" w:hAnsi="Times New Roman" w:cs="Times New Roman"/>
          <w:color w:val="000000" w:themeColor="text1"/>
          <w:sz w:val="24"/>
          <w:szCs w:val="24"/>
        </w:rPr>
        <w:t>2. Conceptual Background and Policy Rationale</w:t>
      </w:r>
    </w:p>
    <w:p w14:paraId="1719BBD7"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Agricultural input subsidies are public transfers that reduce the cost of farm inputs below their market price. The most common subsidized inputs in Sub-Saharan Africa are inorganic fertilizer and improved seed, although some programs include chemicals, mechanization services, irrigation equipment, livestock inputs, or soil amendments. Subsidies can be delivered through direct government distribution, paper vouchers, electronic vouchers, price discounts, credit-linked input packages, or matching grants. Each model reflects a different balance between state control, private sector participation, and administrative capacity.</w:t>
      </w:r>
    </w:p>
    <w:p w14:paraId="5147E838"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The economic justification for subsidies rests mainly on market failure. Smallholder farmers may underuse fertilizer not because they are unaware of its value, but because they face cash constraints before the planting season, lack collateral for loans, or cannot obtain inputs at the right time. Input prices are often high in remote areas because transport costs are high and dealers face low, uncertain demand. Farmers may also be unwilling to risk scarce cash on fertilizer when rainfall is unpredictable, output prices are unstable, and extension advice is weak. In these conditions, a temporary subsidy can reduce risk, stimulate demand, and help farmers learn the value of improved inputs.</w:t>
      </w:r>
    </w:p>
    <w:p w14:paraId="4EA48043"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 xml:space="preserve">There is also a food security rationale. Because many African farmers are net food buyers during parts of the year, low domestic production can expose rural and urban households to price shocks. Governments therefore use input subsidies to raise production of staple crops such as maize, rice, and sorghum. Malawi's Farm Input Subsidy Program became especially influential </w:t>
      </w:r>
      <w:r w:rsidRPr="00810686">
        <w:rPr>
          <w:rFonts w:cs="Times New Roman"/>
          <w:color w:val="000000" w:themeColor="text1"/>
          <w:szCs w:val="24"/>
        </w:rPr>
        <w:lastRenderedPageBreak/>
        <w:t>because it was linked to the country's effort to recover from food shortages and improve national self-sufficiency. Evidence from Malawi suggests that farm input support can improve welfare in vulnerable households, especially where climate stress makes production more uncertain (Asfaw et al., 2016).</w:t>
      </w:r>
    </w:p>
    <w:p w14:paraId="17D974F7"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The idea of a smart subsidy attempts to address these risks. A smart subsidy should be targeted to farmers who are unlikely to buy the input commercially, should avoid crowding out private sales, should be delivered through systems that build rather than replace agro-dealer networks, and should include a graduation strategy. It should also be linked to complementary services, because fertilizer alone cannot solve all productivity constraints. Without improved agronomic practices, soil testing, organic matter management, pest control, water management, and access to output markets, the return to subsidized inputs may remain low (Ragasa &amp; Chapoto, 2017).</w:t>
      </w:r>
    </w:p>
    <w:p w14:paraId="0C68ED6B" w14:textId="77777777" w:rsidR="00DF7224" w:rsidRPr="00810686" w:rsidRDefault="002662A3" w:rsidP="00CB7FB8">
      <w:pPr>
        <w:pStyle w:val="Heading1"/>
        <w:spacing w:line="240" w:lineRule="auto"/>
        <w:jc w:val="both"/>
        <w:rPr>
          <w:rFonts w:ascii="Times New Roman" w:hAnsi="Times New Roman" w:cs="Times New Roman"/>
          <w:color w:val="000000" w:themeColor="text1"/>
          <w:sz w:val="24"/>
          <w:szCs w:val="24"/>
        </w:rPr>
      </w:pPr>
      <w:r w:rsidRPr="00810686">
        <w:rPr>
          <w:rFonts w:ascii="Times New Roman" w:hAnsi="Times New Roman" w:cs="Times New Roman"/>
          <w:color w:val="000000" w:themeColor="text1"/>
          <w:sz w:val="24"/>
          <w:szCs w:val="24"/>
        </w:rPr>
        <w:t>3. Overview of Major Subsidy Models in Selected Countries</w:t>
      </w:r>
    </w:p>
    <w:p w14:paraId="1C022741" w14:textId="77777777" w:rsidR="006454F2" w:rsidRPr="006454F2" w:rsidRDefault="006454F2" w:rsidP="006454F2">
      <w:pPr>
        <w:spacing w:before="100" w:beforeAutospacing="1" w:after="100" w:afterAutospacing="1" w:line="240" w:lineRule="auto"/>
        <w:rPr>
          <w:rFonts w:cs="Times New Roman"/>
          <w:szCs w:val="24"/>
        </w:rPr>
      </w:pPr>
      <w:r w:rsidRPr="006454F2">
        <w:rPr>
          <w:rFonts w:cs="Times New Roman"/>
          <w:szCs w:val="24"/>
        </w:rPr>
        <w:t>Sub-Saharan African countries have used different subsidy models based on their administrative capacity, fiscal resources, political context, and agricultural priorities. The five countries reviewed in this paper show this diversity. Kenya adopted the Kilimo Plus or smart input subsidy model, which used vouchers redeemable through agro-dealers. Nigeria introduced the Growth Enhancement Scheme, which delivered electronic vouchers through mobile phones. Ghana has used both voucher-based fertilizer support and administratively fixed subsidized prices. Tanzania implemented the National Agricultural Input Voucher Scheme to support maize and rice farmers, while Malawi developed one of the largest input subsidy programs in the region.</w:t>
      </w:r>
    </w:p>
    <w:p w14:paraId="19A8A382" w14:textId="77777777" w:rsidR="006454F2" w:rsidRPr="006454F2" w:rsidRDefault="006454F2" w:rsidP="006454F2">
      <w:pPr>
        <w:spacing w:before="100" w:beforeAutospacing="1" w:after="100" w:afterAutospacing="1" w:line="240" w:lineRule="auto"/>
        <w:rPr>
          <w:rFonts w:cs="Times New Roman"/>
          <w:szCs w:val="24"/>
        </w:rPr>
      </w:pPr>
      <w:r w:rsidRPr="006454F2">
        <w:rPr>
          <w:rFonts w:cs="Times New Roman"/>
          <w:szCs w:val="24"/>
        </w:rPr>
        <w:t>Kenya’s Kilimo Plus model is important because it combined targeted public support with private-sector delivery. Farmers redeemed vouchers for fertilizer and improved seed through selected agro-dealers, helping to strengthen input markets rather than relying entirely on government distribution. Evidence shows that the program increased maize production and reduced poverty depth, although its impact depended on targeting quality and whether subsidized inputs replaced inputs farmers would have bought anyway (Mason et al., 2017).</w:t>
      </w:r>
    </w:p>
    <w:p w14:paraId="75958339" w14:textId="77777777" w:rsidR="006454F2" w:rsidRPr="006454F2" w:rsidRDefault="006454F2" w:rsidP="006454F2">
      <w:pPr>
        <w:spacing w:before="100" w:beforeAutospacing="1" w:after="100" w:afterAutospacing="1" w:line="240" w:lineRule="auto"/>
        <w:rPr>
          <w:rFonts w:cs="Times New Roman"/>
          <w:szCs w:val="24"/>
        </w:rPr>
      </w:pPr>
      <w:r w:rsidRPr="006454F2">
        <w:rPr>
          <w:rFonts w:cs="Times New Roman"/>
          <w:szCs w:val="24"/>
        </w:rPr>
        <w:t>Nigeria’s Growth Enhancement Scheme used an e-wallet system to send input vouchers to registered farmers through mobile phones. This approach aimed to reduce corruption in fertilizer distribution and move government away from direct procurement. Farmers used electronic messages to buy subsidized fertilizer and seed from private agro-dealers. The scheme showed how digital registration, farmer databases, and private delivery systems could improve transparency when properly managed (Benjamin et al., 2021).</w:t>
      </w:r>
    </w:p>
    <w:p w14:paraId="03D8091D" w14:textId="77777777" w:rsidR="006454F2" w:rsidRPr="006454F2" w:rsidRDefault="006454F2" w:rsidP="006454F2">
      <w:pPr>
        <w:spacing w:before="100" w:beforeAutospacing="1" w:after="100" w:afterAutospacing="1" w:line="240" w:lineRule="auto"/>
        <w:rPr>
          <w:rFonts w:cs="Times New Roman"/>
          <w:szCs w:val="24"/>
        </w:rPr>
      </w:pPr>
      <w:r w:rsidRPr="006454F2">
        <w:rPr>
          <w:rFonts w:cs="Times New Roman"/>
          <w:szCs w:val="24"/>
        </w:rPr>
        <w:t>Ghana’s fertilizer subsidy policy has focused mainly on improving maize and rice productivity. The program has used both price discounts and vouchers. Evidence suggests that subsidies increased fertilizer use and supported some farmers, but productivity gains depended on rainfall, soil fertility, output prices, and access to technical advice. This shows that fertilizer alone cannot solve broader production constraints (Ragasa &amp; Chapoto, 2017; Zakaria et al., 2021).</w:t>
      </w:r>
    </w:p>
    <w:p w14:paraId="11E24420" w14:textId="77777777" w:rsidR="006454F2" w:rsidRPr="006454F2" w:rsidRDefault="006454F2" w:rsidP="006454F2">
      <w:pPr>
        <w:spacing w:before="100" w:beforeAutospacing="1" w:after="100" w:afterAutospacing="1" w:line="240" w:lineRule="auto"/>
        <w:rPr>
          <w:rFonts w:cs="Times New Roman"/>
          <w:szCs w:val="24"/>
        </w:rPr>
      </w:pPr>
      <w:r w:rsidRPr="006454F2">
        <w:rPr>
          <w:rFonts w:cs="Times New Roman"/>
          <w:szCs w:val="24"/>
        </w:rPr>
        <w:t xml:space="preserve">Tanzania’s National Agricultural Input Voucher Scheme provided smallholders with vouchers for seed and fertilizer, especially for maize and rice production. The program improved yields in </w:t>
      </w:r>
      <w:r w:rsidRPr="006454F2">
        <w:rPr>
          <w:rFonts w:cs="Times New Roman"/>
          <w:szCs w:val="24"/>
        </w:rPr>
        <w:lastRenderedPageBreak/>
        <w:t>some areas, but results were uneven because of late delivery, targeting weaknesses, and differences in soil and rainfall conditions. Tanzania’s experience shows that subsidy outcomes are strongly influenced by local ecological conditions (Kim et al., 2021).</w:t>
      </w:r>
    </w:p>
    <w:p w14:paraId="305C4802" w14:textId="77777777" w:rsidR="006454F2" w:rsidRPr="006454F2" w:rsidRDefault="006454F2" w:rsidP="006454F2">
      <w:pPr>
        <w:spacing w:before="100" w:beforeAutospacing="1" w:after="100" w:afterAutospacing="1" w:line="240" w:lineRule="auto"/>
        <w:rPr>
          <w:rFonts w:cs="Times New Roman"/>
          <w:szCs w:val="24"/>
        </w:rPr>
      </w:pPr>
      <w:r w:rsidRPr="006454F2">
        <w:rPr>
          <w:rFonts w:cs="Times New Roman"/>
          <w:szCs w:val="24"/>
        </w:rPr>
        <w:t>Malawi’s Farm Input Subsidy Program remains one of the best-known examples in Sub-Saharan Africa. It supplied subsidized fertilizer and seed to millions of smallholders and became central to the country’s food security strategy. While the program increased maize production and supported household welfare in some seasons, it also placed heavy pressure on the agricultural budget and raised concerns about targeting, crowding out, and long-term sustainability (Ricker-Gilbert &amp; Jayne, 2011).</w:t>
      </w:r>
    </w:p>
    <w:p w14:paraId="2D49F07E" w14:textId="77777777" w:rsidR="00766E87" w:rsidRPr="00810686" w:rsidRDefault="00766E87" w:rsidP="00766E87">
      <w:pPr>
        <w:rPr>
          <w:rFonts w:cs="Times New Roman"/>
          <w:szCs w:val="24"/>
        </w:rPr>
      </w:pPr>
    </w:p>
    <w:p w14:paraId="758C79A0" w14:textId="10DDB9ED" w:rsidR="00DF7224" w:rsidRPr="00810686" w:rsidRDefault="002662A3" w:rsidP="00CB7FB8">
      <w:pPr>
        <w:spacing w:line="240" w:lineRule="auto"/>
        <w:jc w:val="both"/>
        <w:rPr>
          <w:rFonts w:cs="Times New Roman"/>
          <w:color w:val="000000" w:themeColor="text1"/>
          <w:szCs w:val="24"/>
        </w:rPr>
      </w:pPr>
      <w:r w:rsidRPr="00810686">
        <w:rPr>
          <w:rFonts w:cs="Times New Roman"/>
          <w:b/>
          <w:bCs/>
          <w:color w:val="000000" w:themeColor="text1"/>
          <w:szCs w:val="24"/>
        </w:rPr>
        <w:t>Table 1</w:t>
      </w:r>
      <w:r w:rsidR="00A34271" w:rsidRPr="00810686">
        <w:rPr>
          <w:rFonts w:cs="Times New Roman"/>
          <w:b/>
          <w:bCs/>
          <w:color w:val="000000" w:themeColor="text1"/>
          <w:szCs w:val="24"/>
        </w:rPr>
        <w:t>.</w:t>
      </w:r>
      <w:r w:rsidR="00A34271" w:rsidRPr="00810686">
        <w:rPr>
          <w:rFonts w:cs="Times New Roman"/>
          <w:color w:val="000000" w:themeColor="text1"/>
          <w:szCs w:val="24"/>
        </w:rPr>
        <w:t xml:space="preserve"> </w:t>
      </w:r>
      <w:r w:rsidRPr="00810686">
        <w:rPr>
          <w:rFonts w:cs="Times New Roman"/>
          <w:b/>
          <w:color w:val="000000" w:themeColor="text1"/>
          <w:szCs w:val="24"/>
        </w:rPr>
        <w:t>Selected agricultural input subsidy programs in Sub-Saharan Africa</w:t>
      </w:r>
    </w:p>
    <w:tbl>
      <w:tblPr>
        <w:tblStyle w:val="TableGrid"/>
        <w:tblW w:w="0" w:type="auto"/>
        <w:jc w:val="center"/>
        <w:tblLook w:val="04A0" w:firstRow="1" w:lastRow="0" w:firstColumn="1" w:lastColumn="0" w:noHBand="0" w:noVBand="1"/>
      </w:tblPr>
      <w:tblGrid>
        <w:gridCol w:w="1872"/>
        <w:gridCol w:w="1872"/>
        <w:gridCol w:w="1872"/>
        <w:gridCol w:w="1872"/>
        <w:gridCol w:w="1872"/>
      </w:tblGrid>
      <w:tr w:rsidR="004C21DA" w:rsidRPr="00810686" w14:paraId="243235F3" w14:textId="77777777">
        <w:trPr>
          <w:jc w:val="center"/>
        </w:trPr>
        <w:tc>
          <w:tcPr>
            <w:tcW w:w="1872" w:type="dxa"/>
          </w:tcPr>
          <w:p w14:paraId="2922ED15" w14:textId="77777777" w:rsidR="00DF7224" w:rsidRPr="00810686" w:rsidRDefault="002662A3" w:rsidP="00CB7FB8">
            <w:pPr>
              <w:jc w:val="both"/>
              <w:rPr>
                <w:rFonts w:cs="Times New Roman"/>
                <w:b/>
                <w:bCs/>
                <w:color w:val="000000" w:themeColor="text1"/>
                <w:szCs w:val="24"/>
              </w:rPr>
            </w:pPr>
            <w:r w:rsidRPr="00810686">
              <w:rPr>
                <w:rFonts w:cs="Times New Roman"/>
                <w:b/>
                <w:bCs/>
                <w:color w:val="000000" w:themeColor="text1"/>
                <w:szCs w:val="24"/>
              </w:rPr>
              <w:t>Country</w:t>
            </w:r>
          </w:p>
        </w:tc>
        <w:tc>
          <w:tcPr>
            <w:tcW w:w="1872" w:type="dxa"/>
          </w:tcPr>
          <w:p w14:paraId="3BEDFF25" w14:textId="77777777" w:rsidR="00DF7224" w:rsidRPr="00810686" w:rsidRDefault="002662A3" w:rsidP="00CB7FB8">
            <w:pPr>
              <w:jc w:val="both"/>
              <w:rPr>
                <w:rFonts w:cs="Times New Roman"/>
                <w:b/>
                <w:bCs/>
                <w:color w:val="000000" w:themeColor="text1"/>
                <w:szCs w:val="24"/>
              </w:rPr>
            </w:pPr>
            <w:r w:rsidRPr="00810686">
              <w:rPr>
                <w:rFonts w:cs="Times New Roman"/>
                <w:b/>
                <w:bCs/>
                <w:color w:val="000000" w:themeColor="text1"/>
                <w:szCs w:val="24"/>
              </w:rPr>
              <w:t>Program or model</w:t>
            </w:r>
          </w:p>
        </w:tc>
        <w:tc>
          <w:tcPr>
            <w:tcW w:w="1872" w:type="dxa"/>
          </w:tcPr>
          <w:p w14:paraId="3461F0FB" w14:textId="77777777" w:rsidR="00DF7224" w:rsidRPr="00810686" w:rsidRDefault="002662A3" w:rsidP="00CB7FB8">
            <w:pPr>
              <w:jc w:val="both"/>
              <w:rPr>
                <w:rFonts w:cs="Times New Roman"/>
                <w:b/>
                <w:bCs/>
                <w:color w:val="000000" w:themeColor="text1"/>
                <w:szCs w:val="24"/>
              </w:rPr>
            </w:pPr>
            <w:r w:rsidRPr="00810686">
              <w:rPr>
                <w:rFonts w:cs="Times New Roman"/>
                <w:b/>
                <w:bCs/>
                <w:color w:val="000000" w:themeColor="text1"/>
                <w:szCs w:val="24"/>
              </w:rPr>
              <w:t>Main inputs subsidized</w:t>
            </w:r>
          </w:p>
        </w:tc>
        <w:tc>
          <w:tcPr>
            <w:tcW w:w="1872" w:type="dxa"/>
          </w:tcPr>
          <w:p w14:paraId="2C668C0D" w14:textId="77777777" w:rsidR="00DF7224" w:rsidRPr="00810686" w:rsidRDefault="002662A3" w:rsidP="00CB7FB8">
            <w:pPr>
              <w:jc w:val="both"/>
              <w:rPr>
                <w:rFonts w:cs="Times New Roman"/>
                <w:b/>
                <w:bCs/>
                <w:color w:val="000000" w:themeColor="text1"/>
                <w:szCs w:val="24"/>
              </w:rPr>
            </w:pPr>
            <w:r w:rsidRPr="00810686">
              <w:rPr>
                <w:rFonts w:cs="Times New Roman"/>
                <w:b/>
                <w:bCs/>
                <w:color w:val="000000" w:themeColor="text1"/>
                <w:szCs w:val="24"/>
              </w:rPr>
              <w:t>Delivery approach</w:t>
            </w:r>
          </w:p>
        </w:tc>
        <w:tc>
          <w:tcPr>
            <w:tcW w:w="1872" w:type="dxa"/>
          </w:tcPr>
          <w:p w14:paraId="75179168" w14:textId="77777777" w:rsidR="00DF7224" w:rsidRPr="00810686" w:rsidRDefault="002662A3" w:rsidP="00CB7FB8">
            <w:pPr>
              <w:jc w:val="both"/>
              <w:rPr>
                <w:rFonts w:cs="Times New Roman"/>
                <w:b/>
                <w:bCs/>
                <w:color w:val="000000" w:themeColor="text1"/>
                <w:szCs w:val="24"/>
              </w:rPr>
            </w:pPr>
            <w:r w:rsidRPr="00810686">
              <w:rPr>
                <w:rFonts w:cs="Times New Roman"/>
                <w:b/>
                <w:bCs/>
                <w:color w:val="000000" w:themeColor="text1"/>
                <w:szCs w:val="24"/>
              </w:rPr>
              <w:t>Major policy lesson</w:t>
            </w:r>
          </w:p>
        </w:tc>
      </w:tr>
      <w:tr w:rsidR="004C21DA" w:rsidRPr="00810686" w14:paraId="485FFAE3" w14:textId="77777777">
        <w:trPr>
          <w:jc w:val="center"/>
        </w:trPr>
        <w:tc>
          <w:tcPr>
            <w:tcW w:w="1872" w:type="dxa"/>
          </w:tcPr>
          <w:p w14:paraId="354C65CC"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Kenya</w:t>
            </w:r>
          </w:p>
        </w:tc>
        <w:tc>
          <w:tcPr>
            <w:tcW w:w="1872" w:type="dxa"/>
          </w:tcPr>
          <w:p w14:paraId="4EEA17A1"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Kilimo Plus / smart input subsidy</w:t>
            </w:r>
          </w:p>
        </w:tc>
        <w:tc>
          <w:tcPr>
            <w:tcW w:w="1872" w:type="dxa"/>
          </w:tcPr>
          <w:p w14:paraId="05995123"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Fertilizer and improved maize seed</w:t>
            </w:r>
          </w:p>
        </w:tc>
        <w:tc>
          <w:tcPr>
            <w:tcW w:w="1872" w:type="dxa"/>
          </w:tcPr>
          <w:p w14:paraId="65CA506D"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Paper voucher redeemed through agro-dealers</w:t>
            </w:r>
          </w:p>
        </w:tc>
        <w:tc>
          <w:tcPr>
            <w:tcW w:w="1872" w:type="dxa"/>
          </w:tcPr>
          <w:p w14:paraId="1D7C65F4"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Private agro-dealer involvement can support market development when targeting is credible.</w:t>
            </w:r>
          </w:p>
        </w:tc>
      </w:tr>
      <w:tr w:rsidR="004C21DA" w:rsidRPr="00810686" w14:paraId="7A2E2411" w14:textId="77777777">
        <w:trPr>
          <w:jc w:val="center"/>
        </w:trPr>
        <w:tc>
          <w:tcPr>
            <w:tcW w:w="1872" w:type="dxa"/>
          </w:tcPr>
          <w:p w14:paraId="2528A79D"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Nigeria</w:t>
            </w:r>
          </w:p>
        </w:tc>
        <w:tc>
          <w:tcPr>
            <w:tcW w:w="1872" w:type="dxa"/>
          </w:tcPr>
          <w:p w14:paraId="23B30103"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Growth Enhancement Scheme / e-wallet</w:t>
            </w:r>
          </w:p>
        </w:tc>
        <w:tc>
          <w:tcPr>
            <w:tcW w:w="1872" w:type="dxa"/>
          </w:tcPr>
          <w:p w14:paraId="253A94CD"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Fertilizer, seed, and selected crop inputs</w:t>
            </w:r>
          </w:p>
        </w:tc>
        <w:tc>
          <w:tcPr>
            <w:tcW w:w="1872" w:type="dxa"/>
          </w:tcPr>
          <w:p w14:paraId="536B459A"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Electronic voucher delivered by mobile phone</w:t>
            </w:r>
          </w:p>
        </w:tc>
        <w:tc>
          <w:tcPr>
            <w:tcW w:w="1872" w:type="dxa"/>
          </w:tcPr>
          <w:p w14:paraId="555A0993"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Digital systems can reduce leakage, but they require reliable registration and rural connectivity.</w:t>
            </w:r>
          </w:p>
        </w:tc>
      </w:tr>
      <w:tr w:rsidR="004C21DA" w:rsidRPr="00810686" w14:paraId="74E43730" w14:textId="77777777">
        <w:trPr>
          <w:jc w:val="center"/>
        </w:trPr>
        <w:tc>
          <w:tcPr>
            <w:tcW w:w="1872" w:type="dxa"/>
          </w:tcPr>
          <w:p w14:paraId="572A8DF2"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Ghana</w:t>
            </w:r>
          </w:p>
        </w:tc>
        <w:tc>
          <w:tcPr>
            <w:tcW w:w="1872" w:type="dxa"/>
          </w:tcPr>
          <w:p w14:paraId="16945ACD"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Fertilizer subsidy program</w:t>
            </w:r>
          </w:p>
        </w:tc>
        <w:tc>
          <w:tcPr>
            <w:tcW w:w="1872" w:type="dxa"/>
          </w:tcPr>
          <w:p w14:paraId="546C34CD"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Mainly fertilizer for maize, rice, and other staples</w:t>
            </w:r>
          </w:p>
        </w:tc>
        <w:tc>
          <w:tcPr>
            <w:tcW w:w="1872" w:type="dxa"/>
          </w:tcPr>
          <w:p w14:paraId="56327D81"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Price discount and voucher-based arrangements over time</w:t>
            </w:r>
          </w:p>
        </w:tc>
        <w:tc>
          <w:tcPr>
            <w:tcW w:w="1872" w:type="dxa"/>
          </w:tcPr>
          <w:p w14:paraId="6A05A051"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Subsidy effects depend strongly on soil fertility, extension, and output market conditions.</w:t>
            </w:r>
          </w:p>
        </w:tc>
      </w:tr>
      <w:tr w:rsidR="004C21DA" w:rsidRPr="00810686" w14:paraId="2F8D299B" w14:textId="77777777">
        <w:trPr>
          <w:jc w:val="center"/>
        </w:trPr>
        <w:tc>
          <w:tcPr>
            <w:tcW w:w="1872" w:type="dxa"/>
          </w:tcPr>
          <w:p w14:paraId="72261EA0"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Tanzania</w:t>
            </w:r>
          </w:p>
        </w:tc>
        <w:tc>
          <w:tcPr>
            <w:tcW w:w="1872" w:type="dxa"/>
          </w:tcPr>
          <w:p w14:paraId="3B71D96F"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National Agricultural Input Voucher Scheme</w:t>
            </w:r>
          </w:p>
        </w:tc>
        <w:tc>
          <w:tcPr>
            <w:tcW w:w="1872" w:type="dxa"/>
          </w:tcPr>
          <w:p w14:paraId="19AF542A"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Fertilizer and improved seed for maize and rice</w:t>
            </w:r>
          </w:p>
        </w:tc>
        <w:tc>
          <w:tcPr>
            <w:tcW w:w="1872" w:type="dxa"/>
          </w:tcPr>
          <w:p w14:paraId="763C84C1"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Input voucher package for selected smallholders</w:t>
            </w:r>
          </w:p>
        </w:tc>
        <w:tc>
          <w:tcPr>
            <w:tcW w:w="1872" w:type="dxa"/>
          </w:tcPr>
          <w:p w14:paraId="0ABDD47B"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Ecological variation and late delivery can limit yield response.</w:t>
            </w:r>
          </w:p>
        </w:tc>
      </w:tr>
      <w:tr w:rsidR="004C21DA" w:rsidRPr="00810686" w14:paraId="793178A2" w14:textId="77777777">
        <w:trPr>
          <w:jc w:val="center"/>
        </w:trPr>
        <w:tc>
          <w:tcPr>
            <w:tcW w:w="1872" w:type="dxa"/>
          </w:tcPr>
          <w:p w14:paraId="5581FE9E"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Malawi</w:t>
            </w:r>
          </w:p>
        </w:tc>
        <w:tc>
          <w:tcPr>
            <w:tcW w:w="1872" w:type="dxa"/>
          </w:tcPr>
          <w:p w14:paraId="7711CF08"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Farm Input Subsidy Program</w:t>
            </w:r>
          </w:p>
        </w:tc>
        <w:tc>
          <w:tcPr>
            <w:tcW w:w="1872" w:type="dxa"/>
          </w:tcPr>
          <w:p w14:paraId="01406BBB"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Fertilizer and maize/legume seed</w:t>
            </w:r>
          </w:p>
        </w:tc>
        <w:tc>
          <w:tcPr>
            <w:tcW w:w="1872" w:type="dxa"/>
          </w:tcPr>
          <w:p w14:paraId="1F71A84C"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Large-scale subsidized input distribution</w:t>
            </w:r>
          </w:p>
        </w:tc>
        <w:tc>
          <w:tcPr>
            <w:tcW w:w="1872" w:type="dxa"/>
          </w:tcPr>
          <w:p w14:paraId="66522A66" w14:textId="77777777" w:rsidR="00DF7224" w:rsidRPr="00810686" w:rsidRDefault="002662A3" w:rsidP="00CB7FB8">
            <w:pPr>
              <w:jc w:val="both"/>
              <w:rPr>
                <w:rFonts w:cs="Times New Roman"/>
                <w:color w:val="000000" w:themeColor="text1"/>
                <w:szCs w:val="24"/>
              </w:rPr>
            </w:pPr>
            <w:r w:rsidRPr="00810686">
              <w:rPr>
                <w:rFonts w:cs="Times New Roman"/>
                <w:color w:val="000000" w:themeColor="text1"/>
                <w:szCs w:val="24"/>
              </w:rPr>
              <w:t xml:space="preserve">Large programs can raise food production but </w:t>
            </w:r>
            <w:r w:rsidRPr="00810686">
              <w:rPr>
                <w:rFonts w:cs="Times New Roman"/>
                <w:color w:val="000000" w:themeColor="text1"/>
                <w:szCs w:val="24"/>
              </w:rPr>
              <w:lastRenderedPageBreak/>
              <w:t>may strain public budgets and crowd out other investments.</w:t>
            </w:r>
          </w:p>
        </w:tc>
      </w:tr>
    </w:tbl>
    <w:p w14:paraId="79EDE4D2" w14:textId="77777777" w:rsidR="00DF7224" w:rsidRPr="00810686" w:rsidRDefault="002662A3" w:rsidP="00CB7FB8">
      <w:pPr>
        <w:pStyle w:val="Heading1"/>
        <w:spacing w:line="240" w:lineRule="auto"/>
        <w:jc w:val="both"/>
        <w:rPr>
          <w:rFonts w:ascii="Times New Roman" w:hAnsi="Times New Roman" w:cs="Times New Roman"/>
          <w:color w:val="000000" w:themeColor="text1"/>
          <w:sz w:val="24"/>
          <w:szCs w:val="24"/>
        </w:rPr>
      </w:pPr>
      <w:r w:rsidRPr="00810686">
        <w:rPr>
          <w:rFonts w:ascii="Times New Roman" w:hAnsi="Times New Roman" w:cs="Times New Roman"/>
          <w:color w:val="000000" w:themeColor="text1"/>
          <w:sz w:val="24"/>
          <w:szCs w:val="24"/>
        </w:rPr>
        <w:lastRenderedPageBreak/>
        <w:t>4. Implementation Challenges</w:t>
      </w:r>
    </w:p>
    <w:p w14:paraId="367043CD"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Although subsidy programs differ by country, the main implementation challenges are remarkably similar. The first and most persistent problem is targeting. A subsidy achieves the highest additional impact when it reaches farmers who would not otherwise buy the input. In practice, however, beneficiary lists are often shaped by local power relations, limited data, and political bargaining. Better-connected farmers may receive vouchers ahead of poorer households, while women, youth, tenant farmers, and remote communities may be underrepresented. In Tanzania and Ghana, program benefits have often been uneven because farmers with better information, stronger group membership, or greater ability to co-finance input purchases were more likely to participate (Kim et al., 2021; Zakaria et al., 2021).</w:t>
      </w:r>
    </w:p>
    <w:p w14:paraId="0BE5DE87"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Second, leakage and diversion reduce the amount of public support that actually reaches farmers. Leakage can occur when subsidized fertilizer is resold, captured by intermediaries, moved across borders, or claimed by ghost beneficiaries. Electronic systems can reduce some leakage by creating digital records, but they do not automatically solve the problem. Nigeria's e-wallet approach improved the visibility of transactions, yet implementation still depended on accurate farmer registration, reliable mobile networks, and the capacity of agro-dealers to stock inputs on time (Benjamin et al., 2021).</w:t>
      </w:r>
    </w:p>
    <w:p w14:paraId="0C96865C"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Third, late delivery weakens agronomic effectiveness. Fertilizer and seed must arrive before or early in the planting season. When inputs arrive late, farmers may apply fertilizer after the crop has passed the most responsive growth stage, or they may plant local seed because improved seed was unavailable. Late delivery often reflects procurement delays, poor transport infrastructure, weak coordination between agencies, and uncertainty about budget release. This is especially damaging in rainfed agriculture, where planting windows are short and rainfall timing is unpredictable.</w:t>
      </w:r>
    </w:p>
    <w:p w14:paraId="05AD3C6F"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Fourth, subsidies can crowd out commercial input purchases. Crowding out occurs when a farmer who would have bought fertilizer at the market price instead receives subsidized fertilizer. In such cases, public spending does not create a one-for-one increase in total fertilizer use. Evidence from Malawi shows that subsidized fertilizer reduced some commercial purchases, and the degree of crowding out varied across wealth groups (Ricker-Gilbert &amp; Jayne, 2011). A wider review of fertilizer programs in the region also concluded that crowding out and diversion are central to whether subsidy benefits exceed costs (Jayne et al., 2013).</w:t>
      </w:r>
    </w:p>
    <w:p w14:paraId="61F42CF6"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 xml:space="preserve">Fifth, subsidies raise fiscal sustainability concerns. Large programs can consume a major share of agricultural budgets, leaving fewer resources for research, extension, irrigation, rural roads, storage, pest surveillance, and market information systems. This opportunity cost is important because these complementary investments often have broader and longer-lasting effects than annual input transfers. If a government spends heavily every year on fertilizer discounts but </w:t>
      </w:r>
      <w:r w:rsidRPr="00810686">
        <w:rPr>
          <w:rFonts w:cs="Times New Roman"/>
          <w:color w:val="000000" w:themeColor="text1"/>
          <w:szCs w:val="24"/>
        </w:rPr>
        <w:lastRenderedPageBreak/>
        <w:t>underfunds soil laboratories, breeder seed systems, and extension staff, the subsidy may produce seasonal gains without transforming productivity.</w:t>
      </w:r>
    </w:p>
    <w:p w14:paraId="6F6DD3DF" w14:textId="77777777" w:rsidR="00DF7224" w:rsidRPr="00810686" w:rsidRDefault="002662A3" w:rsidP="00CB7FB8">
      <w:pPr>
        <w:pStyle w:val="Heading1"/>
        <w:spacing w:line="240" w:lineRule="auto"/>
        <w:jc w:val="both"/>
        <w:rPr>
          <w:rFonts w:ascii="Times New Roman" w:hAnsi="Times New Roman" w:cs="Times New Roman"/>
          <w:color w:val="000000" w:themeColor="text1"/>
          <w:sz w:val="24"/>
          <w:szCs w:val="24"/>
        </w:rPr>
      </w:pPr>
      <w:r w:rsidRPr="00810686">
        <w:rPr>
          <w:rFonts w:ascii="Times New Roman" w:hAnsi="Times New Roman" w:cs="Times New Roman"/>
          <w:color w:val="000000" w:themeColor="text1"/>
          <w:sz w:val="24"/>
          <w:szCs w:val="24"/>
        </w:rPr>
        <w:t>5. Impacts on Smallholder Farmers and Food Security</w:t>
      </w:r>
    </w:p>
    <w:p w14:paraId="6366118A"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The impact of agricultural subsidies on smallholder farmers is mixed but not negligible. In several countries, beneficiary farmers have gained improved access to fertilizer and seed, and many have recorded higher production in seasons with favorable rainfall. Kenya's voucher program, for example, increased maize production among recipients and reduced poverty depth, suggesting that input support can improve welfare when it reaches farmers who face real input constraints (Mason et al., 2017). In Malawi, evidence also links input subsidy participation with improved household welfare and food security, particularly in areas exposed to climate stress (Asfaw et al., 2016).</w:t>
      </w:r>
    </w:p>
    <w:p w14:paraId="5DBBBAF7" w14:textId="4274C238"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Food security effects occur through several channels. The most direct channel is own production. When a household harvests more maize, rice, or legumes, it may reduce the length of the hungry season and rely less on expensive market purchases. A second channel is income. If the household sells part of the surplus, it can purchase other foods, pay for health care, or invest in livestock. A third channel is local market supply. If many farmers in a district produce more grain, local food prices may fall, benefiting net buyers. However, these channels are not automatic. They depend on weather, market access, storage, household labor, and whether output prices remain high enough to reward producers</w:t>
      </w:r>
      <w:r w:rsidR="00A34271" w:rsidRPr="00810686">
        <w:rPr>
          <w:rFonts w:cs="Times New Roman"/>
          <w:color w:val="000000" w:themeColor="text1"/>
          <w:szCs w:val="24"/>
        </w:rPr>
        <w:t>.</w:t>
      </w:r>
    </w:p>
    <w:p w14:paraId="06007BC9"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The evidence from Ghana illustrates the importance of crop response and profitability. Fertilizer subsidies may encourage application, but yield response can remain weak if fertilizer is applied to depleted soils without organic matter, if farmers lack improved seed, or if rainfall is poorly distributed. Ragasa and Chapoto (2017) show that Ghana's maize productivity challenge cannot be solved by price subsidies alone because fertilizer profitability depends on broader production and market conditions. For rice farmers, subsidy participation may encourage the adoption of certified seed, but stronger extension and input quality control are needed to convert adoption into sustained productivity gains (Zakaria et al., 2021).</w:t>
      </w:r>
    </w:p>
    <w:p w14:paraId="5B9990A1"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Nigeria's experience shows both the promise and limits of digital subsidy delivery. The e-voucher system improved access to fertilizer and rice inputs for many farmers, and it provided a framework for involving private agro-dealers. At the same time, impact estimates indicate that the program did not always produce large net increases in fertilizer use because some subsidized inputs replaced what farmers would have purchased commercially (Kijima, 2022). This point matters because a program can look successful in terms of voucher redemption while being less successful in terms of additional input use and output growth.</w:t>
      </w:r>
    </w:p>
    <w:p w14:paraId="2D4E5CB0"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Tanzania's voucher program also produced uneven results. Some farmers benefited from improved seed and fertilizer packages, while others faced delays, high co-payment costs, or weak yield response. The sustainability of intensification depends on the interaction between inorganic fertilizer, soil organic matter, crop choice, and rainfall. Kim et al. (2021) argue that input subsidies can support sustainable intensification in some circumstances, but the effect is limited where soil conditions reduce fertilizer efficiency. This suggests that soil health should be central to subsidy design, not treated as an afterthought.</w:t>
      </w:r>
    </w:p>
    <w:p w14:paraId="32468A81"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 xml:space="preserve">For poor and vulnerable farmers, the benefits of subsidies depend on the size of the subsidy and the cost of participation. If a voucher covers only part of the input price, the poorest households </w:t>
      </w:r>
      <w:r w:rsidRPr="00810686">
        <w:rPr>
          <w:rFonts w:cs="Times New Roman"/>
          <w:color w:val="000000" w:themeColor="text1"/>
          <w:szCs w:val="24"/>
        </w:rPr>
        <w:lastRenderedPageBreak/>
        <w:t>may still be unable to pay the remaining amount. They may sell the voucher, share inputs with relatives, or use a lower-than-recommended quantity. Uniform subsidy rates may therefore favor better-off farmers who have cash, transport, and information. A more equitable policy would combine targeted subsidies with flexible co-payment arrangements, group-based distribution, and support for women farmers who often face weaker access to land, credit, and extension.</w:t>
      </w:r>
    </w:p>
    <w:p w14:paraId="573C440A" w14:textId="216829DF"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The household welfare impact also depends on whether subsidies change behavior after the program ends. A subsidy has a stronger long-term effect if it helps farmers learn profitable input use, build relationships with agro-dealers, save enough to buy inputs commercially, or adopt complementary practices. If farmers return to previous practices once the subsidy is withdrawn, the effect is temporary. This is why a graduation strategy is important. Subsidies should be linked to savings groups, input credit, warehouse receipt systems, and extension advice so that farmers gradually move from public support to commercial participation.</w:t>
      </w:r>
    </w:p>
    <w:p w14:paraId="216A867F" w14:textId="77777777" w:rsidR="00F57D63" w:rsidRPr="00810686" w:rsidRDefault="00F57D63" w:rsidP="00CB7FB8">
      <w:pPr>
        <w:pStyle w:val="Heading3"/>
        <w:spacing w:line="240" w:lineRule="auto"/>
        <w:rPr>
          <w:rFonts w:ascii="Times New Roman" w:hAnsi="Times New Roman" w:cs="Times New Roman"/>
          <w:color w:val="000000" w:themeColor="text1"/>
          <w:szCs w:val="24"/>
        </w:rPr>
      </w:pPr>
      <w:r w:rsidRPr="00810686">
        <w:rPr>
          <w:rFonts w:ascii="Times New Roman" w:hAnsi="Times New Roman" w:cs="Times New Roman"/>
          <w:color w:val="000000" w:themeColor="text1"/>
          <w:szCs w:val="24"/>
        </w:rPr>
        <w:t>6. Policy Frameworks for Sustainable Growth</w:t>
      </w:r>
    </w:p>
    <w:p w14:paraId="08EA0799" w14:textId="6246A000" w:rsidR="00F57D63" w:rsidRPr="00810686" w:rsidRDefault="00F57D63" w:rsidP="00CB7FB8">
      <w:pPr>
        <w:pStyle w:val="NormalWeb"/>
        <w:rPr>
          <w:color w:val="000000" w:themeColor="text1"/>
        </w:rPr>
      </w:pPr>
      <w:r w:rsidRPr="00810686">
        <w:rPr>
          <w:color w:val="000000" w:themeColor="text1"/>
        </w:rPr>
        <w:t>A sustainable subsidy framework should begin with clear objectives. A program created for emergency food security after drought should not be assessed in the same way as one designed to develop private input markets over several years. Governments should clearly state whether the subsidy aims to protect vulnerable households, increase national production, promote new technologies, strengthen agro-dealer networks, or respond to climate risks. Clear objectives make it easier to design suitable targeting, delivery, monitoring, and exit strategies.</w:t>
      </w:r>
      <w:r w:rsidR="00CB7FB8" w:rsidRPr="00810686">
        <w:rPr>
          <w:color w:val="000000" w:themeColor="text1"/>
        </w:rPr>
        <w:t xml:space="preserve"> </w:t>
      </w:r>
      <w:r w:rsidRPr="00810686">
        <w:rPr>
          <w:color w:val="000000" w:themeColor="text1"/>
        </w:rPr>
        <w:t>Targeting should be based on transparent criteria and regularly updated farmer data. Digital farmer registries can improve accuracy, but they must be inclusive, well protected, and checked regularly. Registration should consider farm size, crop type, location, gender, input-use history, and vulnerability indicators. Community validation may help identify genuine beneficiaries, but it should be supported by independent audits to reduce elite capture. Programmes should also distinguish between farmers who need temporary support and those who can gradually move into commercial input markets.</w:t>
      </w:r>
    </w:p>
    <w:p w14:paraId="3EA08657" w14:textId="52978646" w:rsidR="00F57D63" w:rsidRPr="00810686" w:rsidRDefault="00F57D63" w:rsidP="00CB7FB8">
      <w:pPr>
        <w:pStyle w:val="NormalWeb"/>
        <w:rPr>
          <w:color w:val="000000" w:themeColor="text1"/>
        </w:rPr>
      </w:pPr>
      <w:r w:rsidRPr="00810686">
        <w:rPr>
          <w:color w:val="000000" w:themeColor="text1"/>
        </w:rPr>
        <w:t>Subsidy levels should not be uniform. Poorer farmers may need higher support at the beginning, while better-resourced farmers can receive smaller or declining subsidies. Farmers in remote areas may need transport support or stronger local agro-dealer services, whereas farmers in areas with active private markets may require less assistance to avoid crowding out private sales. Although differentiated support is more difficult to manage, it improves fairness and cost-effectiveness.</w:t>
      </w:r>
      <w:r w:rsidR="00CB7FB8" w:rsidRPr="00810686">
        <w:rPr>
          <w:color w:val="000000" w:themeColor="text1"/>
        </w:rPr>
        <w:t xml:space="preserve"> </w:t>
      </w:r>
      <w:r w:rsidRPr="00810686">
        <w:rPr>
          <w:color w:val="000000" w:themeColor="text1"/>
        </w:rPr>
        <w:t>Delivery systems should strengthen, rather than weaken, private input markets. Where agro-dealers are available, vouchers should be redeemed through certified dealers who meet quality standards. Governments should avoid late public procurement that disrupts private supply chains. Predictable subsidy calendars, transparent reimbursement, dealer accreditation, and strict control of counterfeit inputs are essential for maintaining farmer trust and improving returns on public spending.</w:t>
      </w:r>
    </w:p>
    <w:p w14:paraId="73CFB85A" w14:textId="1A070E43" w:rsidR="00F57D63" w:rsidRPr="00810686" w:rsidRDefault="00F57D63" w:rsidP="00CB7FB8">
      <w:pPr>
        <w:pStyle w:val="NormalWeb"/>
        <w:rPr>
          <w:color w:val="000000" w:themeColor="text1"/>
        </w:rPr>
      </w:pPr>
      <w:r w:rsidRPr="00810686">
        <w:rPr>
          <w:color w:val="000000" w:themeColor="text1"/>
        </w:rPr>
        <w:t xml:space="preserve">Digital tools can also improve transparency. Electronic vouchers, mobile alerts, biometric registration, and georeferenced delivery records can reduce ghost beneficiaries and improve monitoring. However, digital systems require reliable networks, farmer training, timely dealer reimbursement, offline options, and grievance mechanisms. Nigeria’s experience shows that e-vouchers work best when they are part of wider institutional reform, rather than treated as a </w:t>
      </w:r>
      <w:r w:rsidRPr="00810686">
        <w:rPr>
          <w:color w:val="000000" w:themeColor="text1"/>
        </w:rPr>
        <w:lastRenderedPageBreak/>
        <w:t>stand-alone solution (Benjamin et al., 2021; Kijima, 2022).</w:t>
      </w:r>
      <w:r w:rsidR="00CB7FB8" w:rsidRPr="00810686">
        <w:rPr>
          <w:color w:val="000000" w:themeColor="text1"/>
        </w:rPr>
        <w:t xml:space="preserve"> </w:t>
      </w:r>
      <w:r w:rsidRPr="00810686">
        <w:rPr>
          <w:color w:val="000000" w:themeColor="text1"/>
        </w:rPr>
        <w:t xml:space="preserve">Subsidies should be linked with extension services. Farmers need advice on the correct input, rate, timing, and method of application, as well as support on crop rotation, composting, pest control, water conservation, and postharvest handling. Without practical guidance, </w:t>
      </w:r>
      <w:r w:rsidR="00F52BA4" w:rsidRPr="00810686">
        <w:rPr>
          <w:color w:val="000000" w:themeColor="text1"/>
        </w:rPr>
        <w:t>subsidized</w:t>
      </w:r>
      <w:r w:rsidRPr="00810686">
        <w:rPr>
          <w:color w:val="000000" w:themeColor="text1"/>
        </w:rPr>
        <w:t xml:space="preserve"> inputs may be used inefficiently, reducing both productivity gains and environmental benefits.</w:t>
      </w:r>
    </w:p>
    <w:p w14:paraId="7076CC22" w14:textId="5A76DC31" w:rsidR="00F57D63" w:rsidRPr="00810686" w:rsidRDefault="00F57D63" w:rsidP="00CB7FB8">
      <w:pPr>
        <w:pStyle w:val="NormalWeb"/>
        <w:rPr>
          <w:color w:val="000000" w:themeColor="text1"/>
        </w:rPr>
      </w:pPr>
      <w:r w:rsidRPr="00810686">
        <w:rPr>
          <w:color w:val="000000" w:themeColor="text1"/>
        </w:rPr>
        <w:t xml:space="preserve">Soil health should also be central to subsidy policy. Many smallholder fields have low organic matter, nutrient deficiencies, acidity, or compaction. In such conditions, </w:t>
      </w:r>
      <w:r w:rsidR="00F52BA4" w:rsidRPr="00810686">
        <w:rPr>
          <w:color w:val="000000" w:themeColor="text1"/>
        </w:rPr>
        <w:t>fertilizer</w:t>
      </w:r>
      <w:r w:rsidRPr="00810686">
        <w:rPr>
          <w:color w:val="000000" w:themeColor="text1"/>
        </w:rPr>
        <w:t xml:space="preserve"> response may remain weak unless inorganic </w:t>
      </w:r>
      <w:r w:rsidR="00F52BA4" w:rsidRPr="00810686">
        <w:rPr>
          <w:color w:val="000000" w:themeColor="text1"/>
        </w:rPr>
        <w:t>fertilizers</w:t>
      </w:r>
      <w:r w:rsidRPr="00810686">
        <w:rPr>
          <w:color w:val="000000" w:themeColor="text1"/>
        </w:rPr>
        <w:t xml:space="preserve"> are combined with organic amendments, legumes, conservation agriculture, soil testing, and locally adapted recommendations. A single standard </w:t>
      </w:r>
      <w:r w:rsidR="00F52BA4" w:rsidRPr="00810686">
        <w:rPr>
          <w:color w:val="000000" w:themeColor="text1"/>
        </w:rPr>
        <w:t>fertilizer</w:t>
      </w:r>
      <w:r w:rsidRPr="00810686">
        <w:rPr>
          <w:color w:val="000000" w:themeColor="text1"/>
        </w:rPr>
        <w:t xml:space="preserve"> package may be simple to administer, but it may not match local soil conditions.</w:t>
      </w:r>
      <w:r w:rsidR="005F7442" w:rsidRPr="00810686">
        <w:rPr>
          <w:color w:val="000000" w:themeColor="text1"/>
        </w:rPr>
        <w:t xml:space="preserve"> </w:t>
      </w:r>
      <w:r w:rsidRPr="00810686">
        <w:rPr>
          <w:color w:val="000000" w:themeColor="text1"/>
        </w:rPr>
        <w:t>Climate change makes reform even more important. Subsidy programmes should support climate-smart practices such as drought-tolerant seed, early-maturing varieties, water harvesting, integrated soil fertility management, and diversified cropping systems. Subsidies that encourage monocropping without resilience measures may increase vulnerability, while climate-smart subsidies can improve productivity and reduce production risk.</w:t>
      </w:r>
    </w:p>
    <w:p w14:paraId="18822799" w14:textId="4864FC75" w:rsidR="00F57D63" w:rsidRPr="00810686" w:rsidRDefault="00F57D63" w:rsidP="00CB7FB8">
      <w:pPr>
        <w:pStyle w:val="NormalWeb"/>
        <w:rPr>
          <w:color w:val="000000" w:themeColor="text1"/>
        </w:rPr>
      </w:pPr>
      <w:r w:rsidRPr="00810686">
        <w:rPr>
          <w:color w:val="000000" w:themeColor="text1"/>
        </w:rPr>
        <w:t>Finally, financial sustainability must be built into program design. Governments should cap subsidy budgets, conduct regular performance reviews, and compare subsidy returns with alternative investments. Co-financing, seasonal credit, and partial guarantees can reduce pressure on public funds. Over time, public spending should shift towards investments that reduce long-term dependence on subsidies, including roads, irrigation, research, seed systems, market infrastructure, and rural finance.</w:t>
      </w:r>
    </w:p>
    <w:p w14:paraId="6535F250" w14:textId="619DD0C9" w:rsidR="002662A3" w:rsidRPr="00810686" w:rsidRDefault="002662A3" w:rsidP="00CB7FB8">
      <w:pPr>
        <w:pStyle w:val="NormalWeb"/>
        <w:rPr>
          <w:color w:val="000000" w:themeColor="text1"/>
        </w:rPr>
      </w:pPr>
    </w:p>
    <w:p w14:paraId="341B0A62" w14:textId="77777777" w:rsidR="00F57D63" w:rsidRPr="00810686" w:rsidRDefault="00F57D63" w:rsidP="00CB7FB8">
      <w:pPr>
        <w:spacing w:line="240" w:lineRule="auto"/>
        <w:jc w:val="both"/>
        <w:rPr>
          <w:rFonts w:cs="Times New Roman"/>
          <w:color w:val="000000" w:themeColor="text1"/>
          <w:szCs w:val="24"/>
        </w:rPr>
      </w:pPr>
    </w:p>
    <w:p w14:paraId="4D99F093" w14:textId="2D16D6BA" w:rsidR="00DF7224" w:rsidRPr="00810686" w:rsidRDefault="00A51930" w:rsidP="00CB7FB8">
      <w:pPr>
        <w:pStyle w:val="Heading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2662A3" w:rsidRPr="00810686">
        <w:rPr>
          <w:rFonts w:ascii="Times New Roman" w:hAnsi="Times New Roman" w:cs="Times New Roman"/>
          <w:color w:val="000000" w:themeColor="text1"/>
          <w:sz w:val="24"/>
          <w:szCs w:val="24"/>
        </w:rPr>
        <w:t>. Conclusion</w:t>
      </w:r>
    </w:p>
    <w:p w14:paraId="25AF1630"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Agricultural input subsidies remain important in Sub-Saharan Africa because they respond to real problems facing smallholder farmers: high input prices, low soil fertility, weak credit systems, climate risk, and food insecurity. The experiences of Kenya, Nigeria, Ghana, Tanzania, and Malawi show that subsidies can improve access to fertilizer and improved seed, raise production in favorable conditions, and support household welfare. Kenya's voucher model, Nigeria's e-wallet reform, Ghana's fertilizer support, Tanzania's input voucher scheme, and Malawi's large-scale farm input program all provide useful lessons for future policy.</w:t>
      </w:r>
    </w:p>
    <w:p w14:paraId="48F300A9" w14:textId="77777777" w:rsidR="00DF7224" w:rsidRPr="00810686"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The same experiences also show that subsidies are not a simple solution. Poor targeting, elite capture, leakage, late delivery, crowding out, fiscal pressure, and weak extension support can sharply reduce their value. A subsidy that arrives late, reaches the wrong farmers, or replaces commercial purchases may be politically popular but economically weak. A subsidy that is combined with extension, soil fertility management, private dealer participation, transparent monitoring, and a clear graduation strategy is more likely to produce lasting benefits.</w:t>
      </w:r>
    </w:p>
    <w:p w14:paraId="2D6D2957" w14:textId="77777777" w:rsidR="00DF7224" w:rsidRDefault="002662A3" w:rsidP="00CB7FB8">
      <w:pPr>
        <w:spacing w:line="240" w:lineRule="auto"/>
        <w:jc w:val="both"/>
        <w:rPr>
          <w:rFonts w:cs="Times New Roman"/>
          <w:color w:val="000000" w:themeColor="text1"/>
          <w:szCs w:val="24"/>
        </w:rPr>
      </w:pPr>
      <w:r w:rsidRPr="00810686">
        <w:rPr>
          <w:rFonts w:cs="Times New Roman"/>
          <w:color w:val="000000" w:themeColor="text1"/>
          <w:szCs w:val="24"/>
        </w:rPr>
        <w:t xml:space="preserve">The way forward is not to reject subsidies entirely, but to redesign them. Sub-Saharan African governments need subsidy programs that are targeted, temporary, climate-smart, fiscally realistic, and connected to broader agricultural transformation. This means shifting from annual </w:t>
      </w:r>
      <w:r w:rsidRPr="00810686">
        <w:rPr>
          <w:rFonts w:cs="Times New Roman"/>
          <w:color w:val="000000" w:themeColor="text1"/>
          <w:szCs w:val="24"/>
        </w:rPr>
        <w:lastRenderedPageBreak/>
        <w:t>input distribution as an end in itself to a more strategic framework that builds farmer capacity, strengthens markets, improves soil health, and supports resilience. When used in this way, agricultural subsidies can contribute to sustainable growth. When used without reform, they risk becoming costly programs that deliver short-term relief while leaving the deeper constraints of smallholder agriculture unresolved.</w:t>
      </w:r>
    </w:p>
    <w:p w14:paraId="2BCC070D" w14:textId="62B8961C" w:rsidR="00A51930" w:rsidRPr="00810686" w:rsidRDefault="00A51930" w:rsidP="00A51930">
      <w:pPr>
        <w:pStyle w:val="Heading3"/>
        <w:rPr>
          <w:rFonts w:ascii="Times New Roman" w:hAnsi="Times New Roman" w:cs="Times New Roman"/>
          <w:color w:val="000000" w:themeColor="text1"/>
          <w:szCs w:val="24"/>
        </w:rPr>
      </w:pPr>
      <w:r>
        <w:rPr>
          <w:rFonts w:ascii="Times New Roman" w:hAnsi="Times New Roman" w:cs="Times New Roman"/>
          <w:color w:val="000000" w:themeColor="text1"/>
          <w:szCs w:val="24"/>
        </w:rPr>
        <w:t>8</w:t>
      </w:r>
      <w:r w:rsidRPr="00810686">
        <w:rPr>
          <w:rFonts w:ascii="Times New Roman" w:hAnsi="Times New Roman" w:cs="Times New Roman"/>
          <w:color w:val="000000" w:themeColor="text1"/>
          <w:szCs w:val="24"/>
        </w:rPr>
        <w:t>. Recommendations</w:t>
      </w:r>
    </w:p>
    <w:p w14:paraId="4D374C66" w14:textId="77777777" w:rsidR="00A51930" w:rsidRPr="00810686" w:rsidRDefault="00A51930" w:rsidP="00A51930">
      <w:pPr>
        <w:pStyle w:val="NormalWeb"/>
        <w:rPr>
          <w:color w:val="000000" w:themeColor="text1"/>
        </w:rPr>
      </w:pPr>
      <w:r w:rsidRPr="00810686">
        <w:rPr>
          <w:color w:val="000000" w:themeColor="text1"/>
        </w:rPr>
        <w:t>First, governments should improve beneficiary targeting so subsidies reach farmers who face real input constraints and can increase production when supported. This requires updated farmer registries, clear eligibility rules, and independent verification. Targeting should also give attention to women farmers, youth, tenants, and remote households, who are often left out through informal selection systems. Graduation rules should be added so farmers do not remain in subsidy programs permanently without a pathway to commercial input access.</w:t>
      </w:r>
    </w:p>
    <w:p w14:paraId="5D7AB441" w14:textId="77777777" w:rsidR="00A51930" w:rsidRPr="00810686" w:rsidRDefault="00A51930" w:rsidP="00A51930">
      <w:pPr>
        <w:pStyle w:val="NormalWeb"/>
        <w:rPr>
          <w:color w:val="000000" w:themeColor="text1"/>
        </w:rPr>
      </w:pPr>
      <w:r w:rsidRPr="00810686">
        <w:rPr>
          <w:color w:val="000000" w:themeColor="text1"/>
        </w:rPr>
        <w:t>Second, subsidy programs should use differentiated support levels. Poorer farmers may need higher support or limited cash assistance to afford co-payments, while commercially oriented farmers may only need credit guarantees or partial risk-sharing. This approach would reduce waste, improve fairness, and limit crowding out by giving less direct subsidy support to farmers who already purchase inputs commercially.</w:t>
      </w:r>
    </w:p>
    <w:p w14:paraId="4761FB3A" w14:textId="77777777" w:rsidR="00A51930" w:rsidRPr="00810686" w:rsidRDefault="00A51930" w:rsidP="00A51930">
      <w:pPr>
        <w:pStyle w:val="NormalWeb"/>
        <w:rPr>
          <w:color w:val="000000" w:themeColor="text1"/>
        </w:rPr>
      </w:pPr>
      <w:r w:rsidRPr="00810686">
        <w:rPr>
          <w:color w:val="000000" w:themeColor="text1"/>
        </w:rPr>
        <w:t>Third, governments should improve delivery timing. Inputs must reach farmers before planting and should match local agroecological calendars. Budget releases, procurement, dealer reimbursement, and transport logistics should be planned before the season begins. Late delivery should be treated as a major program failure because it directly reduces the value of the subsidy.</w:t>
      </w:r>
    </w:p>
    <w:p w14:paraId="14EFC334" w14:textId="77777777" w:rsidR="00A51930" w:rsidRPr="00810686" w:rsidRDefault="00A51930" w:rsidP="00A51930">
      <w:pPr>
        <w:pStyle w:val="NormalWeb"/>
        <w:rPr>
          <w:color w:val="000000" w:themeColor="text1"/>
        </w:rPr>
      </w:pPr>
      <w:r w:rsidRPr="00810686">
        <w:rPr>
          <w:color w:val="000000" w:themeColor="text1"/>
        </w:rPr>
        <w:t xml:space="preserve">Fourth, Subsidy programs should rely on certified private </w:t>
      </w:r>
      <w:proofErr w:type="spellStart"/>
      <w:r w:rsidRPr="00810686">
        <w:rPr>
          <w:color w:val="000000" w:themeColor="text1"/>
        </w:rPr>
        <w:t>agro</w:t>
      </w:r>
      <w:proofErr w:type="spellEnd"/>
      <w:r w:rsidRPr="00810686">
        <w:rPr>
          <w:color w:val="000000" w:themeColor="text1"/>
        </w:rPr>
        <w:t>-dealers to strengthen local input markets and ease the burden on government distribution, with participation based on quality standards, transparent pricing, timely supply, and proper record keeping; in remote areas, temporary incentives can support dealer expansion instead of replacing private suppliers. At the same time, subsidies should be integrated with extension and soil health services, including farmer guidance on input use, soil testing, and locally appropriate recommendations, to improve efficiency and maximize the benefits of subsidized inputs.</w:t>
      </w:r>
    </w:p>
    <w:p w14:paraId="4D206148" w14:textId="77777777" w:rsidR="00A51930" w:rsidRPr="00810686" w:rsidRDefault="00A51930" w:rsidP="00A51930">
      <w:pPr>
        <w:pStyle w:val="NormalWeb"/>
        <w:rPr>
          <w:color w:val="000000" w:themeColor="text1"/>
        </w:rPr>
      </w:pPr>
      <w:r w:rsidRPr="00810686">
        <w:rPr>
          <w:color w:val="000000" w:themeColor="text1"/>
        </w:rPr>
        <w:t>Fifth, subsidy programs should be evaluated using clear performance indicators. Success should not be measured only by the number of input bags distributed, but by whether subsidies increase total input use, raise yields, improve food security, strengthen private markets, and deliver benefits greater than their cost. Evaluations should also consider environmental effects, gender equity, and the experiences of farmers who do not receive subsidies.</w:t>
      </w:r>
    </w:p>
    <w:p w14:paraId="6E40D441" w14:textId="77777777" w:rsidR="00A51930" w:rsidRPr="00810686" w:rsidRDefault="00A51930" w:rsidP="00A51930">
      <w:pPr>
        <w:pStyle w:val="NormalWeb"/>
        <w:rPr>
          <w:color w:val="000000" w:themeColor="text1"/>
        </w:rPr>
      </w:pPr>
      <w:r w:rsidRPr="00810686">
        <w:rPr>
          <w:color w:val="000000" w:themeColor="text1"/>
        </w:rPr>
        <w:t>Finally, subsidies should support broader rural transformation. Input support is more effective when farmers have access to roads, storage, credit, market information, farmer organizations, and fair output prices. Therefore, subsidy spending should not crowd out investment in research, irrigation, rural roads, and market systems. The strongest subsidy policy is one that gradually reduces the need for subsidies by making input and output markets work better.</w:t>
      </w:r>
    </w:p>
    <w:p w14:paraId="481BBE4B" w14:textId="77777777" w:rsidR="00A51930" w:rsidRPr="00810686" w:rsidRDefault="00A51930" w:rsidP="00A51930">
      <w:pPr>
        <w:pStyle w:val="NormalWeb"/>
        <w:rPr>
          <w:color w:val="000000" w:themeColor="text1"/>
        </w:rPr>
      </w:pPr>
    </w:p>
    <w:p w14:paraId="50E63D57" w14:textId="77777777" w:rsidR="00A51930" w:rsidRPr="00810686" w:rsidRDefault="00A51930" w:rsidP="00CB7FB8">
      <w:pPr>
        <w:spacing w:line="240" w:lineRule="auto"/>
        <w:jc w:val="both"/>
        <w:rPr>
          <w:rFonts w:cs="Times New Roman"/>
          <w:color w:val="000000" w:themeColor="text1"/>
          <w:szCs w:val="24"/>
        </w:rPr>
      </w:pPr>
    </w:p>
    <w:p w14:paraId="4FD7AF31" w14:textId="77777777" w:rsidR="00DF7224" w:rsidRPr="00810686" w:rsidRDefault="002662A3" w:rsidP="00CB7FB8">
      <w:pPr>
        <w:pStyle w:val="Heading1"/>
        <w:spacing w:line="240" w:lineRule="auto"/>
        <w:jc w:val="both"/>
        <w:rPr>
          <w:rFonts w:ascii="Times New Roman" w:hAnsi="Times New Roman" w:cs="Times New Roman"/>
          <w:color w:val="000000" w:themeColor="text1"/>
          <w:sz w:val="24"/>
          <w:szCs w:val="24"/>
        </w:rPr>
      </w:pPr>
      <w:r w:rsidRPr="00810686">
        <w:rPr>
          <w:rFonts w:ascii="Times New Roman" w:hAnsi="Times New Roman" w:cs="Times New Roman"/>
          <w:color w:val="000000" w:themeColor="text1"/>
          <w:sz w:val="24"/>
          <w:szCs w:val="24"/>
        </w:rPr>
        <w:t>References</w:t>
      </w:r>
    </w:p>
    <w:p w14:paraId="771D0BBF" w14:textId="36FC3F73" w:rsidR="00A34271"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Asfaw, S., Davis, B., Dewbre, J., Federighi, G., Handa, S., &amp; Winters, P. (2016). Welfare effect of farm input subsidy program in the context of climate change: Evidence from Malawi. Research Papers in Economics. https://doi.org/10.22004/AG.ECON.246281</w:t>
      </w:r>
    </w:p>
    <w:p w14:paraId="7199B33A" w14:textId="77777777" w:rsidR="00DF7224"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 xml:space="preserve">Benjamin, E. O., Ola, O., Lang, H., &amp; </w:t>
      </w:r>
      <w:proofErr w:type="spellStart"/>
      <w:r w:rsidRPr="00810686">
        <w:rPr>
          <w:rFonts w:cs="Times New Roman"/>
          <w:color w:val="000000" w:themeColor="text1"/>
          <w:szCs w:val="24"/>
        </w:rPr>
        <w:t>Buchenrieder</w:t>
      </w:r>
      <w:proofErr w:type="spellEnd"/>
      <w:r w:rsidRPr="00810686">
        <w:rPr>
          <w:rFonts w:cs="Times New Roman"/>
          <w:color w:val="000000" w:themeColor="text1"/>
          <w:szCs w:val="24"/>
        </w:rPr>
        <w:t>, G. (2021). Public-private cooperation and agricultural development in Sub-Saharan Africa: A review of Nigerian Growth Enhancement Scheme and e-voucher program. Food Security, 13, 129-140. https://doi.org/10.1007/s12571-020-01130-y</w:t>
      </w:r>
    </w:p>
    <w:p w14:paraId="307DA17F" w14:textId="77777777" w:rsidR="00DF7224"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Jayne, T. S., Mather, D., Mason, N. M., &amp; Ricker-Gilbert, J. (2013). How do fertilizer subsidy programs affect total fertilizer use in Sub-Saharan Africa? Crowding out, diversion, and benefit/cost assessments. Agricultural Economics, 44(6), 687-703. https://doi.org/10.1111/agec.12082</w:t>
      </w:r>
    </w:p>
    <w:p w14:paraId="5EA94E7D" w14:textId="77777777" w:rsidR="00DF7224"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Jayne, T. S., Mason, N. M., Burke, W. J., &amp; Ariga, J. (2018). Taking stock of Africa's second-generation agricultural input subsidy programs. Food Policy, 75, 1-14. https://doi.org/10.1016/j.foodpol.2018.01.003</w:t>
      </w:r>
    </w:p>
    <w:p w14:paraId="20350AF2" w14:textId="77777777" w:rsidR="00DF7224"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Kijima, Y. (2022). Effect of Nigeria's e-voucher input subsidy program on fertilizer use, rice production, and household income. Food Security, 14, 919-935. https://doi.org/10.1007/s12571-022-01273-0</w:t>
      </w:r>
    </w:p>
    <w:p w14:paraId="2DF1B138" w14:textId="77777777" w:rsidR="00DF7224"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Kim, J., Mason, N. M., Snapp, S., &amp; Wu, F. (2021). The effects of the National Agricultural Input Voucher Scheme on sustainable intensification of maize production in Tanzania. Journal of Agricultural Economics, 72(3), 857-877. https://doi.org/10.1111/1477-9552.12431</w:t>
      </w:r>
    </w:p>
    <w:p w14:paraId="2C2879E0" w14:textId="77777777" w:rsidR="00DF7224"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Mason, N. M., Jayne, T. S., &amp; Myers, R. J. (2017). The effects of Kenya's “smarter” input subsidy program on crop production, incomes and poverty. Research Papers in Economics. https://doi.org/10.22004/AG.ECON.260418</w:t>
      </w:r>
    </w:p>
    <w:p w14:paraId="27D8599F" w14:textId="77777777" w:rsidR="00DF7224"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Ragasa, C., &amp; Chapoto, A. (2017). Moving in the right direction? The role of price subsidies in fertilizer use and maize productivity in Ghana. Food Security, 9, 329-353. https://doi.org/10.1007/s12571-017-0661-7</w:t>
      </w:r>
    </w:p>
    <w:p w14:paraId="31F2FB09" w14:textId="77777777" w:rsidR="00DF7224" w:rsidRPr="00810686" w:rsidRDefault="002662A3" w:rsidP="00CB7FB8">
      <w:pPr>
        <w:pStyle w:val="ListParagraph"/>
        <w:numPr>
          <w:ilvl w:val="0"/>
          <w:numId w:val="10"/>
        </w:numPr>
        <w:spacing w:line="240" w:lineRule="auto"/>
        <w:jc w:val="both"/>
        <w:rPr>
          <w:rFonts w:cs="Times New Roman"/>
          <w:color w:val="000000" w:themeColor="text1"/>
          <w:szCs w:val="24"/>
        </w:rPr>
      </w:pPr>
      <w:r w:rsidRPr="00810686">
        <w:rPr>
          <w:rFonts w:cs="Times New Roman"/>
          <w:color w:val="000000" w:themeColor="text1"/>
          <w:szCs w:val="24"/>
        </w:rPr>
        <w:t>Ricker-Gilbert, J., &amp; Jayne, T. S. (2011). Subsidies and crowding out: A double-hurdle model of fertilizer demand in Malawi. American Journal of Agricultural Economics, 93(1), 26-42. https://doi.org/10.1093/ajae/aaq122</w:t>
      </w:r>
    </w:p>
    <w:p w14:paraId="342E71B5" w14:textId="77777777" w:rsidR="00EC3863" w:rsidRPr="00EC3863" w:rsidRDefault="002662A3" w:rsidP="00CB7FB8">
      <w:pPr>
        <w:pStyle w:val="ListParagraph"/>
        <w:numPr>
          <w:ilvl w:val="0"/>
          <w:numId w:val="10"/>
        </w:numPr>
        <w:spacing w:line="240" w:lineRule="auto"/>
        <w:jc w:val="both"/>
        <w:rPr>
          <w:rFonts w:cs="Times New Roman"/>
          <w:color w:val="000000" w:themeColor="text1"/>
          <w:szCs w:val="24"/>
        </w:rPr>
      </w:pPr>
      <w:r w:rsidRPr="00EC3863">
        <w:rPr>
          <w:rFonts w:cs="Times New Roman"/>
          <w:color w:val="000000" w:themeColor="text1"/>
          <w:szCs w:val="24"/>
          <w:lang w:val="es-US"/>
        </w:rPr>
        <w:t xml:space="preserve">Zakaria, A., </w:t>
      </w:r>
      <w:proofErr w:type="spellStart"/>
      <w:r w:rsidRPr="00EC3863">
        <w:rPr>
          <w:rFonts w:cs="Times New Roman"/>
          <w:color w:val="000000" w:themeColor="text1"/>
          <w:szCs w:val="24"/>
          <w:lang w:val="es-US"/>
        </w:rPr>
        <w:t>Azumah</w:t>
      </w:r>
      <w:proofErr w:type="spellEnd"/>
      <w:r w:rsidRPr="00EC3863">
        <w:rPr>
          <w:rFonts w:cs="Times New Roman"/>
          <w:color w:val="000000" w:themeColor="text1"/>
          <w:szCs w:val="24"/>
          <w:lang w:val="es-US"/>
        </w:rPr>
        <w:t xml:space="preserve">, S. B., Appiah-Twumasi, M., &amp; </w:t>
      </w:r>
      <w:proofErr w:type="spellStart"/>
      <w:r w:rsidRPr="00EC3863">
        <w:rPr>
          <w:rFonts w:cs="Times New Roman"/>
          <w:color w:val="000000" w:themeColor="text1"/>
          <w:szCs w:val="24"/>
          <w:lang w:val="es-US"/>
        </w:rPr>
        <w:t>Dagunga</w:t>
      </w:r>
      <w:proofErr w:type="spellEnd"/>
      <w:r w:rsidRPr="00EC3863">
        <w:rPr>
          <w:rFonts w:cs="Times New Roman"/>
          <w:color w:val="000000" w:themeColor="text1"/>
          <w:szCs w:val="24"/>
          <w:lang w:val="es-US"/>
        </w:rPr>
        <w:t xml:space="preserve">, G. (2021). </w:t>
      </w:r>
      <w:r w:rsidRPr="00810686">
        <w:rPr>
          <w:rFonts w:cs="Times New Roman"/>
          <w:color w:val="000000" w:themeColor="text1"/>
          <w:szCs w:val="24"/>
        </w:rPr>
        <w:t xml:space="preserve">Beyond participation: The effect of fertilizer subsidy on the adoption of certified seeds among rice farmers in Northern Ghana. The European Journal of Development Research, 33, 684-708. </w:t>
      </w:r>
      <w:hyperlink r:id="rId8" w:history="1">
        <w:r w:rsidR="00EC3863" w:rsidRPr="00037C75">
          <w:rPr>
            <w:rStyle w:val="Hyperlink"/>
            <w:rFonts w:cs="Times New Roman"/>
            <w:szCs w:val="24"/>
          </w:rPr>
          <w:t>https://doi.org/10.1057/s41287-020-00293-w</w:t>
        </w:r>
      </w:hyperlink>
      <w:r w:rsidR="00EC3863" w:rsidRPr="00037C75">
        <w:rPr>
          <w:rFonts w:cs="Times New Roman"/>
          <w:color w:val="000000" w:themeColor="text1"/>
          <w:szCs w:val="24"/>
        </w:rPr>
        <w:t xml:space="preserve"> </w:t>
      </w:r>
    </w:p>
    <w:p w14:paraId="69A34B89" w14:textId="77777777" w:rsidR="00EC3863" w:rsidRPr="00787F89" w:rsidRDefault="00EC3863" w:rsidP="00CB7FB8">
      <w:pPr>
        <w:pStyle w:val="ListParagraph"/>
        <w:numPr>
          <w:ilvl w:val="0"/>
          <w:numId w:val="10"/>
        </w:numPr>
        <w:spacing w:line="240" w:lineRule="auto"/>
        <w:jc w:val="both"/>
        <w:rPr>
          <w:rFonts w:cs="Times New Roman"/>
          <w:color w:val="000000" w:themeColor="text1"/>
          <w:szCs w:val="24"/>
          <w:highlight w:val="yellow"/>
        </w:rPr>
      </w:pPr>
      <w:r w:rsidRPr="00787F89">
        <w:rPr>
          <w:rFonts w:cs="Times New Roman"/>
          <w:color w:val="000000" w:themeColor="text1"/>
          <w:szCs w:val="24"/>
          <w:highlight w:val="yellow"/>
          <w:lang w:val="es-US"/>
        </w:rPr>
        <w:t xml:space="preserve">Kanza, P., Vitale, J., &amp; Vitale, P. P. (2022). </w:t>
      </w:r>
      <w:r w:rsidRPr="00787F89">
        <w:rPr>
          <w:rFonts w:cs="Times New Roman"/>
          <w:color w:val="000000" w:themeColor="text1"/>
          <w:szCs w:val="24"/>
          <w:highlight w:val="yellow"/>
        </w:rPr>
        <w:t>Agriculture in sub-Sahara Africa developing countries and the role of government: Economic perspectives. </w:t>
      </w:r>
      <w:r w:rsidRPr="00787F89">
        <w:rPr>
          <w:rFonts w:cs="Times New Roman"/>
          <w:i/>
          <w:iCs/>
          <w:color w:val="000000" w:themeColor="text1"/>
          <w:szCs w:val="24"/>
          <w:highlight w:val="yellow"/>
        </w:rPr>
        <w:t>African Journal of Agricultural Research</w:t>
      </w:r>
      <w:r w:rsidRPr="00787F89">
        <w:rPr>
          <w:rFonts w:cs="Times New Roman"/>
          <w:color w:val="000000" w:themeColor="text1"/>
          <w:szCs w:val="24"/>
          <w:highlight w:val="yellow"/>
        </w:rPr>
        <w:t>, </w:t>
      </w:r>
      <w:r w:rsidRPr="00787F89">
        <w:rPr>
          <w:rFonts w:cs="Times New Roman"/>
          <w:i/>
          <w:iCs/>
          <w:color w:val="000000" w:themeColor="text1"/>
          <w:szCs w:val="24"/>
          <w:highlight w:val="yellow"/>
        </w:rPr>
        <w:t>18</w:t>
      </w:r>
      <w:r w:rsidRPr="00787F89">
        <w:rPr>
          <w:rFonts w:cs="Times New Roman"/>
          <w:color w:val="000000" w:themeColor="text1"/>
          <w:szCs w:val="24"/>
          <w:highlight w:val="yellow"/>
        </w:rPr>
        <w:t xml:space="preserve">(7), 493-509. </w:t>
      </w:r>
    </w:p>
    <w:p w14:paraId="6AF1772B" w14:textId="77777777" w:rsidR="00EC3863" w:rsidRPr="00787F89" w:rsidRDefault="00EC3863" w:rsidP="00CB7FB8">
      <w:pPr>
        <w:pStyle w:val="ListParagraph"/>
        <w:numPr>
          <w:ilvl w:val="0"/>
          <w:numId w:val="10"/>
        </w:numPr>
        <w:spacing w:line="240" w:lineRule="auto"/>
        <w:jc w:val="both"/>
        <w:rPr>
          <w:rFonts w:cs="Times New Roman"/>
          <w:color w:val="000000" w:themeColor="text1"/>
          <w:szCs w:val="24"/>
          <w:highlight w:val="yellow"/>
        </w:rPr>
      </w:pPr>
      <w:r w:rsidRPr="00787F89">
        <w:rPr>
          <w:rFonts w:cs="Times New Roman"/>
          <w:color w:val="000000" w:themeColor="text1"/>
          <w:szCs w:val="24"/>
          <w:highlight w:val="yellow"/>
        </w:rPr>
        <w:t>Sithole, A., &amp; Olorunfemi, O. D. (2024). Sustainable Agricultural Practices in Sub-Saharan Africa: A Review of Adoption Trends, Impacts, and Challenges Among Smallholder Farmers. </w:t>
      </w:r>
      <w:r w:rsidRPr="00787F89">
        <w:rPr>
          <w:rFonts w:cs="Times New Roman"/>
          <w:i/>
          <w:iCs/>
          <w:color w:val="000000" w:themeColor="text1"/>
          <w:szCs w:val="24"/>
          <w:highlight w:val="yellow"/>
        </w:rPr>
        <w:t>Sustainability</w:t>
      </w:r>
      <w:r w:rsidRPr="00787F89">
        <w:rPr>
          <w:rFonts w:cs="Times New Roman"/>
          <w:color w:val="000000" w:themeColor="text1"/>
          <w:szCs w:val="24"/>
          <w:highlight w:val="yellow"/>
        </w:rPr>
        <w:t>, </w:t>
      </w:r>
      <w:r w:rsidRPr="00787F89">
        <w:rPr>
          <w:rFonts w:cs="Times New Roman"/>
          <w:i/>
          <w:iCs/>
          <w:color w:val="000000" w:themeColor="text1"/>
          <w:szCs w:val="24"/>
          <w:highlight w:val="yellow"/>
        </w:rPr>
        <w:t>16</w:t>
      </w:r>
      <w:r w:rsidRPr="00787F89">
        <w:rPr>
          <w:rFonts w:cs="Times New Roman"/>
          <w:color w:val="000000" w:themeColor="text1"/>
          <w:szCs w:val="24"/>
          <w:highlight w:val="yellow"/>
        </w:rPr>
        <w:t xml:space="preserve">(22), 9766. </w:t>
      </w:r>
      <w:hyperlink r:id="rId9" w:history="1">
        <w:r w:rsidRPr="00787F89">
          <w:rPr>
            <w:rStyle w:val="Hyperlink"/>
            <w:rFonts w:cs="Times New Roman"/>
            <w:szCs w:val="24"/>
            <w:highlight w:val="yellow"/>
          </w:rPr>
          <w:t>https://doi.org/10.3390/su16229766</w:t>
        </w:r>
      </w:hyperlink>
      <w:r w:rsidRPr="00787F89">
        <w:rPr>
          <w:rFonts w:cs="Times New Roman"/>
          <w:color w:val="000000" w:themeColor="text1"/>
          <w:szCs w:val="24"/>
          <w:highlight w:val="yellow"/>
        </w:rPr>
        <w:t xml:space="preserve"> </w:t>
      </w:r>
    </w:p>
    <w:p w14:paraId="1035DB42" w14:textId="77777777" w:rsidR="00EC3863" w:rsidRPr="00787F89" w:rsidRDefault="00EC3863" w:rsidP="00CB7FB8">
      <w:pPr>
        <w:pStyle w:val="ListParagraph"/>
        <w:numPr>
          <w:ilvl w:val="0"/>
          <w:numId w:val="10"/>
        </w:numPr>
        <w:spacing w:line="240" w:lineRule="auto"/>
        <w:jc w:val="both"/>
        <w:rPr>
          <w:rFonts w:cs="Times New Roman"/>
          <w:color w:val="000000" w:themeColor="text1"/>
          <w:szCs w:val="24"/>
          <w:highlight w:val="yellow"/>
        </w:rPr>
      </w:pPr>
      <w:proofErr w:type="spellStart"/>
      <w:r w:rsidRPr="00787F89">
        <w:rPr>
          <w:rFonts w:cs="Times New Roman"/>
          <w:color w:val="000000" w:themeColor="text1"/>
          <w:szCs w:val="24"/>
          <w:highlight w:val="yellow"/>
        </w:rPr>
        <w:lastRenderedPageBreak/>
        <w:t>Manzvera</w:t>
      </w:r>
      <w:proofErr w:type="spellEnd"/>
      <w:r w:rsidRPr="00787F89">
        <w:rPr>
          <w:rFonts w:cs="Times New Roman"/>
          <w:color w:val="000000" w:themeColor="text1"/>
          <w:szCs w:val="24"/>
          <w:highlight w:val="yellow"/>
        </w:rPr>
        <w:t xml:space="preserve">, J., &amp; Manyanga, M. (2026). Assessing the Impact of Input Subsidies on Agricultural Productivity in Sub-Saharan Africa: Applied Political Economy Analysis. </w:t>
      </w:r>
    </w:p>
    <w:p w14:paraId="1DA40E77" w14:textId="77777777" w:rsidR="00EC3863" w:rsidRPr="00787F89" w:rsidRDefault="00EC3863" w:rsidP="00CB7FB8">
      <w:pPr>
        <w:pStyle w:val="ListParagraph"/>
        <w:numPr>
          <w:ilvl w:val="0"/>
          <w:numId w:val="10"/>
        </w:numPr>
        <w:spacing w:line="240" w:lineRule="auto"/>
        <w:jc w:val="both"/>
        <w:rPr>
          <w:rFonts w:cs="Times New Roman"/>
          <w:color w:val="000000" w:themeColor="text1"/>
          <w:szCs w:val="24"/>
          <w:highlight w:val="yellow"/>
        </w:rPr>
      </w:pPr>
      <w:proofErr w:type="spellStart"/>
      <w:r w:rsidRPr="00787F89">
        <w:rPr>
          <w:rFonts w:cs="Times New Roman"/>
          <w:color w:val="000000" w:themeColor="text1"/>
          <w:szCs w:val="24"/>
          <w:highlight w:val="yellow"/>
        </w:rPr>
        <w:t>Nhlengethwa</w:t>
      </w:r>
      <w:proofErr w:type="spellEnd"/>
      <w:r w:rsidRPr="00787F89">
        <w:rPr>
          <w:rFonts w:cs="Times New Roman"/>
          <w:color w:val="000000" w:themeColor="text1"/>
          <w:szCs w:val="24"/>
          <w:highlight w:val="yellow"/>
        </w:rPr>
        <w:t xml:space="preserve">, S., Thangata, P., Muthini, D., </w:t>
      </w:r>
      <w:proofErr w:type="spellStart"/>
      <w:r w:rsidRPr="00787F89">
        <w:rPr>
          <w:rFonts w:cs="Times New Roman"/>
          <w:color w:val="000000" w:themeColor="text1"/>
          <w:szCs w:val="24"/>
          <w:highlight w:val="yellow"/>
        </w:rPr>
        <w:t>Djido</w:t>
      </w:r>
      <w:proofErr w:type="spellEnd"/>
      <w:r w:rsidRPr="00787F89">
        <w:rPr>
          <w:rFonts w:cs="Times New Roman"/>
          <w:color w:val="000000" w:themeColor="text1"/>
          <w:szCs w:val="24"/>
          <w:highlight w:val="yellow"/>
        </w:rPr>
        <w:t xml:space="preserve">, A., </w:t>
      </w:r>
      <w:proofErr w:type="spellStart"/>
      <w:r w:rsidRPr="00787F89">
        <w:rPr>
          <w:rFonts w:cs="Times New Roman"/>
          <w:color w:val="000000" w:themeColor="text1"/>
          <w:szCs w:val="24"/>
          <w:highlight w:val="yellow"/>
        </w:rPr>
        <w:t>Njiwa</w:t>
      </w:r>
      <w:proofErr w:type="spellEnd"/>
      <w:r w:rsidRPr="00787F89">
        <w:rPr>
          <w:rFonts w:cs="Times New Roman"/>
          <w:color w:val="000000" w:themeColor="text1"/>
          <w:szCs w:val="24"/>
          <w:highlight w:val="yellow"/>
        </w:rPr>
        <w:t xml:space="preserve">, D., &amp; Nwafor, A. (2023). Review of agricultural subsidy </w:t>
      </w:r>
      <w:proofErr w:type="spellStart"/>
      <w:r w:rsidRPr="00787F89">
        <w:rPr>
          <w:rFonts w:cs="Times New Roman"/>
          <w:color w:val="000000" w:themeColor="text1"/>
          <w:szCs w:val="24"/>
          <w:highlight w:val="yellow"/>
        </w:rPr>
        <w:t>programmes</w:t>
      </w:r>
      <w:proofErr w:type="spellEnd"/>
      <w:r w:rsidRPr="00787F89">
        <w:rPr>
          <w:rFonts w:cs="Times New Roman"/>
          <w:color w:val="000000" w:themeColor="text1"/>
          <w:szCs w:val="24"/>
          <w:highlight w:val="yellow"/>
        </w:rPr>
        <w:t xml:space="preserve"> in Sub Saharan Africa: The impact of the Russia–Ukraine war. </w:t>
      </w:r>
      <w:r w:rsidRPr="00787F89">
        <w:rPr>
          <w:rFonts w:cs="Times New Roman"/>
          <w:i/>
          <w:iCs/>
          <w:color w:val="000000" w:themeColor="text1"/>
          <w:szCs w:val="24"/>
          <w:highlight w:val="yellow"/>
        </w:rPr>
        <w:t>AGRA Hub for Agricultural Policy Action Policy Brief</w:t>
      </w:r>
      <w:r w:rsidRPr="00787F89">
        <w:rPr>
          <w:rFonts w:cs="Times New Roman"/>
          <w:color w:val="000000" w:themeColor="text1"/>
          <w:szCs w:val="24"/>
          <w:highlight w:val="yellow"/>
        </w:rPr>
        <w:t>, </w:t>
      </w:r>
      <w:r w:rsidRPr="00787F89">
        <w:rPr>
          <w:rFonts w:cs="Times New Roman"/>
          <w:i/>
          <w:iCs/>
          <w:color w:val="000000" w:themeColor="text1"/>
          <w:szCs w:val="24"/>
          <w:highlight w:val="yellow"/>
        </w:rPr>
        <w:t>3</w:t>
      </w:r>
      <w:r w:rsidRPr="00787F89">
        <w:rPr>
          <w:rFonts w:cs="Times New Roman"/>
          <w:color w:val="000000" w:themeColor="text1"/>
          <w:szCs w:val="24"/>
          <w:highlight w:val="yellow"/>
        </w:rPr>
        <w:t xml:space="preserve">. </w:t>
      </w:r>
    </w:p>
    <w:p w14:paraId="3156BCF2" w14:textId="77777777" w:rsidR="00062B3F" w:rsidRPr="00787F89" w:rsidRDefault="00EC3863" w:rsidP="00CB7FB8">
      <w:pPr>
        <w:pStyle w:val="ListParagraph"/>
        <w:numPr>
          <w:ilvl w:val="0"/>
          <w:numId w:val="10"/>
        </w:numPr>
        <w:spacing w:line="240" w:lineRule="auto"/>
        <w:jc w:val="both"/>
        <w:rPr>
          <w:rFonts w:cs="Times New Roman"/>
          <w:color w:val="000000" w:themeColor="text1"/>
          <w:szCs w:val="24"/>
          <w:highlight w:val="yellow"/>
        </w:rPr>
      </w:pPr>
      <w:proofErr w:type="spellStart"/>
      <w:r w:rsidRPr="00787F89">
        <w:rPr>
          <w:rFonts w:cs="Times New Roman"/>
          <w:color w:val="000000" w:themeColor="text1"/>
          <w:szCs w:val="24"/>
          <w:highlight w:val="yellow"/>
        </w:rPr>
        <w:t>Choruma</w:t>
      </w:r>
      <w:proofErr w:type="spellEnd"/>
      <w:r w:rsidRPr="00787F89">
        <w:rPr>
          <w:rFonts w:cs="Times New Roman"/>
          <w:color w:val="000000" w:themeColor="text1"/>
          <w:szCs w:val="24"/>
          <w:highlight w:val="yellow"/>
        </w:rPr>
        <w:t xml:space="preserve">, D. J., </w:t>
      </w:r>
      <w:proofErr w:type="spellStart"/>
      <w:r w:rsidRPr="00787F89">
        <w:rPr>
          <w:rFonts w:cs="Times New Roman"/>
          <w:color w:val="000000" w:themeColor="text1"/>
          <w:szCs w:val="24"/>
          <w:highlight w:val="yellow"/>
        </w:rPr>
        <w:t>Dirwai</w:t>
      </w:r>
      <w:proofErr w:type="spellEnd"/>
      <w:r w:rsidRPr="00787F89">
        <w:rPr>
          <w:rFonts w:cs="Times New Roman"/>
          <w:color w:val="000000" w:themeColor="text1"/>
          <w:szCs w:val="24"/>
          <w:highlight w:val="yellow"/>
        </w:rPr>
        <w:t xml:space="preserve">, T. L., </w:t>
      </w:r>
      <w:proofErr w:type="spellStart"/>
      <w:r w:rsidRPr="00787F89">
        <w:rPr>
          <w:rFonts w:cs="Times New Roman"/>
          <w:color w:val="000000" w:themeColor="text1"/>
          <w:szCs w:val="24"/>
          <w:highlight w:val="yellow"/>
        </w:rPr>
        <w:t>Mutenje</w:t>
      </w:r>
      <w:proofErr w:type="spellEnd"/>
      <w:r w:rsidRPr="00787F89">
        <w:rPr>
          <w:rFonts w:cs="Times New Roman"/>
          <w:color w:val="000000" w:themeColor="text1"/>
          <w:szCs w:val="24"/>
          <w:highlight w:val="yellow"/>
        </w:rPr>
        <w:t xml:space="preserve">, M. J., Mustafa, M., </w:t>
      </w:r>
      <w:proofErr w:type="spellStart"/>
      <w:r w:rsidRPr="00787F89">
        <w:rPr>
          <w:rFonts w:cs="Times New Roman"/>
          <w:color w:val="000000" w:themeColor="text1"/>
          <w:szCs w:val="24"/>
          <w:highlight w:val="yellow"/>
        </w:rPr>
        <w:t>Chimonyo</w:t>
      </w:r>
      <w:proofErr w:type="spellEnd"/>
      <w:r w:rsidRPr="00787F89">
        <w:rPr>
          <w:rFonts w:cs="Times New Roman"/>
          <w:color w:val="000000" w:themeColor="text1"/>
          <w:szCs w:val="24"/>
          <w:highlight w:val="yellow"/>
        </w:rPr>
        <w:t xml:space="preserve">, V. G. P., Jacobs-Mata, I., &amp; </w:t>
      </w:r>
      <w:proofErr w:type="spellStart"/>
      <w:r w:rsidRPr="00787F89">
        <w:rPr>
          <w:rFonts w:cs="Times New Roman"/>
          <w:color w:val="000000" w:themeColor="text1"/>
          <w:szCs w:val="24"/>
          <w:highlight w:val="yellow"/>
        </w:rPr>
        <w:t>Mabhaudhi</w:t>
      </w:r>
      <w:proofErr w:type="spellEnd"/>
      <w:r w:rsidRPr="00787F89">
        <w:rPr>
          <w:rFonts w:cs="Times New Roman"/>
          <w:color w:val="000000" w:themeColor="text1"/>
          <w:szCs w:val="24"/>
          <w:highlight w:val="yellow"/>
        </w:rPr>
        <w:t xml:space="preserve">, T. (2024). </w:t>
      </w:r>
      <w:proofErr w:type="spellStart"/>
      <w:r w:rsidRPr="00787F89">
        <w:rPr>
          <w:rFonts w:cs="Times New Roman"/>
          <w:color w:val="000000" w:themeColor="text1"/>
          <w:szCs w:val="24"/>
          <w:highlight w:val="yellow"/>
        </w:rPr>
        <w:t>Digitalisation</w:t>
      </w:r>
      <w:proofErr w:type="spellEnd"/>
      <w:r w:rsidRPr="00787F89">
        <w:rPr>
          <w:rFonts w:cs="Times New Roman"/>
          <w:color w:val="000000" w:themeColor="text1"/>
          <w:szCs w:val="24"/>
          <w:highlight w:val="yellow"/>
        </w:rPr>
        <w:t xml:space="preserve"> in agriculture: A scoping review of technologies in practice, challenges, and opportunities for smallholder farmers in </w:t>
      </w:r>
      <w:proofErr w:type="spellStart"/>
      <w:r w:rsidRPr="00787F89">
        <w:rPr>
          <w:rFonts w:cs="Times New Roman"/>
          <w:color w:val="000000" w:themeColor="text1"/>
          <w:szCs w:val="24"/>
          <w:highlight w:val="yellow"/>
        </w:rPr>
        <w:t>sub-saharan</w:t>
      </w:r>
      <w:proofErr w:type="spellEnd"/>
      <w:r w:rsidRPr="00787F89">
        <w:rPr>
          <w:rFonts w:cs="Times New Roman"/>
          <w:color w:val="000000" w:themeColor="text1"/>
          <w:szCs w:val="24"/>
          <w:highlight w:val="yellow"/>
        </w:rPr>
        <w:t xml:space="preserve"> </w:t>
      </w:r>
      <w:proofErr w:type="spellStart"/>
      <w:r w:rsidRPr="00787F89">
        <w:rPr>
          <w:rFonts w:cs="Times New Roman"/>
          <w:color w:val="000000" w:themeColor="text1"/>
          <w:szCs w:val="24"/>
          <w:highlight w:val="yellow"/>
        </w:rPr>
        <w:t>africa</w:t>
      </w:r>
      <w:proofErr w:type="spellEnd"/>
      <w:r w:rsidRPr="00787F89">
        <w:rPr>
          <w:rFonts w:cs="Times New Roman"/>
          <w:color w:val="000000" w:themeColor="text1"/>
          <w:szCs w:val="24"/>
          <w:highlight w:val="yellow"/>
        </w:rPr>
        <w:t>. </w:t>
      </w:r>
      <w:r w:rsidRPr="00787F89">
        <w:rPr>
          <w:rFonts w:cs="Times New Roman"/>
          <w:i/>
          <w:iCs/>
          <w:color w:val="000000" w:themeColor="text1"/>
          <w:szCs w:val="24"/>
          <w:highlight w:val="yellow"/>
        </w:rPr>
        <w:t>Journal of agriculture and food research</w:t>
      </w:r>
      <w:r w:rsidRPr="00787F89">
        <w:rPr>
          <w:rFonts w:cs="Times New Roman"/>
          <w:color w:val="000000" w:themeColor="text1"/>
          <w:szCs w:val="24"/>
          <w:highlight w:val="yellow"/>
        </w:rPr>
        <w:t>, </w:t>
      </w:r>
      <w:r w:rsidRPr="00787F89">
        <w:rPr>
          <w:rFonts w:cs="Times New Roman"/>
          <w:i/>
          <w:iCs/>
          <w:color w:val="000000" w:themeColor="text1"/>
          <w:szCs w:val="24"/>
          <w:highlight w:val="yellow"/>
        </w:rPr>
        <w:t>18</w:t>
      </w:r>
      <w:r w:rsidRPr="00787F89">
        <w:rPr>
          <w:rFonts w:cs="Times New Roman"/>
          <w:color w:val="000000" w:themeColor="text1"/>
          <w:szCs w:val="24"/>
          <w:highlight w:val="yellow"/>
        </w:rPr>
        <w:t>, 101286.</w:t>
      </w:r>
      <w:r w:rsidR="00062B3F" w:rsidRPr="00787F89">
        <w:rPr>
          <w:rFonts w:cs="Times New Roman"/>
          <w:color w:val="000000" w:themeColor="text1"/>
          <w:szCs w:val="24"/>
          <w:highlight w:val="yellow"/>
        </w:rPr>
        <w:t xml:space="preserve"> </w:t>
      </w:r>
    </w:p>
    <w:p w14:paraId="51954CAE" w14:textId="26B2B858" w:rsidR="00DF7224" w:rsidRPr="00810686" w:rsidRDefault="00062B3F" w:rsidP="00CB7FB8">
      <w:pPr>
        <w:pStyle w:val="ListParagraph"/>
        <w:numPr>
          <w:ilvl w:val="0"/>
          <w:numId w:val="10"/>
        </w:numPr>
        <w:spacing w:line="240" w:lineRule="auto"/>
        <w:jc w:val="both"/>
        <w:rPr>
          <w:rFonts w:cs="Times New Roman"/>
          <w:color w:val="000000" w:themeColor="text1"/>
          <w:szCs w:val="24"/>
        </w:rPr>
      </w:pPr>
      <w:r w:rsidRPr="00787F89">
        <w:rPr>
          <w:rFonts w:cs="Times New Roman"/>
          <w:color w:val="000000" w:themeColor="text1"/>
          <w:szCs w:val="24"/>
          <w:highlight w:val="yellow"/>
          <w:lang w:val="es-US"/>
        </w:rPr>
        <w:t xml:space="preserve">Nyambo, P., Nyambo, P., Mavunganidze, Z., &amp; Nyambo, V. (2022). </w:t>
      </w:r>
      <w:r w:rsidRPr="00787F89">
        <w:rPr>
          <w:rFonts w:cs="Times New Roman"/>
          <w:color w:val="000000" w:themeColor="text1"/>
          <w:szCs w:val="24"/>
          <w:highlight w:val="yellow"/>
        </w:rPr>
        <w:t>Sub-Saharan Africa smallholder farmers agricultural productivity: risks and challenges. In </w:t>
      </w:r>
      <w:r w:rsidRPr="00787F89">
        <w:rPr>
          <w:rFonts w:cs="Times New Roman"/>
          <w:i/>
          <w:iCs/>
          <w:color w:val="000000" w:themeColor="text1"/>
          <w:szCs w:val="24"/>
          <w:highlight w:val="yellow"/>
        </w:rPr>
        <w:t>Food security for African smallholder farmers</w:t>
      </w:r>
      <w:r w:rsidRPr="00787F89">
        <w:rPr>
          <w:rFonts w:cs="Times New Roman"/>
          <w:color w:val="000000" w:themeColor="text1"/>
          <w:szCs w:val="24"/>
          <w:highlight w:val="yellow"/>
        </w:rPr>
        <w:t> (pp. 47-58). Singapore: Springer Nature Singapore</w:t>
      </w:r>
      <w:r w:rsidRPr="00062B3F">
        <w:rPr>
          <w:rFonts w:cs="Times New Roman"/>
          <w:color w:val="000000" w:themeColor="text1"/>
          <w:szCs w:val="24"/>
        </w:rPr>
        <w:t>.</w:t>
      </w:r>
    </w:p>
    <w:sectPr w:rsidR="00DF7224" w:rsidRPr="00810686"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A2635" w14:textId="77777777" w:rsidR="009C3055" w:rsidRDefault="009C3055" w:rsidP="00C761A9">
      <w:pPr>
        <w:spacing w:after="0" w:line="240" w:lineRule="auto"/>
      </w:pPr>
      <w:r>
        <w:separator/>
      </w:r>
    </w:p>
  </w:endnote>
  <w:endnote w:type="continuationSeparator" w:id="0">
    <w:p w14:paraId="64DAEBBB" w14:textId="77777777" w:rsidR="009C3055" w:rsidRDefault="009C3055" w:rsidP="00C76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2B87" w14:textId="77777777" w:rsidR="00C761A9" w:rsidRDefault="00C76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C3E88" w14:textId="77777777" w:rsidR="00C761A9" w:rsidRDefault="00C761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7C6D8" w14:textId="77777777" w:rsidR="00C761A9" w:rsidRDefault="00C76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49E3A" w14:textId="77777777" w:rsidR="009C3055" w:rsidRDefault="009C3055" w:rsidP="00C761A9">
      <w:pPr>
        <w:spacing w:after="0" w:line="240" w:lineRule="auto"/>
      </w:pPr>
      <w:r>
        <w:separator/>
      </w:r>
    </w:p>
  </w:footnote>
  <w:footnote w:type="continuationSeparator" w:id="0">
    <w:p w14:paraId="26B0EC82" w14:textId="77777777" w:rsidR="009C3055" w:rsidRDefault="009C3055" w:rsidP="00C76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A7E6" w14:textId="41CB7873" w:rsidR="00C761A9" w:rsidRDefault="00C761A9">
    <w:pPr>
      <w:pStyle w:val="Header"/>
    </w:pPr>
    <w:r>
      <w:rPr>
        <w:noProof/>
      </w:rPr>
      <w:pict w14:anchorId="02423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360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46FD0" w14:textId="6E2F0885" w:rsidR="00C761A9" w:rsidRDefault="00C761A9">
    <w:pPr>
      <w:pStyle w:val="Header"/>
    </w:pPr>
    <w:r>
      <w:rPr>
        <w:noProof/>
      </w:rPr>
      <w:pict w14:anchorId="1EC7B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360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82DA" w14:textId="240F82F7" w:rsidR="00C761A9" w:rsidRDefault="00C761A9">
    <w:pPr>
      <w:pStyle w:val="Header"/>
    </w:pPr>
    <w:r>
      <w:rPr>
        <w:noProof/>
      </w:rPr>
      <w:pict w14:anchorId="7A6F8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360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5321A3F"/>
    <w:multiLevelType w:val="hybridMultilevel"/>
    <w:tmpl w:val="32F42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QwNjcwNjIyNLc0NjVX0lEKTi0uzszPAykwqgUA9/ZUFiwAAAA="/>
  </w:docVars>
  <w:rsids>
    <w:rsidRoot w:val="00B47730"/>
    <w:rsid w:val="00034616"/>
    <w:rsid w:val="00037C75"/>
    <w:rsid w:val="0006063C"/>
    <w:rsid w:val="0006290B"/>
    <w:rsid w:val="00062B3F"/>
    <w:rsid w:val="00076BEB"/>
    <w:rsid w:val="000F0A4D"/>
    <w:rsid w:val="0010416E"/>
    <w:rsid w:val="00110FF2"/>
    <w:rsid w:val="001462D5"/>
    <w:rsid w:val="0015074B"/>
    <w:rsid w:val="00154BBF"/>
    <w:rsid w:val="00166FDB"/>
    <w:rsid w:val="00171DAB"/>
    <w:rsid w:val="001A289C"/>
    <w:rsid w:val="00215A5D"/>
    <w:rsid w:val="00227A20"/>
    <w:rsid w:val="002662A3"/>
    <w:rsid w:val="00272155"/>
    <w:rsid w:val="0029639D"/>
    <w:rsid w:val="002D7A6C"/>
    <w:rsid w:val="00326F90"/>
    <w:rsid w:val="0039214A"/>
    <w:rsid w:val="00496DD6"/>
    <w:rsid w:val="004C21DA"/>
    <w:rsid w:val="004E2753"/>
    <w:rsid w:val="00522CB1"/>
    <w:rsid w:val="005F7442"/>
    <w:rsid w:val="00621F05"/>
    <w:rsid w:val="006454F2"/>
    <w:rsid w:val="006772B8"/>
    <w:rsid w:val="007017C7"/>
    <w:rsid w:val="007339A1"/>
    <w:rsid w:val="00764B9B"/>
    <w:rsid w:val="00764CBA"/>
    <w:rsid w:val="00766E87"/>
    <w:rsid w:val="00787F89"/>
    <w:rsid w:val="007E052B"/>
    <w:rsid w:val="00801809"/>
    <w:rsid w:val="00810686"/>
    <w:rsid w:val="00851B3D"/>
    <w:rsid w:val="00866F93"/>
    <w:rsid w:val="00902B96"/>
    <w:rsid w:val="009051E5"/>
    <w:rsid w:val="00921C74"/>
    <w:rsid w:val="009C3055"/>
    <w:rsid w:val="00A34271"/>
    <w:rsid w:val="00A50543"/>
    <w:rsid w:val="00A51930"/>
    <w:rsid w:val="00AA1D8D"/>
    <w:rsid w:val="00AB1377"/>
    <w:rsid w:val="00B47730"/>
    <w:rsid w:val="00C07998"/>
    <w:rsid w:val="00C66A9E"/>
    <w:rsid w:val="00C761A9"/>
    <w:rsid w:val="00C84242"/>
    <w:rsid w:val="00CB0664"/>
    <w:rsid w:val="00CB7FB8"/>
    <w:rsid w:val="00D04DDC"/>
    <w:rsid w:val="00D163DC"/>
    <w:rsid w:val="00DF7224"/>
    <w:rsid w:val="00E22C48"/>
    <w:rsid w:val="00EC3863"/>
    <w:rsid w:val="00F52BA4"/>
    <w:rsid w:val="00F54DEA"/>
    <w:rsid w:val="00F57D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9C6F421"/>
  <w14:defaultImageDpi w14:val="300"/>
  <w15:docId w15:val="{8295751C-663F-4B7C-B525-289F29C4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120"/>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34271"/>
    <w:rPr>
      <w:color w:val="0000FF" w:themeColor="hyperlink"/>
      <w:u w:val="single"/>
    </w:rPr>
  </w:style>
  <w:style w:type="character" w:styleId="UnresolvedMention">
    <w:name w:val="Unresolved Mention"/>
    <w:basedOn w:val="DefaultParagraphFont"/>
    <w:uiPriority w:val="99"/>
    <w:semiHidden/>
    <w:unhideWhenUsed/>
    <w:rsid w:val="00A34271"/>
    <w:rPr>
      <w:color w:val="605E5C"/>
      <w:shd w:val="clear" w:color="auto" w:fill="E1DFDD"/>
    </w:rPr>
  </w:style>
  <w:style w:type="paragraph" w:customStyle="1" w:styleId="FirstParagraph">
    <w:name w:val="First Paragraph"/>
    <w:basedOn w:val="BodyText"/>
    <w:next w:val="BodyText"/>
    <w:qFormat/>
    <w:rsid w:val="00A34271"/>
    <w:pPr>
      <w:spacing w:before="180" w:after="180" w:line="240" w:lineRule="auto"/>
    </w:pPr>
    <w:rPr>
      <w:rFonts w:asciiTheme="minorHAnsi" w:eastAsiaTheme="minorHAnsi" w:hAnsiTheme="minorHAnsi"/>
      <w:szCs w:val="24"/>
    </w:rPr>
  </w:style>
  <w:style w:type="paragraph" w:styleId="NormalWeb">
    <w:name w:val="Normal (Web)"/>
    <w:basedOn w:val="Normal"/>
    <w:uiPriority w:val="99"/>
    <w:semiHidden/>
    <w:unhideWhenUsed/>
    <w:rsid w:val="00F57D6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49515">
      <w:bodyDiv w:val="1"/>
      <w:marLeft w:val="0"/>
      <w:marRight w:val="0"/>
      <w:marTop w:val="0"/>
      <w:marBottom w:val="0"/>
      <w:divBdr>
        <w:top w:val="none" w:sz="0" w:space="0" w:color="auto"/>
        <w:left w:val="none" w:sz="0" w:space="0" w:color="auto"/>
        <w:bottom w:val="none" w:sz="0" w:space="0" w:color="auto"/>
        <w:right w:val="none" w:sz="0" w:space="0" w:color="auto"/>
      </w:divBdr>
    </w:div>
    <w:div w:id="356468751">
      <w:bodyDiv w:val="1"/>
      <w:marLeft w:val="0"/>
      <w:marRight w:val="0"/>
      <w:marTop w:val="0"/>
      <w:marBottom w:val="0"/>
      <w:divBdr>
        <w:top w:val="none" w:sz="0" w:space="0" w:color="auto"/>
        <w:left w:val="none" w:sz="0" w:space="0" w:color="auto"/>
        <w:bottom w:val="none" w:sz="0" w:space="0" w:color="auto"/>
        <w:right w:val="none" w:sz="0" w:space="0" w:color="auto"/>
      </w:divBdr>
      <w:divsChild>
        <w:div w:id="1724524887">
          <w:marLeft w:val="0"/>
          <w:marRight w:val="0"/>
          <w:marTop w:val="0"/>
          <w:marBottom w:val="0"/>
          <w:divBdr>
            <w:top w:val="none" w:sz="0" w:space="0" w:color="auto"/>
            <w:left w:val="none" w:sz="0" w:space="0" w:color="auto"/>
            <w:bottom w:val="none" w:sz="0" w:space="0" w:color="auto"/>
            <w:right w:val="none" w:sz="0" w:space="0" w:color="auto"/>
          </w:divBdr>
          <w:divsChild>
            <w:div w:id="1482696562">
              <w:marLeft w:val="0"/>
              <w:marRight w:val="0"/>
              <w:marTop w:val="0"/>
              <w:marBottom w:val="0"/>
              <w:divBdr>
                <w:top w:val="none" w:sz="0" w:space="0" w:color="auto"/>
                <w:left w:val="none" w:sz="0" w:space="0" w:color="auto"/>
                <w:bottom w:val="none" w:sz="0" w:space="0" w:color="auto"/>
                <w:right w:val="none" w:sz="0" w:space="0" w:color="auto"/>
              </w:divBdr>
              <w:divsChild>
                <w:div w:id="158078886">
                  <w:marLeft w:val="0"/>
                  <w:marRight w:val="0"/>
                  <w:marTop w:val="0"/>
                  <w:marBottom w:val="0"/>
                  <w:divBdr>
                    <w:top w:val="none" w:sz="0" w:space="0" w:color="auto"/>
                    <w:left w:val="none" w:sz="0" w:space="0" w:color="auto"/>
                    <w:bottom w:val="none" w:sz="0" w:space="0" w:color="auto"/>
                    <w:right w:val="none" w:sz="0" w:space="0" w:color="auto"/>
                  </w:divBdr>
                  <w:divsChild>
                    <w:div w:id="1842236101">
                      <w:marLeft w:val="0"/>
                      <w:marRight w:val="0"/>
                      <w:marTop w:val="0"/>
                      <w:marBottom w:val="0"/>
                      <w:divBdr>
                        <w:top w:val="none" w:sz="0" w:space="0" w:color="auto"/>
                        <w:left w:val="none" w:sz="0" w:space="0" w:color="auto"/>
                        <w:bottom w:val="none" w:sz="0" w:space="0" w:color="auto"/>
                        <w:right w:val="none" w:sz="0" w:space="0" w:color="auto"/>
                      </w:divBdr>
                      <w:divsChild>
                        <w:div w:id="494152837">
                          <w:marLeft w:val="0"/>
                          <w:marRight w:val="0"/>
                          <w:marTop w:val="0"/>
                          <w:marBottom w:val="0"/>
                          <w:divBdr>
                            <w:top w:val="none" w:sz="0" w:space="0" w:color="auto"/>
                            <w:left w:val="none" w:sz="0" w:space="0" w:color="auto"/>
                            <w:bottom w:val="none" w:sz="0" w:space="0" w:color="auto"/>
                            <w:right w:val="none" w:sz="0" w:space="0" w:color="auto"/>
                          </w:divBdr>
                          <w:divsChild>
                            <w:div w:id="52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7570">
      <w:bodyDiv w:val="1"/>
      <w:marLeft w:val="0"/>
      <w:marRight w:val="0"/>
      <w:marTop w:val="0"/>
      <w:marBottom w:val="0"/>
      <w:divBdr>
        <w:top w:val="none" w:sz="0" w:space="0" w:color="auto"/>
        <w:left w:val="none" w:sz="0" w:space="0" w:color="auto"/>
        <w:bottom w:val="none" w:sz="0" w:space="0" w:color="auto"/>
        <w:right w:val="none" w:sz="0" w:space="0" w:color="auto"/>
      </w:divBdr>
    </w:div>
    <w:div w:id="16253789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7/s41287-020-00293-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90/su1622976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89D83-985E-4F2D-BA4B-F6976C9B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5029</Words>
  <Characters>28671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9</cp:revision>
  <dcterms:created xsi:type="dcterms:W3CDTF">2026-04-27T13:36:00Z</dcterms:created>
  <dcterms:modified xsi:type="dcterms:W3CDTF">2026-04-28T09:53:00Z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6816a5e8-67a3-4eab-9d23-14ec5126d372</vt:lpwstr>
  </property>
</Properties>
</file>