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03DD6" w14:textId="77777777" w:rsidR="0017569D" w:rsidRPr="0017569D" w:rsidRDefault="0017569D" w:rsidP="0017569D">
      <w:pPr>
        <w:spacing w:after="0" w:line="360" w:lineRule="auto"/>
        <w:ind w:right="10"/>
        <w:jc w:val="center"/>
        <w:rPr>
          <w:rFonts w:ascii="Times New Roman" w:hAnsi="Times New Roman" w:cs="Times New Roman"/>
          <w:b/>
          <w:bCs/>
          <w:i/>
          <w:iCs/>
          <w:sz w:val="24"/>
          <w:szCs w:val="24"/>
          <w:u w:val="single"/>
        </w:rPr>
      </w:pPr>
      <w:r w:rsidRPr="0017569D">
        <w:rPr>
          <w:rFonts w:ascii="Times New Roman" w:hAnsi="Times New Roman" w:cs="Times New Roman"/>
          <w:b/>
          <w:bCs/>
          <w:i/>
          <w:iCs/>
          <w:sz w:val="24"/>
          <w:szCs w:val="24"/>
          <w:u w:val="single"/>
        </w:rPr>
        <w:t>Review Article</w:t>
      </w:r>
    </w:p>
    <w:p w14:paraId="6B400A08" w14:textId="77777777" w:rsidR="00F82F54" w:rsidRPr="00004EA4" w:rsidRDefault="005A3E2F" w:rsidP="00F82F54">
      <w:pPr>
        <w:spacing w:after="0" w:line="360" w:lineRule="auto"/>
        <w:ind w:right="10"/>
        <w:jc w:val="center"/>
        <w:rPr>
          <w:rFonts w:ascii="Times New Roman" w:hAnsi="Times New Roman" w:cs="Times New Roman"/>
          <w:b/>
          <w:sz w:val="24"/>
        </w:rPr>
      </w:pPr>
      <w:r w:rsidRPr="00E96BD8">
        <w:rPr>
          <w:rFonts w:ascii="Times New Roman" w:hAnsi="Times New Roman" w:cs="Times New Roman"/>
          <w:b/>
          <w:sz w:val="24"/>
          <w:szCs w:val="24"/>
        </w:rPr>
        <w:t>Economic Impact of Lumpy Skin Disease on the Livestock Sector: A Narrative Review</w:t>
      </w:r>
      <w:r w:rsidR="00F82F54" w:rsidRPr="00004EA4">
        <w:rPr>
          <w:rFonts w:ascii="Times New Roman" w:hAnsi="Times New Roman" w:cs="Times New Roman"/>
          <w:b/>
          <w:sz w:val="24"/>
        </w:rPr>
        <w:t xml:space="preserve"> </w:t>
      </w:r>
    </w:p>
    <w:p w14:paraId="12CDCA9F" w14:textId="77777777" w:rsidR="00F82F54" w:rsidRDefault="00F82F54" w:rsidP="00F82F54">
      <w:pPr>
        <w:spacing w:after="0" w:line="360" w:lineRule="auto"/>
        <w:ind w:right="10"/>
        <w:jc w:val="center"/>
        <w:rPr>
          <w:rFonts w:ascii="Times New Roman" w:hAnsi="Times New Roman" w:cs="Times New Roman"/>
          <w:b/>
          <w:sz w:val="24"/>
        </w:rPr>
      </w:pPr>
    </w:p>
    <w:p w14:paraId="7BE2F705" w14:textId="77777777" w:rsidR="005A3E2F" w:rsidRPr="00004EA4" w:rsidRDefault="005A3E2F" w:rsidP="00F82F54">
      <w:pPr>
        <w:spacing w:after="0" w:line="360" w:lineRule="auto"/>
        <w:ind w:right="10"/>
        <w:jc w:val="center"/>
        <w:rPr>
          <w:rFonts w:ascii="Times New Roman" w:hAnsi="Times New Roman" w:cs="Times New Roman"/>
          <w:b/>
          <w:sz w:val="24"/>
        </w:rPr>
      </w:pPr>
    </w:p>
    <w:p w14:paraId="1C70C505" w14:textId="77777777" w:rsidR="005A3E2F" w:rsidRPr="00DA4247" w:rsidRDefault="005A3E2F" w:rsidP="000E49EF">
      <w:pPr>
        <w:spacing w:line="276" w:lineRule="auto"/>
        <w:jc w:val="both"/>
        <w:rPr>
          <w:rFonts w:ascii="Times New Roman" w:hAnsi="Times New Roman" w:cs="Times New Roman"/>
          <w:b/>
          <w:sz w:val="24"/>
          <w:szCs w:val="24"/>
        </w:rPr>
      </w:pPr>
    </w:p>
    <w:p w14:paraId="2D430006" w14:textId="77777777" w:rsidR="00C152C5" w:rsidRPr="00DA4247" w:rsidRDefault="00C152C5" w:rsidP="000E49EF">
      <w:pPr>
        <w:spacing w:line="276" w:lineRule="auto"/>
        <w:jc w:val="both"/>
        <w:rPr>
          <w:rFonts w:ascii="Times New Roman" w:hAnsi="Times New Roman" w:cs="Times New Roman"/>
          <w:b/>
          <w:sz w:val="24"/>
          <w:szCs w:val="24"/>
        </w:rPr>
      </w:pPr>
      <w:r w:rsidRPr="00DA4247">
        <w:rPr>
          <w:rFonts w:ascii="Times New Roman" w:hAnsi="Times New Roman" w:cs="Times New Roman"/>
          <w:b/>
          <w:sz w:val="24"/>
          <w:szCs w:val="24"/>
        </w:rPr>
        <w:t>Abstract</w:t>
      </w:r>
    </w:p>
    <w:p w14:paraId="7E64AA49" w14:textId="77777777" w:rsidR="00EA504A" w:rsidRPr="00DA4247" w:rsidRDefault="00EA504A" w:rsidP="000E49EF">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t xml:space="preserve">Lumpy skin disease (LSD), caused by the lumpy skin disease virus (LSDV), is a significant transboundary disease affecting cattle and water buffalo. Once confined to sub-Saharan Africa, it has rapidly spread to the Middle East, Europe, and Asia, creating major economic challenges for the global livestock sector. Although mortality is usually low, LSD causes substantial economic losses through reduced milk production, weight loss, hide damage, reproductive problems, and increased veterinary costs. This review aims to </w:t>
      </w:r>
      <w:proofErr w:type="spellStart"/>
      <w:r w:rsidRPr="00DA4247">
        <w:rPr>
          <w:rFonts w:ascii="Times New Roman" w:hAnsi="Times New Roman" w:cs="Times New Roman"/>
          <w:sz w:val="24"/>
          <w:szCs w:val="24"/>
        </w:rPr>
        <w:t>summarise</w:t>
      </w:r>
      <w:proofErr w:type="spellEnd"/>
      <w:r w:rsidRPr="00DA4247">
        <w:rPr>
          <w:rFonts w:ascii="Times New Roman" w:hAnsi="Times New Roman" w:cs="Times New Roman"/>
          <w:sz w:val="24"/>
          <w:szCs w:val="24"/>
        </w:rPr>
        <w:t xml:space="preserve"> current knowledge on the economic impact of LSD on the global livestock industry, examine economic assessment approaches, and identify key research gaps to guide future studies and policy decisions. A systematic literature search was conducted using PubMed, Web of Science, Scopus, and Google Scholar for studies published between 2010 and 2024. Studies were included if they reported economic losses, cost-benefit analyses of LSD control strategies, or economic assessment approaches related to livestock diseases. Most economic studies focus on direct losses such as mortality, milk production decline, and treatment costs, while indirect costs- including </w:t>
      </w:r>
      <w:proofErr w:type="spellStart"/>
      <w:r w:rsidRPr="00DA4247">
        <w:rPr>
          <w:rFonts w:ascii="Times New Roman" w:hAnsi="Times New Roman" w:cs="Times New Roman"/>
          <w:sz w:val="24"/>
          <w:szCs w:val="24"/>
        </w:rPr>
        <w:t>labour</w:t>
      </w:r>
      <w:proofErr w:type="spellEnd"/>
      <w:r w:rsidRPr="00DA4247">
        <w:rPr>
          <w:rFonts w:ascii="Times New Roman" w:hAnsi="Times New Roman" w:cs="Times New Roman"/>
          <w:sz w:val="24"/>
          <w:szCs w:val="24"/>
        </w:rPr>
        <w:t xml:space="preserve"> diversion, opportunity costs, and market disruptions- are often underestimated. The economic burden is particularly high in Asia and Africa, where smallholder farming systems dominate. Vaccination has been widely identified as the most cost-effective control strategy. Important research gaps remain, including the lack of standardized economic assessment frameworks, limited research on smallholder systems, and insufficient long-term economic studies. Addressing these gaps is essential for improving evidence-based policies and strengthening LSD control strategies.</w:t>
      </w:r>
    </w:p>
    <w:p w14:paraId="76E5B6FD" w14:textId="77777777" w:rsidR="00C152C5" w:rsidRPr="00DA4247" w:rsidRDefault="00C152C5" w:rsidP="000E49EF">
      <w:pPr>
        <w:spacing w:line="276" w:lineRule="auto"/>
        <w:jc w:val="both"/>
        <w:rPr>
          <w:rFonts w:ascii="Times New Roman" w:hAnsi="Times New Roman" w:cs="Times New Roman"/>
          <w:sz w:val="24"/>
          <w:szCs w:val="24"/>
        </w:rPr>
      </w:pPr>
      <w:r w:rsidRPr="00DA4247">
        <w:rPr>
          <w:rFonts w:ascii="Times New Roman" w:hAnsi="Times New Roman" w:cs="Times New Roman"/>
          <w:b/>
          <w:sz w:val="24"/>
          <w:szCs w:val="24"/>
        </w:rPr>
        <w:t>Keywords:</w:t>
      </w:r>
      <w:r w:rsidRPr="00DA4247">
        <w:rPr>
          <w:rFonts w:ascii="Times New Roman" w:hAnsi="Times New Roman" w:cs="Times New Roman"/>
          <w:sz w:val="24"/>
          <w:szCs w:val="24"/>
        </w:rPr>
        <w:t xml:space="preserve"> Lumpy skin disease, Economic impact, Cost-benefit analysis, Livestock economics, Smallholder farmers</w:t>
      </w:r>
    </w:p>
    <w:p w14:paraId="65AA0D81" w14:textId="77777777" w:rsidR="00C152C5" w:rsidRPr="00DA4247" w:rsidRDefault="00C152C5" w:rsidP="000E49EF">
      <w:pPr>
        <w:spacing w:line="276" w:lineRule="auto"/>
        <w:jc w:val="both"/>
        <w:rPr>
          <w:rFonts w:ascii="Times New Roman" w:hAnsi="Times New Roman" w:cs="Times New Roman"/>
          <w:b/>
          <w:sz w:val="24"/>
          <w:szCs w:val="24"/>
        </w:rPr>
      </w:pPr>
      <w:r w:rsidRPr="00DA4247">
        <w:rPr>
          <w:rFonts w:ascii="Times New Roman" w:hAnsi="Times New Roman" w:cs="Times New Roman"/>
          <w:b/>
          <w:sz w:val="24"/>
          <w:szCs w:val="24"/>
        </w:rPr>
        <w:t>1. Introduction</w:t>
      </w:r>
    </w:p>
    <w:p w14:paraId="47D508F8" w14:textId="77777777" w:rsidR="00C152C5" w:rsidRPr="00DA4247" w:rsidRDefault="00C152C5" w:rsidP="000E49EF">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t xml:space="preserve">Lumpy skin disease (LSD), caused by lumpy skin disease virus (LSDV), has emerged as one of the most economically significant transboundary animal diseases affecting cattle and water buffalo globally (Akther </w:t>
      </w:r>
      <w:r w:rsidRPr="00DA4247">
        <w:rPr>
          <w:rFonts w:ascii="Times New Roman" w:hAnsi="Times New Roman" w:cs="Times New Roman"/>
          <w:i/>
          <w:sz w:val="24"/>
          <w:szCs w:val="24"/>
        </w:rPr>
        <w:t>et al.,</w:t>
      </w:r>
      <w:r w:rsidRPr="00DA4247">
        <w:rPr>
          <w:rFonts w:ascii="Times New Roman" w:hAnsi="Times New Roman" w:cs="Times New Roman"/>
          <w:sz w:val="24"/>
          <w:szCs w:val="24"/>
        </w:rPr>
        <w:t xml:space="preserve"> 2023). Originally endemic to sub-Saharan Africa since its first description in Zambia in 1929, LSD has undergone unprecedented geographic expansion, reaching the Middle East in 1989, Europe in 2012, and subsequently spreading across Asia to become a global concern by 2019 (Tuppurainen &amp; Oura, 2012; Roche </w:t>
      </w:r>
      <w:r w:rsidRPr="00DA4247">
        <w:rPr>
          <w:rFonts w:ascii="Times New Roman" w:hAnsi="Times New Roman" w:cs="Times New Roman"/>
          <w:i/>
          <w:sz w:val="24"/>
          <w:szCs w:val="24"/>
        </w:rPr>
        <w:t>et al.,</w:t>
      </w:r>
      <w:r w:rsidRPr="00DA4247">
        <w:rPr>
          <w:rFonts w:ascii="Times New Roman" w:hAnsi="Times New Roman" w:cs="Times New Roman"/>
          <w:sz w:val="24"/>
          <w:szCs w:val="24"/>
        </w:rPr>
        <w:t xml:space="preserve"> 2020).</w:t>
      </w:r>
    </w:p>
    <w:p w14:paraId="52C5FCA4" w14:textId="77777777" w:rsidR="00C152C5" w:rsidRPr="00DA4247" w:rsidRDefault="00C152C5" w:rsidP="000E49EF">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t xml:space="preserve">The economic significance of LSD extends beyond immediate production losses to encompass complex socioeconomic impacts affecting millions of livestock-dependent households worldwide. </w:t>
      </w:r>
      <w:r w:rsidRPr="00DA4247">
        <w:rPr>
          <w:rFonts w:ascii="Times New Roman" w:hAnsi="Times New Roman" w:cs="Times New Roman"/>
          <w:sz w:val="24"/>
          <w:szCs w:val="24"/>
        </w:rPr>
        <w:lastRenderedPageBreak/>
        <w:t xml:space="preserve">The disease is </w:t>
      </w:r>
      <w:proofErr w:type="spellStart"/>
      <w:r w:rsidRPr="00DA4247">
        <w:rPr>
          <w:rFonts w:ascii="Times New Roman" w:hAnsi="Times New Roman" w:cs="Times New Roman"/>
          <w:sz w:val="24"/>
          <w:szCs w:val="24"/>
        </w:rPr>
        <w:t>characterised</w:t>
      </w:r>
      <w:proofErr w:type="spellEnd"/>
      <w:r w:rsidRPr="00DA4247">
        <w:rPr>
          <w:rFonts w:ascii="Times New Roman" w:hAnsi="Times New Roman" w:cs="Times New Roman"/>
          <w:sz w:val="24"/>
          <w:szCs w:val="24"/>
        </w:rPr>
        <w:t xml:space="preserve"> by high morbidity rates (5-100%) but relatively low mortality (typically &lt;5%), resulting in prolonged economic impacts through reduced milk production, weight loss, hide damage, and reproductive disorders </w:t>
      </w:r>
      <w:r w:rsidR="009542E9" w:rsidRPr="00DA4247">
        <w:rPr>
          <w:rFonts w:ascii="Times New Roman" w:hAnsi="Times New Roman" w:cs="Times New Roman"/>
          <w:sz w:val="24"/>
          <w:szCs w:val="24"/>
        </w:rPr>
        <w:t xml:space="preserve">(Bhuiyan et al., 2026; </w:t>
      </w:r>
      <w:r w:rsidRPr="00DA4247">
        <w:rPr>
          <w:rFonts w:ascii="Times New Roman" w:hAnsi="Times New Roman" w:cs="Times New Roman"/>
          <w:sz w:val="24"/>
          <w:szCs w:val="24"/>
        </w:rPr>
        <w:t xml:space="preserve">Das </w:t>
      </w:r>
      <w:r w:rsidRPr="00DA4247">
        <w:rPr>
          <w:rFonts w:ascii="Times New Roman" w:hAnsi="Times New Roman" w:cs="Times New Roman"/>
          <w:i/>
          <w:sz w:val="24"/>
          <w:szCs w:val="24"/>
        </w:rPr>
        <w:t>et al.,</w:t>
      </w:r>
      <w:r w:rsidRPr="00DA4247">
        <w:rPr>
          <w:rFonts w:ascii="Times New Roman" w:hAnsi="Times New Roman" w:cs="Times New Roman"/>
          <w:sz w:val="24"/>
          <w:szCs w:val="24"/>
        </w:rPr>
        <w:t xml:space="preserve"> 2021). In Asia alone, the economic impact of LSD has been estimated at USD 1.45 billion in direct losses of livestock and production (TAFS, 2024).</w:t>
      </w:r>
    </w:p>
    <w:p w14:paraId="107A04A9" w14:textId="77777777" w:rsidR="00C152C5" w:rsidRPr="00DA4247" w:rsidRDefault="00C152C5" w:rsidP="000E49EF">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t xml:space="preserve">Despite growing recognition of LSD's economic importance, comprehensive economic assessments remain limited, particularly in smallholder farming systems that constitute the backbone of livestock production in developing countries (Saqib </w:t>
      </w:r>
      <w:r w:rsidRPr="00DA4247">
        <w:rPr>
          <w:rFonts w:ascii="Times New Roman" w:hAnsi="Times New Roman" w:cs="Times New Roman"/>
          <w:i/>
          <w:sz w:val="24"/>
          <w:szCs w:val="24"/>
        </w:rPr>
        <w:t>et al.,</w:t>
      </w:r>
      <w:r w:rsidRPr="00DA4247">
        <w:rPr>
          <w:rFonts w:ascii="Times New Roman" w:hAnsi="Times New Roman" w:cs="Times New Roman"/>
          <w:sz w:val="24"/>
          <w:szCs w:val="24"/>
        </w:rPr>
        <w:t xml:space="preserve"> 2023). Existing studies vary significantly in methodological approaches, scope, and geographic coverage, limiting the development of </w:t>
      </w:r>
      <w:proofErr w:type="spellStart"/>
      <w:r w:rsidRPr="00DA4247">
        <w:rPr>
          <w:rFonts w:ascii="Times New Roman" w:hAnsi="Times New Roman" w:cs="Times New Roman"/>
          <w:sz w:val="24"/>
          <w:szCs w:val="24"/>
        </w:rPr>
        <w:t>standardised</w:t>
      </w:r>
      <w:proofErr w:type="spellEnd"/>
      <w:r w:rsidRPr="00DA4247">
        <w:rPr>
          <w:rFonts w:ascii="Times New Roman" w:hAnsi="Times New Roman" w:cs="Times New Roman"/>
          <w:sz w:val="24"/>
          <w:szCs w:val="24"/>
        </w:rPr>
        <w:t xml:space="preserve"> economic models and evidence-based policy recommendations</w:t>
      </w:r>
      <w:r w:rsidR="0075585D" w:rsidRPr="00DA4247">
        <w:rPr>
          <w:rFonts w:ascii="Times New Roman" w:hAnsi="Times New Roman" w:cs="Times New Roman"/>
          <w:sz w:val="24"/>
          <w:szCs w:val="24"/>
        </w:rPr>
        <w:t xml:space="preserve"> (Bhuiyan et al., 2026)</w:t>
      </w:r>
      <w:r w:rsidRPr="00DA4247">
        <w:rPr>
          <w:rFonts w:ascii="Times New Roman" w:hAnsi="Times New Roman" w:cs="Times New Roman"/>
          <w:sz w:val="24"/>
          <w:szCs w:val="24"/>
        </w:rPr>
        <w:t>.</w:t>
      </w:r>
    </w:p>
    <w:p w14:paraId="34117C25" w14:textId="77777777" w:rsidR="00C152C5" w:rsidRPr="00DA4247" w:rsidRDefault="00C152C5" w:rsidP="000E49EF">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t xml:space="preserve">This review aims to </w:t>
      </w:r>
      <w:proofErr w:type="spellStart"/>
      <w:r w:rsidRPr="00DA4247">
        <w:rPr>
          <w:rFonts w:ascii="Times New Roman" w:hAnsi="Times New Roman" w:cs="Times New Roman"/>
          <w:sz w:val="24"/>
          <w:szCs w:val="24"/>
        </w:rPr>
        <w:t>synthesise</w:t>
      </w:r>
      <w:proofErr w:type="spellEnd"/>
      <w:r w:rsidRPr="00DA4247">
        <w:rPr>
          <w:rFonts w:ascii="Times New Roman" w:hAnsi="Times New Roman" w:cs="Times New Roman"/>
          <w:sz w:val="24"/>
          <w:szCs w:val="24"/>
        </w:rPr>
        <w:t xml:space="preserve"> current knowledge on the economic impact of LSD, </w:t>
      </w:r>
      <w:proofErr w:type="spellStart"/>
      <w:r w:rsidRPr="00DA4247">
        <w:rPr>
          <w:rFonts w:ascii="Times New Roman" w:hAnsi="Times New Roman" w:cs="Times New Roman"/>
          <w:sz w:val="24"/>
          <w:szCs w:val="24"/>
        </w:rPr>
        <w:t>analyse</w:t>
      </w:r>
      <w:proofErr w:type="spellEnd"/>
      <w:r w:rsidRPr="00DA4247">
        <w:rPr>
          <w:rFonts w:ascii="Times New Roman" w:hAnsi="Times New Roman" w:cs="Times New Roman"/>
          <w:sz w:val="24"/>
          <w:szCs w:val="24"/>
        </w:rPr>
        <w:t xml:space="preserve"> methodological approaches used in economic assessments, identify critical research gaps, and provide recommendations for future research priorities to support evidence-based decision-making in LSD control and prevention strategies.</w:t>
      </w:r>
    </w:p>
    <w:p w14:paraId="1DD46C7D" w14:textId="77777777" w:rsidR="00F91781" w:rsidRPr="00DA4247" w:rsidRDefault="00F91781" w:rsidP="000E49EF">
      <w:pPr>
        <w:spacing w:line="276" w:lineRule="auto"/>
        <w:jc w:val="both"/>
        <w:rPr>
          <w:rFonts w:ascii="Times New Roman" w:hAnsi="Times New Roman" w:cs="Times New Roman"/>
          <w:b/>
          <w:sz w:val="24"/>
          <w:szCs w:val="24"/>
        </w:rPr>
      </w:pPr>
    </w:p>
    <w:p w14:paraId="7952B11A" w14:textId="77777777" w:rsidR="00C152C5" w:rsidRPr="00DA4247" w:rsidRDefault="00C152C5" w:rsidP="000E49EF">
      <w:pPr>
        <w:spacing w:line="276" w:lineRule="auto"/>
        <w:jc w:val="both"/>
        <w:rPr>
          <w:rFonts w:ascii="Times New Roman" w:hAnsi="Times New Roman" w:cs="Times New Roman"/>
          <w:b/>
          <w:sz w:val="24"/>
          <w:szCs w:val="24"/>
        </w:rPr>
      </w:pPr>
      <w:r w:rsidRPr="00DA4247">
        <w:rPr>
          <w:rFonts w:ascii="Times New Roman" w:hAnsi="Times New Roman" w:cs="Times New Roman"/>
          <w:b/>
          <w:sz w:val="24"/>
          <w:szCs w:val="24"/>
        </w:rPr>
        <w:t>2. Methodology</w:t>
      </w:r>
    </w:p>
    <w:p w14:paraId="74612D66" w14:textId="77777777" w:rsidR="00C152C5" w:rsidRPr="00DA4247" w:rsidRDefault="00C152C5" w:rsidP="000E49EF">
      <w:pPr>
        <w:spacing w:line="276" w:lineRule="auto"/>
        <w:jc w:val="both"/>
        <w:rPr>
          <w:rFonts w:ascii="Times New Roman" w:hAnsi="Times New Roman" w:cs="Times New Roman"/>
          <w:b/>
          <w:sz w:val="24"/>
          <w:szCs w:val="24"/>
        </w:rPr>
      </w:pPr>
      <w:r w:rsidRPr="00DA4247">
        <w:rPr>
          <w:rFonts w:ascii="Times New Roman" w:hAnsi="Times New Roman" w:cs="Times New Roman"/>
          <w:b/>
          <w:sz w:val="24"/>
          <w:szCs w:val="24"/>
        </w:rPr>
        <w:t>2.1 Literature Search Strategy</w:t>
      </w:r>
    </w:p>
    <w:p w14:paraId="4F17A51B" w14:textId="77777777" w:rsidR="00C152C5" w:rsidRPr="00DA4247" w:rsidRDefault="00C152C5" w:rsidP="000E49EF">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t>A comprehensive literature search was conducted using multiple electronic databases including PubMed/MEDLINE, Web of Science, Scopus, and Google Scholar. The search strategy employed combinations of keywords related to lumpy skin disease economic impact: ("lumpy skin disease" OR "LSDV") AND ("economic impact" OR "economic loss" OR "cost-benefit" OR "financial impact" OR "livestock economics"). The search was limited to articles published between January 2010 and December 2024 to capture recent developments following LSD's geographic expansion.</w:t>
      </w:r>
    </w:p>
    <w:p w14:paraId="5925CACF" w14:textId="77777777" w:rsidR="00C152C5" w:rsidRPr="00DA4247" w:rsidRDefault="00C152C5" w:rsidP="000E49EF">
      <w:pPr>
        <w:spacing w:line="276" w:lineRule="auto"/>
        <w:jc w:val="both"/>
        <w:rPr>
          <w:rFonts w:ascii="Times New Roman" w:hAnsi="Times New Roman" w:cs="Times New Roman"/>
          <w:b/>
          <w:sz w:val="24"/>
          <w:szCs w:val="24"/>
        </w:rPr>
      </w:pPr>
      <w:r w:rsidRPr="00DA4247">
        <w:rPr>
          <w:rFonts w:ascii="Times New Roman" w:hAnsi="Times New Roman" w:cs="Times New Roman"/>
          <w:b/>
          <w:sz w:val="24"/>
          <w:szCs w:val="24"/>
        </w:rPr>
        <w:t>2.2 Inclusion and Exclusion Criteria</w:t>
      </w:r>
    </w:p>
    <w:p w14:paraId="19E2446A" w14:textId="77777777" w:rsidR="00C152C5" w:rsidRPr="00DA4247" w:rsidRDefault="00C152C5" w:rsidP="000E49EF">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t xml:space="preserve">Studies were included if they: (1) provided quantitative or qualitative economic impact assessments of LSD; (2) reported cost-benefit analyses of LSD control measures; (3) described economic methodologies for livestock disease assessment; (4) were published in English in peer-reviewed journals or as grey literature from </w:t>
      </w:r>
      <w:proofErr w:type="spellStart"/>
      <w:r w:rsidRPr="00DA4247">
        <w:rPr>
          <w:rFonts w:ascii="Times New Roman" w:hAnsi="Times New Roman" w:cs="Times New Roman"/>
          <w:sz w:val="24"/>
          <w:szCs w:val="24"/>
        </w:rPr>
        <w:t>recognised</w:t>
      </w:r>
      <w:proofErr w:type="spellEnd"/>
      <w:r w:rsidRPr="00DA4247">
        <w:rPr>
          <w:rFonts w:ascii="Times New Roman" w:hAnsi="Times New Roman" w:cs="Times New Roman"/>
          <w:sz w:val="24"/>
          <w:szCs w:val="24"/>
        </w:rPr>
        <w:t xml:space="preserve"> institutions. Studies were excluded if they focused solely on clinical, epidemiological, or virological aspects without economic components.</w:t>
      </w:r>
    </w:p>
    <w:p w14:paraId="1867487D" w14:textId="77777777" w:rsidR="00C152C5" w:rsidRPr="00DA4247" w:rsidRDefault="00C152C5" w:rsidP="000E49EF">
      <w:pPr>
        <w:spacing w:line="276" w:lineRule="auto"/>
        <w:jc w:val="both"/>
        <w:rPr>
          <w:rFonts w:ascii="Times New Roman" w:hAnsi="Times New Roman" w:cs="Times New Roman"/>
          <w:b/>
          <w:sz w:val="24"/>
          <w:szCs w:val="24"/>
        </w:rPr>
      </w:pPr>
      <w:r w:rsidRPr="00DA4247">
        <w:rPr>
          <w:rFonts w:ascii="Times New Roman" w:hAnsi="Times New Roman" w:cs="Times New Roman"/>
          <w:b/>
          <w:sz w:val="24"/>
          <w:szCs w:val="24"/>
        </w:rPr>
        <w:t>2.3 Data Extraction and Analysis</w:t>
      </w:r>
    </w:p>
    <w:p w14:paraId="4D549CCE" w14:textId="77777777" w:rsidR="00C152C5" w:rsidRPr="00DA4247" w:rsidRDefault="00C152C5" w:rsidP="000E49EF">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t xml:space="preserve">Data were extracted on study characteristics, methodological approaches, economic indicators, and key findings. Economic data were </w:t>
      </w:r>
      <w:proofErr w:type="spellStart"/>
      <w:r w:rsidRPr="00DA4247">
        <w:rPr>
          <w:rFonts w:ascii="Times New Roman" w:hAnsi="Times New Roman" w:cs="Times New Roman"/>
          <w:sz w:val="24"/>
          <w:szCs w:val="24"/>
        </w:rPr>
        <w:t>standardised</w:t>
      </w:r>
      <w:proofErr w:type="spellEnd"/>
      <w:r w:rsidRPr="00DA4247">
        <w:rPr>
          <w:rFonts w:ascii="Times New Roman" w:hAnsi="Times New Roman" w:cs="Times New Roman"/>
          <w:sz w:val="24"/>
          <w:szCs w:val="24"/>
        </w:rPr>
        <w:t xml:space="preserve"> to USD where possible using contemporary exchange rates. Qualitative synthesis was conducted due to heterogeneity in methodological approaches and geographic contexts.</w:t>
      </w:r>
    </w:p>
    <w:p w14:paraId="421069EC" w14:textId="77777777" w:rsidR="00F91781" w:rsidRPr="00DA4247" w:rsidRDefault="00F91781" w:rsidP="000E49EF">
      <w:pPr>
        <w:spacing w:line="276" w:lineRule="auto"/>
        <w:jc w:val="both"/>
        <w:rPr>
          <w:rFonts w:ascii="Times New Roman" w:hAnsi="Times New Roman" w:cs="Times New Roman"/>
          <w:b/>
          <w:sz w:val="24"/>
          <w:szCs w:val="24"/>
        </w:rPr>
      </w:pPr>
    </w:p>
    <w:p w14:paraId="0ABC4978" w14:textId="77777777" w:rsidR="00C152C5" w:rsidRPr="00DA4247" w:rsidRDefault="00C152C5" w:rsidP="000E49EF">
      <w:pPr>
        <w:spacing w:line="276" w:lineRule="auto"/>
        <w:jc w:val="both"/>
        <w:rPr>
          <w:rFonts w:ascii="Times New Roman" w:hAnsi="Times New Roman" w:cs="Times New Roman"/>
          <w:b/>
          <w:sz w:val="24"/>
          <w:szCs w:val="24"/>
        </w:rPr>
      </w:pPr>
      <w:r w:rsidRPr="00DA4247">
        <w:rPr>
          <w:rFonts w:ascii="Times New Roman" w:hAnsi="Times New Roman" w:cs="Times New Roman"/>
          <w:b/>
          <w:sz w:val="24"/>
          <w:szCs w:val="24"/>
        </w:rPr>
        <w:t>3. Economic Impact Assessment Methodologies</w:t>
      </w:r>
    </w:p>
    <w:p w14:paraId="745B460D" w14:textId="77777777" w:rsidR="00C152C5" w:rsidRPr="00DA4247" w:rsidRDefault="00C152C5" w:rsidP="000E49EF">
      <w:pPr>
        <w:spacing w:line="276" w:lineRule="auto"/>
        <w:jc w:val="both"/>
        <w:rPr>
          <w:rFonts w:ascii="Times New Roman" w:hAnsi="Times New Roman" w:cs="Times New Roman"/>
          <w:b/>
          <w:sz w:val="24"/>
          <w:szCs w:val="24"/>
        </w:rPr>
      </w:pPr>
      <w:r w:rsidRPr="00DA4247">
        <w:rPr>
          <w:rFonts w:ascii="Times New Roman" w:hAnsi="Times New Roman" w:cs="Times New Roman"/>
          <w:b/>
          <w:sz w:val="24"/>
          <w:szCs w:val="24"/>
        </w:rPr>
        <w:t>3.1 Direct Cost Assessment Approaches</w:t>
      </w:r>
    </w:p>
    <w:p w14:paraId="6C9B492C" w14:textId="77777777" w:rsidR="00C152C5" w:rsidRPr="00DA4247" w:rsidRDefault="00C152C5" w:rsidP="000E49EF">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t xml:space="preserve">Economic impact studies of LSD have employed various methodological frameworks, ranging from simple cost accounting to sophisticated stochastic modelling approaches. Direct cost assessments typically include mortality losses, production losses (primarily milk reduction), treatment costs, and veterinary expenses (Chouhan </w:t>
      </w:r>
      <w:r w:rsidRPr="00DA4247">
        <w:rPr>
          <w:rFonts w:ascii="Times New Roman" w:hAnsi="Times New Roman" w:cs="Times New Roman"/>
          <w:i/>
          <w:sz w:val="24"/>
          <w:szCs w:val="24"/>
        </w:rPr>
        <w:t>et al.,</w:t>
      </w:r>
      <w:r w:rsidRPr="00DA4247">
        <w:rPr>
          <w:rFonts w:ascii="Times New Roman" w:hAnsi="Times New Roman" w:cs="Times New Roman"/>
          <w:sz w:val="24"/>
          <w:szCs w:val="24"/>
        </w:rPr>
        <w:t xml:space="preserve"> 2022; Molla </w:t>
      </w:r>
      <w:r w:rsidRPr="00DA4247">
        <w:rPr>
          <w:rFonts w:ascii="Times New Roman" w:hAnsi="Times New Roman" w:cs="Times New Roman"/>
          <w:i/>
          <w:sz w:val="24"/>
          <w:szCs w:val="24"/>
        </w:rPr>
        <w:t>et al.,</w:t>
      </w:r>
      <w:r w:rsidRPr="00DA4247">
        <w:rPr>
          <w:rFonts w:ascii="Times New Roman" w:hAnsi="Times New Roman" w:cs="Times New Roman"/>
          <w:sz w:val="24"/>
          <w:szCs w:val="24"/>
        </w:rPr>
        <w:t xml:space="preserve"> 2017).</w:t>
      </w:r>
    </w:p>
    <w:p w14:paraId="1C52FEEB" w14:textId="77777777" w:rsidR="00C152C5" w:rsidRPr="00DA4247" w:rsidRDefault="00C152C5" w:rsidP="000E49EF">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t xml:space="preserve">Mortality losses are generally calculated as the number of deaths multiplied by the average market value of affected animals, considering age, breed, and productive status. However, this approach often underestimates the true economic value, particularly for breeding animals and draft cattle in smallholder systems (Saqib </w:t>
      </w:r>
      <w:r w:rsidRPr="00DA4247">
        <w:rPr>
          <w:rFonts w:ascii="Times New Roman" w:hAnsi="Times New Roman" w:cs="Times New Roman"/>
          <w:i/>
          <w:sz w:val="24"/>
          <w:szCs w:val="24"/>
        </w:rPr>
        <w:t>et al.,</w:t>
      </w:r>
      <w:r w:rsidRPr="00DA4247">
        <w:rPr>
          <w:rFonts w:ascii="Times New Roman" w:hAnsi="Times New Roman" w:cs="Times New Roman"/>
          <w:sz w:val="24"/>
          <w:szCs w:val="24"/>
        </w:rPr>
        <w:t xml:space="preserve"> 2023).</w:t>
      </w:r>
    </w:p>
    <w:p w14:paraId="370A406F" w14:textId="77777777" w:rsidR="00C152C5" w:rsidRPr="00DA4247" w:rsidRDefault="00C152C5" w:rsidP="000E49EF">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t>Production losses, predominantly milk yield reduction, represent the most significant economic component in dairy systems. Studies report milk production decreases ranging from 20-65% during acute infection, with recovery periods extending 2-8 weeks post-recovery (</w:t>
      </w:r>
      <w:r w:rsidR="00DD7DC4" w:rsidRPr="00DA4247">
        <w:rPr>
          <w:rFonts w:ascii="Times New Roman" w:hAnsi="Times New Roman" w:cs="Times New Roman"/>
          <w:sz w:val="24"/>
          <w:szCs w:val="24"/>
        </w:rPr>
        <w:t xml:space="preserve">Naidu </w:t>
      </w:r>
      <w:r w:rsidR="00DD7DC4" w:rsidRPr="00DA4247">
        <w:rPr>
          <w:rFonts w:ascii="Times New Roman" w:hAnsi="Times New Roman" w:cs="Times New Roman"/>
          <w:i/>
          <w:sz w:val="24"/>
          <w:szCs w:val="24"/>
        </w:rPr>
        <w:t>et al.,</w:t>
      </w:r>
      <w:r w:rsidR="00DD7DC4" w:rsidRPr="00DA4247">
        <w:rPr>
          <w:rFonts w:ascii="Times New Roman" w:hAnsi="Times New Roman" w:cs="Times New Roman"/>
          <w:sz w:val="24"/>
          <w:szCs w:val="24"/>
        </w:rPr>
        <w:t xml:space="preserve"> 2025</w:t>
      </w:r>
      <w:r w:rsidRPr="00DA4247">
        <w:rPr>
          <w:rFonts w:ascii="Times New Roman" w:hAnsi="Times New Roman" w:cs="Times New Roman"/>
          <w:sz w:val="24"/>
          <w:szCs w:val="24"/>
        </w:rPr>
        <w:t xml:space="preserve">; </w:t>
      </w:r>
      <w:r w:rsidR="007A6399" w:rsidRPr="00DA4247">
        <w:rPr>
          <w:rFonts w:ascii="Times New Roman" w:hAnsi="Times New Roman" w:cs="Times New Roman"/>
          <w:sz w:val="24"/>
          <w:szCs w:val="24"/>
        </w:rPr>
        <w:t xml:space="preserve">Rajendran </w:t>
      </w:r>
      <w:r w:rsidR="007A6399" w:rsidRPr="00DA4247">
        <w:rPr>
          <w:rFonts w:ascii="Times New Roman" w:hAnsi="Times New Roman" w:cs="Times New Roman"/>
          <w:i/>
          <w:sz w:val="24"/>
          <w:szCs w:val="24"/>
        </w:rPr>
        <w:t>et al.,</w:t>
      </w:r>
      <w:r w:rsidR="007A6399" w:rsidRPr="00DA4247">
        <w:rPr>
          <w:rFonts w:ascii="Times New Roman" w:hAnsi="Times New Roman" w:cs="Times New Roman"/>
          <w:sz w:val="24"/>
          <w:szCs w:val="24"/>
        </w:rPr>
        <w:t xml:space="preserve"> 2025</w:t>
      </w:r>
      <w:r w:rsidRPr="00DA4247">
        <w:rPr>
          <w:rFonts w:ascii="Times New Roman" w:hAnsi="Times New Roman" w:cs="Times New Roman"/>
          <w:sz w:val="24"/>
          <w:szCs w:val="24"/>
        </w:rPr>
        <w:t>). The duration and severity of production losses vary significantly based on cattle breed, management systems, and disease severity.</w:t>
      </w:r>
    </w:p>
    <w:p w14:paraId="1F56AB9B" w14:textId="77777777" w:rsidR="00C152C5" w:rsidRPr="00DA4247" w:rsidRDefault="00C152C5" w:rsidP="000E49EF">
      <w:pPr>
        <w:spacing w:line="276" w:lineRule="auto"/>
        <w:jc w:val="both"/>
        <w:rPr>
          <w:rFonts w:ascii="Times New Roman" w:hAnsi="Times New Roman" w:cs="Times New Roman"/>
          <w:b/>
          <w:sz w:val="24"/>
          <w:szCs w:val="24"/>
        </w:rPr>
      </w:pPr>
      <w:r w:rsidRPr="00DA4247">
        <w:rPr>
          <w:rFonts w:ascii="Times New Roman" w:hAnsi="Times New Roman" w:cs="Times New Roman"/>
          <w:b/>
          <w:sz w:val="24"/>
          <w:szCs w:val="24"/>
        </w:rPr>
        <w:t>3.2 Indirect Cost Quantification</w:t>
      </w:r>
    </w:p>
    <w:p w14:paraId="5B022582" w14:textId="77777777" w:rsidR="00C152C5" w:rsidRPr="00DA4247" w:rsidRDefault="00C152C5" w:rsidP="000E49EF">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t>Indirect costs encompass opportunity costs, management time, market disruptions, and broader socioeconomic impacts. These costs are frequently underestimated or omitted in economic assessments despite their substantial contribution to total econom</w:t>
      </w:r>
      <w:r w:rsidR="00E12C91" w:rsidRPr="00DA4247">
        <w:rPr>
          <w:rFonts w:ascii="Times New Roman" w:hAnsi="Times New Roman" w:cs="Times New Roman"/>
          <w:sz w:val="24"/>
          <w:szCs w:val="24"/>
        </w:rPr>
        <w:t>ic burden (</w:t>
      </w:r>
      <w:proofErr w:type="spellStart"/>
      <w:r w:rsidR="00E12C91" w:rsidRPr="00DA4247">
        <w:rPr>
          <w:rFonts w:ascii="Times New Roman" w:hAnsi="Times New Roman" w:cs="Times New Roman"/>
          <w:sz w:val="24"/>
          <w:szCs w:val="24"/>
        </w:rPr>
        <w:t>Modethed</w:t>
      </w:r>
      <w:proofErr w:type="spellEnd"/>
      <w:r w:rsidR="00E12C91" w:rsidRPr="00DA4247">
        <w:rPr>
          <w:rFonts w:ascii="Times New Roman" w:hAnsi="Times New Roman" w:cs="Times New Roman"/>
          <w:sz w:val="24"/>
          <w:szCs w:val="24"/>
        </w:rPr>
        <w:t xml:space="preserve"> </w:t>
      </w:r>
      <w:r w:rsidR="00E12C91" w:rsidRPr="00DA4247">
        <w:rPr>
          <w:rFonts w:ascii="Times New Roman" w:hAnsi="Times New Roman" w:cs="Times New Roman"/>
          <w:i/>
          <w:sz w:val="24"/>
          <w:szCs w:val="24"/>
        </w:rPr>
        <w:t>et al.,</w:t>
      </w:r>
      <w:r w:rsidR="00E12C91" w:rsidRPr="00DA4247">
        <w:rPr>
          <w:rFonts w:ascii="Times New Roman" w:hAnsi="Times New Roman" w:cs="Times New Roman"/>
          <w:sz w:val="24"/>
          <w:szCs w:val="24"/>
        </w:rPr>
        <w:t xml:space="preserve"> 2025</w:t>
      </w:r>
      <w:r w:rsidRPr="00DA4247">
        <w:rPr>
          <w:rFonts w:ascii="Times New Roman" w:hAnsi="Times New Roman" w:cs="Times New Roman"/>
          <w:sz w:val="24"/>
          <w:szCs w:val="24"/>
        </w:rPr>
        <w:t>).</w:t>
      </w:r>
    </w:p>
    <w:p w14:paraId="7C65E203" w14:textId="77777777" w:rsidR="00C152C5" w:rsidRPr="00DA4247" w:rsidRDefault="00C152C5" w:rsidP="000E49EF">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t xml:space="preserve">Opportunity costs include foregone income from alternative livestock activities and </w:t>
      </w:r>
      <w:proofErr w:type="spellStart"/>
      <w:r w:rsidRPr="00DA4247">
        <w:rPr>
          <w:rFonts w:ascii="Times New Roman" w:hAnsi="Times New Roman" w:cs="Times New Roman"/>
          <w:sz w:val="24"/>
          <w:szCs w:val="24"/>
        </w:rPr>
        <w:t>labour</w:t>
      </w:r>
      <w:proofErr w:type="spellEnd"/>
      <w:r w:rsidRPr="00DA4247">
        <w:rPr>
          <w:rFonts w:ascii="Times New Roman" w:hAnsi="Times New Roman" w:cs="Times New Roman"/>
          <w:sz w:val="24"/>
          <w:szCs w:val="24"/>
        </w:rPr>
        <w:t xml:space="preserve"> allocation inefficiencies during outbreak management. Market disruptions manifest as reduced selling prices, delayed marketing, and trade restrictions, particularly affecting export-oriented operations (Hutchinson </w:t>
      </w:r>
      <w:r w:rsidRPr="00DA4247">
        <w:rPr>
          <w:rFonts w:ascii="Times New Roman" w:hAnsi="Times New Roman" w:cs="Times New Roman"/>
          <w:i/>
          <w:sz w:val="24"/>
          <w:szCs w:val="24"/>
        </w:rPr>
        <w:t>et al.,</w:t>
      </w:r>
      <w:r w:rsidRPr="00DA4247">
        <w:rPr>
          <w:rFonts w:ascii="Times New Roman" w:hAnsi="Times New Roman" w:cs="Times New Roman"/>
          <w:sz w:val="24"/>
          <w:szCs w:val="24"/>
        </w:rPr>
        <w:t xml:space="preserve"> 2024).</w:t>
      </w:r>
    </w:p>
    <w:p w14:paraId="6B9C7B9B" w14:textId="77777777" w:rsidR="00C152C5" w:rsidRPr="00DA4247" w:rsidRDefault="00C152C5" w:rsidP="000E49EF">
      <w:pPr>
        <w:spacing w:line="276" w:lineRule="auto"/>
        <w:jc w:val="both"/>
        <w:rPr>
          <w:rFonts w:ascii="Times New Roman" w:hAnsi="Times New Roman" w:cs="Times New Roman"/>
          <w:b/>
          <w:sz w:val="24"/>
          <w:szCs w:val="24"/>
        </w:rPr>
      </w:pPr>
      <w:r w:rsidRPr="00DA4247">
        <w:rPr>
          <w:rFonts w:ascii="Times New Roman" w:hAnsi="Times New Roman" w:cs="Times New Roman"/>
          <w:b/>
          <w:sz w:val="24"/>
          <w:szCs w:val="24"/>
        </w:rPr>
        <w:t>3.3 Stochastic Modelling Approaches</w:t>
      </w:r>
    </w:p>
    <w:p w14:paraId="6D3EE683" w14:textId="77777777" w:rsidR="00C152C5" w:rsidRPr="00DA4247" w:rsidRDefault="00C152C5" w:rsidP="000E49EF">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t xml:space="preserve">Recent studies have increasingly adopted stochastic modelling using Monte Carlo simulation to address uncertainty in disease parameters and economic variables </w:t>
      </w:r>
      <w:r w:rsidR="00831473" w:rsidRPr="00DA4247">
        <w:rPr>
          <w:rFonts w:ascii="Times New Roman" w:hAnsi="Times New Roman" w:cs="Times New Roman"/>
          <w:sz w:val="24"/>
          <w:szCs w:val="24"/>
        </w:rPr>
        <w:t xml:space="preserve">(Naidu </w:t>
      </w:r>
      <w:r w:rsidR="00831473" w:rsidRPr="00DA4247">
        <w:rPr>
          <w:rFonts w:ascii="Times New Roman" w:hAnsi="Times New Roman" w:cs="Times New Roman"/>
          <w:i/>
          <w:sz w:val="24"/>
          <w:szCs w:val="24"/>
        </w:rPr>
        <w:t>et al.,</w:t>
      </w:r>
      <w:r w:rsidR="00831473" w:rsidRPr="00DA4247">
        <w:rPr>
          <w:rFonts w:ascii="Times New Roman" w:hAnsi="Times New Roman" w:cs="Times New Roman"/>
          <w:sz w:val="24"/>
          <w:szCs w:val="24"/>
        </w:rPr>
        <w:t xml:space="preserve"> 2025; </w:t>
      </w:r>
      <w:proofErr w:type="spellStart"/>
      <w:r w:rsidR="00831473" w:rsidRPr="00DA4247">
        <w:rPr>
          <w:rFonts w:ascii="Times New Roman" w:hAnsi="Times New Roman" w:cs="Times New Roman"/>
          <w:sz w:val="24"/>
          <w:szCs w:val="24"/>
        </w:rPr>
        <w:t>Modethed</w:t>
      </w:r>
      <w:proofErr w:type="spellEnd"/>
      <w:r w:rsidR="00831473" w:rsidRPr="00DA4247">
        <w:rPr>
          <w:rFonts w:ascii="Times New Roman" w:hAnsi="Times New Roman" w:cs="Times New Roman"/>
          <w:sz w:val="24"/>
          <w:szCs w:val="24"/>
        </w:rPr>
        <w:t xml:space="preserve"> </w:t>
      </w:r>
      <w:r w:rsidR="00831473" w:rsidRPr="00DA4247">
        <w:rPr>
          <w:rFonts w:ascii="Times New Roman" w:hAnsi="Times New Roman" w:cs="Times New Roman"/>
          <w:i/>
          <w:sz w:val="24"/>
          <w:szCs w:val="24"/>
        </w:rPr>
        <w:t>et al.,</w:t>
      </w:r>
      <w:r w:rsidR="00831473" w:rsidRPr="00DA4247">
        <w:rPr>
          <w:rFonts w:ascii="Times New Roman" w:hAnsi="Times New Roman" w:cs="Times New Roman"/>
          <w:sz w:val="24"/>
          <w:szCs w:val="24"/>
        </w:rPr>
        <w:t xml:space="preserve"> 2025)</w:t>
      </w:r>
      <w:r w:rsidRPr="00DA4247">
        <w:rPr>
          <w:rFonts w:ascii="Times New Roman" w:hAnsi="Times New Roman" w:cs="Times New Roman"/>
          <w:sz w:val="24"/>
          <w:szCs w:val="24"/>
        </w:rPr>
        <w:t>. This approach allows incorporation of probability distributions for key variables including incidence rates, mortality, production losses, and market prices, providing more robust economic estimates with confidence intervals.</w:t>
      </w:r>
    </w:p>
    <w:p w14:paraId="211E1D83" w14:textId="77777777" w:rsidR="00C152C5" w:rsidRPr="00DA4247" w:rsidRDefault="00C152C5" w:rsidP="000E49EF">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t>Sensitivity analysis using tornado diagrams has identified milk production losses, disease incidence rates, and recovery duration as the most influential factors affecting total economic losses (</w:t>
      </w:r>
      <w:r w:rsidR="00F36C52" w:rsidRPr="00DA4247">
        <w:rPr>
          <w:rFonts w:ascii="Times New Roman" w:hAnsi="Times New Roman" w:cs="Times New Roman"/>
          <w:sz w:val="24"/>
          <w:szCs w:val="24"/>
        </w:rPr>
        <w:t xml:space="preserve">Naidu </w:t>
      </w:r>
      <w:r w:rsidR="00F36C52" w:rsidRPr="00DA4247">
        <w:rPr>
          <w:rFonts w:ascii="Times New Roman" w:hAnsi="Times New Roman" w:cs="Times New Roman"/>
          <w:i/>
          <w:sz w:val="24"/>
          <w:szCs w:val="24"/>
        </w:rPr>
        <w:t>et al.,</w:t>
      </w:r>
      <w:r w:rsidR="00F36C52" w:rsidRPr="00DA4247">
        <w:rPr>
          <w:rFonts w:ascii="Times New Roman" w:hAnsi="Times New Roman" w:cs="Times New Roman"/>
          <w:sz w:val="24"/>
          <w:szCs w:val="24"/>
        </w:rPr>
        <w:t xml:space="preserve"> 2025; </w:t>
      </w:r>
      <w:proofErr w:type="spellStart"/>
      <w:r w:rsidR="00F36C52" w:rsidRPr="00DA4247">
        <w:rPr>
          <w:rFonts w:ascii="Times New Roman" w:hAnsi="Times New Roman" w:cs="Times New Roman"/>
          <w:sz w:val="24"/>
          <w:szCs w:val="24"/>
        </w:rPr>
        <w:t>Modethed</w:t>
      </w:r>
      <w:proofErr w:type="spellEnd"/>
      <w:r w:rsidR="00F36C52" w:rsidRPr="00DA4247">
        <w:rPr>
          <w:rFonts w:ascii="Times New Roman" w:hAnsi="Times New Roman" w:cs="Times New Roman"/>
          <w:sz w:val="24"/>
          <w:szCs w:val="24"/>
        </w:rPr>
        <w:t xml:space="preserve"> </w:t>
      </w:r>
      <w:r w:rsidR="00F36C52" w:rsidRPr="00DA4247">
        <w:rPr>
          <w:rFonts w:ascii="Times New Roman" w:hAnsi="Times New Roman" w:cs="Times New Roman"/>
          <w:i/>
          <w:sz w:val="24"/>
          <w:szCs w:val="24"/>
        </w:rPr>
        <w:t>et al.,</w:t>
      </w:r>
      <w:r w:rsidR="00F36C52" w:rsidRPr="00DA4247">
        <w:rPr>
          <w:rFonts w:ascii="Times New Roman" w:hAnsi="Times New Roman" w:cs="Times New Roman"/>
          <w:sz w:val="24"/>
          <w:szCs w:val="24"/>
        </w:rPr>
        <w:t xml:space="preserve"> 2025</w:t>
      </w:r>
      <w:r w:rsidRPr="00DA4247">
        <w:rPr>
          <w:rFonts w:ascii="Times New Roman" w:hAnsi="Times New Roman" w:cs="Times New Roman"/>
          <w:sz w:val="24"/>
          <w:szCs w:val="24"/>
        </w:rPr>
        <w:t xml:space="preserve">; </w:t>
      </w:r>
      <w:r w:rsidR="006363D9" w:rsidRPr="00DA4247">
        <w:rPr>
          <w:rFonts w:ascii="Times New Roman" w:hAnsi="Times New Roman" w:cs="Times New Roman"/>
          <w:sz w:val="24"/>
          <w:szCs w:val="24"/>
        </w:rPr>
        <w:t xml:space="preserve">Rajendran </w:t>
      </w:r>
      <w:r w:rsidR="006363D9" w:rsidRPr="00DA4247">
        <w:rPr>
          <w:rFonts w:ascii="Times New Roman" w:hAnsi="Times New Roman" w:cs="Times New Roman"/>
          <w:i/>
          <w:sz w:val="24"/>
          <w:szCs w:val="24"/>
        </w:rPr>
        <w:t>et al.,</w:t>
      </w:r>
      <w:r w:rsidR="006363D9" w:rsidRPr="00DA4247">
        <w:rPr>
          <w:rFonts w:ascii="Times New Roman" w:hAnsi="Times New Roman" w:cs="Times New Roman"/>
          <w:sz w:val="24"/>
          <w:szCs w:val="24"/>
        </w:rPr>
        <w:t xml:space="preserve"> 2025</w:t>
      </w:r>
      <w:r w:rsidRPr="00DA4247">
        <w:rPr>
          <w:rFonts w:ascii="Times New Roman" w:hAnsi="Times New Roman" w:cs="Times New Roman"/>
          <w:sz w:val="24"/>
          <w:szCs w:val="24"/>
        </w:rPr>
        <w:t>).</w:t>
      </w:r>
    </w:p>
    <w:p w14:paraId="1B5EF00D" w14:textId="77777777" w:rsidR="00F91781" w:rsidRPr="00DA4247" w:rsidRDefault="00F91781" w:rsidP="000E49EF">
      <w:pPr>
        <w:spacing w:line="276" w:lineRule="auto"/>
        <w:jc w:val="both"/>
        <w:rPr>
          <w:rFonts w:ascii="Times New Roman" w:hAnsi="Times New Roman" w:cs="Times New Roman"/>
          <w:b/>
          <w:sz w:val="24"/>
          <w:szCs w:val="24"/>
        </w:rPr>
      </w:pPr>
    </w:p>
    <w:p w14:paraId="242BE4D0" w14:textId="77777777" w:rsidR="00C152C5" w:rsidRPr="00DA4247" w:rsidRDefault="00C152C5" w:rsidP="000E49EF">
      <w:pPr>
        <w:spacing w:line="276" w:lineRule="auto"/>
        <w:jc w:val="both"/>
        <w:rPr>
          <w:rFonts w:ascii="Times New Roman" w:hAnsi="Times New Roman" w:cs="Times New Roman"/>
          <w:b/>
          <w:sz w:val="24"/>
          <w:szCs w:val="24"/>
        </w:rPr>
      </w:pPr>
      <w:r w:rsidRPr="00DA4247">
        <w:rPr>
          <w:rFonts w:ascii="Times New Roman" w:hAnsi="Times New Roman" w:cs="Times New Roman"/>
          <w:b/>
          <w:sz w:val="24"/>
          <w:szCs w:val="24"/>
        </w:rPr>
        <w:t>4. Geographic Patterns of Economic Impact</w:t>
      </w:r>
    </w:p>
    <w:p w14:paraId="42F5BAFB" w14:textId="77777777" w:rsidR="00C152C5" w:rsidRPr="00DA4247" w:rsidRDefault="00C152C5" w:rsidP="000E49EF">
      <w:pPr>
        <w:spacing w:line="276" w:lineRule="auto"/>
        <w:jc w:val="both"/>
        <w:rPr>
          <w:rFonts w:ascii="Times New Roman" w:hAnsi="Times New Roman" w:cs="Times New Roman"/>
          <w:b/>
          <w:sz w:val="24"/>
          <w:szCs w:val="24"/>
        </w:rPr>
      </w:pPr>
      <w:r w:rsidRPr="00DA4247">
        <w:rPr>
          <w:rFonts w:ascii="Times New Roman" w:hAnsi="Times New Roman" w:cs="Times New Roman"/>
          <w:b/>
          <w:sz w:val="24"/>
          <w:szCs w:val="24"/>
        </w:rPr>
        <w:t>4.1 African Context</w:t>
      </w:r>
    </w:p>
    <w:p w14:paraId="68130A98" w14:textId="77777777" w:rsidR="00C152C5" w:rsidRPr="00DA4247" w:rsidRDefault="00C152C5" w:rsidP="000E49EF">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t xml:space="preserve">In Ethiopia, the first comprehensive economic study by Gari </w:t>
      </w:r>
      <w:r w:rsidRPr="00DA4247">
        <w:rPr>
          <w:rFonts w:ascii="Times New Roman" w:hAnsi="Times New Roman" w:cs="Times New Roman"/>
          <w:i/>
          <w:sz w:val="24"/>
          <w:szCs w:val="24"/>
        </w:rPr>
        <w:t>et al.</w:t>
      </w:r>
      <w:r w:rsidRPr="00DA4247">
        <w:rPr>
          <w:rFonts w:ascii="Times New Roman" w:hAnsi="Times New Roman" w:cs="Times New Roman"/>
          <w:sz w:val="24"/>
          <w:szCs w:val="24"/>
        </w:rPr>
        <w:t xml:space="preserve"> (2011) estimated annual financial costs of USD 6.43 per head for local zebu cattle and USD 58 per head for Holstein Friesian crossbred cattle in infected herds. A subsequent study by Molla </w:t>
      </w:r>
      <w:r w:rsidRPr="00DA4247">
        <w:rPr>
          <w:rFonts w:ascii="Times New Roman" w:hAnsi="Times New Roman" w:cs="Times New Roman"/>
          <w:i/>
          <w:sz w:val="24"/>
          <w:szCs w:val="24"/>
        </w:rPr>
        <w:t>et al.</w:t>
      </w:r>
      <w:r w:rsidRPr="00DA4247">
        <w:rPr>
          <w:rFonts w:ascii="Times New Roman" w:hAnsi="Times New Roman" w:cs="Times New Roman"/>
          <w:sz w:val="24"/>
          <w:szCs w:val="24"/>
        </w:rPr>
        <w:t xml:space="preserve"> (2017) reported median economic losses of USD 1,176 per herd during outbreaks, with subsistence farms losing approximately USD 489 compared to USD 2,735 in commercial operations.</w:t>
      </w:r>
    </w:p>
    <w:p w14:paraId="3D8A5A23" w14:textId="77777777" w:rsidR="00C152C5" w:rsidRPr="00DA4247" w:rsidRDefault="00C152C5" w:rsidP="000E49EF">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t xml:space="preserve">The variation in economic impact between production systems reflects differences in cattle value, production intensity, and market integration. Crossbred cattle consistently demonstrate higher economic losses due to greater susceptibility, higher production potential, and increased market value (Molla </w:t>
      </w:r>
      <w:r w:rsidRPr="00DA4247">
        <w:rPr>
          <w:rFonts w:ascii="Times New Roman" w:hAnsi="Times New Roman" w:cs="Times New Roman"/>
          <w:i/>
          <w:sz w:val="24"/>
          <w:szCs w:val="24"/>
        </w:rPr>
        <w:t>et al.,</w:t>
      </w:r>
      <w:r w:rsidRPr="00DA4247">
        <w:rPr>
          <w:rFonts w:ascii="Times New Roman" w:hAnsi="Times New Roman" w:cs="Times New Roman"/>
          <w:sz w:val="24"/>
          <w:szCs w:val="24"/>
        </w:rPr>
        <w:t xml:space="preserve"> 2017).</w:t>
      </w:r>
    </w:p>
    <w:p w14:paraId="7FB0C049" w14:textId="77777777" w:rsidR="00C152C5" w:rsidRPr="00DA4247" w:rsidRDefault="00C152C5" w:rsidP="000E49EF">
      <w:pPr>
        <w:spacing w:line="276" w:lineRule="auto"/>
        <w:jc w:val="both"/>
        <w:rPr>
          <w:rFonts w:ascii="Times New Roman" w:hAnsi="Times New Roman" w:cs="Times New Roman"/>
          <w:b/>
          <w:sz w:val="24"/>
          <w:szCs w:val="24"/>
        </w:rPr>
      </w:pPr>
      <w:r w:rsidRPr="00DA4247">
        <w:rPr>
          <w:rFonts w:ascii="Times New Roman" w:hAnsi="Times New Roman" w:cs="Times New Roman"/>
          <w:b/>
          <w:sz w:val="24"/>
          <w:szCs w:val="24"/>
        </w:rPr>
        <w:t>4.2 Asian Emergence and Economic Consequences</w:t>
      </w:r>
    </w:p>
    <w:p w14:paraId="3ACDACFA" w14:textId="77777777" w:rsidR="00C152C5" w:rsidRPr="00DA4247" w:rsidRDefault="00C152C5" w:rsidP="000E49EF">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t>The introduction of LSD into Asia since 2019 has resulted in unprecedented economic losses due to the region's vast cattle populations and intensive production systems. India, hosting nearly 300 million cattle and buffalo, has experienced some of the most severe economic impacts globally (TAFS, 2024).</w:t>
      </w:r>
    </w:p>
    <w:p w14:paraId="7F71C16B" w14:textId="77777777" w:rsidR="00C152C5" w:rsidRPr="00DA4247" w:rsidRDefault="007041A9" w:rsidP="000E49EF">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t xml:space="preserve">LSD transmission in South and Southeast Asia is strongly influenced by seasonal climatic conditions, with outbreaks peaking during pre-monsoon and monsoon periods due to increased vector activity (Bhuiyan, 2025). </w:t>
      </w:r>
      <w:r w:rsidR="00732F41" w:rsidRPr="00DA4247">
        <w:rPr>
          <w:rFonts w:ascii="Times New Roman" w:hAnsi="Times New Roman" w:cs="Times New Roman"/>
          <w:sz w:val="24"/>
          <w:szCs w:val="24"/>
        </w:rPr>
        <w:t xml:space="preserve">Naidu </w:t>
      </w:r>
      <w:r w:rsidR="00732F41" w:rsidRPr="00DA4247">
        <w:rPr>
          <w:rFonts w:ascii="Times New Roman" w:hAnsi="Times New Roman" w:cs="Times New Roman"/>
          <w:i/>
          <w:sz w:val="24"/>
          <w:szCs w:val="24"/>
        </w:rPr>
        <w:t>et al.</w:t>
      </w:r>
      <w:r w:rsidR="00732F41" w:rsidRPr="00DA4247">
        <w:rPr>
          <w:rFonts w:ascii="Times New Roman" w:hAnsi="Times New Roman" w:cs="Times New Roman"/>
          <w:sz w:val="24"/>
          <w:szCs w:val="24"/>
        </w:rPr>
        <w:t xml:space="preserve"> (2025)</w:t>
      </w:r>
      <w:r w:rsidR="00C152C5" w:rsidRPr="00DA4247">
        <w:rPr>
          <w:rFonts w:ascii="Times New Roman" w:hAnsi="Times New Roman" w:cs="Times New Roman"/>
          <w:sz w:val="24"/>
          <w:szCs w:val="24"/>
        </w:rPr>
        <w:t xml:space="preserve"> conducted the most comprehensive economic assessment in Asia, estimating total economic losses of USD 2,440.29 million (90% CI: 2,162.55-2,716.15) across seven Indian states during the 2022-2023 outbreak period. Gujarat state reported the highest milk losses, with median reductions of 90 </w:t>
      </w:r>
      <w:proofErr w:type="spellStart"/>
      <w:r w:rsidR="00C152C5" w:rsidRPr="00DA4247">
        <w:rPr>
          <w:rFonts w:ascii="Times New Roman" w:hAnsi="Times New Roman" w:cs="Times New Roman"/>
          <w:sz w:val="24"/>
          <w:szCs w:val="24"/>
        </w:rPr>
        <w:t>litres</w:t>
      </w:r>
      <w:proofErr w:type="spellEnd"/>
      <w:r w:rsidR="00C152C5" w:rsidRPr="00DA4247">
        <w:rPr>
          <w:rFonts w:ascii="Times New Roman" w:hAnsi="Times New Roman" w:cs="Times New Roman"/>
          <w:sz w:val="24"/>
          <w:szCs w:val="24"/>
        </w:rPr>
        <w:t xml:space="preserve"> per animal, while crossbred cattle experienced disproportionately higher economic impacts due to greater productivity and market value.</w:t>
      </w:r>
    </w:p>
    <w:p w14:paraId="4A161477" w14:textId="77777777" w:rsidR="00C152C5" w:rsidRPr="00DA4247" w:rsidRDefault="00C152C5" w:rsidP="000E49EF">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t xml:space="preserve">In Bangladesh, Chouhan </w:t>
      </w:r>
      <w:r w:rsidRPr="00DA4247">
        <w:rPr>
          <w:rFonts w:ascii="Times New Roman" w:hAnsi="Times New Roman" w:cs="Times New Roman"/>
          <w:i/>
          <w:sz w:val="24"/>
          <w:szCs w:val="24"/>
        </w:rPr>
        <w:t>et al.</w:t>
      </w:r>
      <w:r w:rsidRPr="00DA4247">
        <w:rPr>
          <w:rFonts w:ascii="Times New Roman" w:hAnsi="Times New Roman" w:cs="Times New Roman"/>
          <w:sz w:val="24"/>
          <w:szCs w:val="24"/>
        </w:rPr>
        <w:t xml:space="preserve"> (2022) reported the first economic assessment following LSD introduction in 2019, documenting attack rates of 34% with case fatality rates of 3.23% in Mymensingh and Gaibandha districts. However, comprehensive economic analysis was limited, highlighting the need for more detailed economic assessments in the country.</w:t>
      </w:r>
    </w:p>
    <w:p w14:paraId="4C1BF6F7" w14:textId="77777777" w:rsidR="00C152C5" w:rsidRPr="00DA4247" w:rsidRDefault="00C152C5" w:rsidP="000E49EF">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t xml:space="preserve">Pakistani studies indicate economic losses of approximately USD 100 per affected animal, with exotic cattle breeds showing higher mortality and productivity losses compared to indigenous breeds (Saqib </w:t>
      </w:r>
      <w:r w:rsidRPr="00DA4247">
        <w:rPr>
          <w:rFonts w:ascii="Times New Roman" w:hAnsi="Times New Roman" w:cs="Times New Roman"/>
          <w:i/>
          <w:sz w:val="24"/>
          <w:szCs w:val="24"/>
        </w:rPr>
        <w:t>et al.,</w:t>
      </w:r>
      <w:r w:rsidRPr="00DA4247">
        <w:rPr>
          <w:rFonts w:ascii="Times New Roman" w:hAnsi="Times New Roman" w:cs="Times New Roman"/>
          <w:sz w:val="24"/>
          <w:szCs w:val="24"/>
        </w:rPr>
        <w:t xml:space="preserve"> 2023). The study identified significant household-level impacts, with farmers experiencing reduced income, increased debt, and emotional stress.</w:t>
      </w:r>
    </w:p>
    <w:p w14:paraId="67DE447C" w14:textId="77777777" w:rsidR="00C152C5" w:rsidRPr="00DA4247" w:rsidRDefault="00C152C5" w:rsidP="000E49EF">
      <w:pPr>
        <w:spacing w:line="276" w:lineRule="auto"/>
        <w:jc w:val="both"/>
        <w:rPr>
          <w:rFonts w:ascii="Times New Roman" w:hAnsi="Times New Roman" w:cs="Times New Roman"/>
          <w:b/>
          <w:sz w:val="24"/>
          <w:szCs w:val="24"/>
        </w:rPr>
      </w:pPr>
      <w:r w:rsidRPr="00DA4247">
        <w:rPr>
          <w:rFonts w:ascii="Times New Roman" w:hAnsi="Times New Roman" w:cs="Times New Roman"/>
          <w:b/>
          <w:sz w:val="24"/>
          <w:szCs w:val="24"/>
        </w:rPr>
        <w:t>4.3 Southeast Asian Spread and Trade Implications</w:t>
      </w:r>
    </w:p>
    <w:p w14:paraId="54F63252" w14:textId="77777777" w:rsidR="00C152C5" w:rsidRPr="00DA4247" w:rsidRDefault="00C152C5" w:rsidP="000E49EF">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lastRenderedPageBreak/>
        <w:t>The rapid spread of LSD across Southeast Asia since 2020 has created substantial economic disruptions beyond direct production losses (Wilhelm &amp; Ward, 2023). Thailand experienced significant outbreaks in 2021, with economic losses ranging from USD 119.42 to USD 412.57 per farmer due to reduced milk production and market disruptions (WOAH, 2024).</w:t>
      </w:r>
    </w:p>
    <w:p w14:paraId="03F55580" w14:textId="77777777" w:rsidR="00C152C5" w:rsidRPr="00DA4247" w:rsidRDefault="00C152C5" w:rsidP="000E49EF">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t xml:space="preserve">Indonesia's first LSD cases in March 2022 resulted in substantial livestock losses by August 2023, leading to trade disruptions with Australia, an important player in the global beef industry (Hutchinson </w:t>
      </w:r>
      <w:r w:rsidRPr="00DA4247">
        <w:rPr>
          <w:rFonts w:ascii="Times New Roman" w:hAnsi="Times New Roman" w:cs="Times New Roman"/>
          <w:i/>
          <w:sz w:val="24"/>
          <w:szCs w:val="24"/>
        </w:rPr>
        <w:t>et al.,</w:t>
      </w:r>
      <w:r w:rsidRPr="00DA4247">
        <w:rPr>
          <w:rFonts w:ascii="Times New Roman" w:hAnsi="Times New Roman" w:cs="Times New Roman"/>
          <w:sz w:val="24"/>
          <w:szCs w:val="24"/>
        </w:rPr>
        <w:t xml:space="preserve"> 2024). These trade-related impacts demonstrate the broader economic consequences of LSD beyond farm-level losses.</w:t>
      </w:r>
    </w:p>
    <w:p w14:paraId="75DDBD94" w14:textId="77777777" w:rsidR="00F91781" w:rsidRPr="00DA4247" w:rsidRDefault="00F91781" w:rsidP="000E49EF">
      <w:pPr>
        <w:spacing w:line="276" w:lineRule="auto"/>
        <w:jc w:val="both"/>
        <w:rPr>
          <w:rFonts w:ascii="Times New Roman" w:hAnsi="Times New Roman" w:cs="Times New Roman"/>
          <w:b/>
          <w:sz w:val="24"/>
          <w:szCs w:val="24"/>
        </w:rPr>
      </w:pPr>
    </w:p>
    <w:p w14:paraId="56BECBCD" w14:textId="77777777" w:rsidR="00C152C5" w:rsidRPr="00DA4247" w:rsidRDefault="00C152C5" w:rsidP="000E49EF">
      <w:pPr>
        <w:spacing w:line="276" w:lineRule="auto"/>
        <w:jc w:val="both"/>
        <w:rPr>
          <w:rFonts w:ascii="Times New Roman" w:hAnsi="Times New Roman" w:cs="Times New Roman"/>
          <w:b/>
          <w:sz w:val="24"/>
          <w:szCs w:val="24"/>
        </w:rPr>
      </w:pPr>
      <w:r w:rsidRPr="00DA4247">
        <w:rPr>
          <w:rFonts w:ascii="Times New Roman" w:hAnsi="Times New Roman" w:cs="Times New Roman"/>
          <w:b/>
          <w:sz w:val="24"/>
          <w:szCs w:val="24"/>
        </w:rPr>
        <w:t>5. Cost-Benefit Analysis of Control Strategies</w:t>
      </w:r>
    </w:p>
    <w:p w14:paraId="709D6D2F" w14:textId="77777777" w:rsidR="00C152C5" w:rsidRPr="00DA4247" w:rsidRDefault="00C152C5" w:rsidP="000E49EF">
      <w:pPr>
        <w:spacing w:line="276" w:lineRule="auto"/>
        <w:jc w:val="both"/>
        <w:rPr>
          <w:rFonts w:ascii="Times New Roman" w:hAnsi="Times New Roman" w:cs="Times New Roman"/>
          <w:b/>
          <w:sz w:val="24"/>
          <w:szCs w:val="24"/>
        </w:rPr>
      </w:pPr>
      <w:r w:rsidRPr="00DA4247">
        <w:rPr>
          <w:rFonts w:ascii="Times New Roman" w:hAnsi="Times New Roman" w:cs="Times New Roman"/>
          <w:b/>
          <w:sz w:val="24"/>
          <w:szCs w:val="24"/>
        </w:rPr>
        <w:t>5.1 Vaccination Economics</w:t>
      </w:r>
    </w:p>
    <w:p w14:paraId="62728BA0" w14:textId="77777777" w:rsidR="00C152C5" w:rsidRPr="00DA4247" w:rsidRDefault="00C152C5" w:rsidP="000E49EF">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t xml:space="preserve">Vaccination represents the primary economically viable control strategy for LSD, with multiple studies demonstrating </w:t>
      </w:r>
      <w:proofErr w:type="spellStart"/>
      <w:r w:rsidRPr="00DA4247">
        <w:rPr>
          <w:rFonts w:ascii="Times New Roman" w:hAnsi="Times New Roman" w:cs="Times New Roman"/>
          <w:sz w:val="24"/>
          <w:szCs w:val="24"/>
        </w:rPr>
        <w:t>favourable</w:t>
      </w:r>
      <w:proofErr w:type="spellEnd"/>
      <w:r w:rsidRPr="00DA4247">
        <w:rPr>
          <w:rFonts w:ascii="Times New Roman" w:hAnsi="Times New Roman" w:cs="Times New Roman"/>
          <w:sz w:val="24"/>
          <w:szCs w:val="24"/>
        </w:rPr>
        <w:t xml:space="preserve"> benefit-cost ratios. Molla </w:t>
      </w:r>
      <w:r w:rsidRPr="00DA4247">
        <w:rPr>
          <w:rFonts w:ascii="Times New Roman" w:hAnsi="Times New Roman" w:cs="Times New Roman"/>
          <w:i/>
          <w:sz w:val="24"/>
          <w:szCs w:val="24"/>
        </w:rPr>
        <w:t>et al.</w:t>
      </w:r>
      <w:r w:rsidRPr="00DA4247">
        <w:rPr>
          <w:rFonts w:ascii="Times New Roman" w:hAnsi="Times New Roman" w:cs="Times New Roman"/>
          <w:sz w:val="24"/>
          <w:szCs w:val="24"/>
        </w:rPr>
        <w:t xml:space="preserve"> (2017) reported benefit-cost ratios ranging from 1.4 to 8.1 for annual vaccination </w:t>
      </w:r>
      <w:proofErr w:type="spellStart"/>
      <w:r w:rsidRPr="00DA4247">
        <w:rPr>
          <w:rFonts w:ascii="Times New Roman" w:hAnsi="Times New Roman" w:cs="Times New Roman"/>
          <w:sz w:val="24"/>
          <w:szCs w:val="24"/>
        </w:rPr>
        <w:t>programmes</w:t>
      </w:r>
      <w:proofErr w:type="spellEnd"/>
      <w:r w:rsidRPr="00DA4247">
        <w:rPr>
          <w:rFonts w:ascii="Times New Roman" w:hAnsi="Times New Roman" w:cs="Times New Roman"/>
          <w:sz w:val="24"/>
          <w:szCs w:val="24"/>
        </w:rPr>
        <w:t xml:space="preserve"> in Ethiopian farming systems, with marginal rates of return reaching 3,400%.</w:t>
      </w:r>
    </w:p>
    <w:p w14:paraId="5F635429" w14:textId="77777777" w:rsidR="00C152C5" w:rsidRPr="00DA4247" w:rsidRDefault="00C152C5" w:rsidP="000E49EF">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t xml:space="preserve">The economic benefits of vaccination vary significantly based on production system intensity, disease risk, and vaccine costs. Gari </w:t>
      </w:r>
      <w:r w:rsidRPr="00DA4247">
        <w:rPr>
          <w:rFonts w:ascii="Times New Roman" w:hAnsi="Times New Roman" w:cs="Times New Roman"/>
          <w:i/>
          <w:sz w:val="24"/>
          <w:szCs w:val="24"/>
        </w:rPr>
        <w:t>et al.</w:t>
      </w:r>
      <w:r w:rsidRPr="00DA4247">
        <w:rPr>
          <w:rFonts w:ascii="Times New Roman" w:hAnsi="Times New Roman" w:cs="Times New Roman"/>
          <w:sz w:val="24"/>
          <w:szCs w:val="24"/>
        </w:rPr>
        <w:t xml:space="preserve"> (2011) demonstrated that vaccination could reduce financial costs by 17% in local zebu herds and 31% in Holstein Friesian crossbred herds, with net benefits of USD 1 and USD 19 per head, respectively</w:t>
      </w:r>
      <w:r w:rsidR="00956793" w:rsidRPr="00DA4247">
        <w:rPr>
          <w:rFonts w:ascii="Times New Roman" w:hAnsi="Times New Roman" w:cs="Times New Roman"/>
          <w:sz w:val="24"/>
          <w:szCs w:val="24"/>
        </w:rPr>
        <w:t xml:space="preserve"> (Bhuiyan, 2025)</w:t>
      </w:r>
      <w:r w:rsidRPr="00DA4247">
        <w:rPr>
          <w:rFonts w:ascii="Times New Roman" w:hAnsi="Times New Roman" w:cs="Times New Roman"/>
          <w:sz w:val="24"/>
          <w:szCs w:val="24"/>
        </w:rPr>
        <w:t>.</w:t>
      </w:r>
    </w:p>
    <w:p w14:paraId="00A09D56" w14:textId="77777777" w:rsidR="00C152C5" w:rsidRPr="00DA4247" w:rsidRDefault="00C152C5" w:rsidP="000E49EF">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t xml:space="preserve">However, cost-effectiveness analyses are complicated by variations in vaccine efficacy, duration of immunity, and implementation costs. Tuppurainen </w:t>
      </w:r>
      <w:r w:rsidRPr="00DA4247">
        <w:rPr>
          <w:rFonts w:ascii="Times New Roman" w:hAnsi="Times New Roman" w:cs="Times New Roman"/>
          <w:i/>
          <w:sz w:val="24"/>
          <w:szCs w:val="24"/>
        </w:rPr>
        <w:t>et al.</w:t>
      </w:r>
      <w:r w:rsidRPr="00DA4247">
        <w:rPr>
          <w:rFonts w:ascii="Times New Roman" w:hAnsi="Times New Roman" w:cs="Times New Roman"/>
          <w:sz w:val="24"/>
          <w:szCs w:val="24"/>
        </w:rPr>
        <w:t xml:space="preserve"> (2021) </w:t>
      </w:r>
      <w:proofErr w:type="spellStart"/>
      <w:r w:rsidRPr="00DA4247">
        <w:rPr>
          <w:rFonts w:ascii="Times New Roman" w:hAnsi="Times New Roman" w:cs="Times New Roman"/>
          <w:sz w:val="24"/>
          <w:szCs w:val="24"/>
        </w:rPr>
        <w:t>emphasised</w:t>
      </w:r>
      <w:proofErr w:type="spellEnd"/>
      <w:r w:rsidRPr="00DA4247">
        <w:rPr>
          <w:rFonts w:ascii="Times New Roman" w:hAnsi="Times New Roman" w:cs="Times New Roman"/>
          <w:sz w:val="24"/>
          <w:szCs w:val="24"/>
        </w:rPr>
        <w:t xml:space="preserve"> that vaccination decisions should consider epidemiological context, with different strategies appropriate for epidemic versus endemic situations.</w:t>
      </w:r>
    </w:p>
    <w:p w14:paraId="2CC0AA0F" w14:textId="77777777" w:rsidR="00C152C5" w:rsidRPr="00DA4247" w:rsidRDefault="00C152C5" w:rsidP="000E49EF">
      <w:pPr>
        <w:spacing w:line="276" w:lineRule="auto"/>
        <w:jc w:val="both"/>
        <w:rPr>
          <w:rFonts w:ascii="Times New Roman" w:hAnsi="Times New Roman" w:cs="Times New Roman"/>
          <w:b/>
          <w:sz w:val="24"/>
          <w:szCs w:val="24"/>
        </w:rPr>
      </w:pPr>
      <w:r w:rsidRPr="00DA4247">
        <w:rPr>
          <w:rFonts w:ascii="Times New Roman" w:hAnsi="Times New Roman" w:cs="Times New Roman"/>
          <w:b/>
          <w:sz w:val="24"/>
          <w:szCs w:val="24"/>
        </w:rPr>
        <w:t>5.2 Integrated Control Strategies</w:t>
      </w:r>
    </w:p>
    <w:p w14:paraId="7648D5AB" w14:textId="77777777" w:rsidR="00C152C5" w:rsidRPr="00DA4247" w:rsidRDefault="00C152C5" w:rsidP="000E49EF">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t>Limited economic analyses exist for integrated control approaches combining vaccination, vector control, and movement restrictions. The successful LSD control in Thailand through mass vaccination and movement restrictions demonstrated the effectiveness of coordinated interventions, but comprehensive econo</w:t>
      </w:r>
      <w:r w:rsidR="00100AF5" w:rsidRPr="00DA4247">
        <w:rPr>
          <w:rFonts w:ascii="Times New Roman" w:hAnsi="Times New Roman" w:cs="Times New Roman"/>
          <w:sz w:val="24"/>
          <w:szCs w:val="24"/>
        </w:rPr>
        <w:t xml:space="preserve">mic evaluation remains lacking (Bhuiyan, 2025; </w:t>
      </w:r>
      <w:proofErr w:type="spellStart"/>
      <w:r w:rsidRPr="00DA4247">
        <w:rPr>
          <w:rFonts w:ascii="Times New Roman" w:hAnsi="Times New Roman" w:cs="Times New Roman"/>
          <w:sz w:val="24"/>
          <w:szCs w:val="24"/>
        </w:rPr>
        <w:t>Punyapornwithaya</w:t>
      </w:r>
      <w:proofErr w:type="spellEnd"/>
      <w:r w:rsidRPr="00DA4247">
        <w:rPr>
          <w:rFonts w:ascii="Times New Roman" w:hAnsi="Times New Roman" w:cs="Times New Roman"/>
          <w:sz w:val="24"/>
          <w:szCs w:val="24"/>
        </w:rPr>
        <w:t xml:space="preserve"> </w:t>
      </w:r>
      <w:r w:rsidRPr="00DA4247">
        <w:rPr>
          <w:rFonts w:ascii="Times New Roman" w:hAnsi="Times New Roman" w:cs="Times New Roman"/>
          <w:i/>
          <w:sz w:val="24"/>
          <w:szCs w:val="24"/>
        </w:rPr>
        <w:t>et al.,</w:t>
      </w:r>
      <w:r w:rsidRPr="00DA4247">
        <w:rPr>
          <w:rFonts w:ascii="Times New Roman" w:hAnsi="Times New Roman" w:cs="Times New Roman"/>
          <w:sz w:val="24"/>
          <w:szCs w:val="24"/>
        </w:rPr>
        <w:t xml:space="preserve"> 2024).</w:t>
      </w:r>
    </w:p>
    <w:p w14:paraId="6339ECC1" w14:textId="77777777" w:rsidR="00C152C5" w:rsidRPr="00DA4247" w:rsidRDefault="00C152C5" w:rsidP="000E49EF">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t xml:space="preserve">The economic rationale for integrated approaches includes potential synergistic effects and reduced probability of control failure, but these benefits require empirical quantification through properly designed economic studies (Tuppurainen </w:t>
      </w:r>
      <w:r w:rsidRPr="00DA4247">
        <w:rPr>
          <w:rFonts w:ascii="Times New Roman" w:hAnsi="Times New Roman" w:cs="Times New Roman"/>
          <w:i/>
          <w:sz w:val="24"/>
          <w:szCs w:val="24"/>
        </w:rPr>
        <w:t>et al.,</w:t>
      </w:r>
      <w:r w:rsidRPr="00DA4247">
        <w:rPr>
          <w:rFonts w:ascii="Times New Roman" w:hAnsi="Times New Roman" w:cs="Times New Roman"/>
          <w:sz w:val="24"/>
          <w:szCs w:val="24"/>
        </w:rPr>
        <w:t xml:space="preserve"> 2021).</w:t>
      </w:r>
    </w:p>
    <w:p w14:paraId="403C9270" w14:textId="77777777" w:rsidR="00C152C5" w:rsidRPr="00DA4247" w:rsidRDefault="00C152C5" w:rsidP="000E49EF">
      <w:pPr>
        <w:spacing w:line="276" w:lineRule="auto"/>
        <w:jc w:val="both"/>
        <w:rPr>
          <w:rFonts w:ascii="Times New Roman" w:hAnsi="Times New Roman" w:cs="Times New Roman"/>
          <w:b/>
          <w:sz w:val="24"/>
          <w:szCs w:val="24"/>
        </w:rPr>
      </w:pPr>
      <w:r w:rsidRPr="00DA4247">
        <w:rPr>
          <w:rFonts w:ascii="Times New Roman" w:hAnsi="Times New Roman" w:cs="Times New Roman"/>
          <w:b/>
          <w:sz w:val="24"/>
          <w:szCs w:val="24"/>
        </w:rPr>
        <w:t>5.3 DIVA Vaccine Development Economics</w:t>
      </w:r>
    </w:p>
    <w:p w14:paraId="6ECAA2DC" w14:textId="77777777" w:rsidR="00C152C5" w:rsidRPr="00DA4247" w:rsidRDefault="00C152C5" w:rsidP="000E49EF">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lastRenderedPageBreak/>
        <w:t xml:space="preserve">The development of Differentiate Infected from Vaccinated Animals (DIVA) vaccines represents a critical research priority with significant economic implications. Currently, no commercially available DIVA vaccines exist for LSDV, limiting trade opportunities and surveillance capabilities in vaccinated populations (Mazloum </w:t>
      </w:r>
      <w:r w:rsidRPr="00DA4247">
        <w:rPr>
          <w:rFonts w:ascii="Times New Roman" w:hAnsi="Times New Roman" w:cs="Times New Roman"/>
          <w:i/>
          <w:sz w:val="24"/>
          <w:szCs w:val="24"/>
        </w:rPr>
        <w:t>et al.,</w:t>
      </w:r>
      <w:r w:rsidRPr="00DA4247">
        <w:rPr>
          <w:rFonts w:ascii="Times New Roman" w:hAnsi="Times New Roman" w:cs="Times New Roman"/>
          <w:sz w:val="24"/>
          <w:szCs w:val="24"/>
        </w:rPr>
        <w:t xml:space="preserve"> 2023).</w:t>
      </w:r>
    </w:p>
    <w:p w14:paraId="6ED6B965" w14:textId="77777777" w:rsidR="00C152C5" w:rsidRPr="00DA4247" w:rsidRDefault="00C152C5" w:rsidP="000E49EF">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t xml:space="preserve">Recent research by Ronchi </w:t>
      </w:r>
      <w:r w:rsidRPr="00DA4247">
        <w:rPr>
          <w:rFonts w:ascii="Times New Roman" w:hAnsi="Times New Roman" w:cs="Times New Roman"/>
          <w:i/>
          <w:sz w:val="24"/>
          <w:szCs w:val="24"/>
        </w:rPr>
        <w:t>et al.</w:t>
      </w:r>
      <w:r w:rsidRPr="00DA4247">
        <w:rPr>
          <w:rFonts w:ascii="Times New Roman" w:hAnsi="Times New Roman" w:cs="Times New Roman"/>
          <w:sz w:val="24"/>
          <w:szCs w:val="24"/>
        </w:rPr>
        <w:t xml:space="preserve"> (2024) demonstrated the development of DIVA-compatible inactivated vaccines using keyhole limpet hemocyanin as a positive marker. While promising, economic analyses of DIVA vaccine implementation, including development costs, production expenses, and companion diagnostic test requirements, remain limited.</w:t>
      </w:r>
    </w:p>
    <w:p w14:paraId="3E93520D" w14:textId="77777777" w:rsidR="00F91781" w:rsidRPr="00DA4247" w:rsidRDefault="00F91781" w:rsidP="000E49EF">
      <w:pPr>
        <w:spacing w:line="276" w:lineRule="auto"/>
        <w:jc w:val="both"/>
        <w:rPr>
          <w:rFonts w:ascii="Times New Roman" w:hAnsi="Times New Roman" w:cs="Times New Roman"/>
          <w:b/>
          <w:sz w:val="24"/>
          <w:szCs w:val="24"/>
        </w:rPr>
      </w:pPr>
    </w:p>
    <w:p w14:paraId="34BF8807" w14:textId="77777777" w:rsidR="00C152C5" w:rsidRPr="00DA4247" w:rsidRDefault="00C152C5" w:rsidP="000E49EF">
      <w:pPr>
        <w:spacing w:line="276" w:lineRule="auto"/>
        <w:jc w:val="both"/>
        <w:rPr>
          <w:rFonts w:ascii="Times New Roman" w:hAnsi="Times New Roman" w:cs="Times New Roman"/>
          <w:b/>
          <w:sz w:val="24"/>
          <w:szCs w:val="24"/>
        </w:rPr>
      </w:pPr>
      <w:r w:rsidRPr="00DA4247">
        <w:rPr>
          <w:rFonts w:ascii="Times New Roman" w:hAnsi="Times New Roman" w:cs="Times New Roman"/>
          <w:b/>
          <w:sz w:val="24"/>
          <w:szCs w:val="24"/>
        </w:rPr>
        <w:t>6. Research Gaps and Limitations</w:t>
      </w:r>
    </w:p>
    <w:p w14:paraId="32D23D13" w14:textId="77777777" w:rsidR="00C152C5" w:rsidRPr="00DA4247" w:rsidRDefault="00C152C5" w:rsidP="000E49EF">
      <w:pPr>
        <w:spacing w:line="276" w:lineRule="auto"/>
        <w:jc w:val="both"/>
        <w:rPr>
          <w:rFonts w:ascii="Times New Roman" w:hAnsi="Times New Roman" w:cs="Times New Roman"/>
          <w:b/>
          <w:sz w:val="24"/>
          <w:szCs w:val="24"/>
        </w:rPr>
      </w:pPr>
      <w:r w:rsidRPr="00DA4247">
        <w:rPr>
          <w:rFonts w:ascii="Times New Roman" w:hAnsi="Times New Roman" w:cs="Times New Roman"/>
          <w:b/>
          <w:sz w:val="24"/>
          <w:szCs w:val="24"/>
        </w:rPr>
        <w:t xml:space="preserve">6.1 Methodological </w:t>
      </w:r>
      <w:proofErr w:type="spellStart"/>
      <w:r w:rsidRPr="00DA4247">
        <w:rPr>
          <w:rFonts w:ascii="Times New Roman" w:hAnsi="Times New Roman" w:cs="Times New Roman"/>
          <w:b/>
          <w:sz w:val="24"/>
          <w:szCs w:val="24"/>
        </w:rPr>
        <w:t>Standardisation</w:t>
      </w:r>
      <w:proofErr w:type="spellEnd"/>
      <w:r w:rsidRPr="00DA4247">
        <w:rPr>
          <w:rFonts w:ascii="Times New Roman" w:hAnsi="Times New Roman" w:cs="Times New Roman"/>
          <w:b/>
          <w:sz w:val="24"/>
          <w:szCs w:val="24"/>
        </w:rPr>
        <w:t xml:space="preserve"> Gaps</w:t>
      </w:r>
    </w:p>
    <w:p w14:paraId="467DD526" w14:textId="77777777" w:rsidR="00C152C5" w:rsidRPr="00DA4247" w:rsidRDefault="00C152C5" w:rsidP="000E49EF">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t xml:space="preserve">Current economic assessment studies suffer from lack of </w:t>
      </w:r>
      <w:proofErr w:type="spellStart"/>
      <w:r w:rsidRPr="00DA4247">
        <w:rPr>
          <w:rFonts w:ascii="Times New Roman" w:hAnsi="Times New Roman" w:cs="Times New Roman"/>
          <w:sz w:val="24"/>
          <w:szCs w:val="24"/>
        </w:rPr>
        <w:t>standardised</w:t>
      </w:r>
      <w:proofErr w:type="spellEnd"/>
      <w:r w:rsidRPr="00DA4247">
        <w:rPr>
          <w:rFonts w:ascii="Times New Roman" w:hAnsi="Times New Roman" w:cs="Times New Roman"/>
          <w:sz w:val="24"/>
          <w:szCs w:val="24"/>
        </w:rPr>
        <w:t xml:space="preserve"> methodologies, limiting comparability across regions and production systems. Significant variations exist in cost categories included, time horizons considered, and economic indicators reported (Akther </w:t>
      </w:r>
      <w:r w:rsidRPr="00DA4247">
        <w:rPr>
          <w:rFonts w:ascii="Times New Roman" w:hAnsi="Times New Roman" w:cs="Times New Roman"/>
          <w:i/>
          <w:sz w:val="24"/>
          <w:szCs w:val="24"/>
        </w:rPr>
        <w:t>et al.,</w:t>
      </w:r>
      <w:r w:rsidRPr="00DA4247">
        <w:rPr>
          <w:rFonts w:ascii="Times New Roman" w:hAnsi="Times New Roman" w:cs="Times New Roman"/>
          <w:sz w:val="24"/>
          <w:szCs w:val="24"/>
        </w:rPr>
        <w:t xml:space="preserve"> 2023).</w:t>
      </w:r>
    </w:p>
    <w:p w14:paraId="6466E513" w14:textId="77777777" w:rsidR="00C152C5" w:rsidRPr="00DA4247" w:rsidRDefault="00C152C5" w:rsidP="000E49EF">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t xml:space="preserve">The absence of internationally </w:t>
      </w:r>
      <w:proofErr w:type="spellStart"/>
      <w:r w:rsidRPr="00DA4247">
        <w:rPr>
          <w:rFonts w:ascii="Times New Roman" w:hAnsi="Times New Roman" w:cs="Times New Roman"/>
          <w:sz w:val="24"/>
          <w:szCs w:val="24"/>
        </w:rPr>
        <w:t>standardised</w:t>
      </w:r>
      <w:proofErr w:type="spellEnd"/>
      <w:r w:rsidRPr="00DA4247">
        <w:rPr>
          <w:rFonts w:ascii="Times New Roman" w:hAnsi="Times New Roman" w:cs="Times New Roman"/>
          <w:sz w:val="24"/>
          <w:szCs w:val="24"/>
        </w:rPr>
        <w:t xml:space="preserve"> protocols for LSD economic assessment hampers evidence synthesis and meta-analyses. Development of </w:t>
      </w:r>
      <w:proofErr w:type="spellStart"/>
      <w:r w:rsidRPr="00DA4247">
        <w:rPr>
          <w:rFonts w:ascii="Times New Roman" w:hAnsi="Times New Roman" w:cs="Times New Roman"/>
          <w:sz w:val="24"/>
          <w:szCs w:val="24"/>
        </w:rPr>
        <w:t>standardised</w:t>
      </w:r>
      <w:proofErr w:type="spellEnd"/>
      <w:r w:rsidRPr="00DA4247">
        <w:rPr>
          <w:rFonts w:ascii="Times New Roman" w:hAnsi="Times New Roman" w:cs="Times New Roman"/>
          <w:sz w:val="24"/>
          <w:szCs w:val="24"/>
        </w:rPr>
        <w:t xml:space="preserve"> economic assessment frameworks, similar to those available for other livestock diseases, represents a critical research priority.</w:t>
      </w:r>
    </w:p>
    <w:p w14:paraId="5A6EF4AD" w14:textId="77777777" w:rsidR="00C152C5" w:rsidRPr="00DA4247" w:rsidRDefault="00C152C5" w:rsidP="000E49EF">
      <w:pPr>
        <w:spacing w:line="276" w:lineRule="auto"/>
        <w:jc w:val="both"/>
        <w:rPr>
          <w:rFonts w:ascii="Times New Roman" w:hAnsi="Times New Roman" w:cs="Times New Roman"/>
          <w:b/>
          <w:sz w:val="24"/>
          <w:szCs w:val="24"/>
        </w:rPr>
      </w:pPr>
      <w:r w:rsidRPr="00DA4247">
        <w:rPr>
          <w:rFonts w:ascii="Times New Roman" w:hAnsi="Times New Roman" w:cs="Times New Roman"/>
          <w:b/>
          <w:sz w:val="24"/>
          <w:szCs w:val="24"/>
        </w:rPr>
        <w:t>6.2 Smallholder System Assessment Limitations</w:t>
      </w:r>
    </w:p>
    <w:p w14:paraId="6DAD6477" w14:textId="77777777" w:rsidR="00C152C5" w:rsidRPr="00DA4247" w:rsidRDefault="00C152C5" w:rsidP="000E49EF">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t xml:space="preserve">Despite smallholder farmers comprising the majority of global cattle producers, economic impact studies predominantly focus on commercial or semi-intensive systems (Saqib </w:t>
      </w:r>
      <w:r w:rsidRPr="00DA4247">
        <w:rPr>
          <w:rFonts w:ascii="Times New Roman" w:hAnsi="Times New Roman" w:cs="Times New Roman"/>
          <w:i/>
          <w:sz w:val="24"/>
          <w:szCs w:val="24"/>
        </w:rPr>
        <w:t>et al.,</w:t>
      </w:r>
      <w:r w:rsidRPr="00DA4247">
        <w:rPr>
          <w:rFonts w:ascii="Times New Roman" w:hAnsi="Times New Roman" w:cs="Times New Roman"/>
          <w:sz w:val="24"/>
          <w:szCs w:val="24"/>
        </w:rPr>
        <w:t xml:space="preserve"> 2023). Smallholder systems present unique challenges including subsistence orientation, limited market integration, and diverse cattle functions beyond milk and meat production.</w:t>
      </w:r>
    </w:p>
    <w:p w14:paraId="2FF41E58" w14:textId="77777777" w:rsidR="00C152C5" w:rsidRPr="00DA4247" w:rsidRDefault="00C152C5" w:rsidP="000E49EF">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t xml:space="preserve">The economic value of cattle in smallholder systems extends beyond market prices to include draft power, social status, and risk mitigation, components rarely captured in conventional economic assessments (Molla </w:t>
      </w:r>
      <w:r w:rsidRPr="00DA4247">
        <w:rPr>
          <w:rFonts w:ascii="Times New Roman" w:hAnsi="Times New Roman" w:cs="Times New Roman"/>
          <w:i/>
          <w:sz w:val="24"/>
          <w:szCs w:val="24"/>
        </w:rPr>
        <w:t>et al.,</w:t>
      </w:r>
      <w:r w:rsidRPr="00DA4247">
        <w:rPr>
          <w:rFonts w:ascii="Times New Roman" w:hAnsi="Times New Roman" w:cs="Times New Roman"/>
          <w:sz w:val="24"/>
          <w:szCs w:val="24"/>
        </w:rPr>
        <w:t xml:space="preserve"> 2017). This limitation results in significant underestimation of LSD's economic impact in subsistence-oriented systems.</w:t>
      </w:r>
    </w:p>
    <w:p w14:paraId="433CEC36" w14:textId="77777777" w:rsidR="00C152C5" w:rsidRPr="00DA4247" w:rsidRDefault="00C152C5" w:rsidP="000E49EF">
      <w:pPr>
        <w:spacing w:line="276" w:lineRule="auto"/>
        <w:jc w:val="both"/>
        <w:rPr>
          <w:rFonts w:ascii="Times New Roman" w:hAnsi="Times New Roman" w:cs="Times New Roman"/>
          <w:b/>
          <w:sz w:val="24"/>
          <w:szCs w:val="24"/>
        </w:rPr>
      </w:pPr>
      <w:r w:rsidRPr="00DA4247">
        <w:rPr>
          <w:rFonts w:ascii="Times New Roman" w:hAnsi="Times New Roman" w:cs="Times New Roman"/>
          <w:b/>
          <w:sz w:val="24"/>
          <w:szCs w:val="24"/>
        </w:rPr>
        <w:t>6.3 Long-term Economic Impact Studies</w:t>
      </w:r>
    </w:p>
    <w:p w14:paraId="133EB015" w14:textId="77777777" w:rsidR="00C152C5" w:rsidRPr="00DA4247" w:rsidRDefault="00C152C5" w:rsidP="000E49EF">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t>Most economic assessments focus on immediate or short-term impacts, typically covering the acute outbreak period and immediate recovery phase. Long-term consequences including reproductive effects, chronic productivity losses, and market structural changes receive limited attention.</w:t>
      </w:r>
    </w:p>
    <w:p w14:paraId="66F5CEA6" w14:textId="77777777" w:rsidR="00C152C5" w:rsidRPr="00DA4247" w:rsidRDefault="00C152C5" w:rsidP="000E49EF">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lastRenderedPageBreak/>
        <w:t>The absence of longitudinal studies limits understanding of LSD's cumulative economic effects and recovery dynamics, information critical for investment planning and policy development (</w:t>
      </w:r>
      <w:proofErr w:type="spellStart"/>
      <w:r w:rsidRPr="00DA4247">
        <w:rPr>
          <w:rFonts w:ascii="Times New Roman" w:hAnsi="Times New Roman" w:cs="Times New Roman"/>
          <w:sz w:val="24"/>
          <w:szCs w:val="24"/>
        </w:rPr>
        <w:t>Modethed</w:t>
      </w:r>
      <w:proofErr w:type="spellEnd"/>
      <w:r w:rsidRPr="00DA4247">
        <w:rPr>
          <w:rFonts w:ascii="Times New Roman" w:hAnsi="Times New Roman" w:cs="Times New Roman"/>
          <w:sz w:val="24"/>
          <w:szCs w:val="24"/>
        </w:rPr>
        <w:t xml:space="preserve"> </w:t>
      </w:r>
      <w:r w:rsidRPr="00DA4247">
        <w:rPr>
          <w:rFonts w:ascii="Times New Roman" w:hAnsi="Times New Roman" w:cs="Times New Roman"/>
          <w:i/>
          <w:sz w:val="24"/>
          <w:szCs w:val="24"/>
        </w:rPr>
        <w:t>et al.,</w:t>
      </w:r>
      <w:r w:rsidRPr="00DA4247">
        <w:rPr>
          <w:rFonts w:ascii="Times New Roman" w:hAnsi="Times New Roman" w:cs="Times New Roman"/>
          <w:sz w:val="24"/>
          <w:szCs w:val="24"/>
        </w:rPr>
        <w:t xml:space="preserve"> 2024).</w:t>
      </w:r>
    </w:p>
    <w:p w14:paraId="7F0598E8" w14:textId="77777777" w:rsidR="00C152C5" w:rsidRPr="00DA4247" w:rsidRDefault="00C152C5" w:rsidP="000E49EF">
      <w:pPr>
        <w:spacing w:line="276" w:lineRule="auto"/>
        <w:jc w:val="both"/>
        <w:rPr>
          <w:rFonts w:ascii="Times New Roman" w:hAnsi="Times New Roman" w:cs="Times New Roman"/>
          <w:b/>
          <w:sz w:val="24"/>
          <w:szCs w:val="24"/>
        </w:rPr>
      </w:pPr>
      <w:r w:rsidRPr="00DA4247">
        <w:rPr>
          <w:rFonts w:ascii="Times New Roman" w:hAnsi="Times New Roman" w:cs="Times New Roman"/>
          <w:b/>
          <w:sz w:val="24"/>
          <w:szCs w:val="24"/>
        </w:rPr>
        <w:t>6.4 Regional Economic Variation Analysis</w:t>
      </w:r>
    </w:p>
    <w:p w14:paraId="14C7FDFC" w14:textId="77777777" w:rsidR="00C152C5" w:rsidRPr="00DA4247" w:rsidRDefault="00C152C5" w:rsidP="000E49EF">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t>Limited research exists on intra-country and inter-regional economic impact variations despite significant differences in production systems, market access, and veterinary service availability. This gap limits the development of targeted control strategies and resource allocation decisions.</w:t>
      </w:r>
    </w:p>
    <w:p w14:paraId="57677035" w14:textId="77777777" w:rsidR="00C152C5" w:rsidRPr="00DA4247" w:rsidRDefault="00C152C5" w:rsidP="000E49EF">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t>The need for region-specific economic assessments is particularly acute in large countries like India and China, where substantial variations in farming systems, cattle breeds, and economic conditions exist (</w:t>
      </w:r>
      <w:r w:rsidR="00E12C91" w:rsidRPr="00DA4247">
        <w:rPr>
          <w:rFonts w:ascii="Times New Roman" w:hAnsi="Times New Roman" w:cs="Times New Roman"/>
          <w:sz w:val="24"/>
          <w:szCs w:val="24"/>
        </w:rPr>
        <w:t xml:space="preserve">Naidu </w:t>
      </w:r>
      <w:r w:rsidR="00E12C91" w:rsidRPr="00DA4247">
        <w:rPr>
          <w:rFonts w:ascii="Times New Roman" w:hAnsi="Times New Roman" w:cs="Times New Roman"/>
          <w:i/>
          <w:sz w:val="24"/>
          <w:szCs w:val="24"/>
        </w:rPr>
        <w:t>et al.,</w:t>
      </w:r>
      <w:r w:rsidR="00E12C91" w:rsidRPr="00DA4247">
        <w:rPr>
          <w:rFonts w:ascii="Times New Roman" w:hAnsi="Times New Roman" w:cs="Times New Roman"/>
          <w:sz w:val="24"/>
          <w:szCs w:val="24"/>
        </w:rPr>
        <w:t xml:space="preserve"> 2025</w:t>
      </w:r>
      <w:r w:rsidRPr="00DA4247">
        <w:rPr>
          <w:rFonts w:ascii="Times New Roman" w:hAnsi="Times New Roman" w:cs="Times New Roman"/>
          <w:sz w:val="24"/>
          <w:szCs w:val="24"/>
        </w:rPr>
        <w:t>).</w:t>
      </w:r>
    </w:p>
    <w:p w14:paraId="36487BEB" w14:textId="77777777" w:rsidR="00C152C5" w:rsidRPr="00DA4247" w:rsidRDefault="00C152C5" w:rsidP="000E49EF">
      <w:pPr>
        <w:spacing w:line="276" w:lineRule="auto"/>
        <w:jc w:val="both"/>
        <w:rPr>
          <w:rFonts w:ascii="Times New Roman" w:hAnsi="Times New Roman" w:cs="Times New Roman"/>
          <w:b/>
          <w:sz w:val="24"/>
          <w:szCs w:val="24"/>
        </w:rPr>
      </w:pPr>
      <w:r w:rsidRPr="00DA4247">
        <w:rPr>
          <w:rFonts w:ascii="Times New Roman" w:hAnsi="Times New Roman" w:cs="Times New Roman"/>
          <w:b/>
          <w:sz w:val="24"/>
          <w:szCs w:val="24"/>
        </w:rPr>
        <w:t>6.5 Emerging Control Technology Economics</w:t>
      </w:r>
    </w:p>
    <w:p w14:paraId="15C6B7F9" w14:textId="77777777" w:rsidR="00C152C5" w:rsidRPr="00DA4247" w:rsidRDefault="00C152C5" w:rsidP="000E49EF">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t>Economic analyses of emerging control technologies including novel vaccines, improved diagnostics, and digital surveillance systems remain limited. As these technologies advance from research to implementation, comprehensive economic evaluations will be essential for adoption decisions.</w:t>
      </w:r>
    </w:p>
    <w:p w14:paraId="038C7785" w14:textId="77777777" w:rsidR="00C152C5" w:rsidRPr="00DA4247" w:rsidRDefault="00C152C5" w:rsidP="000E49EF">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t xml:space="preserve">The economics of precision livestock farming applications for LSD surveillance and control represent a particularly understudied area with significant potential for improving cost-effectiveness of disease management (Tuppurainen </w:t>
      </w:r>
      <w:r w:rsidRPr="00DA4247">
        <w:rPr>
          <w:rFonts w:ascii="Times New Roman" w:hAnsi="Times New Roman" w:cs="Times New Roman"/>
          <w:i/>
          <w:sz w:val="24"/>
          <w:szCs w:val="24"/>
        </w:rPr>
        <w:t>et al.,</w:t>
      </w:r>
      <w:r w:rsidRPr="00DA4247">
        <w:rPr>
          <w:rFonts w:ascii="Times New Roman" w:hAnsi="Times New Roman" w:cs="Times New Roman"/>
          <w:sz w:val="24"/>
          <w:szCs w:val="24"/>
        </w:rPr>
        <w:t xml:space="preserve"> 2021).</w:t>
      </w:r>
    </w:p>
    <w:p w14:paraId="3ED1D54D" w14:textId="77777777" w:rsidR="00C152C5" w:rsidRPr="00DA4247" w:rsidRDefault="00C152C5" w:rsidP="00FA319A">
      <w:pPr>
        <w:spacing w:line="276" w:lineRule="auto"/>
        <w:jc w:val="both"/>
        <w:rPr>
          <w:rFonts w:ascii="Times New Roman" w:hAnsi="Times New Roman" w:cs="Times New Roman"/>
          <w:b/>
          <w:sz w:val="24"/>
          <w:szCs w:val="24"/>
        </w:rPr>
      </w:pPr>
    </w:p>
    <w:p w14:paraId="12F0B65B" w14:textId="77777777" w:rsidR="00FA319A" w:rsidRPr="00DA4247" w:rsidRDefault="00FA319A" w:rsidP="00FA319A">
      <w:pPr>
        <w:spacing w:line="276" w:lineRule="auto"/>
        <w:jc w:val="both"/>
        <w:rPr>
          <w:rFonts w:ascii="Times New Roman" w:hAnsi="Times New Roman" w:cs="Times New Roman"/>
          <w:b/>
          <w:sz w:val="24"/>
          <w:szCs w:val="24"/>
        </w:rPr>
      </w:pPr>
      <w:r w:rsidRPr="00DA4247">
        <w:rPr>
          <w:rFonts w:ascii="Times New Roman" w:hAnsi="Times New Roman" w:cs="Times New Roman"/>
          <w:b/>
          <w:sz w:val="24"/>
          <w:szCs w:val="24"/>
        </w:rPr>
        <w:t>7. Future Research Priorities</w:t>
      </w:r>
    </w:p>
    <w:p w14:paraId="37906A32" w14:textId="77777777" w:rsidR="00FA319A" w:rsidRPr="00DA4247" w:rsidRDefault="00FA319A" w:rsidP="00FA319A">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t xml:space="preserve">Future research on lumpy skin disease (LSD) should focus on developing </w:t>
      </w:r>
      <w:proofErr w:type="spellStart"/>
      <w:r w:rsidRPr="00DA4247">
        <w:rPr>
          <w:rFonts w:ascii="Times New Roman" w:hAnsi="Times New Roman" w:cs="Times New Roman"/>
          <w:sz w:val="24"/>
          <w:szCs w:val="24"/>
        </w:rPr>
        <w:t>standardised</w:t>
      </w:r>
      <w:proofErr w:type="spellEnd"/>
      <w:r w:rsidRPr="00DA4247">
        <w:rPr>
          <w:rFonts w:ascii="Times New Roman" w:hAnsi="Times New Roman" w:cs="Times New Roman"/>
          <w:sz w:val="24"/>
          <w:szCs w:val="24"/>
        </w:rPr>
        <w:t xml:space="preserve"> economic assessment frameworks to enable better comparison across studies and regions, including clear cost categories, appropriate methodologies, and guidelines for uncertainty analysis. Greater emphasis is also needed on smallholder-focused studies, particularly in regions where livestock play important socioeconomic roles, by capturing non-market cattle values, household-level impacts, and the cost-effectiveness of control measures in resource-limited settings. In addition, regional economic modelling should be strengthened to identify high-risk areas, understand variations in economic impact, and support targeted interventions and efficient resource allocation. Longitudinal studies are also essential to assess long-term economic consequences such as productivity losses, market changes, and recovery patterns. Furthermore, economic evaluation of emerging control technologies, including vaccines, diagnostics, and surveillance systems, should be </w:t>
      </w:r>
      <w:proofErr w:type="spellStart"/>
      <w:r w:rsidRPr="00DA4247">
        <w:rPr>
          <w:rFonts w:ascii="Times New Roman" w:hAnsi="Times New Roman" w:cs="Times New Roman"/>
          <w:sz w:val="24"/>
          <w:szCs w:val="24"/>
        </w:rPr>
        <w:t>prioritised</w:t>
      </w:r>
      <w:proofErr w:type="spellEnd"/>
      <w:r w:rsidRPr="00DA4247">
        <w:rPr>
          <w:rFonts w:ascii="Times New Roman" w:hAnsi="Times New Roman" w:cs="Times New Roman"/>
          <w:sz w:val="24"/>
          <w:szCs w:val="24"/>
        </w:rPr>
        <w:t xml:space="preserve"> to support cost-effective disease management strategies.</w:t>
      </w:r>
    </w:p>
    <w:p w14:paraId="3A46CF4A" w14:textId="77777777" w:rsidR="00FA319A" w:rsidRPr="00DA4247" w:rsidRDefault="00FA319A" w:rsidP="00FA319A">
      <w:pPr>
        <w:spacing w:line="276" w:lineRule="auto"/>
        <w:jc w:val="both"/>
        <w:rPr>
          <w:rFonts w:ascii="Times New Roman" w:hAnsi="Times New Roman" w:cs="Times New Roman"/>
          <w:b/>
          <w:sz w:val="24"/>
          <w:szCs w:val="24"/>
        </w:rPr>
      </w:pPr>
    </w:p>
    <w:p w14:paraId="498B1C87" w14:textId="77777777" w:rsidR="00FA319A" w:rsidRPr="00DA4247" w:rsidRDefault="00FA319A" w:rsidP="00FA319A">
      <w:pPr>
        <w:spacing w:line="276" w:lineRule="auto"/>
        <w:jc w:val="both"/>
        <w:rPr>
          <w:rFonts w:ascii="Times New Roman" w:hAnsi="Times New Roman" w:cs="Times New Roman"/>
          <w:b/>
          <w:sz w:val="24"/>
          <w:szCs w:val="24"/>
        </w:rPr>
      </w:pPr>
      <w:r w:rsidRPr="00DA4247">
        <w:rPr>
          <w:rFonts w:ascii="Times New Roman" w:hAnsi="Times New Roman" w:cs="Times New Roman"/>
          <w:b/>
          <w:sz w:val="24"/>
          <w:szCs w:val="24"/>
        </w:rPr>
        <w:t xml:space="preserve">7.1 </w:t>
      </w:r>
      <w:proofErr w:type="spellStart"/>
      <w:r w:rsidRPr="00DA4247">
        <w:rPr>
          <w:rFonts w:ascii="Times New Roman" w:hAnsi="Times New Roman" w:cs="Times New Roman"/>
          <w:b/>
          <w:sz w:val="24"/>
          <w:szCs w:val="24"/>
        </w:rPr>
        <w:t>Standardised</w:t>
      </w:r>
      <w:proofErr w:type="spellEnd"/>
      <w:r w:rsidRPr="00DA4247">
        <w:rPr>
          <w:rFonts w:ascii="Times New Roman" w:hAnsi="Times New Roman" w:cs="Times New Roman"/>
          <w:b/>
          <w:sz w:val="24"/>
          <w:szCs w:val="24"/>
        </w:rPr>
        <w:t xml:space="preserve"> Frameworks and Methods</w:t>
      </w:r>
    </w:p>
    <w:p w14:paraId="78D24E4A" w14:textId="77777777" w:rsidR="00FA319A" w:rsidRPr="00DA4247" w:rsidRDefault="00FA319A" w:rsidP="00FA319A">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lastRenderedPageBreak/>
        <w:t xml:space="preserve">There is a need to develop internationally accepted economic assessment frameworks for LSD that include </w:t>
      </w:r>
      <w:proofErr w:type="spellStart"/>
      <w:r w:rsidRPr="00DA4247">
        <w:rPr>
          <w:rFonts w:ascii="Times New Roman" w:hAnsi="Times New Roman" w:cs="Times New Roman"/>
          <w:sz w:val="24"/>
          <w:szCs w:val="24"/>
        </w:rPr>
        <w:t>standardised</w:t>
      </w:r>
      <w:proofErr w:type="spellEnd"/>
      <w:r w:rsidRPr="00DA4247">
        <w:rPr>
          <w:rFonts w:ascii="Times New Roman" w:hAnsi="Times New Roman" w:cs="Times New Roman"/>
          <w:sz w:val="24"/>
          <w:szCs w:val="24"/>
        </w:rPr>
        <w:t xml:space="preserve"> cost components, consistent analytical methods, and practical guidelines for handling uncertainty and conducting cost-benefit analyses, particularly adaptable to both commercial and smallholder farming systems.</w:t>
      </w:r>
    </w:p>
    <w:p w14:paraId="371278A0" w14:textId="77777777" w:rsidR="00FA319A" w:rsidRPr="00DA4247" w:rsidRDefault="00FA319A" w:rsidP="00FA319A">
      <w:pPr>
        <w:spacing w:line="276" w:lineRule="auto"/>
        <w:jc w:val="both"/>
        <w:rPr>
          <w:rFonts w:ascii="Times New Roman" w:hAnsi="Times New Roman" w:cs="Times New Roman"/>
          <w:b/>
          <w:sz w:val="24"/>
          <w:szCs w:val="24"/>
        </w:rPr>
      </w:pPr>
    </w:p>
    <w:p w14:paraId="5AAA62D2" w14:textId="77777777" w:rsidR="00FA319A" w:rsidRPr="00DA4247" w:rsidRDefault="00FA319A" w:rsidP="00FA319A">
      <w:pPr>
        <w:spacing w:line="276" w:lineRule="auto"/>
        <w:jc w:val="both"/>
        <w:rPr>
          <w:rFonts w:ascii="Times New Roman" w:hAnsi="Times New Roman" w:cs="Times New Roman"/>
          <w:b/>
          <w:sz w:val="24"/>
          <w:szCs w:val="24"/>
        </w:rPr>
      </w:pPr>
      <w:r w:rsidRPr="00DA4247">
        <w:rPr>
          <w:rFonts w:ascii="Times New Roman" w:hAnsi="Times New Roman" w:cs="Times New Roman"/>
          <w:b/>
          <w:sz w:val="24"/>
          <w:szCs w:val="24"/>
        </w:rPr>
        <w:t xml:space="preserve">7.2 Smallholder and Regional Focus </w:t>
      </w:r>
    </w:p>
    <w:p w14:paraId="559E042E" w14:textId="77777777" w:rsidR="00FA319A" w:rsidRPr="00DA4247" w:rsidRDefault="00FA319A" w:rsidP="00FA319A">
      <w:pPr>
        <w:spacing w:line="276" w:lineRule="auto"/>
        <w:jc w:val="both"/>
        <w:rPr>
          <w:rFonts w:ascii="Times New Roman" w:hAnsi="Times New Roman" w:cs="Times New Roman"/>
          <w:b/>
          <w:sz w:val="24"/>
          <w:szCs w:val="24"/>
        </w:rPr>
      </w:pPr>
      <w:r w:rsidRPr="00DA4247">
        <w:rPr>
          <w:rFonts w:ascii="Times New Roman" w:hAnsi="Times New Roman" w:cs="Times New Roman"/>
          <w:sz w:val="24"/>
          <w:szCs w:val="24"/>
        </w:rPr>
        <w:t xml:space="preserve">Research should </w:t>
      </w:r>
      <w:proofErr w:type="spellStart"/>
      <w:r w:rsidRPr="00DA4247">
        <w:rPr>
          <w:rFonts w:ascii="Times New Roman" w:hAnsi="Times New Roman" w:cs="Times New Roman"/>
          <w:sz w:val="24"/>
          <w:szCs w:val="24"/>
        </w:rPr>
        <w:t>prioritise</w:t>
      </w:r>
      <w:proofErr w:type="spellEnd"/>
      <w:r w:rsidRPr="00DA4247">
        <w:rPr>
          <w:rFonts w:ascii="Times New Roman" w:hAnsi="Times New Roman" w:cs="Times New Roman"/>
          <w:sz w:val="24"/>
          <w:szCs w:val="24"/>
        </w:rPr>
        <w:t xml:space="preserve"> smallholder farming systems and regional economic modelling by assessing household-level impacts, identifying high-risk regions, and evaluating cost-effective control strategies suitable for different production systems and resource settings.</w:t>
      </w:r>
    </w:p>
    <w:p w14:paraId="2A133626" w14:textId="77777777" w:rsidR="00FA319A" w:rsidRPr="00DA4247" w:rsidRDefault="00FA319A" w:rsidP="00FA319A">
      <w:pPr>
        <w:spacing w:line="276" w:lineRule="auto"/>
        <w:jc w:val="both"/>
        <w:rPr>
          <w:rFonts w:ascii="Times New Roman" w:hAnsi="Times New Roman" w:cs="Times New Roman"/>
          <w:b/>
          <w:sz w:val="24"/>
          <w:szCs w:val="24"/>
        </w:rPr>
      </w:pPr>
      <w:r w:rsidRPr="00DA4247">
        <w:rPr>
          <w:rFonts w:ascii="Times New Roman" w:hAnsi="Times New Roman" w:cs="Times New Roman"/>
          <w:b/>
          <w:sz w:val="24"/>
          <w:szCs w:val="24"/>
        </w:rPr>
        <w:t>7.3 Long-term and Technology Evaluation</w:t>
      </w:r>
    </w:p>
    <w:p w14:paraId="3E1116B0" w14:textId="77777777" w:rsidR="00FA319A" w:rsidRPr="00DA4247" w:rsidRDefault="00FA319A" w:rsidP="00FA319A">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t>Future studies should include long-term economic assessments to understand cumulative impacts and recovery dynamics, along with comprehensive evaluation of emerging control technologies such as vaccines, diagnostics, and digital surveillance tools to ensure sustainable and economically viable disease control.</w:t>
      </w:r>
    </w:p>
    <w:p w14:paraId="30A03155" w14:textId="77777777" w:rsidR="00FA319A" w:rsidRPr="00DA4247" w:rsidRDefault="00FA319A" w:rsidP="00FA319A">
      <w:pPr>
        <w:spacing w:line="276" w:lineRule="auto"/>
        <w:jc w:val="both"/>
        <w:rPr>
          <w:rFonts w:ascii="Times New Roman" w:hAnsi="Times New Roman" w:cs="Times New Roman"/>
          <w:sz w:val="24"/>
          <w:szCs w:val="24"/>
        </w:rPr>
      </w:pPr>
    </w:p>
    <w:p w14:paraId="0C916A17" w14:textId="77777777" w:rsidR="00FA319A" w:rsidRPr="00DA4247" w:rsidRDefault="00FA319A" w:rsidP="00FA319A">
      <w:pPr>
        <w:spacing w:line="276" w:lineRule="auto"/>
        <w:jc w:val="both"/>
        <w:rPr>
          <w:rFonts w:ascii="Times New Roman" w:hAnsi="Times New Roman" w:cs="Times New Roman"/>
          <w:b/>
          <w:sz w:val="24"/>
          <w:szCs w:val="24"/>
        </w:rPr>
      </w:pPr>
      <w:r w:rsidRPr="00DA4247">
        <w:rPr>
          <w:rFonts w:ascii="Times New Roman" w:hAnsi="Times New Roman" w:cs="Times New Roman"/>
          <w:b/>
          <w:sz w:val="24"/>
          <w:szCs w:val="24"/>
        </w:rPr>
        <w:t>8. Policy Implications and Recommendations</w:t>
      </w:r>
    </w:p>
    <w:p w14:paraId="419FB086" w14:textId="77777777" w:rsidR="00FA319A" w:rsidRPr="00DA4247" w:rsidRDefault="00FA319A" w:rsidP="00FA319A">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t xml:space="preserve">The economic burden of LSD highlights the need for evidence-based policy development and efficient resource allocation. Governments and international </w:t>
      </w:r>
      <w:proofErr w:type="spellStart"/>
      <w:r w:rsidRPr="00DA4247">
        <w:rPr>
          <w:rFonts w:ascii="Times New Roman" w:hAnsi="Times New Roman" w:cs="Times New Roman"/>
          <w:sz w:val="24"/>
          <w:szCs w:val="24"/>
        </w:rPr>
        <w:t>organisations</w:t>
      </w:r>
      <w:proofErr w:type="spellEnd"/>
      <w:r w:rsidRPr="00DA4247">
        <w:rPr>
          <w:rFonts w:ascii="Times New Roman" w:hAnsi="Times New Roman" w:cs="Times New Roman"/>
          <w:sz w:val="24"/>
          <w:szCs w:val="24"/>
        </w:rPr>
        <w:t xml:space="preserve"> should invest in economic impact assessments, integrate economic considerations into disease control strategies, and support research addressing existing knowledge gaps. Strengthened international cooperation is also essential for </w:t>
      </w:r>
      <w:proofErr w:type="spellStart"/>
      <w:r w:rsidRPr="00DA4247">
        <w:rPr>
          <w:rFonts w:ascii="Times New Roman" w:hAnsi="Times New Roman" w:cs="Times New Roman"/>
          <w:sz w:val="24"/>
          <w:szCs w:val="24"/>
        </w:rPr>
        <w:t>harmonising</w:t>
      </w:r>
      <w:proofErr w:type="spellEnd"/>
      <w:r w:rsidRPr="00DA4247">
        <w:rPr>
          <w:rFonts w:ascii="Times New Roman" w:hAnsi="Times New Roman" w:cs="Times New Roman"/>
          <w:sz w:val="24"/>
          <w:szCs w:val="24"/>
        </w:rPr>
        <w:t xml:space="preserve"> methodologies, sharing data, and coordinating regional control efforts.</w:t>
      </w:r>
    </w:p>
    <w:p w14:paraId="2643D90D" w14:textId="77777777" w:rsidR="00FA319A" w:rsidRPr="00DA4247" w:rsidRDefault="00FA319A" w:rsidP="00FA319A">
      <w:pPr>
        <w:spacing w:line="276" w:lineRule="auto"/>
        <w:jc w:val="both"/>
        <w:rPr>
          <w:rFonts w:ascii="Times New Roman" w:hAnsi="Times New Roman" w:cs="Times New Roman"/>
          <w:b/>
          <w:sz w:val="24"/>
          <w:szCs w:val="24"/>
        </w:rPr>
      </w:pPr>
      <w:r w:rsidRPr="00DA4247">
        <w:rPr>
          <w:rFonts w:ascii="Times New Roman" w:hAnsi="Times New Roman" w:cs="Times New Roman"/>
          <w:b/>
          <w:sz w:val="24"/>
          <w:szCs w:val="24"/>
        </w:rPr>
        <w:t>8.1 Evidence-Based Policy and Cooperation</w:t>
      </w:r>
    </w:p>
    <w:p w14:paraId="13EA8F6F" w14:textId="77777777" w:rsidR="00FA319A" w:rsidRPr="00DA4247" w:rsidRDefault="00FA319A" w:rsidP="00FA319A">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t xml:space="preserve">Policies should be guided by strong economic evidence, supported by international collaboration in data sharing, methodological </w:t>
      </w:r>
      <w:proofErr w:type="spellStart"/>
      <w:r w:rsidRPr="00DA4247">
        <w:rPr>
          <w:rFonts w:ascii="Times New Roman" w:hAnsi="Times New Roman" w:cs="Times New Roman"/>
          <w:sz w:val="24"/>
          <w:szCs w:val="24"/>
        </w:rPr>
        <w:t>harmonisation</w:t>
      </w:r>
      <w:proofErr w:type="spellEnd"/>
      <w:r w:rsidRPr="00DA4247">
        <w:rPr>
          <w:rFonts w:ascii="Times New Roman" w:hAnsi="Times New Roman" w:cs="Times New Roman"/>
          <w:sz w:val="24"/>
          <w:szCs w:val="24"/>
        </w:rPr>
        <w:t>, and coordinated research and control strategies to address the transboundary nature of LSD.</w:t>
      </w:r>
    </w:p>
    <w:p w14:paraId="288D4248" w14:textId="77777777" w:rsidR="00FA319A" w:rsidRPr="00DA4247" w:rsidRDefault="00FA319A" w:rsidP="00FA319A">
      <w:pPr>
        <w:spacing w:line="276" w:lineRule="auto"/>
        <w:jc w:val="both"/>
        <w:rPr>
          <w:rFonts w:ascii="Times New Roman" w:hAnsi="Times New Roman" w:cs="Times New Roman"/>
          <w:b/>
          <w:sz w:val="24"/>
          <w:szCs w:val="24"/>
        </w:rPr>
      </w:pPr>
      <w:r w:rsidRPr="00DA4247">
        <w:rPr>
          <w:rFonts w:ascii="Times New Roman" w:hAnsi="Times New Roman" w:cs="Times New Roman"/>
          <w:b/>
          <w:sz w:val="24"/>
          <w:szCs w:val="24"/>
        </w:rPr>
        <w:t>8.2 Capacity Building</w:t>
      </w:r>
    </w:p>
    <w:p w14:paraId="4E349D65" w14:textId="7EA2A992" w:rsidR="00FA319A" w:rsidRDefault="00FA319A" w:rsidP="00FA319A">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t>Developing countries require capacity building in economic analysis, veterinary services, and farmer awareness to improve understanding of LSD impacts and enhance the effectiveness of control and prevention strategies.</w:t>
      </w:r>
    </w:p>
    <w:p w14:paraId="415039F4" w14:textId="3DCC1F7B" w:rsidR="002A79C3" w:rsidRDefault="002A79C3" w:rsidP="00FA319A">
      <w:pPr>
        <w:spacing w:line="276" w:lineRule="auto"/>
        <w:jc w:val="both"/>
        <w:rPr>
          <w:rFonts w:ascii="Times New Roman" w:hAnsi="Times New Roman" w:cs="Times New Roman"/>
          <w:sz w:val="24"/>
          <w:szCs w:val="24"/>
        </w:rPr>
      </w:pPr>
    </w:p>
    <w:p w14:paraId="5AE0835B" w14:textId="77777777" w:rsidR="002A79C3" w:rsidRPr="00DA4247" w:rsidRDefault="002A79C3" w:rsidP="00FA319A">
      <w:pPr>
        <w:spacing w:line="276" w:lineRule="auto"/>
        <w:jc w:val="both"/>
        <w:rPr>
          <w:rFonts w:ascii="Times New Roman" w:hAnsi="Times New Roman" w:cs="Times New Roman"/>
          <w:sz w:val="24"/>
          <w:szCs w:val="24"/>
        </w:rPr>
      </w:pPr>
    </w:p>
    <w:p w14:paraId="53871258" w14:textId="77777777" w:rsidR="00F91781" w:rsidRPr="00DA4247" w:rsidRDefault="00F91781" w:rsidP="000E49EF">
      <w:pPr>
        <w:spacing w:line="276" w:lineRule="auto"/>
        <w:jc w:val="both"/>
        <w:rPr>
          <w:rFonts w:ascii="Times New Roman" w:hAnsi="Times New Roman" w:cs="Times New Roman"/>
          <w:b/>
          <w:sz w:val="24"/>
          <w:szCs w:val="24"/>
        </w:rPr>
      </w:pPr>
    </w:p>
    <w:p w14:paraId="7FD78DF6" w14:textId="77777777" w:rsidR="00C152C5" w:rsidRPr="00DA4247" w:rsidRDefault="00C152C5" w:rsidP="000E49EF">
      <w:pPr>
        <w:spacing w:line="276" w:lineRule="auto"/>
        <w:jc w:val="both"/>
        <w:rPr>
          <w:rFonts w:ascii="Times New Roman" w:hAnsi="Times New Roman" w:cs="Times New Roman"/>
          <w:b/>
          <w:sz w:val="24"/>
          <w:szCs w:val="24"/>
        </w:rPr>
      </w:pPr>
      <w:r w:rsidRPr="00DA4247">
        <w:rPr>
          <w:rFonts w:ascii="Times New Roman" w:hAnsi="Times New Roman" w:cs="Times New Roman"/>
          <w:b/>
          <w:sz w:val="24"/>
          <w:szCs w:val="24"/>
        </w:rPr>
        <w:lastRenderedPageBreak/>
        <w:t>9. Conclusions</w:t>
      </w:r>
    </w:p>
    <w:p w14:paraId="0B6E07F6" w14:textId="77777777" w:rsidR="008C1359" w:rsidRPr="00DA4247" w:rsidRDefault="008C1359" w:rsidP="000E49EF">
      <w:pPr>
        <w:spacing w:line="276" w:lineRule="auto"/>
        <w:jc w:val="both"/>
        <w:rPr>
          <w:rFonts w:ascii="Times New Roman" w:hAnsi="Times New Roman" w:cs="Times New Roman"/>
          <w:sz w:val="24"/>
          <w:szCs w:val="24"/>
        </w:rPr>
      </w:pPr>
      <w:r w:rsidRPr="00DA4247">
        <w:rPr>
          <w:rFonts w:ascii="Times New Roman" w:hAnsi="Times New Roman" w:cs="Times New Roman"/>
          <w:sz w:val="24"/>
          <w:szCs w:val="24"/>
        </w:rPr>
        <w:t>Lumpy skin disease (LSD) has become a major transboundary livestock disease with significant global economic consequences. Although mortality is generally low, the disease causes severe production losses through reduced milk yield, weight loss, hide damage, reproductive inefficiency, and increased treatment costs. Indirect impacts such as market disruption and trade restrictions further intensify the overall economic burden, particularly in smallholder-based livestock systems in Africa and Asia.</w:t>
      </w:r>
    </w:p>
    <w:p w14:paraId="173429EF" w14:textId="77777777" w:rsidR="00F91781" w:rsidRPr="00DA4247" w:rsidRDefault="008C1359" w:rsidP="000E49EF">
      <w:pPr>
        <w:spacing w:line="276" w:lineRule="auto"/>
        <w:jc w:val="both"/>
        <w:rPr>
          <w:rFonts w:ascii="Times New Roman" w:hAnsi="Times New Roman" w:cs="Times New Roman"/>
          <w:b/>
          <w:sz w:val="24"/>
          <w:szCs w:val="24"/>
        </w:rPr>
      </w:pPr>
      <w:r w:rsidRPr="00DA4247">
        <w:rPr>
          <w:rFonts w:ascii="Times New Roman" w:hAnsi="Times New Roman" w:cs="Times New Roman"/>
          <w:sz w:val="24"/>
          <w:szCs w:val="24"/>
        </w:rPr>
        <w:t>Vaccination is consistently identified as the most cost-effective control strategy, but economic assessments vary widely in methods, scope, and data quality, limiting global comparability. Key research gaps include the lack of standardized economic evaluation frameworks, limited focus on smallholder systems, and insufficient long-term and regional studies. Addressing these gaps is essential for generating robust evidence to guide effective LSD control policies and improve livestock sector resilience worldwide.</w:t>
      </w:r>
    </w:p>
    <w:p w14:paraId="267E8C88" w14:textId="77777777" w:rsidR="00F91781" w:rsidRPr="00DA4247" w:rsidRDefault="00F91781" w:rsidP="00C152C5">
      <w:pPr>
        <w:jc w:val="both"/>
        <w:rPr>
          <w:rFonts w:ascii="Times New Roman" w:hAnsi="Times New Roman" w:cs="Times New Roman"/>
          <w:b/>
          <w:sz w:val="24"/>
          <w:szCs w:val="24"/>
        </w:rPr>
      </w:pPr>
    </w:p>
    <w:p w14:paraId="5FE1F72D" w14:textId="77777777" w:rsidR="00C152C5" w:rsidRPr="00DA4247" w:rsidRDefault="00C152C5" w:rsidP="00C152C5">
      <w:pPr>
        <w:jc w:val="both"/>
        <w:rPr>
          <w:rFonts w:ascii="Times New Roman" w:hAnsi="Times New Roman" w:cs="Times New Roman"/>
          <w:b/>
          <w:sz w:val="24"/>
          <w:szCs w:val="24"/>
        </w:rPr>
      </w:pPr>
      <w:r w:rsidRPr="00DA4247">
        <w:rPr>
          <w:rFonts w:ascii="Times New Roman" w:hAnsi="Times New Roman" w:cs="Times New Roman"/>
          <w:b/>
          <w:sz w:val="24"/>
          <w:szCs w:val="24"/>
        </w:rPr>
        <w:t>References</w:t>
      </w:r>
    </w:p>
    <w:p w14:paraId="7AD454E8" w14:textId="77777777" w:rsidR="00521C4A" w:rsidRPr="00DA4247" w:rsidRDefault="00521C4A" w:rsidP="00521C4A">
      <w:pPr>
        <w:jc w:val="both"/>
        <w:rPr>
          <w:rFonts w:ascii="Times New Roman" w:hAnsi="Times New Roman" w:cs="Times New Roman"/>
          <w:color w:val="222222"/>
          <w:sz w:val="24"/>
          <w:szCs w:val="24"/>
          <w:shd w:val="clear" w:color="auto" w:fill="FFFFFF"/>
        </w:rPr>
      </w:pPr>
      <w:r w:rsidRPr="00DA4247">
        <w:rPr>
          <w:rFonts w:ascii="Times New Roman" w:hAnsi="Times New Roman" w:cs="Times New Roman"/>
          <w:color w:val="222222"/>
          <w:sz w:val="24"/>
          <w:szCs w:val="24"/>
          <w:shd w:val="clear" w:color="auto" w:fill="FFFFFF"/>
        </w:rPr>
        <w:t xml:space="preserve">Akther M., Akter S. H., Sarker S., </w:t>
      </w:r>
      <w:proofErr w:type="spellStart"/>
      <w:r w:rsidRPr="00DA4247">
        <w:rPr>
          <w:rFonts w:ascii="Times New Roman" w:hAnsi="Times New Roman" w:cs="Times New Roman"/>
          <w:color w:val="222222"/>
          <w:sz w:val="24"/>
          <w:szCs w:val="24"/>
          <w:shd w:val="clear" w:color="auto" w:fill="FFFFFF"/>
        </w:rPr>
        <w:t>Aleri</w:t>
      </w:r>
      <w:proofErr w:type="spellEnd"/>
      <w:r w:rsidRPr="00DA4247">
        <w:rPr>
          <w:rFonts w:ascii="Times New Roman" w:hAnsi="Times New Roman" w:cs="Times New Roman"/>
          <w:color w:val="222222"/>
          <w:sz w:val="24"/>
          <w:szCs w:val="24"/>
          <w:shd w:val="clear" w:color="auto" w:fill="FFFFFF"/>
        </w:rPr>
        <w:t xml:space="preserve"> J. W., Annandale H., Abraham S. &amp; Uddin J. M. (2023). Global burden of lumpy skin disease, outbreaks, and future challenges. Viruses. 15(9): 1861.</w:t>
      </w:r>
    </w:p>
    <w:p w14:paraId="3ECA4723" w14:textId="77777777" w:rsidR="00521C4A" w:rsidRPr="007E7DFC" w:rsidRDefault="00521C4A" w:rsidP="00521C4A">
      <w:pPr>
        <w:jc w:val="both"/>
        <w:rPr>
          <w:rFonts w:ascii="Times New Roman" w:hAnsi="Times New Roman" w:cs="Times New Roman"/>
          <w:color w:val="222222"/>
          <w:sz w:val="24"/>
          <w:szCs w:val="24"/>
          <w:shd w:val="clear" w:color="auto" w:fill="FFFFFF"/>
        </w:rPr>
      </w:pPr>
      <w:r w:rsidRPr="00DA4247">
        <w:rPr>
          <w:rFonts w:ascii="Times New Roman" w:hAnsi="Times New Roman" w:cs="Times New Roman"/>
          <w:color w:val="222222"/>
          <w:sz w:val="24"/>
          <w:szCs w:val="24"/>
          <w:shd w:val="clear" w:color="auto" w:fill="FFFFFF"/>
        </w:rPr>
        <w:t>​</w:t>
      </w:r>
      <w:r w:rsidR="00891859" w:rsidRPr="007E7DFC">
        <w:rPr>
          <w:rFonts w:ascii="Times New Roman" w:hAnsi="Times New Roman" w:cs="Times New Roman"/>
          <w:sz w:val="24"/>
          <w:szCs w:val="24"/>
          <w:shd w:val="clear" w:color="auto" w:fill="FFFFFF"/>
        </w:rPr>
        <w:t>Bhu</w:t>
      </w:r>
      <w:r w:rsidR="00234F70" w:rsidRPr="007E7DFC">
        <w:rPr>
          <w:rFonts w:ascii="Times New Roman" w:hAnsi="Times New Roman" w:cs="Times New Roman"/>
          <w:sz w:val="24"/>
          <w:szCs w:val="24"/>
          <w:shd w:val="clear" w:color="auto" w:fill="FFFFFF"/>
        </w:rPr>
        <w:t xml:space="preserve">iyan, </w:t>
      </w:r>
      <w:r w:rsidR="00891859" w:rsidRPr="007E7DFC">
        <w:rPr>
          <w:rFonts w:ascii="Times New Roman" w:hAnsi="Times New Roman" w:cs="Times New Roman"/>
          <w:sz w:val="24"/>
          <w:szCs w:val="24"/>
          <w:shd w:val="clear" w:color="auto" w:fill="FFFFFF"/>
        </w:rPr>
        <w:t xml:space="preserve">M.  R.  (2025).  Seasonal epidemiology and vector ecology of lumpy skin disease </w:t>
      </w:r>
      <w:r w:rsidR="00234F70" w:rsidRPr="007E7DFC">
        <w:rPr>
          <w:rFonts w:ascii="Times New Roman" w:hAnsi="Times New Roman" w:cs="Times New Roman"/>
          <w:sz w:val="24"/>
          <w:szCs w:val="24"/>
          <w:shd w:val="clear" w:color="auto" w:fill="FFFFFF"/>
        </w:rPr>
        <w:t xml:space="preserve">in </w:t>
      </w:r>
      <w:r w:rsidR="00891859" w:rsidRPr="007E7DFC">
        <w:rPr>
          <w:rFonts w:ascii="Times New Roman" w:hAnsi="Times New Roman" w:cs="Times New Roman"/>
          <w:sz w:val="24"/>
          <w:szCs w:val="24"/>
          <w:shd w:val="clear" w:color="auto" w:fill="FFFFFF"/>
        </w:rPr>
        <w:t xml:space="preserve">South and </w:t>
      </w:r>
      <w:r w:rsidR="00234F70" w:rsidRPr="007E7DFC">
        <w:rPr>
          <w:rFonts w:ascii="Times New Roman" w:hAnsi="Times New Roman" w:cs="Times New Roman"/>
          <w:sz w:val="24"/>
          <w:szCs w:val="24"/>
          <w:shd w:val="clear" w:color="auto" w:fill="FFFFFF"/>
        </w:rPr>
        <w:t xml:space="preserve">Southeast Asia: A </w:t>
      </w:r>
      <w:r w:rsidR="00891859" w:rsidRPr="007E7DFC">
        <w:rPr>
          <w:rFonts w:ascii="Times New Roman" w:hAnsi="Times New Roman" w:cs="Times New Roman"/>
          <w:sz w:val="24"/>
          <w:szCs w:val="24"/>
          <w:shd w:val="clear" w:color="auto" w:fill="FFFFFF"/>
        </w:rPr>
        <w:t>comprehensive review of knowledge gaps and fu</w:t>
      </w:r>
      <w:r w:rsidR="00234F70" w:rsidRPr="007E7DFC">
        <w:rPr>
          <w:rFonts w:ascii="Times New Roman" w:hAnsi="Times New Roman" w:cs="Times New Roman"/>
          <w:sz w:val="24"/>
          <w:szCs w:val="24"/>
          <w:shd w:val="clear" w:color="auto" w:fill="FFFFFF"/>
        </w:rPr>
        <w:t xml:space="preserve">ture perspectives.  Bulgarian </w:t>
      </w:r>
      <w:r w:rsidR="00891859" w:rsidRPr="007E7DFC">
        <w:rPr>
          <w:rFonts w:ascii="Times New Roman" w:hAnsi="Times New Roman" w:cs="Times New Roman"/>
          <w:sz w:val="24"/>
          <w:szCs w:val="24"/>
          <w:shd w:val="clear" w:color="auto" w:fill="FFFFFF"/>
        </w:rPr>
        <w:t>Journal of Veterinary Medicine. https://doi.org/10.15547/bjvm.2025-0096</w:t>
      </w:r>
    </w:p>
    <w:p w14:paraId="7117D11E" w14:textId="77777777" w:rsidR="00521C4A" w:rsidRPr="007E7DFC" w:rsidRDefault="00521C4A" w:rsidP="00521C4A">
      <w:pPr>
        <w:jc w:val="both"/>
        <w:rPr>
          <w:rFonts w:ascii="Times New Roman" w:hAnsi="Times New Roman" w:cs="Times New Roman"/>
          <w:sz w:val="24"/>
          <w:szCs w:val="24"/>
          <w:shd w:val="clear" w:color="auto" w:fill="FFFFFF"/>
        </w:rPr>
      </w:pPr>
      <w:r w:rsidRPr="007E7DFC">
        <w:rPr>
          <w:rFonts w:ascii="Times New Roman" w:hAnsi="Times New Roman" w:cs="Times New Roman"/>
          <w:color w:val="222222"/>
          <w:sz w:val="24"/>
          <w:szCs w:val="24"/>
          <w:shd w:val="clear" w:color="auto" w:fill="FFFFFF"/>
        </w:rPr>
        <w:t>​</w:t>
      </w:r>
      <w:r w:rsidR="00891859" w:rsidRPr="007E7DFC">
        <w:rPr>
          <w:rFonts w:ascii="Times New Roman" w:hAnsi="Times New Roman" w:cs="Times New Roman"/>
          <w:sz w:val="24"/>
          <w:szCs w:val="24"/>
          <w:shd w:val="clear" w:color="auto" w:fill="FFFFFF"/>
        </w:rPr>
        <w:t xml:space="preserve">Bhuiyan, M.R., Ferdous, J., Shimi, S.S.A. and Sharma, S. (2026) ‘Clinical management of lumpy skin disease in a cross-breed </w:t>
      </w:r>
      <w:r w:rsidR="00234F70" w:rsidRPr="007E7DFC">
        <w:rPr>
          <w:rFonts w:ascii="Times New Roman" w:hAnsi="Times New Roman" w:cs="Times New Roman"/>
          <w:sz w:val="24"/>
          <w:szCs w:val="24"/>
          <w:shd w:val="clear" w:color="auto" w:fill="FFFFFF"/>
        </w:rPr>
        <w:t xml:space="preserve">heifer at Upazila Livestock Office and Veterinary Hospital, </w:t>
      </w:r>
      <w:proofErr w:type="spellStart"/>
      <w:r w:rsidR="00234F70" w:rsidRPr="007E7DFC">
        <w:rPr>
          <w:rFonts w:ascii="Times New Roman" w:hAnsi="Times New Roman" w:cs="Times New Roman"/>
          <w:sz w:val="24"/>
          <w:szCs w:val="24"/>
          <w:shd w:val="clear" w:color="auto" w:fill="FFFFFF"/>
        </w:rPr>
        <w:t>Daudkandi</w:t>
      </w:r>
      <w:proofErr w:type="spellEnd"/>
      <w:r w:rsidR="00234F70" w:rsidRPr="007E7DFC">
        <w:rPr>
          <w:rFonts w:ascii="Times New Roman" w:hAnsi="Times New Roman" w:cs="Times New Roman"/>
          <w:sz w:val="24"/>
          <w:szCs w:val="24"/>
          <w:shd w:val="clear" w:color="auto" w:fill="FFFFFF"/>
        </w:rPr>
        <w:t xml:space="preserve">, </w:t>
      </w:r>
      <w:proofErr w:type="spellStart"/>
      <w:r w:rsidR="00234F70" w:rsidRPr="007E7DFC">
        <w:rPr>
          <w:rFonts w:ascii="Times New Roman" w:hAnsi="Times New Roman" w:cs="Times New Roman"/>
          <w:sz w:val="24"/>
          <w:szCs w:val="24"/>
          <w:shd w:val="clear" w:color="auto" w:fill="FFFFFF"/>
        </w:rPr>
        <w:t>Cumilla</w:t>
      </w:r>
      <w:proofErr w:type="spellEnd"/>
      <w:r w:rsidR="00234F70" w:rsidRPr="007E7DFC">
        <w:rPr>
          <w:rFonts w:ascii="Times New Roman" w:hAnsi="Times New Roman" w:cs="Times New Roman"/>
          <w:sz w:val="24"/>
          <w:szCs w:val="24"/>
          <w:shd w:val="clear" w:color="auto" w:fill="FFFFFF"/>
        </w:rPr>
        <w:t xml:space="preserve">: A </w:t>
      </w:r>
      <w:r w:rsidR="00891859" w:rsidRPr="007E7DFC">
        <w:rPr>
          <w:rFonts w:ascii="Times New Roman" w:hAnsi="Times New Roman" w:cs="Times New Roman"/>
          <w:sz w:val="24"/>
          <w:szCs w:val="24"/>
          <w:shd w:val="clear" w:color="auto" w:fill="FFFFFF"/>
        </w:rPr>
        <w:t xml:space="preserve">case </w:t>
      </w:r>
      <w:r w:rsidR="00234F70" w:rsidRPr="007E7DFC">
        <w:rPr>
          <w:rFonts w:ascii="Times New Roman" w:hAnsi="Times New Roman" w:cs="Times New Roman"/>
          <w:sz w:val="24"/>
          <w:szCs w:val="24"/>
          <w:shd w:val="clear" w:color="auto" w:fill="FFFFFF"/>
        </w:rPr>
        <w:t xml:space="preserve">report’, Asian </w:t>
      </w:r>
      <w:r w:rsidR="00891859" w:rsidRPr="007E7DFC">
        <w:rPr>
          <w:rFonts w:ascii="Times New Roman" w:hAnsi="Times New Roman" w:cs="Times New Roman"/>
          <w:sz w:val="24"/>
          <w:szCs w:val="24"/>
          <w:shd w:val="clear" w:color="auto" w:fill="FFFFFF"/>
        </w:rPr>
        <w:t xml:space="preserve">Journal </w:t>
      </w:r>
      <w:r w:rsidR="00234F70" w:rsidRPr="007E7DFC">
        <w:rPr>
          <w:rFonts w:ascii="Times New Roman" w:hAnsi="Times New Roman" w:cs="Times New Roman"/>
          <w:sz w:val="24"/>
          <w:szCs w:val="24"/>
          <w:shd w:val="clear" w:color="auto" w:fill="FFFFFF"/>
        </w:rPr>
        <w:t xml:space="preserve">of </w:t>
      </w:r>
      <w:r w:rsidR="00891859" w:rsidRPr="007E7DFC">
        <w:rPr>
          <w:rFonts w:ascii="Times New Roman" w:hAnsi="Times New Roman" w:cs="Times New Roman"/>
          <w:sz w:val="24"/>
          <w:szCs w:val="24"/>
          <w:shd w:val="clear" w:color="auto" w:fill="FFFFFF"/>
        </w:rPr>
        <w:t xml:space="preserve">Research </w:t>
      </w:r>
      <w:r w:rsidR="00234F70" w:rsidRPr="007E7DFC">
        <w:rPr>
          <w:rFonts w:ascii="Times New Roman" w:hAnsi="Times New Roman" w:cs="Times New Roman"/>
          <w:sz w:val="24"/>
          <w:szCs w:val="24"/>
          <w:shd w:val="clear" w:color="auto" w:fill="FFFFFF"/>
        </w:rPr>
        <w:t xml:space="preserve">in Animal and Veterinary Sciences, 9(2), </w:t>
      </w:r>
      <w:r w:rsidR="00891859" w:rsidRPr="007E7DFC">
        <w:rPr>
          <w:rFonts w:ascii="Times New Roman" w:hAnsi="Times New Roman" w:cs="Times New Roman"/>
          <w:sz w:val="24"/>
          <w:szCs w:val="24"/>
          <w:shd w:val="clear" w:color="auto" w:fill="FFFFFF"/>
        </w:rPr>
        <w:t>pp.  330–338. https://doi.org/10.9734/ajravs/2026/v9i2416</w:t>
      </w:r>
    </w:p>
    <w:p w14:paraId="39BE7013" w14:textId="77777777" w:rsidR="00891859" w:rsidRPr="00891859" w:rsidRDefault="00891859" w:rsidP="00521C4A">
      <w:pPr>
        <w:jc w:val="both"/>
        <w:rPr>
          <w:rFonts w:ascii="Times New Roman" w:hAnsi="Times New Roman" w:cs="Times New Roman"/>
          <w:color w:val="222222"/>
          <w:sz w:val="24"/>
          <w:szCs w:val="24"/>
          <w:shd w:val="clear" w:color="auto" w:fill="FFFFFF"/>
        </w:rPr>
      </w:pPr>
      <w:r w:rsidRPr="007E7DFC">
        <w:rPr>
          <w:rFonts w:ascii="Times New Roman" w:hAnsi="Times New Roman" w:cs="Times New Roman"/>
          <w:color w:val="222222"/>
          <w:sz w:val="24"/>
          <w:szCs w:val="24"/>
          <w:shd w:val="clear" w:color="auto" w:fill="FFFFFF"/>
        </w:rPr>
        <w:t xml:space="preserve">Bhuiyan, M.R., Ferdous, J., Shimi, S.S.A. and Sharma, S., 2025. Clinical management of lumpy skin disease in a cross-breed heifer at Upazila Livestock Office and Veterinary Hospital, </w:t>
      </w:r>
      <w:proofErr w:type="spellStart"/>
      <w:r w:rsidRPr="007E7DFC">
        <w:rPr>
          <w:rFonts w:ascii="Times New Roman" w:hAnsi="Times New Roman" w:cs="Times New Roman"/>
          <w:color w:val="222222"/>
          <w:sz w:val="24"/>
          <w:szCs w:val="24"/>
          <w:shd w:val="clear" w:color="auto" w:fill="FFFFFF"/>
        </w:rPr>
        <w:t>Daudkandi</w:t>
      </w:r>
      <w:proofErr w:type="spellEnd"/>
      <w:r w:rsidRPr="007E7DFC">
        <w:rPr>
          <w:rFonts w:ascii="Times New Roman" w:hAnsi="Times New Roman" w:cs="Times New Roman"/>
          <w:color w:val="222222"/>
          <w:sz w:val="24"/>
          <w:szCs w:val="24"/>
          <w:shd w:val="clear" w:color="auto" w:fill="FFFFFF"/>
        </w:rPr>
        <w:t xml:space="preserve">, </w:t>
      </w:r>
      <w:proofErr w:type="spellStart"/>
      <w:r w:rsidRPr="007E7DFC">
        <w:rPr>
          <w:rFonts w:ascii="Times New Roman" w:hAnsi="Times New Roman" w:cs="Times New Roman"/>
          <w:color w:val="222222"/>
          <w:sz w:val="24"/>
          <w:szCs w:val="24"/>
          <w:shd w:val="clear" w:color="auto" w:fill="FFFFFF"/>
        </w:rPr>
        <w:t>Cumilla</w:t>
      </w:r>
      <w:proofErr w:type="spellEnd"/>
      <w:r w:rsidRPr="007E7DFC">
        <w:rPr>
          <w:rFonts w:ascii="Times New Roman" w:hAnsi="Times New Roman" w:cs="Times New Roman"/>
          <w:color w:val="222222"/>
          <w:sz w:val="24"/>
          <w:szCs w:val="24"/>
          <w:shd w:val="clear" w:color="auto" w:fill="FFFFFF"/>
        </w:rPr>
        <w:t>: A case report [Paper presentation]. In </w:t>
      </w:r>
      <w:r w:rsidRPr="007E7DFC">
        <w:rPr>
          <w:rFonts w:ascii="Times New Roman" w:hAnsi="Times New Roman" w:cs="Times New Roman"/>
          <w:i/>
          <w:iCs/>
          <w:color w:val="222222"/>
          <w:sz w:val="24"/>
          <w:szCs w:val="24"/>
          <w:shd w:val="clear" w:color="auto" w:fill="FFFFFF"/>
        </w:rPr>
        <w:t>RUEC 1st International Research Conference 2025</w:t>
      </w:r>
      <w:r w:rsidRPr="007E7DFC">
        <w:rPr>
          <w:rFonts w:ascii="Times New Roman" w:hAnsi="Times New Roman" w:cs="Times New Roman"/>
          <w:color w:val="222222"/>
          <w:sz w:val="24"/>
          <w:szCs w:val="24"/>
          <w:shd w:val="clear" w:color="auto" w:fill="FFFFFF"/>
        </w:rPr>
        <w:t xml:space="preserve">. </w:t>
      </w:r>
      <w:r w:rsidRPr="007E7DFC">
        <w:rPr>
          <w:rFonts w:ascii="Times New Roman" w:hAnsi="Times New Roman" w:cs="Times New Roman"/>
          <w:sz w:val="24"/>
          <w:szCs w:val="24"/>
          <w:shd w:val="clear" w:color="auto" w:fill="FFFFFF"/>
        </w:rPr>
        <w:t>https://ruec.org</w:t>
      </w:r>
    </w:p>
    <w:p w14:paraId="59DE4C43" w14:textId="77777777" w:rsidR="00521C4A" w:rsidRPr="00DA4247" w:rsidRDefault="00521C4A" w:rsidP="00521C4A">
      <w:pPr>
        <w:jc w:val="both"/>
        <w:rPr>
          <w:rFonts w:ascii="Times New Roman" w:hAnsi="Times New Roman" w:cs="Times New Roman"/>
          <w:color w:val="222222"/>
          <w:sz w:val="24"/>
          <w:szCs w:val="24"/>
          <w:shd w:val="clear" w:color="auto" w:fill="FFFFFF"/>
        </w:rPr>
      </w:pPr>
      <w:r w:rsidRPr="00DA4247">
        <w:rPr>
          <w:rFonts w:ascii="Times New Roman" w:hAnsi="Times New Roman" w:cs="Times New Roman"/>
          <w:color w:val="222222"/>
          <w:sz w:val="24"/>
          <w:szCs w:val="24"/>
          <w:shd w:val="clear" w:color="auto" w:fill="FFFFFF"/>
        </w:rPr>
        <w:t xml:space="preserve">​Chouhan C. S., Parvin M. S., Ali M. Y., </w:t>
      </w:r>
      <w:proofErr w:type="spellStart"/>
      <w:r w:rsidRPr="00DA4247">
        <w:rPr>
          <w:rFonts w:ascii="Times New Roman" w:hAnsi="Times New Roman" w:cs="Times New Roman"/>
          <w:color w:val="222222"/>
          <w:sz w:val="24"/>
          <w:szCs w:val="24"/>
          <w:shd w:val="clear" w:color="auto" w:fill="FFFFFF"/>
        </w:rPr>
        <w:t>Sadekuzzaman</w:t>
      </w:r>
      <w:proofErr w:type="spellEnd"/>
      <w:r w:rsidRPr="00DA4247">
        <w:rPr>
          <w:rFonts w:ascii="Times New Roman" w:hAnsi="Times New Roman" w:cs="Times New Roman"/>
          <w:color w:val="222222"/>
          <w:sz w:val="24"/>
          <w:szCs w:val="24"/>
          <w:shd w:val="clear" w:color="auto" w:fill="FFFFFF"/>
        </w:rPr>
        <w:t xml:space="preserve"> M., Chowdhury M. G. A., Ehsan M. A. &amp; Islam M. T. (2022). Epidemiology and economic impact of lumpy skin disease of cattle in Mymensingh and Gaibandha districts of Bangladesh. Transboundary and Emerging Diseases. 69(6): 3405-3418.</w:t>
      </w:r>
    </w:p>
    <w:p w14:paraId="40208B7E" w14:textId="77777777" w:rsidR="00521C4A" w:rsidRPr="00DA4247" w:rsidRDefault="00521C4A" w:rsidP="00521C4A">
      <w:pPr>
        <w:jc w:val="both"/>
        <w:rPr>
          <w:rFonts w:ascii="Times New Roman" w:hAnsi="Times New Roman" w:cs="Times New Roman"/>
          <w:color w:val="222222"/>
          <w:sz w:val="24"/>
          <w:szCs w:val="24"/>
          <w:shd w:val="clear" w:color="auto" w:fill="FFFFFF"/>
        </w:rPr>
      </w:pPr>
      <w:r w:rsidRPr="00DA4247">
        <w:rPr>
          <w:rFonts w:ascii="Times New Roman" w:hAnsi="Times New Roman" w:cs="Times New Roman"/>
          <w:color w:val="222222"/>
          <w:sz w:val="24"/>
          <w:szCs w:val="24"/>
          <w:shd w:val="clear" w:color="auto" w:fill="FFFFFF"/>
        </w:rPr>
        <w:t>​Das M., Chowdhury M. S. R., Akter S., Mondal A. K., Uddin M. J., Rahman M. M. &amp; Rahman M. M. (2021). An updated review on lumpy skin disease: perspective of Southeast Asian countries. Journal of Advanced Biotechnology and Experimental Therapeutics. 4(3): 322-333.</w:t>
      </w:r>
    </w:p>
    <w:p w14:paraId="3B9442DB" w14:textId="77777777" w:rsidR="00521C4A" w:rsidRPr="00DA4247" w:rsidRDefault="00521C4A" w:rsidP="00521C4A">
      <w:pPr>
        <w:jc w:val="both"/>
        <w:rPr>
          <w:rFonts w:ascii="Times New Roman" w:hAnsi="Times New Roman" w:cs="Times New Roman"/>
          <w:color w:val="222222"/>
          <w:sz w:val="24"/>
          <w:szCs w:val="24"/>
          <w:shd w:val="clear" w:color="auto" w:fill="FFFFFF"/>
        </w:rPr>
      </w:pPr>
      <w:r w:rsidRPr="00DA4247">
        <w:rPr>
          <w:rFonts w:ascii="Times New Roman" w:hAnsi="Times New Roman" w:cs="Times New Roman"/>
          <w:color w:val="222222"/>
          <w:sz w:val="24"/>
          <w:szCs w:val="24"/>
          <w:shd w:val="clear" w:color="auto" w:fill="FFFFFF"/>
        </w:rPr>
        <w:lastRenderedPageBreak/>
        <w:t xml:space="preserve">​Gari G., Bonnet P., Roger F. &amp; </w:t>
      </w:r>
      <w:proofErr w:type="spellStart"/>
      <w:r w:rsidRPr="00DA4247">
        <w:rPr>
          <w:rFonts w:ascii="Times New Roman" w:hAnsi="Times New Roman" w:cs="Times New Roman"/>
          <w:color w:val="222222"/>
          <w:sz w:val="24"/>
          <w:szCs w:val="24"/>
          <w:shd w:val="clear" w:color="auto" w:fill="FFFFFF"/>
        </w:rPr>
        <w:t>Waret-Szkuta</w:t>
      </w:r>
      <w:proofErr w:type="spellEnd"/>
      <w:r w:rsidRPr="00DA4247">
        <w:rPr>
          <w:rFonts w:ascii="Times New Roman" w:hAnsi="Times New Roman" w:cs="Times New Roman"/>
          <w:color w:val="222222"/>
          <w:sz w:val="24"/>
          <w:szCs w:val="24"/>
          <w:shd w:val="clear" w:color="auto" w:fill="FFFFFF"/>
        </w:rPr>
        <w:t xml:space="preserve"> A. (2011). Epidemiological aspects and financial impact of lumpy skin disease in Ethiopia. Preventive Veterinary Medicine. 102(4): 274-283.</w:t>
      </w:r>
    </w:p>
    <w:p w14:paraId="41D59C7B" w14:textId="77777777" w:rsidR="00521C4A" w:rsidRPr="00DA4247" w:rsidRDefault="00521C4A" w:rsidP="00521C4A">
      <w:pPr>
        <w:jc w:val="both"/>
        <w:rPr>
          <w:rFonts w:ascii="Times New Roman" w:hAnsi="Times New Roman" w:cs="Times New Roman"/>
          <w:color w:val="222222"/>
          <w:sz w:val="24"/>
          <w:szCs w:val="24"/>
          <w:shd w:val="clear" w:color="auto" w:fill="FFFFFF"/>
        </w:rPr>
      </w:pPr>
      <w:r w:rsidRPr="00DA4247">
        <w:rPr>
          <w:rFonts w:ascii="Times New Roman" w:hAnsi="Times New Roman" w:cs="Times New Roman"/>
          <w:color w:val="222222"/>
          <w:sz w:val="24"/>
          <w:szCs w:val="24"/>
          <w:shd w:val="clear" w:color="auto" w:fill="FFFFFF"/>
        </w:rPr>
        <w:t>​Hutchinson D., Li B., Lim S., Stone H. &amp; MacIntyre C. R. (2024). Using EPIWATCH® open‐source surveillance to describe the epidemiology of lumpy skin disease outbreaks in South and Southeast Asia (2022–2023). Australian Veterinary Journal. 102(10): 524-529.</w:t>
      </w:r>
    </w:p>
    <w:p w14:paraId="3AE0FB1E" w14:textId="77777777" w:rsidR="00521C4A" w:rsidRPr="00DA4247" w:rsidRDefault="00521C4A" w:rsidP="00521C4A">
      <w:pPr>
        <w:jc w:val="both"/>
        <w:rPr>
          <w:rFonts w:ascii="Times New Roman" w:hAnsi="Times New Roman" w:cs="Times New Roman"/>
          <w:color w:val="222222"/>
          <w:sz w:val="24"/>
          <w:szCs w:val="24"/>
          <w:shd w:val="clear" w:color="auto" w:fill="FFFFFF"/>
        </w:rPr>
      </w:pPr>
      <w:r w:rsidRPr="00DA4247">
        <w:rPr>
          <w:rFonts w:ascii="Times New Roman" w:hAnsi="Times New Roman" w:cs="Times New Roman"/>
          <w:color w:val="222222"/>
          <w:sz w:val="24"/>
          <w:szCs w:val="24"/>
          <w:shd w:val="clear" w:color="auto" w:fill="FFFFFF"/>
        </w:rPr>
        <w:t xml:space="preserve">​Mazloum A., Van Schalkwyk A., </w:t>
      </w:r>
      <w:proofErr w:type="spellStart"/>
      <w:r w:rsidRPr="00DA4247">
        <w:rPr>
          <w:rFonts w:ascii="Times New Roman" w:hAnsi="Times New Roman" w:cs="Times New Roman"/>
          <w:color w:val="222222"/>
          <w:sz w:val="24"/>
          <w:szCs w:val="24"/>
          <w:shd w:val="clear" w:color="auto" w:fill="FFFFFF"/>
        </w:rPr>
        <w:t>Babiuk</w:t>
      </w:r>
      <w:proofErr w:type="spellEnd"/>
      <w:r w:rsidRPr="00DA4247">
        <w:rPr>
          <w:rFonts w:ascii="Times New Roman" w:hAnsi="Times New Roman" w:cs="Times New Roman"/>
          <w:color w:val="222222"/>
          <w:sz w:val="24"/>
          <w:szCs w:val="24"/>
          <w:shd w:val="clear" w:color="auto" w:fill="FFFFFF"/>
        </w:rPr>
        <w:t xml:space="preserve"> S., Venter E., Wallace D. B. &amp; </w:t>
      </w:r>
      <w:proofErr w:type="spellStart"/>
      <w:r w:rsidRPr="00DA4247">
        <w:rPr>
          <w:rFonts w:ascii="Times New Roman" w:hAnsi="Times New Roman" w:cs="Times New Roman"/>
          <w:color w:val="222222"/>
          <w:sz w:val="24"/>
          <w:szCs w:val="24"/>
          <w:shd w:val="clear" w:color="auto" w:fill="FFFFFF"/>
        </w:rPr>
        <w:t>Sprygin</w:t>
      </w:r>
      <w:proofErr w:type="spellEnd"/>
      <w:r w:rsidRPr="00DA4247">
        <w:rPr>
          <w:rFonts w:ascii="Times New Roman" w:hAnsi="Times New Roman" w:cs="Times New Roman"/>
          <w:color w:val="222222"/>
          <w:sz w:val="24"/>
          <w:szCs w:val="24"/>
          <w:shd w:val="clear" w:color="auto" w:fill="FFFFFF"/>
        </w:rPr>
        <w:t xml:space="preserve"> A. (2023). Lumpy skin disease: history, current understanding and research gaps in the context of recent geographic expansion. Frontiers in Microbiology. 14: 1266759.</w:t>
      </w:r>
    </w:p>
    <w:p w14:paraId="640E7EF8" w14:textId="77777777" w:rsidR="00521C4A" w:rsidRPr="00DA4247" w:rsidRDefault="00521C4A" w:rsidP="00521C4A">
      <w:pPr>
        <w:jc w:val="both"/>
        <w:rPr>
          <w:rFonts w:ascii="Times New Roman" w:hAnsi="Times New Roman" w:cs="Times New Roman"/>
          <w:color w:val="222222"/>
          <w:sz w:val="24"/>
          <w:szCs w:val="24"/>
          <w:shd w:val="clear" w:color="auto" w:fill="FFFFFF"/>
        </w:rPr>
      </w:pPr>
      <w:r w:rsidRPr="00DA4247">
        <w:rPr>
          <w:rFonts w:ascii="Times New Roman" w:hAnsi="Times New Roman" w:cs="Times New Roman"/>
          <w:color w:val="222222"/>
          <w:sz w:val="24"/>
          <w:szCs w:val="24"/>
          <w:shd w:val="clear" w:color="auto" w:fill="FFFFFF"/>
        </w:rPr>
        <w:t>​</w:t>
      </w:r>
      <w:proofErr w:type="spellStart"/>
      <w:r w:rsidRPr="00DA4247">
        <w:rPr>
          <w:rFonts w:ascii="Times New Roman" w:hAnsi="Times New Roman" w:cs="Times New Roman"/>
          <w:color w:val="222222"/>
          <w:sz w:val="24"/>
          <w:szCs w:val="24"/>
          <w:shd w:val="clear" w:color="auto" w:fill="FFFFFF"/>
        </w:rPr>
        <w:t>Modethed</w:t>
      </w:r>
      <w:proofErr w:type="spellEnd"/>
      <w:r w:rsidRPr="00DA4247">
        <w:rPr>
          <w:rFonts w:ascii="Times New Roman" w:hAnsi="Times New Roman" w:cs="Times New Roman"/>
          <w:color w:val="222222"/>
          <w:sz w:val="24"/>
          <w:szCs w:val="24"/>
          <w:shd w:val="clear" w:color="auto" w:fill="FFFFFF"/>
        </w:rPr>
        <w:t xml:space="preserve"> W., </w:t>
      </w:r>
      <w:proofErr w:type="spellStart"/>
      <w:r w:rsidRPr="00DA4247">
        <w:rPr>
          <w:rFonts w:ascii="Times New Roman" w:hAnsi="Times New Roman" w:cs="Times New Roman"/>
          <w:color w:val="222222"/>
          <w:sz w:val="24"/>
          <w:szCs w:val="24"/>
          <w:shd w:val="clear" w:color="auto" w:fill="FFFFFF"/>
        </w:rPr>
        <w:t>Kreausukon</w:t>
      </w:r>
      <w:proofErr w:type="spellEnd"/>
      <w:r w:rsidRPr="00DA4247">
        <w:rPr>
          <w:rFonts w:ascii="Times New Roman" w:hAnsi="Times New Roman" w:cs="Times New Roman"/>
          <w:color w:val="222222"/>
          <w:sz w:val="24"/>
          <w:szCs w:val="24"/>
          <w:shd w:val="clear" w:color="auto" w:fill="FFFFFF"/>
        </w:rPr>
        <w:t xml:space="preserve"> K., </w:t>
      </w:r>
      <w:proofErr w:type="spellStart"/>
      <w:r w:rsidRPr="00DA4247">
        <w:rPr>
          <w:rFonts w:ascii="Times New Roman" w:hAnsi="Times New Roman" w:cs="Times New Roman"/>
          <w:color w:val="222222"/>
          <w:sz w:val="24"/>
          <w:szCs w:val="24"/>
          <w:shd w:val="clear" w:color="auto" w:fill="FFFFFF"/>
        </w:rPr>
        <w:t>Singhla</w:t>
      </w:r>
      <w:proofErr w:type="spellEnd"/>
      <w:r w:rsidRPr="00DA4247">
        <w:rPr>
          <w:rFonts w:ascii="Times New Roman" w:hAnsi="Times New Roman" w:cs="Times New Roman"/>
          <w:color w:val="222222"/>
          <w:sz w:val="24"/>
          <w:szCs w:val="24"/>
          <w:shd w:val="clear" w:color="auto" w:fill="FFFFFF"/>
        </w:rPr>
        <w:t xml:space="preserve"> T., Boonsri K., </w:t>
      </w:r>
      <w:proofErr w:type="spellStart"/>
      <w:r w:rsidRPr="00DA4247">
        <w:rPr>
          <w:rFonts w:ascii="Times New Roman" w:hAnsi="Times New Roman" w:cs="Times New Roman"/>
          <w:color w:val="222222"/>
          <w:sz w:val="24"/>
          <w:szCs w:val="24"/>
          <w:shd w:val="clear" w:color="auto" w:fill="FFFFFF"/>
        </w:rPr>
        <w:t>Pringproa</w:t>
      </w:r>
      <w:proofErr w:type="spellEnd"/>
      <w:r w:rsidRPr="00DA4247">
        <w:rPr>
          <w:rFonts w:ascii="Times New Roman" w:hAnsi="Times New Roman" w:cs="Times New Roman"/>
          <w:color w:val="222222"/>
          <w:sz w:val="24"/>
          <w:szCs w:val="24"/>
          <w:shd w:val="clear" w:color="auto" w:fill="FFFFFF"/>
        </w:rPr>
        <w:t xml:space="preserve"> K., </w:t>
      </w:r>
      <w:proofErr w:type="spellStart"/>
      <w:r w:rsidRPr="00DA4247">
        <w:rPr>
          <w:rFonts w:ascii="Times New Roman" w:hAnsi="Times New Roman" w:cs="Times New Roman"/>
          <w:color w:val="222222"/>
          <w:sz w:val="24"/>
          <w:szCs w:val="24"/>
          <w:shd w:val="clear" w:color="auto" w:fill="FFFFFF"/>
        </w:rPr>
        <w:t>Sthitmatee</w:t>
      </w:r>
      <w:proofErr w:type="spellEnd"/>
      <w:r w:rsidRPr="00DA4247">
        <w:rPr>
          <w:rFonts w:ascii="Times New Roman" w:hAnsi="Times New Roman" w:cs="Times New Roman"/>
          <w:color w:val="222222"/>
          <w:sz w:val="24"/>
          <w:szCs w:val="24"/>
          <w:shd w:val="clear" w:color="auto" w:fill="FFFFFF"/>
        </w:rPr>
        <w:t xml:space="preserve"> N., </w:t>
      </w:r>
      <w:proofErr w:type="spellStart"/>
      <w:r w:rsidRPr="00DA4247">
        <w:rPr>
          <w:rFonts w:ascii="Times New Roman" w:hAnsi="Times New Roman" w:cs="Times New Roman"/>
          <w:color w:val="222222"/>
          <w:sz w:val="24"/>
          <w:szCs w:val="24"/>
          <w:shd w:val="clear" w:color="auto" w:fill="FFFFFF"/>
        </w:rPr>
        <w:t>Vinitchaikul</w:t>
      </w:r>
      <w:proofErr w:type="spellEnd"/>
      <w:r w:rsidRPr="00DA4247">
        <w:rPr>
          <w:rFonts w:ascii="Times New Roman" w:hAnsi="Times New Roman" w:cs="Times New Roman"/>
          <w:color w:val="222222"/>
          <w:sz w:val="24"/>
          <w:szCs w:val="24"/>
          <w:shd w:val="clear" w:color="auto" w:fill="FFFFFF"/>
        </w:rPr>
        <w:t xml:space="preserve"> P., </w:t>
      </w:r>
      <w:proofErr w:type="spellStart"/>
      <w:r w:rsidRPr="00DA4247">
        <w:rPr>
          <w:rFonts w:ascii="Times New Roman" w:hAnsi="Times New Roman" w:cs="Times New Roman"/>
          <w:color w:val="222222"/>
          <w:sz w:val="24"/>
          <w:szCs w:val="24"/>
          <w:shd w:val="clear" w:color="auto" w:fill="FFFFFF"/>
        </w:rPr>
        <w:t>Srisawang</w:t>
      </w:r>
      <w:proofErr w:type="spellEnd"/>
      <w:r w:rsidRPr="00DA4247">
        <w:rPr>
          <w:rFonts w:ascii="Times New Roman" w:hAnsi="Times New Roman" w:cs="Times New Roman"/>
          <w:color w:val="222222"/>
          <w:sz w:val="24"/>
          <w:szCs w:val="24"/>
          <w:shd w:val="clear" w:color="auto" w:fill="FFFFFF"/>
        </w:rPr>
        <w:t xml:space="preserve"> S., Salvador R., Gubbins S. &amp; Limon G. (2025). An evaluation of financial losses due to lumpy skin disease outbreaks in dairy farms of northern Thailand. Frontiers in Veterinary Science. 11: 1501460.</w:t>
      </w:r>
    </w:p>
    <w:p w14:paraId="1B29DE77" w14:textId="77777777" w:rsidR="00521C4A" w:rsidRPr="00DA4247" w:rsidRDefault="00521C4A" w:rsidP="00521C4A">
      <w:pPr>
        <w:jc w:val="both"/>
        <w:rPr>
          <w:rFonts w:ascii="Times New Roman" w:hAnsi="Times New Roman" w:cs="Times New Roman"/>
          <w:color w:val="222222"/>
          <w:sz w:val="24"/>
          <w:szCs w:val="24"/>
          <w:shd w:val="clear" w:color="auto" w:fill="FFFFFF"/>
        </w:rPr>
      </w:pPr>
      <w:r w:rsidRPr="00DA4247">
        <w:rPr>
          <w:rFonts w:ascii="Times New Roman" w:hAnsi="Times New Roman" w:cs="Times New Roman"/>
          <w:color w:val="222222"/>
          <w:sz w:val="24"/>
          <w:szCs w:val="24"/>
          <w:shd w:val="clear" w:color="auto" w:fill="FFFFFF"/>
        </w:rPr>
        <w:t xml:space="preserve">​Molla W., de Jong M. C., Gari G. &amp; </w:t>
      </w:r>
      <w:proofErr w:type="spellStart"/>
      <w:r w:rsidRPr="00DA4247">
        <w:rPr>
          <w:rFonts w:ascii="Times New Roman" w:hAnsi="Times New Roman" w:cs="Times New Roman"/>
          <w:color w:val="222222"/>
          <w:sz w:val="24"/>
          <w:szCs w:val="24"/>
          <w:shd w:val="clear" w:color="auto" w:fill="FFFFFF"/>
        </w:rPr>
        <w:t>Frankena</w:t>
      </w:r>
      <w:proofErr w:type="spellEnd"/>
      <w:r w:rsidRPr="00DA4247">
        <w:rPr>
          <w:rFonts w:ascii="Times New Roman" w:hAnsi="Times New Roman" w:cs="Times New Roman"/>
          <w:color w:val="222222"/>
          <w:sz w:val="24"/>
          <w:szCs w:val="24"/>
          <w:shd w:val="clear" w:color="auto" w:fill="FFFFFF"/>
        </w:rPr>
        <w:t xml:space="preserve"> K. (2017). Economic impact of lumpy skin disease and cost effectiveness of vaccination for the control of outbreaks in Ethiopia. Preventive Veterinary Medicine. 147: 100-107.</w:t>
      </w:r>
    </w:p>
    <w:p w14:paraId="30484410" w14:textId="77777777" w:rsidR="00521C4A" w:rsidRPr="00DA4247" w:rsidRDefault="00521C4A" w:rsidP="00521C4A">
      <w:pPr>
        <w:jc w:val="both"/>
        <w:rPr>
          <w:rFonts w:ascii="Times New Roman" w:hAnsi="Times New Roman" w:cs="Times New Roman"/>
          <w:color w:val="222222"/>
          <w:sz w:val="24"/>
          <w:szCs w:val="24"/>
          <w:shd w:val="clear" w:color="auto" w:fill="FFFFFF"/>
        </w:rPr>
      </w:pPr>
      <w:r w:rsidRPr="00DA4247">
        <w:rPr>
          <w:rFonts w:ascii="Times New Roman" w:hAnsi="Times New Roman" w:cs="Times New Roman"/>
          <w:color w:val="222222"/>
          <w:sz w:val="24"/>
          <w:szCs w:val="24"/>
          <w:shd w:val="clear" w:color="auto" w:fill="FFFFFF"/>
        </w:rPr>
        <w:t xml:space="preserve">​Naidu G. G., </w:t>
      </w:r>
      <w:proofErr w:type="spellStart"/>
      <w:r w:rsidRPr="00DA4247">
        <w:rPr>
          <w:rFonts w:ascii="Times New Roman" w:hAnsi="Times New Roman" w:cs="Times New Roman"/>
          <w:color w:val="222222"/>
          <w:sz w:val="24"/>
          <w:szCs w:val="24"/>
          <w:shd w:val="clear" w:color="auto" w:fill="FFFFFF"/>
        </w:rPr>
        <w:t>Shivappa</w:t>
      </w:r>
      <w:proofErr w:type="spellEnd"/>
      <w:r w:rsidRPr="00DA4247">
        <w:rPr>
          <w:rFonts w:ascii="Times New Roman" w:hAnsi="Times New Roman" w:cs="Times New Roman"/>
          <w:color w:val="222222"/>
          <w:sz w:val="24"/>
          <w:szCs w:val="24"/>
          <w:shd w:val="clear" w:color="auto" w:fill="FFFFFF"/>
        </w:rPr>
        <w:t xml:space="preserve"> R. R., Rajanna P. R., </w:t>
      </w:r>
      <w:proofErr w:type="spellStart"/>
      <w:r w:rsidRPr="00DA4247">
        <w:rPr>
          <w:rFonts w:ascii="Times New Roman" w:hAnsi="Times New Roman" w:cs="Times New Roman"/>
          <w:color w:val="222222"/>
          <w:sz w:val="24"/>
          <w:szCs w:val="24"/>
          <w:shd w:val="clear" w:color="auto" w:fill="FFFFFF"/>
        </w:rPr>
        <w:t>Gondali</w:t>
      </w:r>
      <w:proofErr w:type="spellEnd"/>
      <w:r w:rsidRPr="00DA4247">
        <w:rPr>
          <w:rFonts w:ascii="Times New Roman" w:hAnsi="Times New Roman" w:cs="Times New Roman"/>
          <w:color w:val="222222"/>
          <w:sz w:val="24"/>
          <w:szCs w:val="24"/>
          <w:shd w:val="clear" w:color="auto" w:fill="FFFFFF"/>
        </w:rPr>
        <w:t xml:space="preserve"> H., Devaraju M. H., Nagesh P. K. S., Gajendiran N., Kanani A., Bhatt L., </w:t>
      </w:r>
      <w:proofErr w:type="spellStart"/>
      <w:r w:rsidRPr="00DA4247">
        <w:rPr>
          <w:rFonts w:ascii="Times New Roman" w:hAnsi="Times New Roman" w:cs="Times New Roman"/>
          <w:color w:val="222222"/>
          <w:sz w:val="24"/>
          <w:szCs w:val="24"/>
          <w:shd w:val="clear" w:color="auto" w:fill="FFFFFF"/>
        </w:rPr>
        <w:t>Tapase</w:t>
      </w:r>
      <w:proofErr w:type="spellEnd"/>
      <w:r w:rsidRPr="00DA4247">
        <w:rPr>
          <w:rFonts w:ascii="Times New Roman" w:hAnsi="Times New Roman" w:cs="Times New Roman"/>
          <w:color w:val="222222"/>
          <w:sz w:val="24"/>
          <w:szCs w:val="24"/>
          <w:shd w:val="clear" w:color="auto" w:fill="FFFFFF"/>
        </w:rPr>
        <w:t xml:space="preserve"> J. &amp; Arumugam S. (2025). Assessment of economic burden of lumpy skin disease in India using stochastic modeling. Scientific Reports. 15(1): 10160.</w:t>
      </w:r>
    </w:p>
    <w:p w14:paraId="5F67E291" w14:textId="77777777" w:rsidR="00521C4A" w:rsidRPr="00DA4247" w:rsidRDefault="00521C4A" w:rsidP="00521C4A">
      <w:pPr>
        <w:jc w:val="both"/>
        <w:rPr>
          <w:rFonts w:ascii="Times New Roman" w:hAnsi="Times New Roman" w:cs="Times New Roman"/>
          <w:color w:val="222222"/>
          <w:sz w:val="24"/>
          <w:szCs w:val="24"/>
          <w:shd w:val="clear" w:color="auto" w:fill="FFFFFF"/>
        </w:rPr>
      </w:pPr>
      <w:r w:rsidRPr="00DA4247">
        <w:rPr>
          <w:rFonts w:ascii="Times New Roman" w:hAnsi="Times New Roman" w:cs="Times New Roman"/>
          <w:color w:val="222222"/>
          <w:sz w:val="24"/>
          <w:szCs w:val="24"/>
          <w:shd w:val="clear" w:color="auto" w:fill="FFFFFF"/>
        </w:rPr>
        <w:t>​</w:t>
      </w:r>
      <w:proofErr w:type="spellStart"/>
      <w:r w:rsidRPr="00DA4247">
        <w:rPr>
          <w:rFonts w:ascii="Times New Roman" w:hAnsi="Times New Roman" w:cs="Times New Roman"/>
          <w:color w:val="222222"/>
          <w:sz w:val="24"/>
          <w:szCs w:val="24"/>
          <w:shd w:val="clear" w:color="auto" w:fill="FFFFFF"/>
        </w:rPr>
        <w:t>Punyapornwithaya</w:t>
      </w:r>
      <w:proofErr w:type="spellEnd"/>
      <w:r w:rsidRPr="00DA4247">
        <w:rPr>
          <w:rFonts w:ascii="Times New Roman" w:hAnsi="Times New Roman" w:cs="Times New Roman"/>
          <w:color w:val="222222"/>
          <w:sz w:val="24"/>
          <w:szCs w:val="24"/>
          <w:shd w:val="clear" w:color="auto" w:fill="FFFFFF"/>
        </w:rPr>
        <w:t xml:space="preserve"> V., </w:t>
      </w:r>
      <w:proofErr w:type="spellStart"/>
      <w:r w:rsidRPr="00DA4247">
        <w:rPr>
          <w:rFonts w:ascii="Times New Roman" w:hAnsi="Times New Roman" w:cs="Times New Roman"/>
          <w:color w:val="222222"/>
          <w:sz w:val="24"/>
          <w:szCs w:val="24"/>
          <w:shd w:val="clear" w:color="auto" w:fill="FFFFFF"/>
        </w:rPr>
        <w:t>Arjkumpa</w:t>
      </w:r>
      <w:proofErr w:type="spellEnd"/>
      <w:r w:rsidRPr="00DA4247">
        <w:rPr>
          <w:rFonts w:ascii="Times New Roman" w:hAnsi="Times New Roman" w:cs="Times New Roman"/>
          <w:color w:val="222222"/>
          <w:sz w:val="24"/>
          <w:szCs w:val="24"/>
          <w:shd w:val="clear" w:color="auto" w:fill="FFFFFF"/>
        </w:rPr>
        <w:t xml:space="preserve"> O., </w:t>
      </w:r>
      <w:proofErr w:type="spellStart"/>
      <w:r w:rsidRPr="00DA4247">
        <w:rPr>
          <w:rFonts w:ascii="Times New Roman" w:hAnsi="Times New Roman" w:cs="Times New Roman"/>
          <w:color w:val="222222"/>
          <w:sz w:val="24"/>
          <w:szCs w:val="24"/>
          <w:shd w:val="clear" w:color="auto" w:fill="FFFFFF"/>
        </w:rPr>
        <w:t>Buamithup</w:t>
      </w:r>
      <w:proofErr w:type="spellEnd"/>
      <w:r w:rsidRPr="00DA4247">
        <w:rPr>
          <w:rFonts w:ascii="Times New Roman" w:hAnsi="Times New Roman" w:cs="Times New Roman"/>
          <w:color w:val="222222"/>
          <w:sz w:val="24"/>
          <w:szCs w:val="24"/>
          <w:shd w:val="clear" w:color="auto" w:fill="FFFFFF"/>
        </w:rPr>
        <w:t xml:space="preserve"> N., </w:t>
      </w:r>
      <w:proofErr w:type="spellStart"/>
      <w:r w:rsidRPr="00DA4247">
        <w:rPr>
          <w:rFonts w:ascii="Times New Roman" w:hAnsi="Times New Roman" w:cs="Times New Roman"/>
          <w:color w:val="222222"/>
          <w:sz w:val="24"/>
          <w:szCs w:val="24"/>
          <w:shd w:val="clear" w:color="auto" w:fill="FFFFFF"/>
        </w:rPr>
        <w:t>Jainonthee</w:t>
      </w:r>
      <w:proofErr w:type="spellEnd"/>
      <w:r w:rsidRPr="00DA4247">
        <w:rPr>
          <w:rFonts w:ascii="Times New Roman" w:hAnsi="Times New Roman" w:cs="Times New Roman"/>
          <w:color w:val="222222"/>
          <w:sz w:val="24"/>
          <w:szCs w:val="24"/>
          <w:shd w:val="clear" w:color="auto" w:fill="FFFFFF"/>
        </w:rPr>
        <w:t xml:space="preserve"> C., Salvador R. &amp; </w:t>
      </w:r>
      <w:proofErr w:type="spellStart"/>
      <w:r w:rsidRPr="00DA4247">
        <w:rPr>
          <w:rFonts w:ascii="Times New Roman" w:hAnsi="Times New Roman" w:cs="Times New Roman"/>
          <w:color w:val="222222"/>
          <w:sz w:val="24"/>
          <w:szCs w:val="24"/>
          <w:shd w:val="clear" w:color="auto" w:fill="FFFFFF"/>
        </w:rPr>
        <w:t>Jampachaisri</w:t>
      </w:r>
      <w:proofErr w:type="spellEnd"/>
      <w:r w:rsidRPr="00DA4247">
        <w:rPr>
          <w:rFonts w:ascii="Times New Roman" w:hAnsi="Times New Roman" w:cs="Times New Roman"/>
          <w:color w:val="222222"/>
          <w:sz w:val="24"/>
          <w:szCs w:val="24"/>
          <w:shd w:val="clear" w:color="auto" w:fill="FFFFFF"/>
        </w:rPr>
        <w:t xml:space="preserve"> K. (2024). The impact of mass vaccination policy and control measures on lumpy skin disease cases in Thailand: insights from a Bayesian structural time series analysis. Frontiers in Veterinary Science. 10: 1301546.</w:t>
      </w:r>
    </w:p>
    <w:p w14:paraId="2F6BBCD4" w14:textId="77777777" w:rsidR="00521C4A" w:rsidRPr="00DA4247" w:rsidRDefault="00521C4A" w:rsidP="00521C4A">
      <w:pPr>
        <w:jc w:val="both"/>
        <w:rPr>
          <w:rFonts w:ascii="Times New Roman" w:hAnsi="Times New Roman" w:cs="Times New Roman"/>
          <w:color w:val="222222"/>
          <w:sz w:val="24"/>
          <w:szCs w:val="24"/>
          <w:shd w:val="clear" w:color="auto" w:fill="FFFFFF"/>
        </w:rPr>
      </w:pPr>
      <w:r w:rsidRPr="00DA4247">
        <w:rPr>
          <w:rFonts w:ascii="Times New Roman" w:hAnsi="Times New Roman" w:cs="Times New Roman"/>
          <w:color w:val="222222"/>
          <w:sz w:val="24"/>
          <w:szCs w:val="24"/>
          <w:shd w:val="clear" w:color="auto" w:fill="FFFFFF"/>
        </w:rPr>
        <w:t>​Rajendran V. O., Govindaraj G., Arivazhagan A., Premkumar D., Jayakumar V., Saravanan B. C., Nandi S., Panday S. &amp; Singh B. R. (2025). Estimation of the economic impact of Lumpy Skin Disease (LSD) outbreaks (2022-23) in dairy cattle farmers of Uttar Pradesh, India. The Microbe. 100513.</w:t>
      </w:r>
    </w:p>
    <w:p w14:paraId="5337D6EC" w14:textId="77777777" w:rsidR="00521C4A" w:rsidRPr="00DA4247" w:rsidRDefault="00521C4A" w:rsidP="00521C4A">
      <w:pPr>
        <w:jc w:val="both"/>
        <w:rPr>
          <w:rFonts w:ascii="Times New Roman" w:hAnsi="Times New Roman" w:cs="Times New Roman"/>
          <w:color w:val="222222"/>
          <w:sz w:val="24"/>
          <w:szCs w:val="24"/>
          <w:shd w:val="clear" w:color="auto" w:fill="FFFFFF"/>
        </w:rPr>
      </w:pPr>
      <w:r w:rsidRPr="00DA4247">
        <w:rPr>
          <w:rFonts w:ascii="Times New Roman" w:hAnsi="Times New Roman" w:cs="Times New Roman"/>
          <w:color w:val="222222"/>
          <w:sz w:val="24"/>
          <w:szCs w:val="24"/>
          <w:shd w:val="clear" w:color="auto" w:fill="FFFFFF"/>
        </w:rPr>
        <w:t xml:space="preserve">​Roche X., </w:t>
      </w:r>
      <w:proofErr w:type="spellStart"/>
      <w:r w:rsidRPr="00DA4247">
        <w:rPr>
          <w:rFonts w:ascii="Times New Roman" w:hAnsi="Times New Roman" w:cs="Times New Roman"/>
          <w:color w:val="222222"/>
          <w:sz w:val="24"/>
          <w:szCs w:val="24"/>
          <w:shd w:val="clear" w:color="auto" w:fill="FFFFFF"/>
        </w:rPr>
        <w:t>Rozstalnyy</w:t>
      </w:r>
      <w:proofErr w:type="spellEnd"/>
      <w:r w:rsidRPr="00DA4247">
        <w:rPr>
          <w:rFonts w:ascii="Times New Roman" w:hAnsi="Times New Roman" w:cs="Times New Roman"/>
          <w:color w:val="222222"/>
          <w:sz w:val="24"/>
          <w:szCs w:val="24"/>
          <w:shd w:val="clear" w:color="auto" w:fill="FFFFFF"/>
        </w:rPr>
        <w:t xml:space="preserve"> A., </w:t>
      </w:r>
      <w:proofErr w:type="spellStart"/>
      <w:r w:rsidRPr="00DA4247">
        <w:rPr>
          <w:rFonts w:ascii="Times New Roman" w:hAnsi="Times New Roman" w:cs="Times New Roman"/>
          <w:color w:val="222222"/>
          <w:sz w:val="24"/>
          <w:szCs w:val="24"/>
          <w:shd w:val="clear" w:color="auto" w:fill="FFFFFF"/>
        </w:rPr>
        <w:t>TagoPacheco</w:t>
      </w:r>
      <w:proofErr w:type="spellEnd"/>
      <w:r w:rsidRPr="00DA4247">
        <w:rPr>
          <w:rFonts w:ascii="Times New Roman" w:hAnsi="Times New Roman" w:cs="Times New Roman"/>
          <w:color w:val="222222"/>
          <w:sz w:val="24"/>
          <w:szCs w:val="24"/>
          <w:shd w:val="clear" w:color="auto" w:fill="FFFFFF"/>
        </w:rPr>
        <w:t xml:space="preserve"> D., Pittiglio C., Kamata A., Beltran </w:t>
      </w:r>
      <w:proofErr w:type="spellStart"/>
      <w:r w:rsidRPr="00DA4247">
        <w:rPr>
          <w:rFonts w:ascii="Times New Roman" w:hAnsi="Times New Roman" w:cs="Times New Roman"/>
          <w:color w:val="222222"/>
          <w:sz w:val="24"/>
          <w:szCs w:val="24"/>
          <w:shd w:val="clear" w:color="auto" w:fill="FFFFFF"/>
        </w:rPr>
        <w:t>Alcrudo</w:t>
      </w:r>
      <w:proofErr w:type="spellEnd"/>
      <w:r w:rsidRPr="00DA4247">
        <w:rPr>
          <w:rFonts w:ascii="Times New Roman" w:hAnsi="Times New Roman" w:cs="Times New Roman"/>
          <w:color w:val="222222"/>
          <w:sz w:val="24"/>
          <w:szCs w:val="24"/>
          <w:shd w:val="clear" w:color="auto" w:fill="FFFFFF"/>
        </w:rPr>
        <w:t xml:space="preserve"> D., Bisht K., Karki S., </w:t>
      </w:r>
      <w:proofErr w:type="spellStart"/>
      <w:r w:rsidRPr="00DA4247">
        <w:rPr>
          <w:rFonts w:ascii="Times New Roman" w:hAnsi="Times New Roman" w:cs="Times New Roman"/>
          <w:color w:val="222222"/>
          <w:sz w:val="24"/>
          <w:szCs w:val="24"/>
          <w:shd w:val="clear" w:color="auto" w:fill="FFFFFF"/>
        </w:rPr>
        <w:t>Kayamori</w:t>
      </w:r>
      <w:proofErr w:type="spellEnd"/>
      <w:r w:rsidRPr="00DA4247">
        <w:rPr>
          <w:rFonts w:ascii="Times New Roman" w:hAnsi="Times New Roman" w:cs="Times New Roman"/>
          <w:color w:val="222222"/>
          <w:sz w:val="24"/>
          <w:szCs w:val="24"/>
          <w:shd w:val="clear" w:color="auto" w:fill="FFFFFF"/>
        </w:rPr>
        <w:t xml:space="preserve"> J., </w:t>
      </w:r>
      <w:proofErr w:type="spellStart"/>
      <w:r w:rsidRPr="00DA4247">
        <w:rPr>
          <w:rFonts w:ascii="Times New Roman" w:hAnsi="Times New Roman" w:cs="Times New Roman"/>
          <w:color w:val="222222"/>
          <w:sz w:val="24"/>
          <w:szCs w:val="24"/>
          <w:shd w:val="clear" w:color="auto" w:fill="FFFFFF"/>
        </w:rPr>
        <w:t>Larfaoui</w:t>
      </w:r>
      <w:proofErr w:type="spellEnd"/>
      <w:r w:rsidRPr="00DA4247">
        <w:rPr>
          <w:rFonts w:ascii="Times New Roman" w:hAnsi="Times New Roman" w:cs="Times New Roman"/>
          <w:color w:val="222222"/>
          <w:sz w:val="24"/>
          <w:szCs w:val="24"/>
          <w:shd w:val="clear" w:color="auto" w:fill="FFFFFF"/>
        </w:rPr>
        <w:t xml:space="preserve"> F. &amp; Raizman E. (2021). Introduction and spread of lumpy skin disease in South, East and Southeast Asia: Qualitative risk assessment and management. Food &amp; Agriculture Org.</w:t>
      </w:r>
    </w:p>
    <w:p w14:paraId="203D07A2" w14:textId="77777777" w:rsidR="00521C4A" w:rsidRPr="00DA4247" w:rsidRDefault="00521C4A" w:rsidP="00521C4A">
      <w:pPr>
        <w:jc w:val="both"/>
        <w:rPr>
          <w:rFonts w:ascii="Times New Roman" w:hAnsi="Times New Roman" w:cs="Times New Roman"/>
          <w:color w:val="222222"/>
          <w:sz w:val="24"/>
          <w:szCs w:val="24"/>
          <w:shd w:val="clear" w:color="auto" w:fill="FFFFFF"/>
        </w:rPr>
      </w:pPr>
      <w:r w:rsidRPr="00DA4247">
        <w:rPr>
          <w:rFonts w:ascii="Times New Roman" w:hAnsi="Times New Roman" w:cs="Times New Roman"/>
          <w:color w:val="222222"/>
          <w:sz w:val="24"/>
          <w:szCs w:val="24"/>
          <w:shd w:val="clear" w:color="auto" w:fill="FFFFFF"/>
        </w:rPr>
        <w:t xml:space="preserve">​Ronchi G. F., Iorio M., </w:t>
      </w:r>
      <w:proofErr w:type="spellStart"/>
      <w:r w:rsidRPr="00DA4247">
        <w:rPr>
          <w:rFonts w:ascii="Times New Roman" w:hAnsi="Times New Roman" w:cs="Times New Roman"/>
          <w:color w:val="222222"/>
          <w:sz w:val="24"/>
          <w:szCs w:val="24"/>
          <w:shd w:val="clear" w:color="auto" w:fill="FFFFFF"/>
        </w:rPr>
        <w:t>Serroni</w:t>
      </w:r>
      <w:proofErr w:type="spellEnd"/>
      <w:r w:rsidRPr="00DA4247">
        <w:rPr>
          <w:rFonts w:ascii="Times New Roman" w:hAnsi="Times New Roman" w:cs="Times New Roman"/>
          <w:color w:val="222222"/>
          <w:sz w:val="24"/>
          <w:szCs w:val="24"/>
          <w:shd w:val="clear" w:color="auto" w:fill="FFFFFF"/>
        </w:rPr>
        <w:t xml:space="preserve"> A., Caporale M., Testa L., Palucci C., Antonucci D., </w:t>
      </w:r>
      <w:proofErr w:type="spellStart"/>
      <w:r w:rsidRPr="00DA4247">
        <w:rPr>
          <w:rFonts w:ascii="Times New Roman" w:hAnsi="Times New Roman" w:cs="Times New Roman"/>
          <w:color w:val="222222"/>
          <w:sz w:val="24"/>
          <w:szCs w:val="24"/>
          <w:shd w:val="clear" w:color="auto" w:fill="FFFFFF"/>
        </w:rPr>
        <w:t>Capista</w:t>
      </w:r>
      <w:proofErr w:type="spellEnd"/>
      <w:r w:rsidRPr="00DA4247">
        <w:rPr>
          <w:rFonts w:ascii="Times New Roman" w:hAnsi="Times New Roman" w:cs="Times New Roman"/>
          <w:color w:val="222222"/>
          <w:sz w:val="24"/>
          <w:szCs w:val="24"/>
          <w:shd w:val="clear" w:color="auto" w:fill="FFFFFF"/>
        </w:rPr>
        <w:t xml:space="preserve"> S., Traini S., </w:t>
      </w:r>
      <w:proofErr w:type="spellStart"/>
      <w:r w:rsidRPr="00DA4247">
        <w:rPr>
          <w:rFonts w:ascii="Times New Roman" w:hAnsi="Times New Roman" w:cs="Times New Roman"/>
          <w:color w:val="222222"/>
          <w:sz w:val="24"/>
          <w:szCs w:val="24"/>
          <w:shd w:val="clear" w:color="auto" w:fill="FFFFFF"/>
        </w:rPr>
        <w:t>Pinoni</w:t>
      </w:r>
      <w:proofErr w:type="spellEnd"/>
      <w:r w:rsidRPr="00DA4247">
        <w:rPr>
          <w:rFonts w:ascii="Times New Roman" w:hAnsi="Times New Roman" w:cs="Times New Roman"/>
          <w:color w:val="222222"/>
          <w:sz w:val="24"/>
          <w:szCs w:val="24"/>
          <w:shd w:val="clear" w:color="auto" w:fill="FFFFFF"/>
        </w:rPr>
        <w:t xml:space="preserve"> C. &amp; Di Matteo I. (2024). The safety and efficacy of new DIVA inactivated vaccines against lumpy skin disease in calves. Vaccines. 12(12): 1302.</w:t>
      </w:r>
    </w:p>
    <w:p w14:paraId="605A9AE8" w14:textId="77777777" w:rsidR="00521C4A" w:rsidRPr="00DA4247" w:rsidRDefault="00521C4A" w:rsidP="00521C4A">
      <w:pPr>
        <w:jc w:val="both"/>
        <w:rPr>
          <w:rFonts w:ascii="Times New Roman" w:hAnsi="Times New Roman" w:cs="Times New Roman"/>
          <w:color w:val="222222"/>
          <w:sz w:val="24"/>
          <w:szCs w:val="24"/>
          <w:shd w:val="clear" w:color="auto" w:fill="FFFFFF"/>
        </w:rPr>
      </w:pPr>
      <w:r w:rsidRPr="00DA4247">
        <w:rPr>
          <w:rFonts w:ascii="Times New Roman" w:hAnsi="Times New Roman" w:cs="Times New Roman"/>
          <w:color w:val="222222"/>
          <w:sz w:val="24"/>
          <w:szCs w:val="24"/>
          <w:shd w:val="clear" w:color="auto" w:fill="FFFFFF"/>
        </w:rPr>
        <w:t xml:space="preserve">​Saqib S. E., Yaseen M., </w:t>
      </w:r>
      <w:proofErr w:type="spellStart"/>
      <w:r w:rsidRPr="00DA4247">
        <w:rPr>
          <w:rFonts w:ascii="Times New Roman" w:hAnsi="Times New Roman" w:cs="Times New Roman"/>
          <w:color w:val="222222"/>
          <w:sz w:val="24"/>
          <w:szCs w:val="24"/>
          <w:shd w:val="clear" w:color="auto" w:fill="FFFFFF"/>
        </w:rPr>
        <w:t>Visetnoi</w:t>
      </w:r>
      <w:proofErr w:type="spellEnd"/>
      <w:r w:rsidRPr="00DA4247">
        <w:rPr>
          <w:rFonts w:ascii="Times New Roman" w:hAnsi="Times New Roman" w:cs="Times New Roman"/>
          <w:color w:val="222222"/>
          <w:sz w:val="24"/>
          <w:szCs w:val="24"/>
          <w:shd w:val="clear" w:color="auto" w:fill="FFFFFF"/>
        </w:rPr>
        <w:t xml:space="preserve"> S., Sikandar &amp; Ali S. (2023). Epidemiological and economic consequences of lumpy skin disease outbreaks on farm households in Khyber Pakhtunkhwa, Pakistan. Frontiers in Veterinary Science. 10: 1238771.</w:t>
      </w:r>
    </w:p>
    <w:p w14:paraId="0EF593F2" w14:textId="77777777" w:rsidR="00521C4A" w:rsidRPr="00DA4247" w:rsidRDefault="00521C4A" w:rsidP="00521C4A">
      <w:pPr>
        <w:jc w:val="both"/>
        <w:rPr>
          <w:rFonts w:ascii="Times New Roman" w:hAnsi="Times New Roman" w:cs="Times New Roman"/>
          <w:color w:val="222222"/>
          <w:sz w:val="24"/>
          <w:szCs w:val="24"/>
          <w:shd w:val="clear" w:color="auto" w:fill="FFFFFF"/>
        </w:rPr>
      </w:pPr>
      <w:r w:rsidRPr="00DA4247">
        <w:rPr>
          <w:rFonts w:ascii="Times New Roman" w:hAnsi="Times New Roman" w:cs="Times New Roman"/>
          <w:color w:val="222222"/>
          <w:sz w:val="24"/>
          <w:szCs w:val="24"/>
          <w:shd w:val="clear" w:color="auto" w:fill="FFFFFF"/>
        </w:rPr>
        <w:lastRenderedPageBreak/>
        <w:t>​TAFS (2024). TAFS Update – Lumpy Skin Disease March 2024. Available at: https://www.tafsforum.org/news/tafs-update---lumpy-skin-disease-march-2024 (Accessed: 15 March 2024).</w:t>
      </w:r>
    </w:p>
    <w:p w14:paraId="7E396056" w14:textId="77777777" w:rsidR="00521C4A" w:rsidRPr="00DA4247" w:rsidRDefault="00521C4A" w:rsidP="00521C4A">
      <w:pPr>
        <w:jc w:val="both"/>
        <w:rPr>
          <w:rFonts w:ascii="Times New Roman" w:hAnsi="Times New Roman" w:cs="Times New Roman"/>
          <w:color w:val="222222"/>
          <w:sz w:val="24"/>
          <w:szCs w:val="24"/>
          <w:shd w:val="clear" w:color="auto" w:fill="FFFFFF"/>
        </w:rPr>
      </w:pPr>
      <w:r w:rsidRPr="00DA4247">
        <w:rPr>
          <w:rFonts w:ascii="Times New Roman" w:hAnsi="Times New Roman" w:cs="Times New Roman"/>
          <w:color w:val="222222"/>
          <w:sz w:val="24"/>
          <w:szCs w:val="24"/>
          <w:shd w:val="clear" w:color="auto" w:fill="FFFFFF"/>
        </w:rPr>
        <w:t>​Tuppurainen E. S. M. &amp; Oura C. A. L. (2012). Lumpy skin disease: an emerging threat to Europe, the Middle East and Asia. Transboundary and Emerging Diseases. 59(1): 40-48.</w:t>
      </w:r>
    </w:p>
    <w:p w14:paraId="7A31B0A2" w14:textId="77777777" w:rsidR="00521C4A" w:rsidRPr="00DA4247" w:rsidRDefault="00521C4A" w:rsidP="00521C4A">
      <w:pPr>
        <w:jc w:val="both"/>
        <w:rPr>
          <w:rFonts w:ascii="Times New Roman" w:hAnsi="Times New Roman" w:cs="Times New Roman"/>
          <w:color w:val="222222"/>
          <w:sz w:val="24"/>
          <w:szCs w:val="24"/>
          <w:shd w:val="clear" w:color="auto" w:fill="FFFFFF"/>
        </w:rPr>
      </w:pPr>
      <w:r w:rsidRPr="00DA4247">
        <w:rPr>
          <w:rFonts w:ascii="Times New Roman" w:hAnsi="Times New Roman" w:cs="Times New Roman"/>
          <w:color w:val="222222"/>
          <w:sz w:val="24"/>
          <w:szCs w:val="24"/>
          <w:shd w:val="clear" w:color="auto" w:fill="FFFFFF"/>
        </w:rPr>
        <w:t>​Tuppurainen E., Dietze K., Wolff J., Bergmann H., Beltran-</w:t>
      </w:r>
      <w:proofErr w:type="spellStart"/>
      <w:r w:rsidRPr="00DA4247">
        <w:rPr>
          <w:rFonts w:ascii="Times New Roman" w:hAnsi="Times New Roman" w:cs="Times New Roman"/>
          <w:color w:val="222222"/>
          <w:sz w:val="24"/>
          <w:szCs w:val="24"/>
          <w:shd w:val="clear" w:color="auto" w:fill="FFFFFF"/>
        </w:rPr>
        <w:t>Alcrudo</w:t>
      </w:r>
      <w:proofErr w:type="spellEnd"/>
      <w:r w:rsidRPr="00DA4247">
        <w:rPr>
          <w:rFonts w:ascii="Times New Roman" w:hAnsi="Times New Roman" w:cs="Times New Roman"/>
          <w:color w:val="222222"/>
          <w:sz w:val="24"/>
          <w:szCs w:val="24"/>
          <w:shd w:val="clear" w:color="auto" w:fill="FFFFFF"/>
        </w:rPr>
        <w:t xml:space="preserve"> D., Fahrion A., Lamien C. E., Busch F., Sauter-Louis C., </w:t>
      </w:r>
      <w:proofErr w:type="spellStart"/>
      <w:r w:rsidRPr="00DA4247">
        <w:rPr>
          <w:rFonts w:ascii="Times New Roman" w:hAnsi="Times New Roman" w:cs="Times New Roman"/>
          <w:color w:val="222222"/>
          <w:sz w:val="24"/>
          <w:szCs w:val="24"/>
          <w:shd w:val="clear" w:color="auto" w:fill="FFFFFF"/>
        </w:rPr>
        <w:t>Conraths</w:t>
      </w:r>
      <w:proofErr w:type="spellEnd"/>
      <w:r w:rsidRPr="00DA4247">
        <w:rPr>
          <w:rFonts w:ascii="Times New Roman" w:hAnsi="Times New Roman" w:cs="Times New Roman"/>
          <w:color w:val="222222"/>
          <w:sz w:val="24"/>
          <w:szCs w:val="24"/>
          <w:shd w:val="clear" w:color="auto" w:fill="FFFFFF"/>
        </w:rPr>
        <w:t xml:space="preserve"> F. J. &amp; De Clercq K. (2021). Vaccines and vaccination against lumpy skin disease. Vaccines. 9(10): 1136.</w:t>
      </w:r>
    </w:p>
    <w:p w14:paraId="5F523E8C" w14:textId="77777777" w:rsidR="00521C4A" w:rsidRPr="00DA4247" w:rsidRDefault="00521C4A" w:rsidP="00521C4A">
      <w:pPr>
        <w:jc w:val="both"/>
        <w:rPr>
          <w:rFonts w:ascii="Times New Roman" w:hAnsi="Times New Roman" w:cs="Times New Roman"/>
          <w:color w:val="222222"/>
          <w:sz w:val="24"/>
          <w:szCs w:val="24"/>
          <w:shd w:val="clear" w:color="auto" w:fill="FFFFFF"/>
        </w:rPr>
      </w:pPr>
      <w:r w:rsidRPr="00DA4247">
        <w:rPr>
          <w:rFonts w:ascii="Times New Roman" w:hAnsi="Times New Roman" w:cs="Times New Roman"/>
          <w:color w:val="222222"/>
          <w:sz w:val="24"/>
          <w:szCs w:val="24"/>
          <w:shd w:val="clear" w:color="auto" w:fill="FFFFFF"/>
        </w:rPr>
        <w:t>​Wilhelm L. &amp; Ward M. P. (2023). The spread of lumpy skin disease virus across Southeast Asia: insights from surveillance. Transboundary and Emerging Diseases. 2023(1): 3972359.</w:t>
      </w:r>
    </w:p>
    <w:p w14:paraId="713658E6" w14:textId="77777777" w:rsidR="00D67108" w:rsidRDefault="00521C4A" w:rsidP="00521C4A">
      <w:pPr>
        <w:jc w:val="both"/>
        <w:rPr>
          <w:rFonts w:ascii="Times New Roman" w:hAnsi="Times New Roman" w:cs="Times New Roman"/>
          <w:color w:val="222222"/>
          <w:sz w:val="24"/>
          <w:szCs w:val="24"/>
          <w:shd w:val="clear" w:color="auto" w:fill="FFFFFF"/>
        </w:rPr>
      </w:pPr>
      <w:r w:rsidRPr="00DA4247">
        <w:rPr>
          <w:rFonts w:ascii="Times New Roman" w:hAnsi="Times New Roman" w:cs="Times New Roman"/>
          <w:color w:val="222222"/>
          <w:sz w:val="24"/>
          <w:szCs w:val="24"/>
          <w:shd w:val="clear" w:color="auto" w:fill="FFFFFF"/>
        </w:rPr>
        <w:t>​WOAH (2024). Final Report Study to assess the impact of Lumpy Skin Disease (LSD) in Asia. Available at: https://rr-asia.woah.org/app/uploads/2024/06/Final-Report_Study-to-assess-the-impact-of-LSD_June-2024.pdf (Accessed: 20 June 2024).</w:t>
      </w:r>
    </w:p>
    <w:p w14:paraId="00075CAF" w14:textId="77777777" w:rsidR="0048313A" w:rsidRDefault="0048313A" w:rsidP="00521C4A">
      <w:pPr>
        <w:jc w:val="both"/>
        <w:rPr>
          <w:rFonts w:ascii="Times New Roman" w:hAnsi="Times New Roman" w:cs="Times New Roman"/>
          <w:color w:val="222222"/>
          <w:sz w:val="24"/>
          <w:szCs w:val="24"/>
          <w:shd w:val="clear" w:color="auto" w:fill="FFFFFF"/>
        </w:rPr>
      </w:pPr>
    </w:p>
    <w:p w14:paraId="566AAC89" w14:textId="77777777" w:rsidR="0048313A" w:rsidRDefault="0048313A" w:rsidP="00521C4A">
      <w:pPr>
        <w:jc w:val="both"/>
        <w:rPr>
          <w:rFonts w:ascii="Times New Roman" w:hAnsi="Times New Roman" w:cs="Times New Roman"/>
          <w:color w:val="222222"/>
          <w:sz w:val="24"/>
          <w:szCs w:val="24"/>
          <w:shd w:val="clear" w:color="auto" w:fill="FFFFFF"/>
        </w:rPr>
      </w:pPr>
    </w:p>
    <w:p w14:paraId="78D05721" w14:textId="357B4DF6" w:rsidR="005A19F8" w:rsidRDefault="005A19F8" w:rsidP="00521C4A">
      <w:pPr>
        <w:jc w:val="both"/>
        <w:rPr>
          <w:rFonts w:ascii="Times New Roman" w:hAnsi="Times New Roman" w:cs="Times New Roman"/>
          <w:color w:val="222222"/>
          <w:sz w:val="24"/>
          <w:szCs w:val="24"/>
          <w:shd w:val="clear" w:color="auto" w:fill="FFFFFF"/>
        </w:rPr>
      </w:pPr>
      <w:r>
        <w:rPr>
          <w:rFonts w:ascii="Times New Roman" w:hAnsi="Times New Roman" w:cs="Times New Roman"/>
          <w:b/>
          <w:noProof/>
          <w:sz w:val="28"/>
        </w:rPr>
        <w:drawing>
          <wp:anchor distT="0" distB="0" distL="114300" distR="114300" simplePos="0" relativeHeight="251659264" behindDoc="0" locked="0" layoutInCell="1" allowOverlap="1" wp14:anchorId="0315FA51" wp14:editId="2AD853A3">
            <wp:simplePos x="0" y="0"/>
            <wp:positionH relativeFrom="margin">
              <wp:posOffset>-286247</wp:posOffset>
            </wp:positionH>
            <wp:positionV relativeFrom="paragraph">
              <wp:posOffset>336550</wp:posOffset>
            </wp:positionV>
            <wp:extent cx="6305384" cy="3260642"/>
            <wp:effectExtent l="0" t="0" r="63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1150.jpeg"/>
                    <pic:cNvPicPr/>
                  </pic:nvPicPr>
                  <pic:blipFill rotWithShape="1">
                    <a:blip r:embed="rId7">
                      <a:extLst>
                        <a:ext uri="{28A0092B-C50C-407E-A947-70E740481C1C}">
                          <a14:useLocalDpi xmlns:a14="http://schemas.microsoft.com/office/drawing/2010/main" val="0"/>
                        </a:ext>
                      </a:extLst>
                    </a:blip>
                    <a:srcRect t="6605" r="1491"/>
                    <a:stretch>
                      <a:fillRect/>
                    </a:stretch>
                  </pic:blipFill>
                  <pic:spPr bwMode="auto">
                    <a:xfrm>
                      <a:off x="0" y="0"/>
                      <a:ext cx="6305384" cy="32606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ECBB9F" w14:textId="29814E3D" w:rsidR="005A19F8" w:rsidRDefault="005A19F8" w:rsidP="00521C4A">
      <w:pPr>
        <w:jc w:val="both"/>
        <w:rPr>
          <w:rFonts w:ascii="Times New Roman" w:hAnsi="Times New Roman" w:cs="Times New Roman"/>
          <w:color w:val="222222"/>
          <w:sz w:val="24"/>
          <w:szCs w:val="24"/>
          <w:shd w:val="clear" w:color="auto" w:fill="FFFFFF"/>
        </w:rPr>
      </w:pPr>
    </w:p>
    <w:p w14:paraId="31644B26" w14:textId="005AED44" w:rsidR="005A19F8" w:rsidRPr="00B744BF" w:rsidRDefault="005A19F8" w:rsidP="005A19F8">
      <w:pPr>
        <w:pStyle w:val="NoSpacing"/>
        <w:jc w:val="center"/>
        <w:rPr>
          <w:rFonts w:ascii="Times New Roman" w:hAnsi="Times New Roman" w:cs="Times New Roman"/>
          <w:b/>
          <w:sz w:val="28"/>
        </w:rPr>
      </w:pPr>
    </w:p>
    <w:p w14:paraId="6FA3D19C" w14:textId="77777777" w:rsidR="005A19F8" w:rsidRDefault="005A19F8" w:rsidP="005A19F8">
      <w:pPr>
        <w:pStyle w:val="Heading2"/>
        <w:spacing w:before="240" w:after="120"/>
        <w:rPr>
          <w:rFonts w:ascii="Times New Roman" w:hAnsi="Times New Roman" w:cs="Times New Roman"/>
          <w:color w:val="auto"/>
          <w:sz w:val="24"/>
          <w:szCs w:val="24"/>
        </w:rPr>
      </w:pPr>
    </w:p>
    <w:p w14:paraId="7AAD4195" w14:textId="77777777" w:rsidR="005A19F8" w:rsidRDefault="005A19F8" w:rsidP="005A19F8">
      <w:pPr>
        <w:pStyle w:val="Heading2"/>
        <w:spacing w:before="240" w:after="120"/>
        <w:rPr>
          <w:rFonts w:ascii="Times New Roman" w:hAnsi="Times New Roman" w:cs="Times New Roman"/>
          <w:color w:val="auto"/>
          <w:sz w:val="24"/>
          <w:szCs w:val="24"/>
        </w:rPr>
      </w:pPr>
    </w:p>
    <w:p w14:paraId="63B9F154" w14:textId="77777777" w:rsidR="005A19F8" w:rsidRDefault="005A19F8" w:rsidP="005A19F8">
      <w:pPr>
        <w:pStyle w:val="Heading2"/>
        <w:spacing w:before="240" w:after="120"/>
        <w:rPr>
          <w:rFonts w:ascii="Times New Roman" w:hAnsi="Times New Roman" w:cs="Times New Roman"/>
          <w:color w:val="auto"/>
          <w:sz w:val="24"/>
          <w:szCs w:val="24"/>
        </w:rPr>
      </w:pPr>
    </w:p>
    <w:p w14:paraId="6F6C1BA0" w14:textId="77777777" w:rsidR="005A19F8" w:rsidRDefault="005A19F8" w:rsidP="005A19F8">
      <w:pPr>
        <w:pStyle w:val="Heading2"/>
        <w:spacing w:before="240" w:after="120"/>
        <w:rPr>
          <w:rFonts w:ascii="Times New Roman" w:hAnsi="Times New Roman" w:cs="Times New Roman"/>
          <w:color w:val="auto"/>
          <w:sz w:val="24"/>
          <w:szCs w:val="24"/>
        </w:rPr>
      </w:pPr>
    </w:p>
    <w:p w14:paraId="216CA97C" w14:textId="77777777" w:rsidR="005A19F8" w:rsidRDefault="005A19F8" w:rsidP="005A19F8">
      <w:pPr>
        <w:pStyle w:val="Heading2"/>
        <w:spacing w:before="240" w:after="120"/>
        <w:rPr>
          <w:rFonts w:ascii="Times New Roman" w:hAnsi="Times New Roman" w:cs="Times New Roman"/>
          <w:color w:val="auto"/>
          <w:sz w:val="24"/>
          <w:szCs w:val="24"/>
        </w:rPr>
      </w:pPr>
    </w:p>
    <w:p w14:paraId="60AEC44D" w14:textId="77777777" w:rsidR="005A19F8" w:rsidRDefault="005A19F8" w:rsidP="005A19F8">
      <w:pPr>
        <w:pStyle w:val="Heading2"/>
        <w:spacing w:before="240" w:after="120"/>
        <w:rPr>
          <w:rFonts w:ascii="Times New Roman" w:hAnsi="Times New Roman" w:cs="Times New Roman"/>
          <w:color w:val="auto"/>
          <w:sz w:val="24"/>
          <w:szCs w:val="24"/>
        </w:rPr>
      </w:pPr>
    </w:p>
    <w:p w14:paraId="2BAD980A" w14:textId="77777777" w:rsidR="005A19F8" w:rsidRDefault="005A19F8" w:rsidP="005A19F8">
      <w:pPr>
        <w:pStyle w:val="Heading2"/>
        <w:spacing w:before="240" w:after="120"/>
        <w:rPr>
          <w:rFonts w:ascii="Times New Roman" w:hAnsi="Times New Roman" w:cs="Times New Roman"/>
          <w:color w:val="auto"/>
          <w:sz w:val="24"/>
          <w:szCs w:val="24"/>
        </w:rPr>
      </w:pPr>
    </w:p>
    <w:p w14:paraId="3DAE77D9" w14:textId="77777777" w:rsidR="005A19F8" w:rsidRDefault="005A19F8" w:rsidP="005A19F8">
      <w:pPr>
        <w:pStyle w:val="Heading2"/>
        <w:spacing w:before="240" w:after="120"/>
        <w:rPr>
          <w:rFonts w:ascii="Times New Roman" w:hAnsi="Times New Roman" w:cs="Times New Roman"/>
          <w:color w:val="auto"/>
          <w:sz w:val="24"/>
          <w:szCs w:val="24"/>
        </w:rPr>
      </w:pPr>
    </w:p>
    <w:p w14:paraId="69388CDB" w14:textId="77777777" w:rsidR="005A19F8" w:rsidRDefault="005A19F8" w:rsidP="005A19F8">
      <w:pPr>
        <w:pStyle w:val="Heading2"/>
        <w:spacing w:before="240" w:after="120"/>
        <w:rPr>
          <w:rFonts w:ascii="Times New Roman" w:hAnsi="Times New Roman" w:cs="Times New Roman"/>
          <w:color w:val="auto"/>
          <w:sz w:val="24"/>
          <w:szCs w:val="24"/>
        </w:rPr>
      </w:pPr>
    </w:p>
    <w:p w14:paraId="3980A346" w14:textId="77777777" w:rsidR="005A19F8" w:rsidRDefault="005A19F8" w:rsidP="005A19F8">
      <w:pPr>
        <w:pStyle w:val="Heading2"/>
        <w:spacing w:before="240" w:after="120"/>
        <w:rPr>
          <w:rFonts w:ascii="Times New Roman" w:hAnsi="Times New Roman" w:cs="Times New Roman"/>
          <w:color w:val="auto"/>
          <w:sz w:val="24"/>
          <w:szCs w:val="24"/>
        </w:rPr>
      </w:pPr>
    </w:p>
    <w:p w14:paraId="1704759F" w14:textId="77777777" w:rsidR="005A19F8" w:rsidRDefault="005A19F8" w:rsidP="005A19F8">
      <w:pPr>
        <w:pStyle w:val="Heading2"/>
        <w:spacing w:before="240" w:after="120"/>
        <w:rPr>
          <w:rFonts w:ascii="Times New Roman" w:hAnsi="Times New Roman" w:cs="Times New Roman"/>
          <w:color w:val="auto"/>
          <w:sz w:val="24"/>
          <w:szCs w:val="24"/>
        </w:rPr>
      </w:pPr>
    </w:p>
    <w:p w14:paraId="2121094A" w14:textId="77777777" w:rsidR="005A19F8" w:rsidRPr="006844E2" w:rsidRDefault="005A19F8" w:rsidP="005A19F8">
      <w:pPr>
        <w:jc w:val="center"/>
        <w:rPr>
          <w:rFonts w:ascii="Times New Roman" w:hAnsi="Times New Roman" w:cs="Times New Roman"/>
          <w:noProof/>
          <w:sz w:val="24"/>
          <w:szCs w:val="24"/>
        </w:rPr>
      </w:pPr>
      <w:r w:rsidRPr="006844E2">
        <w:rPr>
          <w:rFonts w:ascii="Times New Roman" w:hAnsi="Times New Roman" w:cs="Times New Roman"/>
          <w:b/>
          <w:bCs/>
          <w:sz w:val="24"/>
          <w:szCs w:val="24"/>
        </w:rPr>
        <w:lastRenderedPageBreak/>
        <w:t>Figure 1:</w:t>
      </w:r>
      <w:r w:rsidRPr="006844E2">
        <w:rPr>
          <w:rFonts w:ascii="Times New Roman" w:hAnsi="Times New Roman" w:cs="Times New Roman"/>
          <w:bCs/>
          <w:sz w:val="24"/>
          <w:szCs w:val="24"/>
        </w:rPr>
        <w:t xml:space="preserve"> PRISMA flow diagram outlining the systematic literature search, screening, and inclusion process for the review on the economic impact </w:t>
      </w:r>
      <w:r>
        <w:rPr>
          <w:rFonts w:ascii="Times New Roman" w:hAnsi="Times New Roman" w:cs="Times New Roman"/>
          <w:bCs/>
          <w:sz w:val="24"/>
          <w:szCs w:val="24"/>
        </w:rPr>
        <w:t>of lumpy skin disease (2010–2026</w:t>
      </w:r>
      <w:r w:rsidRPr="006844E2">
        <w:rPr>
          <w:rFonts w:ascii="Times New Roman" w:hAnsi="Times New Roman" w:cs="Times New Roman"/>
          <w:bCs/>
          <w:sz w:val="24"/>
          <w:szCs w:val="24"/>
        </w:rPr>
        <w:t>).</w:t>
      </w:r>
    </w:p>
    <w:p w14:paraId="0B6E1C06" w14:textId="77777777" w:rsidR="005A19F8" w:rsidRDefault="005A19F8" w:rsidP="005A19F8">
      <w:pPr>
        <w:jc w:val="center"/>
        <w:rPr>
          <w:rFonts w:ascii="Times New Roman" w:hAnsi="Times New Roman" w:cs="Times New Roman"/>
          <w:noProof/>
          <w:sz w:val="24"/>
          <w:szCs w:val="24"/>
        </w:rPr>
      </w:pPr>
    </w:p>
    <w:p w14:paraId="1A35D83E" w14:textId="77777777" w:rsidR="005A19F8" w:rsidRDefault="005A19F8" w:rsidP="005A19F8">
      <w:pPr>
        <w:jc w:val="center"/>
        <w:rPr>
          <w:rFonts w:ascii="Times New Roman" w:hAnsi="Times New Roman" w:cs="Times New Roman"/>
          <w:noProof/>
          <w:sz w:val="24"/>
          <w:szCs w:val="24"/>
        </w:rPr>
      </w:pPr>
    </w:p>
    <w:p w14:paraId="1EB56FA2" w14:textId="77777777" w:rsidR="005A19F8" w:rsidRDefault="005A19F8" w:rsidP="005A19F8">
      <w:pPr>
        <w:jc w:val="center"/>
        <w:rPr>
          <w:rFonts w:ascii="Times New Roman" w:hAnsi="Times New Roman" w:cs="Times New Roman"/>
          <w:noProof/>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508FC34A" wp14:editId="291F5B3E">
            <wp:simplePos x="0" y="0"/>
            <wp:positionH relativeFrom="margin">
              <wp:align>right</wp:align>
            </wp:positionH>
            <wp:positionV relativeFrom="paragraph">
              <wp:posOffset>3810</wp:posOffset>
            </wp:positionV>
            <wp:extent cx="6400800" cy="28575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1151.jpeg"/>
                    <pic:cNvPicPr/>
                  </pic:nvPicPr>
                  <pic:blipFill rotWithShape="1">
                    <a:blip r:embed="rId8" cstate="print">
                      <a:extLst>
                        <a:ext uri="{28A0092B-C50C-407E-A947-70E740481C1C}">
                          <a14:useLocalDpi xmlns:a14="http://schemas.microsoft.com/office/drawing/2010/main" val="0"/>
                        </a:ext>
                      </a:extLst>
                    </a:blip>
                    <a:srcRect t="10714"/>
                    <a:stretch/>
                  </pic:blipFill>
                  <pic:spPr bwMode="auto">
                    <a:xfrm>
                      <a:off x="0" y="0"/>
                      <a:ext cx="6400800" cy="2857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885AAA" w14:textId="77777777" w:rsidR="005A19F8" w:rsidRDefault="005A19F8" w:rsidP="005A19F8">
      <w:pPr>
        <w:jc w:val="center"/>
        <w:rPr>
          <w:rFonts w:ascii="Times New Roman" w:hAnsi="Times New Roman" w:cs="Times New Roman"/>
          <w:noProof/>
          <w:sz w:val="24"/>
          <w:szCs w:val="24"/>
        </w:rPr>
      </w:pPr>
    </w:p>
    <w:p w14:paraId="570B0A2B" w14:textId="77777777" w:rsidR="005A19F8" w:rsidRDefault="005A19F8" w:rsidP="005A19F8">
      <w:pPr>
        <w:jc w:val="center"/>
        <w:rPr>
          <w:rFonts w:ascii="Times New Roman" w:hAnsi="Times New Roman" w:cs="Times New Roman"/>
          <w:noProof/>
          <w:sz w:val="24"/>
          <w:szCs w:val="24"/>
        </w:rPr>
      </w:pPr>
    </w:p>
    <w:p w14:paraId="5D91E85D" w14:textId="77777777" w:rsidR="005A19F8" w:rsidRDefault="005A19F8" w:rsidP="005A19F8">
      <w:pPr>
        <w:jc w:val="center"/>
        <w:rPr>
          <w:rFonts w:ascii="Times New Roman" w:hAnsi="Times New Roman" w:cs="Times New Roman"/>
          <w:noProof/>
          <w:sz w:val="24"/>
          <w:szCs w:val="24"/>
        </w:rPr>
      </w:pPr>
    </w:p>
    <w:p w14:paraId="418C2255" w14:textId="77777777" w:rsidR="005A19F8" w:rsidRDefault="005A19F8" w:rsidP="005A19F8">
      <w:pPr>
        <w:jc w:val="center"/>
        <w:rPr>
          <w:rFonts w:ascii="Times New Roman" w:hAnsi="Times New Roman" w:cs="Times New Roman"/>
          <w:noProof/>
          <w:sz w:val="24"/>
          <w:szCs w:val="24"/>
        </w:rPr>
      </w:pPr>
    </w:p>
    <w:p w14:paraId="380DFBF5" w14:textId="77777777" w:rsidR="005A19F8" w:rsidRDefault="005A19F8" w:rsidP="005A19F8">
      <w:pPr>
        <w:jc w:val="center"/>
        <w:rPr>
          <w:rFonts w:ascii="Times New Roman" w:hAnsi="Times New Roman" w:cs="Times New Roman"/>
          <w:noProof/>
          <w:sz w:val="24"/>
          <w:szCs w:val="24"/>
        </w:rPr>
      </w:pPr>
    </w:p>
    <w:p w14:paraId="0B87C11F" w14:textId="77777777" w:rsidR="005A19F8" w:rsidRDefault="005A19F8" w:rsidP="005A19F8">
      <w:pPr>
        <w:jc w:val="center"/>
        <w:rPr>
          <w:rFonts w:ascii="Times New Roman" w:hAnsi="Times New Roman" w:cs="Times New Roman"/>
          <w:noProof/>
          <w:sz w:val="24"/>
          <w:szCs w:val="24"/>
        </w:rPr>
      </w:pPr>
    </w:p>
    <w:p w14:paraId="720870F0" w14:textId="77777777" w:rsidR="005A19F8" w:rsidRDefault="005A19F8" w:rsidP="005A19F8">
      <w:pPr>
        <w:jc w:val="center"/>
        <w:rPr>
          <w:rFonts w:ascii="Times New Roman" w:hAnsi="Times New Roman" w:cs="Times New Roman"/>
          <w:noProof/>
          <w:sz w:val="24"/>
          <w:szCs w:val="24"/>
        </w:rPr>
      </w:pPr>
    </w:p>
    <w:p w14:paraId="48E1AD9C" w14:textId="77777777" w:rsidR="005A19F8" w:rsidRDefault="005A19F8" w:rsidP="005A19F8">
      <w:pPr>
        <w:jc w:val="center"/>
        <w:rPr>
          <w:rFonts w:ascii="Times New Roman" w:hAnsi="Times New Roman" w:cs="Times New Roman"/>
          <w:noProof/>
          <w:sz w:val="24"/>
          <w:szCs w:val="24"/>
        </w:rPr>
      </w:pPr>
    </w:p>
    <w:p w14:paraId="14CE0E6B" w14:textId="77777777" w:rsidR="005A19F8" w:rsidRDefault="005A19F8" w:rsidP="005A19F8">
      <w:pPr>
        <w:jc w:val="center"/>
        <w:rPr>
          <w:rFonts w:ascii="Times New Roman" w:hAnsi="Times New Roman" w:cs="Times New Roman"/>
          <w:noProof/>
          <w:sz w:val="24"/>
          <w:szCs w:val="24"/>
        </w:rPr>
      </w:pPr>
    </w:p>
    <w:p w14:paraId="400BE30E" w14:textId="77777777" w:rsidR="005A19F8" w:rsidRDefault="005A19F8" w:rsidP="005A19F8">
      <w:pPr>
        <w:jc w:val="center"/>
        <w:rPr>
          <w:rFonts w:ascii="Times New Roman" w:hAnsi="Times New Roman" w:cs="Times New Roman"/>
          <w:noProof/>
          <w:sz w:val="24"/>
          <w:szCs w:val="24"/>
        </w:rPr>
      </w:pPr>
    </w:p>
    <w:p w14:paraId="2312752B" w14:textId="77777777" w:rsidR="005A19F8" w:rsidRDefault="005A19F8" w:rsidP="005A19F8">
      <w:pPr>
        <w:jc w:val="center"/>
        <w:rPr>
          <w:rFonts w:ascii="Times New Roman" w:hAnsi="Times New Roman" w:cs="Times New Roman"/>
          <w:sz w:val="24"/>
          <w:szCs w:val="24"/>
        </w:rPr>
      </w:pPr>
    </w:p>
    <w:p w14:paraId="1625A760" w14:textId="77777777" w:rsidR="005A19F8" w:rsidRDefault="005A19F8" w:rsidP="005A19F8">
      <w:pPr>
        <w:jc w:val="center"/>
        <w:rPr>
          <w:rFonts w:ascii="Times New Roman" w:hAnsi="Times New Roman" w:cs="Times New Roman"/>
          <w:sz w:val="24"/>
          <w:szCs w:val="24"/>
        </w:rPr>
      </w:pPr>
    </w:p>
    <w:p w14:paraId="3D92BC8E" w14:textId="77777777" w:rsidR="005A19F8" w:rsidRDefault="005A19F8" w:rsidP="005A19F8">
      <w:pPr>
        <w:jc w:val="center"/>
        <w:rPr>
          <w:rFonts w:ascii="Times New Roman" w:hAnsi="Times New Roman" w:cs="Times New Roman"/>
          <w:sz w:val="24"/>
          <w:szCs w:val="24"/>
        </w:rPr>
      </w:pPr>
    </w:p>
    <w:p w14:paraId="415873A5" w14:textId="77777777" w:rsidR="005A19F8" w:rsidRDefault="005A19F8" w:rsidP="005A19F8">
      <w:pPr>
        <w:jc w:val="center"/>
        <w:rPr>
          <w:rFonts w:ascii="Times New Roman" w:hAnsi="Times New Roman" w:cs="Times New Roman"/>
          <w:sz w:val="24"/>
          <w:szCs w:val="24"/>
        </w:rPr>
      </w:pPr>
    </w:p>
    <w:p w14:paraId="79595588" w14:textId="77777777" w:rsidR="005A19F8" w:rsidRDefault="005A19F8" w:rsidP="005A19F8">
      <w:pPr>
        <w:jc w:val="center"/>
        <w:rPr>
          <w:rFonts w:ascii="Times New Roman" w:hAnsi="Times New Roman" w:cs="Times New Roman"/>
          <w:sz w:val="24"/>
          <w:szCs w:val="24"/>
        </w:rPr>
      </w:pPr>
    </w:p>
    <w:p w14:paraId="73334561" w14:textId="77777777" w:rsidR="005A19F8" w:rsidRDefault="005A19F8" w:rsidP="005A19F8">
      <w:pPr>
        <w:jc w:val="center"/>
        <w:rPr>
          <w:rFonts w:ascii="Times New Roman" w:hAnsi="Times New Roman" w:cs="Times New Roman"/>
          <w:sz w:val="24"/>
          <w:szCs w:val="24"/>
        </w:rPr>
      </w:pPr>
    </w:p>
    <w:p w14:paraId="10F98790" w14:textId="77777777" w:rsidR="005A19F8" w:rsidRDefault="005A19F8" w:rsidP="005A19F8">
      <w:pPr>
        <w:jc w:val="center"/>
        <w:rPr>
          <w:rFonts w:ascii="Times New Roman" w:hAnsi="Times New Roman" w:cs="Times New Roman"/>
          <w:sz w:val="24"/>
          <w:szCs w:val="24"/>
        </w:rPr>
      </w:pPr>
    </w:p>
    <w:p w14:paraId="4FD25363" w14:textId="77777777" w:rsidR="005A19F8" w:rsidRDefault="005A19F8" w:rsidP="005A19F8">
      <w:pPr>
        <w:jc w:val="center"/>
        <w:rPr>
          <w:rFonts w:ascii="Times New Roman" w:hAnsi="Times New Roman" w:cs="Times New Roman"/>
          <w:sz w:val="24"/>
          <w:szCs w:val="24"/>
        </w:rPr>
      </w:pPr>
    </w:p>
    <w:p w14:paraId="52D5E005" w14:textId="77777777" w:rsidR="005A19F8" w:rsidRPr="00AE66FD" w:rsidRDefault="005A19F8" w:rsidP="005A19F8">
      <w:pPr>
        <w:jc w:val="center"/>
        <w:rPr>
          <w:rFonts w:ascii="Times New Roman" w:hAnsi="Times New Roman" w:cs="Times New Roman"/>
          <w:sz w:val="24"/>
          <w:szCs w:val="24"/>
        </w:rPr>
      </w:pPr>
    </w:p>
    <w:p w14:paraId="71FFFE99" w14:textId="77777777" w:rsidR="005A19F8" w:rsidRPr="00895822" w:rsidRDefault="005A19F8" w:rsidP="005A19F8">
      <w:pPr>
        <w:spacing w:before="60" w:after="200" w:line="276" w:lineRule="auto"/>
        <w:jc w:val="center"/>
        <w:rPr>
          <w:rFonts w:ascii="Times New Roman" w:hAnsi="Times New Roman" w:cs="Times New Roman"/>
          <w:szCs w:val="24"/>
        </w:rPr>
      </w:pPr>
      <w:r w:rsidRPr="00102178">
        <w:rPr>
          <w:rFonts w:ascii="Times New Roman" w:hAnsi="Times New Roman" w:cs="Times New Roman"/>
          <w:b/>
          <w:iCs/>
          <w:szCs w:val="24"/>
        </w:rPr>
        <w:t>Figur</w:t>
      </w:r>
      <w:r>
        <w:rPr>
          <w:rFonts w:ascii="Times New Roman" w:hAnsi="Times New Roman" w:cs="Times New Roman"/>
          <w:b/>
          <w:iCs/>
          <w:szCs w:val="24"/>
        </w:rPr>
        <w:t xml:space="preserve">e 2: </w:t>
      </w:r>
      <w:r w:rsidRPr="00895822">
        <w:rPr>
          <w:rFonts w:ascii="Times New Roman" w:hAnsi="Times New Roman" w:cs="Times New Roman"/>
          <w:iCs/>
          <w:szCs w:val="24"/>
        </w:rPr>
        <w:t xml:space="preserve">Timeline of Geographic Spread of Lumpy Skin Disease (1929–2022). Key expansion events derived from Tuppurainen &amp; Oura (2012), Roche </w:t>
      </w:r>
      <w:r w:rsidRPr="00895822">
        <w:rPr>
          <w:rFonts w:ascii="Times New Roman" w:hAnsi="Times New Roman" w:cs="Times New Roman"/>
          <w:i/>
          <w:iCs/>
          <w:szCs w:val="24"/>
        </w:rPr>
        <w:t>et al.</w:t>
      </w:r>
      <w:r w:rsidRPr="00895822">
        <w:rPr>
          <w:rFonts w:ascii="Times New Roman" w:hAnsi="Times New Roman" w:cs="Times New Roman"/>
          <w:iCs/>
          <w:szCs w:val="24"/>
        </w:rPr>
        <w:t xml:space="preserve"> (2021), Mazloum </w:t>
      </w:r>
      <w:r w:rsidRPr="00895822">
        <w:rPr>
          <w:rFonts w:ascii="Times New Roman" w:hAnsi="Times New Roman" w:cs="Times New Roman"/>
          <w:i/>
          <w:iCs/>
          <w:szCs w:val="24"/>
        </w:rPr>
        <w:t>et al.</w:t>
      </w:r>
      <w:r w:rsidRPr="00895822">
        <w:rPr>
          <w:rFonts w:ascii="Times New Roman" w:hAnsi="Times New Roman" w:cs="Times New Roman"/>
          <w:iCs/>
          <w:szCs w:val="24"/>
        </w:rPr>
        <w:t xml:space="preserve"> (2023), and Bhuiyan (2025).</w:t>
      </w:r>
    </w:p>
    <w:p w14:paraId="04D72B2C" w14:textId="77777777" w:rsidR="005A19F8" w:rsidRDefault="005A19F8" w:rsidP="005A19F8">
      <w:pPr>
        <w:pStyle w:val="Heading2"/>
        <w:spacing w:before="240" w:after="120"/>
        <w:rPr>
          <w:rFonts w:ascii="Times New Roman" w:hAnsi="Times New Roman" w:cs="Times New Roman"/>
          <w:color w:val="auto"/>
          <w:sz w:val="24"/>
          <w:szCs w:val="24"/>
        </w:rPr>
      </w:pPr>
      <w:r w:rsidRPr="00AE66FD">
        <w:rPr>
          <w:rFonts w:ascii="Times New Roman" w:hAnsi="Times New Roman" w:cs="Times New Roman"/>
          <w:noProof/>
          <w:sz w:val="24"/>
          <w:szCs w:val="24"/>
        </w:rPr>
        <w:drawing>
          <wp:anchor distT="0" distB="0" distL="114300" distR="114300" simplePos="0" relativeHeight="251661312" behindDoc="0" locked="0" layoutInCell="1" allowOverlap="1" wp14:anchorId="5FB9A83E" wp14:editId="2B2AEEFE">
            <wp:simplePos x="0" y="0"/>
            <wp:positionH relativeFrom="margin">
              <wp:align>right</wp:align>
            </wp:positionH>
            <wp:positionV relativeFrom="paragraph">
              <wp:posOffset>50800</wp:posOffset>
            </wp:positionV>
            <wp:extent cx="6394450" cy="31496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8148"/>
                    <a:stretch/>
                  </pic:blipFill>
                  <pic:spPr bwMode="auto">
                    <a:xfrm>
                      <a:off x="0" y="0"/>
                      <a:ext cx="6394450" cy="314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4D9FE690" w14:textId="77777777" w:rsidR="005A19F8" w:rsidRDefault="005A19F8" w:rsidP="005A19F8">
      <w:pPr>
        <w:pStyle w:val="Heading2"/>
        <w:spacing w:before="240" w:after="120"/>
        <w:rPr>
          <w:rFonts w:ascii="Times New Roman" w:hAnsi="Times New Roman" w:cs="Times New Roman"/>
          <w:color w:val="auto"/>
          <w:sz w:val="24"/>
          <w:szCs w:val="24"/>
        </w:rPr>
      </w:pPr>
    </w:p>
    <w:p w14:paraId="0A5D0944" w14:textId="77777777" w:rsidR="005A19F8" w:rsidRPr="00AE66FD" w:rsidRDefault="005A19F8" w:rsidP="005A19F8">
      <w:pPr>
        <w:rPr>
          <w:rFonts w:ascii="Times New Roman" w:hAnsi="Times New Roman" w:cs="Times New Roman"/>
          <w:sz w:val="24"/>
          <w:szCs w:val="24"/>
        </w:rPr>
      </w:pPr>
    </w:p>
    <w:p w14:paraId="2E393F36" w14:textId="77777777" w:rsidR="005A19F8" w:rsidRDefault="005A19F8" w:rsidP="005A19F8">
      <w:pPr>
        <w:spacing w:before="60" w:after="200"/>
        <w:jc w:val="center"/>
        <w:rPr>
          <w:rFonts w:ascii="Times New Roman" w:hAnsi="Times New Roman" w:cs="Times New Roman"/>
          <w:i/>
          <w:iCs/>
          <w:color w:val="555555"/>
          <w:sz w:val="24"/>
          <w:szCs w:val="24"/>
        </w:rPr>
      </w:pPr>
    </w:p>
    <w:p w14:paraId="653AB55C" w14:textId="77777777" w:rsidR="005A19F8" w:rsidRDefault="005A19F8" w:rsidP="005A19F8">
      <w:pPr>
        <w:spacing w:before="60" w:after="200"/>
        <w:jc w:val="center"/>
        <w:rPr>
          <w:rFonts w:ascii="Times New Roman" w:hAnsi="Times New Roman" w:cs="Times New Roman"/>
          <w:i/>
          <w:iCs/>
          <w:color w:val="555555"/>
          <w:sz w:val="24"/>
          <w:szCs w:val="24"/>
        </w:rPr>
      </w:pPr>
    </w:p>
    <w:p w14:paraId="184C73D9" w14:textId="77777777" w:rsidR="005A19F8" w:rsidRDefault="005A19F8" w:rsidP="005A19F8">
      <w:pPr>
        <w:spacing w:before="60" w:after="200"/>
        <w:jc w:val="center"/>
        <w:rPr>
          <w:rFonts w:ascii="Times New Roman" w:hAnsi="Times New Roman" w:cs="Times New Roman"/>
          <w:i/>
          <w:iCs/>
          <w:color w:val="555555"/>
          <w:sz w:val="24"/>
          <w:szCs w:val="24"/>
        </w:rPr>
      </w:pPr>
    </w:p>
    <w:p w14:paraId="4805151D" w14:textId="77777777" w:rsidR="005A19F8" w:rsidRDefault="005A19F8" w:rsidP="005A19F8">
      <w:pPr>
        <w:spacing w:before="60" w:after="200"/>
        <w:jc w:val="center"/>
        <w:rPr>
          <w:rFonts w:ascii="Times New Roman" w:hAnsi="Times New Roman" w:cs="Times New Roman"/>
          <w:i/>
          <w:iCs/>
          <w:color w:val="555555"/>
          <w:sz w:val="24"/>
          <w:szCs w:val="24"/>
        </w:rPr>
      </w:pPr>
    </w:p>
    <w:p w14:paraId="0607C5BE" w14:textId="77777777" w:rsidR="005A19F8" w:rsidRDefault="005A19F8" w:rsidP="005A19F8">
      <w:pPr>
        <w:spacing w:before="60" w:after="200"/>
        <w:jc w:val="center"/>
        <w:rPr>
          <w:rFonts w:ascii="Times New Roman" w:hAnsi="Times New Roman" w:cs="Times New Roman"/>
          <w:i/>
          <w:iCs/>
          <w:color w:val="555555"/>
          <w:sz w:val="24"/>
          <w:szCs w:val="24"/>
        </w:rPr>
      </w:pPr>
    </w:p>
    <w:p w14:paraId="7339B315" w14:textId="77777777" w:rsidR="005A19F8" w:rsidRDefault="005A19F8" w:rsidP="005A19F8">
      <w:pPr>
        <w:spacing w:before="60" w:after="200"/>
        <w:jc w:val="center"/>
        <w:rPr>
          <w:rFonts w:ascii="Times New Roman" w:hAnsi="Times New Roman" w:cs="Times New Roman"/>
          <w:i/>
          <w:iCs/>
          <w:color w:val="555555"/>
          <w:sz w:val="24"/>
          <w:szCs w:val="24"/>
        </w:rPr>
      </w:pPr>
    </w:p>
    <w:p w14:paraId="07981B27" w14:textId="77777777" w:rsidR="005A19F8" w:rsidRDefault="005A19F8" w:rsidP="005A19F8">
      <w:pPr>
        <w:spacing w:before="60" w:after="200"/>
        <w:jc w:val="center"/>
        <w:rPr>
          <w:rFonts w:ascii="Times New Roman" w:hAnsi="Times New Roman" w:cs="Times New Roman"/>
          <w:i/>
          <w:iCs/>
          <w:color w:val="555555"/>
          <w:sz w:val="24"/>
          <w:szCs w:val="24"/>
        </w:rPr>
      </w:pPr>
    </w:p>
    <w:p w14:paraId="715657A5" w14:textId="77777777" w:rsidR="005A19F8" w:rsidRDefault="005A19F8" w:rsidP="005A19F8">
      <w:pPr>
        <w:spacing w:before="60" w:after="200"/>
        <w:jc w:val="center"/>
        <w:rPr>
          <w:rFonts w:ascii="Times New Roman" w:hAnsi="Times New Roman" w:cs="Times New Roman"/>
          <w:i/>
          <w:iCs/>
          <w:color w:val="555555"/>
          <w:sz w:val="24"/>
          <w:szCs w:val="24"/>
        </w:rPr>
      </w:pPr>
    </w:p>
    <w:p w14:paraId="186D42CA" w14:textId="77777777" w:rsidR="005A19F8" w:rsidRDefault="005A19F8" w:rsidP="005A19F8">
      <w:pPr>
        <w:spacing w:before="60" w:after="200"/>
        <w:jc w:val="center"/>
        <w:rPr>
          <w:rFonts w:ascii="Times New Roman" w:hAnsi="Times New Roman" w:cs="Times New Roman"/>
          <w:i/>
          <w:iCs/>
          <w:color w:val="555555"/>
          <w:sz w:val="24"/>
          <w:szCs w:val="24"/>
        </w:rPr>
      </w:pPr>
    </w:p>
    <w:p w14:paraId="32A7FDF3" w14:textId="77777777" w:rsidR="005A19F8" w:rsidRPr="00895822" w:rsidRDefault="005A19F8" w:rsidP="005A19F8">
      <w:pPr>
        <w:spacing w:before="60" w:after="200" w:line="276" w:lineRule="auto"/>
        <w:jc w:val="center"/>
        <w:rPr>
          <w:rFonts w:ascii="Times New Roman" w:hAnsi="Times New Roman" w:cs="Times New Roman"/>
          <w:szCs w:val="24"/>
        </w:rPr>
      </w:pPr>
      <w:r>
        <w:rPr>
          <w:rFonts w:ascii="Times New Roman" w:hAnsi="Times New Roman" w:cs="Times New Roman"/>
          <w:b/>
          <w:iCs/>
          <w:szCs w:val="24"/>
        </w:rPr>
        <w:t>Figure 3</w:t>
      </w:r>
      <w:r w:rsidRPr="00102178">
        <w:rPr>
          <w:rFonts w:ascii="Times New Roman" w:hAnsi="Times New Roman" w:cs="Times New Roman"/>
          <w:b/>
          <w:iCs/>
          <w:szCs w:val="24"/>
        </w:rPr>
        <w:t>:</w:t>
      </w:r>
      <w:r w:rsidRPr="00895822">
        <w:rPr>
          <w:rFonts w:ascii="Times New Roman" w:hAnsi="Times New Roman" w:cs="Times New Roman"/>
          <w:iCs/>
          <w:szCs w:val="24"/>
        </w:rPr>
        <w:t xml:space="preserve"> Reported Economic Losses Due to Lumpy Skin Disease Across Regions (logarithmic scale). Values represent total (national/regional) losses where applicable. Per-animal and per-farmer values are scaled for visualization. Sources: Naidu </w:t>
      </w:r>
      <w:r w:rsidRPr="00895822">
        <w:rPr>
          <w:rFonts w:ascii="Times New Roman" w:hAnsi="Times New Roman" w:cs="Times New Roman"/>
          <w:i/>
          <w:iCs/>
          <w:szCs w:val="24"/>
        </w:rPr>
        <w:t>et al.</w:t>
      </w:r>
      <w:r w:rsidRPr="00895822">
        <w:rPr>
          <w:rFonts w:ascii="Times New Roman" w:hAnsi="Times New Roman" w:cs="Times New Roman"/>
          <w:iCs/>
          <w:szCs w:val="24"/>
        </w:rPr>
        <w:t xml:space="preserve"> (2025); TAFS (2024); Molla </w:t>
      </w:r>
      <w:r w:rsidRPr="00895822">
        <w:rPr>
          <w:rFonts w:ascii="Times New Roman" w:hAnsi="Times New Roman" w:cs="Times New Roman"/>
          <w:i/>
          <w:iCs/>
          <w:szCs w:val="24"/>
        </w:rPr>
        <w:t xml:space="preserve">et al. </w:t>
      </w:r>
      <w:r w:rsidRPr="00895822">
        <w:rPr>
          <w:rFonts w:ascii="Times New Roman" w:hAnsi="Times New Roman" w:cs="Times New Roman"/>
          <w:iCs/>
          <w:szCs w:val="24"/>
        </w:rPr>
        <w:t xml:space="preserve">(2017); WOAH (2024); Saqib </w:t>
      </w:r>
      <w:r w:rsidRPr="00895822">
        <w:rPr>
          <w:rFonts w:ascii="Times New Roman" w:hAnsi="Times New Roman" w:cs="Times New Roman"/>
          <w:i/>
          <w:iCs/>
          <w:szCs w:val="24"/>
        </w:rPr>
        <w:t>et al.</w:t>
      </w:r>
      <w:r w:rsidRPr="00895822">
        <w:rPr>
          <w:rFonts w:ascii="Times New Roman" w:hAnsi="Times New Roman" w:cs="Times New Roman"/>
          <w:iCs/>
          <w:szCs w:val="24"/>
        </w:rPr>
        <w:t xml:space="preserve"> (2023); Gari </w:t>
      </w:r>
      <w:r w:rsidRPr="00895822">
        <w:rPr>
          <w:rFonts w:ascii="Times New Roman" w:hAnsi="Times New Roman" w:cs="Times New Roman"/>
          <w:i/>
          <w:iCs/>
          <w:szCs w:val="24"/>
        </w:rPr>
        <w:t>et al.</w:t>
      </w:r>
      <w:r w:rsidRPr="00895822">
        <w:rPr>
          <w:rFonts w:ascii="Times New Roman" w:hAnsi="Times New Roman" w:cs="Times New Roman"/>
          <w:iCs/>
          <w:szCs w:val="24"/>
        </w:rPr>
        <w:t xml:space="preserve"> (2011).</w:t>
      </w:r>
    </w:p>
    <w:p w14:paraId="71C62073" w14:textId="77777777" w:rsidR="005A19F8" w:rsidRDefault="005A19F8" w:rsidP="005A19F8">
      <w:pPr>
        <w:spacing w:before="100" w:after="100"/>
        <w:rPr>
          <w:rFonts w:ascii="Times New Roman" w:hAnsi="Times New Roman" w:cs="Times New Roman"/>
          <w:sz w:val="24"/>
          <w:szCs w:val="24"/>
        </w:rPr>
      </w:pPr>
      <w:r w:rsidRPr="00AE66FD">
        <w:rPr>
          <w:rFonts w:ascii="Times New Roman" w:hAnsi="Times New Roman" w:cs="Times New Roman"/>
          <w:noProof/>
          <w:sz w:val="24"/>
          <w:szCs w:val="24"/>
        </w:rPr>
        <w:drawing>
          <wp:anchor distT="0" distB="0" distL="114300" distR="114300" simplePos="0" relativeHeight="251662336" behindDoc="0" locked="0" layoutInCell="1" allowOverlap="1" wp14:anchorId="4EAF2D6C" wp14:editId="2C895266">
            <wp:simplePos x="0" y="0"/>
            <wp:positionH relativeFrom="margin">
              <wp:align>right</wp:align>
            </wp:positionH>
            <wp:positionV relativeFrom="paragraph">
              <wp:posOffset>161925</wp:posOffset>
            </wp:positionV>
            <wp:extent cx="6286500" cy="269875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8602"/>
                    <a:stretch/>
                  </pic:blipFill>
                  <pic:spPr bwMode="auto">
                    <a:xfrm>
                      <a:off x="0" y="0"/>
                      <a:ext cx="6286500" cy="2698750"/>
                    </a:xfrm>
                    <a:prstGeom prst="rect">
                      <a:avLst/>
                    </a:prstGeom>
                    <a:ln>
                      <a:noFill/>
                    </a:ln>
                    <a:extLst>
                      <a:ext uri="{53640926-AAD7-44D8-BBD7-CCE9431645EC}">
                        <a14:shadowObscured xmlns:a14="http://schemas.microsoft.com/office/drawing/2010/main"/>
                      </a:ext>
                    </a:extLst>
                  </pic:spPr>
                </pic:pic>
              </a:graphicData>
            </a:graphic>
          </wp:anchor>
        </w:drawing>
      </w:r>
    </w:p>
    <w:p w14:paraId="58D7DF6D" w14:textId="77777777" w:rsidR="005A19F8" w:rsidRPr="00AE66FD" w:rsidRDefault="005A19F8" w:rsidP="005A19F8">
      <w:pPr>
        <w:spacing w:before="100" w:after="100"/>
        <w:rPr>
          <w:rFonts w:ascii="Times New Roman" w:hAnsi="Times New Roman" w:cs="Times New Roman"/>
          <w:sz w:val="24"/>
          <w:szCs w:val="24"/>
        </w:rPr>
      </w:pPr>
    </w:p>
    <w:p w14:paraId="6CA337FB" w14:textId="77777777" w:rsidR="005A19F8" w:rsidRPr="00AE66FD" w:rsidRDefault="005A19F8" w:rsidP="005A19F8">
      <w:pPr>
        <w:jc w:val="center"/>
        <w:rPr>
          <w:rFonts w:ascii="Times New Roman" w:hAnsi="Times New Roman" w:cs="Times New Roman"/>
          <w:sz w:val="24"/>
          <w:szCs w:val="24"/>
        </w:rPr>
      </w:pPr>
    </w:p>
    <w:p w14:paraId="4CA77ACA" w14:textId="77777777" w:rsidR="005A19F8" w:rsidRDefault="005A19F8" w:rsidP="005A19F8">
      <w:pPr>
        <w:spacing w:before="60" w:after="200"/>
        <w:jc w:val="center"/>
        <w:rPr>
          <w:rFonts w:ascii="Times New Roman" w:hAnsi="Times New Roman" w:cs="Times New Roman"/>
          <w:iCs/>
          <w:szCs w:val="24"/>
        </w:rPr>
      </w:pPr>
    </w:p>
    <w:p w14:paraId="501E72B8" w14:textId="77777777" w:rsidR="005A19F8" w:rsidRDefault="005A19F8" w:rsidP="005A19F8">
      <w:pPr>
        <w:spacing w:before="60" w:after="200"/>
        <w:jc w:val="center"/>
        <w:rPr>
          <w:rFonts w:ascii="Times New Roman" w:hAnsi="Times New Roman" w:cs="Times New Roman"/>
          <w:iCs/>
          <w:szCs w:val="24"/>
        </w:rPr>
      </w:pPr>
    </w:p>
    <w:p w14:paraId="3B23E6CB" w14:textId="77777777" w:rsidR="005A19F8" w:rsidRDefault="005A19F8" w:rsidP="005A19F8">
      <w:pPr>
        <w:spacing w:before="60" w:after="200"/>
        <w:jc w:val="center"/>
        <w:rPr>
          <w:rFonts w:ascii="Times New Roman" w:hAnsi="Times New Roman" w:cs="Times New Roman"/>
          <w:iCs/>
          <w:szCs w:val="24"/>
        </w:rPr>
      </w:pPr>
    </w:p>
    <w:p w14:paraId="6B59CD70" w14:textId="77777777" w:rsidR="005A19F8" w:rsidRDefault="005A19F8" w:rsidP="005A19F8">
      <w:pPr>
        <w:spacing w:before="60" w:after="200"/>
        <w:jc w:val="center"/>
        <w:rPr>
          <w:rFonts w:ascii="Times New Roman" w:hAnsi="Times New Roman" w:cs="Times New Roman"/>
          <w:iCs/>
          <w:szCs w:val="24"/>
        </w:rPr>
      </w:pPr>
    </w:p>
    <w:p w14:paraId="6F2B3DC4" w14:textId="77777777" w:rsidR="005A19F8" w:rsidRDefault="005A19F8" w:rsidP="005A19F8">
      <w:pPr>
        <w:spacing w:before="60" w:after="200"/>
        <w:jc w:val="center"/>
        <w:rPr>
          <w:rFonts w:ascii="Times New Roman" w:hAnsi="Times New Roman" w:cs="Times New Roman"/>
          <w:iCs/>
          <w:szCs w:val="24"/>
        </w:rPr>
      </w:pPr>
    </w:p>
    <w:p w14:paraId="68ED809C" w14:textId="77777777" w:rsidR="005A19F8" w:rsidRDefault="005A19F8" w:rsidP="005A19F8">
      <w:pPr>
        <w:spacing w:before="60" w:after="200"/>
        <w:jc w:val="center"/>
        <w:rPr>
          <w:rFonts w:ascii="Times New Roman" w:hAnsi="Times New Roman" w:cs="Times New Roman"/>
          <w:iCs/>
          <w:szCs w:val="24"/>
        </w:rPr>
      </w:pPr>
    </w:p>
    <w:p w14:paraId="7A6BDCFA" w14:textId="77777777" w:rsidR="005A19F8" w:rsidRDefault="005A19F8" w:rsidP="005A19F8">
      <w:pPr>
        <w:spacing w:before="60" w:after="200"/>
        <w:jc w:val="center"/>
        <w:rPr>
          <w:rFonts w:ascii="Times New Roman" w:hAnsi="Times New Roman" w:cs="Times New Roman"/>
          <w:iCs/>
          <w:szCs w:val="24"/>
        </w:rPr>
      </w:pPr>
    </w:p>
    <w:p w14:paraId="170949C6" w14:textId="77777777" w:rsidR="005A19F8" w:rsidRDefault="005A19F8" w:rsidP="005A19F8">
      <w:pPr>
        <w:spacing w:before="60" w:after="200"/>
        <w:jc w:val="center"/>
        <w:rPr>
          <w:rFonts w:ascii="Times New Roman" w:hAnsi="Times New Roman" w:cs="Times New Roman"/>
          <w:iCs/>
          <w:szCs w:val="24"/>
        </w:rPr>
      </w:pPr>
    </w:p>
    <w:p w14:paraId="5A5FFA95" w14:textId="77777777" w:rsidR="005A19F8" w:rsidRDefault="005A19F8" w:rsidP="005A19F8">
      <w:pPr>
        <w:spacing w:before="60" w:after="200"/>
        <w:jc w:val="center"/>
        <w:rPr>
          <w:rFonts w:ascii="Times New Roman" w:hAnsi="Times New Roman" w:cs="Times New Roman"/>
          <w:iCs/>
          <w:szCs w:val="24"/>
        </w:rPr>
      </w:pPr>
    </w:p>
    <w:p w14:paraId="2F1D152D" w14:textId="77777777" w:rsidR="005A19F8" w:rsidRPr="00102178" w:rsidRDefault="005A19F8" w:rsidP="005A19F8">
      <w:pPr>
        <w:spacing w:before="60" w:after="200" w:line="276" w:lineRule="auto"/>
        <w:jc w:val="center"/>
        <w:rPr>
          <w:rFonts w:ascii="Times New Roman" w:hAnsi="Times New Roman" w:cs="Times New Roman"/>
          <w:szCs w:val="24"/>
        </w:rPr>
      </w:pPr>
      <w:r w:rsidRPr="002347AA">
        <w:rPr>
          <w:rFonts w:ascii="Times New Roman" w:hAnsi="Times New Roman" w:cs="Times New Roman"/>
          <w:b/>
          <w:iCs/>
          <w:szCs w:val="24"/>
        </w:rPr>
        <w:t>Figure 4.</w:t>
      </w:r>
      <w:r w:rsidRPr="00102178">
        <w:rPr>
          <w:rFonts w:ascii="Times New Roman" w:hAnsi="Times New Roman" w:cs="Times New Roman"/>
          <w:iCs/>
          <w:szCs w:val="24"/>
        </w:rPr>
        <w:t xml:space="preserve"> Cost-Effectiveness of Lumpy Skin Disease Vaccination. (A) Benefit-Cost Ratios (BCR) by production system in Ethiopia, showing ranges reported by Molla </w:t>
      </w:r>
      <w:r w:rsidRPr="00102178">
        <w:rPr>
          <w:rFonts w:ascii="Times New Roman" w:hAnsi="Times New Roman" w:cs="Times New Roman"/>
          <w:i/>
          <w:iCs/>
          <w:szCs w:val="24"/>
        </w:rPr>
        <w:t>et al.</w:t>
      </w:r>
      <w:r w:rsidRPr="00102178">
        <w:rPr>
          <w:rFonts w:ascii="Times New Roman" w:hAnsi="Times New Roman" w:cs="Times New Roman"/>
          <w:iCs/>
          <w:szCs w:val="24"/>
        </w:rPr>
        <w:t xml:space="preserve"> (2017); error bars indicate minimum–maximum BCR. The dashed line represents BCR = 1 (economic break-even). (B) Vaccination-induced cost reduction by cattle breed, with net benefit per head shown; data from Gari </w:t>
      </w:r>
      <w:r w:rsidRPr="00102178">
        <w:rPr>
          <w:rFonts w:ascii="Times New Roman" w:hAnsi="Times New Roman" w:cs="Times New Roman"/>
          <w:i/>
          <w:iCs/>
          <w:szCs w:val="24"/>
        </w:rPr>
        <w:t>et al.</w:t>
      </w:r>
      <w:r w:rsidRPr="00102178">
        <w:rPr>
          <w:rFonts w:ascii="Times New Roman" w:hAnsi="Times New Roman" w:cs="Times New Roman"/>
          <w:iCs/>
          <w:szCs w:val="24"/>
        </w:rPr>
        <w:t xml:space="preserve"> (2011).</w:t>
      </w:r>
    </w:p>
    <w:p w14:paraId="09C21A2C" w14:textId="77777777" w:rsidR="005A19F8" w:rsidRPr="00AE66FD" w:rsidRDefault="005A19F8" w:rsidP="005A19F8">
      <w:pPr>
        <w:spacing w:before="100" w:after="100"/>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3360" behindDoc="0" locked="0" layoutInCell="1" allowOverlap="1" wp14:anchorId="70D25A4C" wp14:editId="50DF1729">
            <wp:simplePos x="0" y="0"/>
            <wp:positionH relativeFrom="margin">
              <wp:align>right</wp:align>
            </wp:positionH>
            <wp:positionV relativeFrom="paragraph">
              <wp:posOffset>6350</wp:posOffset>
            </wp:positionV>
            <wp:extent cx="6400800" cy="3994150"/>
            <wp:effectExtent l="0" t="0" r="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1152.jpeg"/>
                    <pic:cNvPicPr/>
                  </pic:nvPicPr>
                  <pic:blipFill rotWithShape="1">
                    <a:blip r:embed="rId11">
                      <a:extLst>
                        <a:ext uri="{28A0092B-C50C-407E-A947-70E740481C1C}">
                          <a14:useLocalDpi xmlns:a14="http://schemas.microsoft.com/office/drawing/2010/main" val="0"/>
                        </a:ext>
                      </a:extLst>
                    </a:blip>
                    <a:srcRect t="6399"/>
                    <a:stretch/>
                  </pic:blipFill>
                  <pic:spPr bwMode="auto">
                    <a:xfrm>
                      <a:off x="0" y="0"/>
                      <a:ext cx="6400800" cy="3994150"/>
                    </a:xfrm>
                    <a:prstGeom prst="rect">
                      <a:avLst/>
                    </a:prstGeom>
                    <a:ln>
                      <a:noFill/>
                    </a:ln>
                    <a:extLst>
                      <a:ext uri="{53640926-AAD7-44D8-BBD7-CCE9431645EC}">
                        <a14:shadowObscured xmlns:a14="http://schemas.microsoft.com/office/drawing/2010/main"/>
                      </a:ext>
                    </a:extLst>
                  </pic:spPr>
                </pic:pic>
              </a:graphicData>
            </a:graphic>
          </wp:anchor>
        </w:drawing>
      </w:r>
    </w:p>
    <w:p w14:paraId="7672ADA6" w14:textId="77777777" w:rsidR="005A19F8" w:rsidRDefault="005A19F8" w:rsidP="005A19F8">
      <w:pPr>
        <w:pStyle w:val="Heading2"/>
        <w:spacing w:before="240" w:after="120"/>
        <w:rPr>
          <w:rFonts w:ascii="Times New Roman" w:hAnsi="Times New Roman" w:cs="Times New Roman"/>
          <w:sz w:val="24"/>
          <w:szCs w:val="24"/>
        </w:rPr>
      </w:pPr>
    </w:p>
    <w:p w14:paraId="287CA4D4" w14:textId="77777777" w:rsidR="005A19F8" w:rsidRDefault="005A19F8" w:rsidP="005A19F8">
      <w:pPr>
        <w:pStyle w:val="Heading2"/>
        <w:spacing w:before="240" w:after="120"/>
        <w:rPr>
          <w:rFonts w:ascii="Times New Roman" w:hAnsi="Times New Roman" w:cs="Times New Roman"/>
          <w:sz w:val="24"/>
          <w:szCs w:val="24"/>
        </w:rPr>
      </w:pPr>
    </w:p>
    <w:p w14:paraId="50CC25AB" w14:textId="77777777" w:rsidR="005A19F8" w:rsidRDefault="005A19F8" w:rsidP="005A19F8">
      <w:pPr>
        <w:pStyle w:val="Heading2"/>
        <w:spacing w:before="240" w:after="120"/>
        <w:rPr>
          <w:rFonts w:ascii="Times New Roman" w:hAnsi="Times New Roman" w:cs="Times New Roman"/>
          <w:sz w:val="24"/>
          <w:szCs w:val="24"/>
        </w:rPr>
      </w:pPr>
    </w:p>
    <w:p w14:paraId="42CDE3FE" w14:textId="77777777" w:rsidR="005A19F8" w:rsidRDefault="005A19F8" w:rsidP="005A19F8">
      <w:pPr>
        <w:pStyle w:val="Heading2"/>
        <w:spacing w:before="240" w:after="120"/>
        <w:rPr>
          <w:rFonts w:ascii="Times New Roman" w:hAnsi="Times New Roman" w:cs="Times New Roman"/>
          <w:sz w:val="24"/>
          <w:szCs w:val="24"/>
        </w:rPr>
      </w:pPr>
    </w:p>
    <w:p w14:paraId="6FB05D10" w14:textId="77777777" w:rsidR="005A19F8" w:rsidRDefault="005A19F8" w:rsidP="005A19F8">
      <w:pPr>
        <w:pStyle w:val="Heading2"/>
        <w:spacing w:before="240" w:after="120"/>
        <w:rPr>
          <w:rFonts w:ascii="Times New Roman" w:hAnsi="Times New Roman" w:cs="Times New Roman"/>
          <w:sz w:val="24"/>
          <w:szCs w:val="24"/>
        </w:rPr>
      </w:pPr>
    </w:p>
    <w:p w14:paraId="5BEF2E30" w14:textId="77777777" w:rsidR="005A19F8" w:rsidRDefault="005A19F8" w:rsidP="005A19F8">
      <w:pPr>
        <w:pStyle w:val="Heading2"/>
        <w:spacing w:before="240" w:after="120"/>
        <w:rPr>
          <w:rFonts w:ascii="Times New Roman" w:hAnsi="Times New Roman" w:cs="Times New Roman"/>
          <w:sz w:val="24"/>
          <w:szCs w:val="24"/>
        </w:rPr>
      </w:pPr>
    </w:p>
    <w:p w14:paraId="01CBDF8D" w14:textId="77777777" w:rsidR="005A19F8" w:rsidRPr="003359DC" w:rsidRDefault="005A19F8" w:rsidP="005A19F8">
      <w:pPr>
        <w:pStyle w:val="Heading2"/>
        <w:spacing w:before="240" w:after="120"/>
        <w:rPr>
          <w:rFonts w:ascii="Times New Roman" w:hAnsi="Times New Roman" w:cs="Times New Roman"/>
          <w:color w:val="auto"/>
          <w:sz w:val="24"/>
          <w:szCs w:val="24"/>
        </w:rPr>
      </w:pPr>
    </w:p>
    <w:p w14:paraId="054BDE39" w14:textId="77777777" w:rsidR="005A19F8" w:rsidRPr="00AE66FD" w:rsidRDefault="005A19F8" w:rsidP="005A19F8">
      <w:pPr>
        <w:jc w:val="center"/>
        <w:rPr>
          <w:rFonts w:ascii="Times New Roman" w:hAnsi="Times New Roman" w:cs="Times New Roman"/>
          <w:sz w:val="24"/>
          <w:szCs w:val="24"/>
        </w:rPr>
      </w:pPr>
    </w:p>
    <w:p w14:paraId="4A98D473" w14:textId="77777777" w:rsidR="005A19F8" w:rsidRDefault="005A19F8" w:rsidP="005A19F8">
      <w:pPr>
        <w:spacing w:before="60" w:after="200"/>
        <w:jc w:val="center"/>
        <w:rPr>
          <w:rFonts w:ascii="Times New Roman" w:hAnsi="Times New Roman" w:cs="Times New Roman"/>
          <w:iCs/>
          <w:color w:val="555555"/>
          <w:szCs w:val="24"/>
        </w:rPr>
      </w:pPr>
    </w:p>
    <w:p w14:paraId="641B22E5" w14:textId="77777777" w:rsidR="005A19F8" w:rsidRDefault="005A19F8" w:rsidP="005A19F8">
      <w:pPr>
        <w:spacing w:before="60" w:after="200"/>
        <w:jc w:val="center"/>
        <w:rPr>
          <w:rFonts w:ascii="Times New Roman" w:hAnsi="Times New Roman" w:cs="Times New Roman"/>
          <w:iCs/>
          <w:color w:val="555555"/>
          <w:szCs w:val="24"/>
        </w:rPr>
      </w:pPr>
    </w:p>
    <w:p w14:paraId="0016A807" w14:textId="77777777" w:rsidR="005A19F8" w:rsidRDefault="005A19F8" w:rsidP="005A19F8">
      <w:pPr>
        <w:spacing w:before="60" w:after="200"/>
        <w:jc w:val="center"/>
        <w:rPr>
          <w:rFonts w:ascii="Times New Roman" w:hAnsi="Times New Roman" w:cs="Times New Roman"/>
          <w:iCs/>
          <w:color w:val="555555"/>
          <w:szCs w:val="24"/>
        </w:rPr>
      </w:pPr>
    </w:p>
    <w:p w14:paraId="0038B930" w14:textId="77777777" w:rsidR="005A19F8" w:rsidRDefault="005A19F8" w:rsidP="005A19F8">
      <w:pPr>
        <w:spacing w:before="60" w:after="200"/>
        <w:jc w:val="center"/>
        <w:rPr>
          <w:rFonts w:ascii="Times New Roman" w:hAnsi="Times New Roman" w:cs="Times New Roman"/>
          <w:iCs/>
          <w:color w:val="555555"/>
          <w:szCs w:val="24"/>
        </w:rPr>
      </w:pPr>
    </w:p>
    <w:p w14:paraId="1B251319" w14:textId="77777777" w:rsidR="005A19F8" w:rsidRDefault="005A19F8" w:rsidP="005A19F8">
      <w:pPr>
        <w:spacing w:before="60" w:after="200"/>
        <w:rPr>
          <w:rFonts w:ascii="Times New Roman" w:hAnsi="Times New Roman" w:cs="Times New Roman"/>
          <w:iCs/>
          <w:color w:val="555555"/>
          <w:szCs w:val="24"/>
        </w:rPr>
      </w:pPr>
    </w:p>
    <w:p w14:paraId="785A711A" w14:textId="77777777" w:rsidR="005A19F8" w:rsidRPr="001B56C4" w:rsidRDefault="005A19F8" w:rsidP="005A19F8">
      <w:pPr>
        <w:spacing w:before="60" w:after="200" w:line="276" w:lineRule="auto"/>
        <w:jc w:val="center"/>
        <w:rPr>
          <w:rFonts w:ascii="Times New Roman" w:hAnsi="Times New Roman" w:cs="Times New Roman"/>
          <w:szCs w:val="24"/>
        </w:rPr>
      </w:pPr>
      <w:r w:rsidRPr="006844E2">
        <w:rPr>
          <w:rFonts w:ascii="Times New Roman" w:hAnsi="Times New Roman" w:cs="Times New Roman"/>
          <w:b/>
          <w:iCs/>
          <w:szCs w:val="24"/>
        </w:rPr>
        <w:t>Figure 5.</w:t>
      </w:r>
      <w:r w:rsidRPr="001B56C4">
        <w:rPr>
          <w:rFonts w:ascii="Times New Roman" w:hAnsi="Times New Roman" w:cs="Times New Roman"/>
          <w:iCs/>
          <w:szCs w:val="24"/>
        </w:rPr>
        <w:t xml:space="preserve"> Conceptual Framework of Lumpy Skin Disease Economic Impact Pathways. The framework illustrates direct and indirect cost pathways from LSDV infection to total economic burden in both smallholder and commercial farming systems. Pathway components derived from Akther </w:t>
      </w:r>
      <w:r w:rsidRPr="001B56C4">
        <w:rPr>
          <w:rFonts w:ascii="Times New Roman" w:hAnsi="Times New Roman" w:cs="Times New Roman"/>
          <w:i/>
          <w:iCs/>
          <w:szCs w:val="24"/>
        </w:rPr>
        <w:t>et al.</w:t>
      </w:r>
      <w:r w:rsidRPr="001B56C4">
        <w:rPr>
          <w:rFonts w:ascii="Times New Roman" w:hAnsi="Times New Roman" w:cs="Times New Roman"/>
          <w:iCs/>
          <w:szCs w:val="24"/>
        </w:rPr>
        <w:t xml:space="preserve"> (2023), Das </w:t>
      </w:r>
      <w:r w:rsidRPr="001B56C4">
        <w:rPr>
          <w:rFonts w:ascii="Times New Roman" w:hAnsi="Times New Roman" w:cs="Times New Roman"/>
          <w:i/>
          <w:iCs/>
          <w:szCs w:val="24"/>
        </w:rPr>
        <w:t>et al.</w:t>
      </w:r>
      <w:r w:rsidRPr="001B56C4">
        <w:rPr>
          <w:rFonts w:ascii="Times New Roman" w:hAnsi="Times New Roman" w:cs="Times New Roman"/>
          <w:iCs/>
          <w:szCs w:val="24"/>
        </w:rPr>
        <w:t xml:space="preserve"> (2021), Saqib </w:t>
      </w:r>
      <w:r w:rsidRPr="001B56C4">
        <w:rPr>
          <w:rFonts w:ascii="Times New Roman" w:hAnsi="Times New Roman" w:cs="Times New Roman"/>
          <w:i/>
          <w:iCs/>
          <w:szCs w:val="24"/>
        </w:rPr>
        <w:t>et al.</w:t>
      </w:r>
      <w:r w:rsidRPr="001B56C4">
        <w:rPr>
          <w:rFonts w:ascii="Times New Roman" w:hAnsi="Times New Roman" w:cs="Times New Roman"/>
          <w:iCs/>
          <w:szCs w:val="24"/>
        </w:rPr>
        <w:t xml:space="preserve"> (2023), and </w:t>
      </w:r>
      <w:proofErr w:type="spellStart"/>
      <w:r w:rsidRPr="001B56C4">
        <w:rPr>
          <w:rFonts w:ascii="Times New Roman" w:hAnsi="Times New Roman" w:cs="Times New Roman"/>
          <w:iCs/>
          <w:szCs w:val="24"/>
        </w:rPr>
        <w:t>Modethed</w:t>
      </w:r>
      <w:proofErr w:type="spellEnd"/>
      <w:r w:rsidRPr="001B56C4">
        <w:rPr>
          <w:rFonts w:ascii="Times New Roman" w:hAnsi="Times New Roman" w:cs="Times New Roman"/>
          <w:iCs/>
          <w:szCs w:val="24"/>
        </w:rPr>
        <w:t xml:space="preserve"> </w:t>
      </w:r>
      <w:r w:rsidRPr="001B56C4">
        <w:rPr>
          <w:rFonts w:ascii="Times New Roman" w:hAnsi="Times New Roman" w:cs="Times New Roman"/>
          <w:i/>
          <w:iCs/>
          <w:szCs w:val="24"/>
        </w:rPr>
        <w:t>et al.</w:t>
      </w:r>
      <w:r w:rsidRPr="001B56C4">
        <w:rPr>
          <w:rFonts w:ascii="Times New Roman" w:hAnsi="Times New Roman" w:cs="Times New Roman"/>
          <w:iCs/>
          <w:szCs w:val="24"/>
        </w:rPr>
        <w:t xml:space="preserve"> (2025).</w:t>
      </w:r>
    </w:p>
    <w:p w14:paraId="40B1E11D" w14:textId="77777777" w:rsidR="005A19F8" w:rsidRDefault="005A19F8" w:rsidP="005A19F8"/>
    <w:p w14:paraId="5107C02C" w14:textId="77777777" w:rsidR="005A19F8" w:rsidRDefault="005A19F8" w:rsidP="00521C4A">
      <w:pPr>
        <w:jc w:val="both"/>
        <w:rPr>
          <w:rFonts w:ascii="Times New Roman" w:hAnsi="Times New Roman" w:cs="Times New Roman"/>
          <w:sz w:val="24"/>
          <w:szCs w:val="24"/>
        </w:rPr>
      </w:pPr>
    </w:p>
    <w:p w14:paraId="1CAB0EED" w14:textId="77777777" w:rsidR="005A19F8" w:rsidRDefault="005A19F8" w:rsidP="00521C4A">
      <w:pPr>
        <w:jc w:val="both"/>
        <w:rPr>
          <w:rFonts w:ascii="Times New Roman" w:hAnsi="Times New Roman" w:cs="Times New Roman"/>
          <w:sz w:val="24"/>
          <w:szCs w:val="24"/>
        </w:rPr>
      </w:pPr>
    </w:p>
    <w:p w14:paraId="2E6AA85C" w14:textId="77777777" w:rsidR="005A19F8" w:rsidRPr="00453874" w:rsidRDefault="005A19F8" w:rsidP="005A19F8">
      <w:pPr>
        <w:pStyle w:val="Heading1"/>
        <w:jc w:val="center"/>
        <w:rPr>
          <w:rFonts w:ascii="Times New Roman" w:hAnsi="Times New Roman" w:cs="Times New Roman"/>
          <w:color w:val="auto"/>
          <w:sz w:val="28"/>
          <w:szCs w:val="24"/>
        </w:rPr>
      </w:pPr>
    </w:p>
    <w:p w14:paraId="4CC9A69D" w14:textId="77777777" w:rsidR="005A19F8" w:rsidRDefault="005A19F8" w:rsidP="005A19F8">
      <w:pPr>
        <w:spacing w:before="60" w:after="100"/>
        <w:rPr>
          <w:rFonts w:ascii="Times New Roman" w:hAnsi="Times New Roman" w:cs="Times New Roman"/>
          <w:b/>
          <w:bCs/>
          <w:sz w:val="24"/>
          <w:szCs w:val="24"/>
        </w:rPr>
      </w:pPr>
      <w:r w:rsidRPr="00AE66FD">
        <w:rPr>
          <w:rFonts w:ascii="Times New Roman" w:hAnsi="Times New Roman" w:cs="Times New Roman"/>
          <w:b/>
          <w:bCs/>
          <w:sz w:val="24"/>
          <w:szCs w:val="24"/>
        </w:rPr>
        <w:t>Table 1. Summary of Key Economic Studies on Lumpy Skin Disease (2010–2024)</w:t>
      </w:r>
    </w:p>
    <w:p w14:paraId="6F09C307" w14:textId="77777777" w:rsidR="005A19F8" w:rsidRPr="00AE66FD" w:rsidRDefault="005A19F8" w:rsidP="005A19F8">
      <w:pPr>
        <w:spacing w:before="60" w:after="100"/>
        <w:rPr>
          <w:rFonts w:ascii="Times New Roman" w:hAnsi="Times New Roman" w:cs="Times New Roman"/>
          <w:sz w:val="24"/>
          <w:szCs w:val="24"/>
        </w:rPr>
      </w:pPr>
    </w:p>
    <w:tbl>
      <w:tblPr>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39"/>
        <w:gridCol w:w="1260"/>
        <w:gridCol w:w="1350"/>
        <w:gridCol w:w="2250"/>
        <w:gridCol w:w="1620"/>
        <w:gridCol w:w="1566"/>
      </w:tblGrid>
      <w:tr w:rsidR="005A19F8" w:rsidRPr="00AE66FD" w14:paraId="6A919D00" w14:textId="77777777" w:rsidTr="004E63E8">
        <w:trPr>
          <w:tblHeader/>
        </w:trPr>
        <w:tc>
          <w:tcPr>
            <w:tcW w:w="1439" w:type="dxa"/>
            <w:tcBorders>
              <w:top w:val="single" w:sz="4" w:space="0" w:color="2E75B6"/>
              <w:left w:val="single" w:sz="1" w:space="0" w:color="BFC9CA"/>
              <w:bottom w:val="single" w:sz="4" w:space="0" w:color="2E75B6"/>
              <w:right w:val="single" w:sz="1" w:space="0" w:color="BFC9CA"/>
            </w:tcBorders>
            <w:tcMar>
              <w:top w:w="100" w:type="dxa"/>
              <w:left w:w="120" w:type="dxa"/>
              <w:bottom w:w="100" w:type="dxa"/>
              <w:right w:w="120" w:type="dxa"/>
            </w:tcMar>
            <w:vAlign w:val="center"/>
          </w:tcPr>
          <w:p w14:paraId="648BD642" w14:textId="77777777" w:rsidR="005A19F8" w:rsidRPr="00C2213B" w:rsidRDefault="005A19F8" w:rsidP="004E63E8">
            <w:pPr>
              <w:jc w:val="center"/>
              <w:rPr>
                <w:rFonts w:ascii="Times New Roman" w:hAnsi="Times New Roman" w:cs="Times New Roman"/>
              </w:rPr>
            </w:pPr>
            <w:r w:rsidRPr="00C2213B">
              <w:rPr>
                <w:rFonts w:ascii="Times New Roman" w:hAnsi="Times New Roman" w:cs="Times New Roman"/>
                <w:b/>
                <w:bCs/>
              </w:rPr>
              <w:t>Author(s) &amp; Year</w:t>
            </w:r>
          </w:p>
        </w:tc>
        <w:tc>
          <w:tcPr>
            <w:tcW w:w="1260" w:type="dxa"/>
            <w:tcBorders>
              <w:top w:val="single" w:sz="4" w:space="0" w:color="2E75B6"/>
              <w:left w:val="single" w:sz="1" w:space="0" w:color="BFC9CA"/>
              <w:bottom w:val="single" w:sz="4" w:space="0" w:color="2E75B6"/>
              <w:right w:val="single" w:sz="1" w:space="0" w:color="BFC9CA"/>
            </w:tcBorders>
            <w:tcMar>
              <w:top w:w="100" w:type="dxa"/>
              <w:left w:w="120" w:type="dxa"/>
              <w:bottom w:w="100" w:type="dxa"/>
              <w:right w:w="120" w:type="dxa"/>
            </w:tcMar>
            <w:vAlign w:val="center"/>
          </w:tcPr>
          <w:p w14:paraId="63A77F69" w14:textId="77777777" w:rsidR="005A19F8" w:rsidRPr="00C2213B" w:rsidRDefault="005A19F8" w:rsidP="004E63E8">
            <w:pPr>
              <w:jc w:val="center"/>
              <w:rPr>
                <w:rFonts w:ascii="Times New Roman" w:hAnsi="Times New Roman" w:cs="Times New Roman"/>
              </w:rPr>
            </w:pPr>
            <w:r w:rsidRPr="00C2213B">
              <w:rPr>
                <w:rFonts w:ascii="Times New Roman" w:hAnsi="Times New Roman" w:cs="Times New Roman"/>
                <w:b/>
                <w:bCs/>
              </w:rPr>
              <w:t>Country / Region</w:t>
            </w:r>
          </w:p>
        </w:tc>
        <w:tc>
          <w:tcPr>
            <w:tcW w:w="1350" w:type="dxa"/>
            <w:tcBorders>
              <w:top w:val="single" w:sz="4" w:space="0" w:color="2E75B6"/>
              <w:left w:val="single" w:sz="1" w:space="0" w:color="BFC9CA"/>
              <w:bottom w:val="single" w:sz="4" w:space="0" w:color="2E75B6"/>
              <w:right w:val="single" w:sz="1" w:space="0" w:color="BFC9CA"/>
            </w:tcBorders>
            <w:tcMar>
              <w:top w:w="100" w:type="dxa"/>
              <w:left w:w="120" w:type="dxa"/>
              <w:bottom w:w="100" w:type="dxa"/>
              <w:right w:w="120" w:type="dxa"/>
            </w:tcMar>
            <w:vAlign w:val="center"/>
          </w:tcPr>
          <w:p w14:paraId="2BCFCC64" w14:textId="77777777" w:rsidR="005A19F8" w:rsidRPr="00C2213B" w:rsidRDefault="005A19F8" w:rsidP="004E63E8">
            <w:pPr>
              <w:jc w:val="center"/>
              <w:rPr>
                <w:rFonts w:ascii="Times New Roman" w:hAnsi="Times New Roman" w:cs="Times New Roman"/>
              </w:rPr>
            </w:pPr>
            <w:r w:rsidRPr="00C2213B">
              <w:rPr>
                <w:rFonts w:ascii="Times New Roman" w:hAnsi="Times New Roman" w:cs="Times New Roman"/>
                <w:b/>
                <w:bCs/>
              </w:rPr>
              <w:t>Study Design</w:t>
            </w:r>
          </w:p>
        </w:tc>
        <w:tc>
          <w:tcPr>
            <w:tcW w:w="2250" w:type="dxa"/>
            <w:tcBorders>
              <w:top w:val="single" w:sz="4" w:space="0" w:color="2E75B6"/>
              <w:left w:val="single" w:sz="1" w:space="0" w:color="BFC9CA"/>
              <w:bottom w:val="single" w:sz="4" w:space="0" w:color="2E75B6"/>
              <w:right w:val="single" w:sz="1" w:space="0" w:color="BFC9CA"/>
            </w:tcBorders>
            <w:tcMar>
              <w:top w:w="100" w:type="dxa"/>
              <w:left w:w="120" w:type="dxa"/>
              <w:bottom w:w="100" w:type="dxa"/>
              <w:right w:w="120" w:type="dxa"/>
            </w:tcMar>
            <w:vAlign w:val="center"/>
          </w:tcPr>
          <w:p w14:paraId="5DE0EBB9" w14:textId="77777777" w:rsidR="005A19F8" w:rsidRPr="00C2213B" w:rsidRDefault="005A19F8" w:rsidP="004E63E8">
            <w:pPr>
              <w:jc w:val="center"/>
              <w:rPr>
                <w:rFonts w:ascii="Times New Roman" w:hAnsi="Times New Roman" w:cs="Times New Roman"/>
              </w:rPr>
            </w:pPr>
            <w:r w:rsidRPr="00C2213B">
              <w:rPr>
                <w:rFonts w:ascii="Times New Roman" w:hAnsi="Times New Roman" w:cs="Times New Roman"/>
                <w:b/>
                <w:bCs/>
              </w:rPr>
              <w:t>Key Economic Findings</w:t>
            </w:r>
          </w:p>
        </w:tc>
        <w:tc>
          <w:tcPr>
            <w:tcW w:w="1620" w:type="dxa"/>
            <w:tcBorders>
              <w:top w:val="single" w:sz="4" w:space="0" w:color="2E75B6"/>
              <w:left w:val="single" w:sz="1" w:space="0" w:color="BFC9CA"/>
              <w:bottom w:val="single" w:sz="4" w:space="0" w:color="2E75B6"/>
              <w:right w:val="single" w:sz="1" w:space="0" w:color="BFC9CA"/>
            </w:tcBorders>
            <w:tcMar>
              <w:top w:w="100" w:type="dxa"/>
              <w:left w:w="120" w:type="dxa"/>
              <w:bottom w:w="100" w:type="dxa"/>
              <w:right w:w="120" w:type="dxa"/>
            </w:tcMar>
            <w:vAlign w:val="center"/>
          </w:tcPr>
          <w:p w14:paraId="18BFF86B" w14:textId="77777777" w:rsidR="005A19F8" w:rsidRPr="00C2213B" w:rsidRDefault="005A19F8" w:rsidP="004E63E8">
            <w:pPr>
              <w:jc w:val="center"/>
              <w:rPr>
                <w:rFonts w:ascii="Times New Roman" w:hAnsi="Times New Roman" w:cs="Times New Roman"/>
              </w:rPr>
            </w:pPr>
            <w:r w:rsidRPr="00C2213B">
              <w:rPr>
                <w:rFonts w:ascii="Times New Roman" w:hAnsi="Times New Roman" w:cs="Times New Roman"/>
                <w:b/>
                <w:bCs/>
              </w:rPr>
              <w:t>Control Strategy Evaluated</w:t>
            </w:r>
          </w:p>
        </w:tc>
        <w:tc>
          <w:tcPr>
            <w:tcW w:w="1566" w:type="dxa"/>
            <w:tcBorders>
              <w:top w:val="single" w:sz="4" w:space="0" w:color="2E75B6"/>
              <w:left w:val="single" w:sz="1" w:space="0" w:color="BFC9CA"/>
              <w:bottom w:val="single" w:sz="4" w:space="0" w:color="2E75B6"/>
              <w:right w:val="single" w:sz="1" w:space="0" w:color="BFC9CA"/>
            </w:tcBorders>
            <w:tcMar>
              <w:top w:w="100" w:type="dxa"/>
              <w:left w:w="120" w:type="dxa"/>
              <w:bottom w:w="100" w:type="dxa"/>
              <w:right w:w="120" w:type="dxa"/>
            </w:tcMar>
            <w:vAlign w:val="center"/>
          </w:tcPr>
          <w:p w14:paraId="17A9DD0B" w14:textId="77777777" w:rsidR="005A19F8" w:rsidRPr="00C2213B" w:rsidRDefault="005A19F8" w:rsidP="004E63E8">
            <w:pPr>
              <w:jc w:val="center"/>
              <w:rPr>
                <w:rFonts w:ascii="Times New Roman" w:hAnsi="Times New Roman" w:cs="Times New Roman"/>
                <w:sz w:val="24"/>
                <w:szCs w:val="24"/>
              </w:rPr>
            </w:pPr>
            <w:r w:rsidRPr="00C2213B">
              <w:rPr>
                <w:rFonts w:ascii="Times New Roman" w:hAnsi="Times New Roman" w:cs="Times New Roman"/>
                <w:b/>
                <w:bCs/>
                <w:sz w:val="24"/>
                <w:szCs w:val="24"/>
              </w:rPr>
              <w:t>Reference</w:t>
            </w:r>
          </w:p>
        </w:tc>
      </w:tr>
      <w:tr w:rsidR="005A19F8" w:rsidRPr="00AE66FD" w14:paraId="2A5340DC" w14:textId="77777777" w:rsidTr="004E63E8">
        <w:tc>
          <w:tcPr>
            <w:tcW w:w="9485" w:type="dxa"/>
            <w:gridSpan w:val="6"/>
            <w:tcBorders>
              <w:top w:val="single" w:sz="4" w:space="0" w:color="2E75B6"/>
              <w:left w:val="single" w:sz="1" w:space="0" w:color="BFC9CA"/>
              <w:bottom w:val="single" w:sz="4" w:space="0" w:color="2E75B6"/>
              <w:right w:val="single" w:sz="1" w:space="0" w:color="BFC9CA"/>
            </w:tcBorders>
            <w:tcMar>
              <w:top w:w="100" w:type="dxa"/>
              <w:left w:w="120" w:type="dxa"/>
              <w:bottom w:w="100" w:type="dxa"/>
              <w:right w:w="120" w:type="dxa"/>
            </w:tcMar>
          </w:tcPr>
          <w:p w14:paraId="6F40F711" w14:textId="77777777" w:rsidR="005A19F8" w:rsidRPr="00C2213B" w:rsidRDefault="005A19F8" w:rsidP="004E63E8">
            <w:pPr>
              <w:jc w:val="center"/>
              <w:rPr>
                <w:rFonts w:ascii="Times New Roman" w:hAnsi="Times New Roman" w:cs="Times New Roman"/>
              </w:rPr>
            </w:pPr>
            <w:r w:rsidRPr="00C2213B">
              <w:rPr>
                <w:rFonts w:ascii="Times New Roman" w:hAnsi="Times New Roman" w:cs="Times New Roman"/>
                <w:b/>
                <w:bCs/>
                <w:iCs/>
                <w:sz w:val="24"/>
              </w:rPr>
              <w:t>Africa</w:t>
            </w:r>
          </w:p>
        </w:tc>
      </w:tr>
      <w:tr w:rsidR="005A19F8" w:rsidRPr="00AE66FD" w14:paraId="3CF8330E" w14:textId="77777777" w:rsidTr="004E63E8">
        <w:tc>
          <w:tcPr>
            <w:tcW w:w="1439"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56EC1129"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lastRenderedPageBreak/>
              <w:t xml:space="preserve">Gari </w:t>
            </w:r>
            <w:r w:rsidRPr="00C2213B">
              <w:rPr>
                <w:rFonts w:ascii="Times New Roman" w:hAnsi="Times New Roman" w:cs="Times New Roman"/>
                <w:i/>
              </w:rPr>
              <w:t>et al.</w:t>
            </w:r>
            <w:r w:rsidRPr="00C2213B">
              <w:rPr>
                <w:rFonts w:ascii="Times New Roman" w:hAnsi="Times New Roman" w:cs="Times New Roman"/>
              </w:rPr>
              <w:t xml:space="preserve"> (2011)</w:t>
            </w:r>
          </w:p>
        </w:tc>
        <w:tc>
          <w:tcPr>
            <w:tcW w:w="126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395B388C"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Ethiopia</w:t>
            </w:r>
          </w:p>
        </w:tc>
        <w:tc>
          <w:tcPr>
            <w:tcW w:w="135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7B9526DA"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Cross-sectional survey</w:t>
            </w:r>
          </w:p>
        </w:tc>
        <w:tc>
          <w:tcPr>
            <w:tcW w:w="225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24006ACA"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USD 6.43/head (Zebu); USD 58/head (HF crossbred) annually in infected herds</w:t>
            </w:r>
          </w:p>
        </w:tc>
        <w:tc>
          <w:tcPr>
            <w:tcW w:w="162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3F0D88F2"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Vaccination (partial cost reduction: 17% Zebu, 31% HF)</w:t>
            </w:r>
          </w:p>
        </w:tc>
        <w:tc>
          <w:tcPr>
            <w:tcW w:w="1566"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054B8349"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 xml:space="preserve">Gari </w:t>
            </w:r>
            <w:r w:rsidRPr="00C2213B">
              <w:rPr>
                <w:rFonts w:ascii="Times New Roman" w:hAnsi="Times New Roman" w:cs="Times New Roman"/>
                <w:i/>
              </w:rPr>
              <w:t>et al.,</w:t>
            </w:r>
            <w:r w:rsidRPr="00C2213B">
              <w:rPr>
                <w:rFonts w:ascii="Times New Roman" w:hAnsi="Times New Roman" w:cs="Times New Roman"/>
              </w:rPr>
              <w:t xml:space="preserve"> 2011</w:t>
            </w:r>
          </w:p>
        </w:tc>
      </w:tr>
      <w:tr w:rsidR="005A19F8" w:rsidRPr="00AE66FD" w14:paraId="36841B8D" w14:textId="77777777" w:rsidTr="004E63E8">
        <w:tc>
          <w:tcPr>
            <w:tcW w:w="1439"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18CB6805"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 xml:space="preserve">Molla </w:t>
            </w:r>
            <w:r w:rsidRPr="00C2213B">
              <w:rPr>
                <w:rFonts w:ascii="Times New Roman" w:hAnsi="Times New Roman" w:cs="Times New Roman"/>
                <w:i/>
              </w:rPr>
              <w:t>et al.</w:t>
            </w:r>
            <w:r w:rsidRPr="00C2213B">
              <w:rPr>
                <w:rFonts w:ascii="Times New Roman" w:hAnsi="Times New Roman" w:cs="Times New Roman"/>
              </w:rPr>
              <w:t xml:space="preserve"> (2017)</w:t>
            </w:r>
          </w:p>
        </w:tc>
        <w:tc>
          <w:tcPr>
            <w:tcW w:w="126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4E6249AE"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Ethiopia</w:t>
            </w:r>
          </w:p>
        </w:tc>
        <w:tc>
          <w:tcPr>
            <w:tcW w:w="135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2BB16517"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Cost-benefit analysis</w:t>
            </w:r>
          </w:p>
        </w:tc>
        <w:tc>
          <w:tcPr>
            <w:tcW w:w="225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4F7FE4C4"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Median herd loss USD 1,176; Subsistence USD 489; Commercial USD 2,735 per outbreak</w:t>
            </w:r>
          </w:p>
        </w:tc>
        <w:tc>
          <w:tcPr>
            <w:tcW w:w="162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787822FE"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Annual vaccination; BCR 1.4–8.1; MRR up to 3,400%</w:t>
            </w:r>
          </w:p>
        </w:tc>
        <w:tc>
          <w:tcPr>
            <w:tcW w:w="1566"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33E36AC7"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 xml:space="preserve">Molla </w:t>
            </w:r>
            <w:r w:rsidRPr="00C2213B">
              <w:rPr>
                <w:rFonts w:ascii="Times New Roman" w:hAnsi="Times New Roman" w:cs="Times New Roman"/>
                <w:i/>
              </w:rPr>
              <w:t>et al.,</w:t>
            </w:r>
            <w:r w:rsidRPr="00C2213B">
              <w:rPr>
                <w:rFonts w:ascii="Times New Roman" w:hAnsi="Times New Roman" w:cs="Times New Roman"/>
              </w:rPr>
              <w:t xml:space="preserve"> 2017</w:t>
            </w:r>
          </w:p>
        </w:tc>
      </w:tr>
      <w:tr w:rsidR="005A19F8" w:rsidRPr="00AE66FD" w14:paraId="7AD34AAE" w14:textId="77777777" w:rsidTr="004E63E8">
        <w:tc>
          <w:tcPr>
            <w:tcW w:w="9485" w:type="dxa"/>
            <w:gridSpan w:val="6"/>
            <w:tcBorders>
              <w:top w:val="single" w:sz="4" w:space="0" w:color="2E75B6"/>
              <w:left w:val="single" w:sz="1" w:space="0" w:color="BFC9CA"/>
              <w:bottom w:val="single" w:sz="4" w:space="0" w:color="2E75B6"/>
              <w:right w:val="single" w:sz="1" w:space="0" w:color="BFC9CA"/>
            </w:tcBorders>
            <w:tcMar>
              <w:top w:w="100" w:type="dxa"/>
              <w:left w:w="120" w:type="dxa"/>
              <w:bottom w:w="100" w:type="dxa"/>
              <w:right w:w="120" w:type="dxa"/>
            </w:tcMar>
          </w:tcPr>
          <w:p w14:paraId="0521C01A" w14:textId="77777777" w:rsidR="005A19F8" w:rsidRPr="00C2213B" w:rsidRDefault="005A19F8" w:rsidP="004E63E8">
            <w:pPr>
              <w:jc w:val="center"/>
              <w:rPr>
                <w:rFonts w:ascii="Times New Roman" w:hAnsi="Times New Roman" w:cs="Times New Roman"/>
              </w:rPr>
            </w:pPr>
            <w:r w:rsidRPr="00C2213B">
              <w:rPr>
                <w:rFonts w:ascii="Times New Roman" w:hAnsi="Times New Roman" w:cs="Times New Roman"/>
                <w:b/>
                <w:bCs/>
                <w:iCs/>
                <w:sz w:val="24"/>
              </w:rPr>
              <w:t>Asia</w:t>
            </w:r>
          </w:p>
        </w:tc>
      </w:tr>
      <w:tr w:rsidR="005A19F8" w:rsidRPr="00AE66FD" w14:paraId="3214F560" w14:textId="77777777" w:rsidTr="004E63E8">
        <w:tc>
          <w:tcPr>
            <w:tcW w:w="1439"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16E4FFFB"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 xml:space="preserve">Chouhan </w:t>
            </w:r>
            <w:r w:rsidRPr="00C2213B">
              <w:rPr>
                <w:rFonts w:ascii="Times New Roman" w:hAnsi="Times New Roman" w:cs="Times New Roman"/>
                <w:i/>
              </w:rPr>
              <w:t>et al.</w:t>
            </w:r>
            <w:r w:rsidRPr="00C2213B">
              <w:rPr>
                <w:rFonts w:ascii="Times New Roman" w:hAnsi="Times New Roman" w:cs="Times New Roman"/>
              </w:rPr>
              <w:t xml:space="preserve"> (2022)</w:t>
            </w:r>
          </w:p>
        </w:tc>
        <w:tc>
          <w:tcPr>
            <w:tcW w:w="126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6A3D02F1"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Bangladesh</w:t>
            </w:r>
          </w:p>
        </w:tc>
        <w:tc>
          <w:tcPr>
            <w:tcW w:w="135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41A6D1AF"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Epidemiological survey</w:t>
            </w:r>
          </w:p>
        </w:tc>
        <w:tc>
          <w:tcPr>
            <w:tcW w:w="225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37C70343"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Attack rate 34%; CFR 3.23%; limited economic analysis</w:t>
            </w:r>
          </w:p>
        </w:tc>
        <w:tc>
          <w:tcPr>
            <w:tcW w:w="162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68D4EF43"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Not evaluated</w:t>
            </w:r>
          </w:p>
        </w:tc>
        <w:tc>
          <w:tcPr>
            <w:tcW w:w="1566"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4BEBD9F2"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 xml:space="preserve">Chouhan </w:t>
            </w:r>
            <w:r w:rsidRPr="00C2213B">
              <w:rPr>
                <w:rFonts w:ascii="Times New Roman" w:hAnsi="Times New Roman" w:cs="Times New Roman"/>
                <w:i/>
              </w:rPr>
              <w:t>et al.,</w:t>
            </w:r>
            <w:r w:rsidRPr="00C2213B">
              <w:rPr>
                <w:rFonts w:ascii="Times New Roman" w:hAnsi="Times New Roman" w:cs="Times New Roman"/>
              </w:rPr>
              <w:t xml:space="preserve"> 2022</w:t>
            </w:r>
          </w:p>
        </w:tc>
      </w:tr>
      <w:tr w:rsidR="005A19F8" w:rsidRPr="00AE66FD" w14:paraId="79364A8C" w14:textId="77777777" w:rsidTr="004E63E8">
        <w:tc>
          <w:tcPr>
            <w:tcW w:w="1439"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69164342"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 xml:space="preserve">Saqib </w:t>
            </w:r>
            <w:r w:rsidRPr="00C2213B">
              <w:rPr>
                <w:rFonts w:ascii="Times New Roman" w:hAnsi="Times New Roman" w:cs="Times New Roman"/>
                <w:i/>
              </w:rPr>
              <w:t>et al.</w:t>
            </w:r>
            <w:r w:rsidRPr="00C2213B">
              <w:rPr>
                <w:rFonts w:ascii="Times New Roman" w:hAnsi="Times New Roman" w:cs="Times New Roman"/>
              </w:rPr>
              <w:t xml:space="preserve"> (2023)</w:t>
            </w:r>
          </w:p>
        </w:tc>
        <w:tc>
          <w:tcPr>
            <w:tcW w:w="126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161F1D96"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Pakistan (KP)</w:t>
            </w:r>
          </w:p>
        </w:tc>
        <w:tc>
          <w:tcPr>
            <w:tcW w:w="135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42BEB877"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Household survey</w:t>
            </w:r>
          </w:p>
        </w:tc>
        <w:tc>
          <w:tcPr>
            <w:tcW w:w="225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29B7972E"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USD ~100/affected animal; higher losses in exotic breeds; household debt &amp; emotional stress</w:t>
            </w:r>
          </w:p>
        </w:tc>
        <w:tc>
          <w:tcPr>
            <w:tcW w:w="162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032F9369"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Not evaluated</w:t>
            </w:r>
          </w:p>
        </w:tc>
        <w:tc>
          <w:tcPr>
            <w:tcW w:w="1566"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5336D280"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 xml:space="preserve">Saqib </w:t>
            </w:r>
            <w:r w:rsidRPr="00C2213B">
              <w:rPr>
                <w:rFonts w:ascii="Times New Roman" w:hAnsi="Times New Roman" w:cs="Times New Roman"/>
                <w:i/>
              </w:rPr>
              <w:t xml:space="preserve">et al., </w:t>
            </w:r>
            <w:r w:rsidRPr="00C2213B">
              <w:rPr>
                <w:rFonts w:ascii="Times New Roman" w:hAnsi="Times New Roman" w:cs="Times New Roman"/>
              </w:rPr>
              <w:t>2023</w:t>
            </w:r>
          </w:p>
        </w:tc>
      </w:tr>
      <w:tr w:rsidR="005A19F8" w:rsidRPr="00AE66FD" w14:paraId="7B7EA3C0" w14:textId="77777777" w:rsidTr="004E63E8">
        <w:tc>
          <w:tcPr>
            <w:tcW w:w="1439"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32D6C9BB"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 xml:space="preserve">Naidu </w:t>
            </w:r>
            <w:r w:rsidRPr="00C2213B">
              <w:rPr>
                <w:rFonts w:ascii="Times New Roman" w:hAnsi="Times New Roman" w:cs="Times New Roman"/>
                <w:i/>
              </w:rPr>
              <w:t>et al.</w:t>
            </w:r>
            <w:r w:rsidRPr="00C2213B">
              <w:rPr>
                <w:rFonts w:ascii="Times New Roman" w:hAnsi="Times New Roman" w:cs="Times New Roman"/>
              </w:rPr>
              <w:t xml:space="preserve"> (2025)</w:t>
            </w:r>
          </w:p>
        </w:tc>
        <w:tc>
          <w:tcPr>
            <w:tcW w:w="126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7505E1EC"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India (7 states)</w:t>
            </w:r>
          </w:p>
        </w:tc>
        <w:tc>
          <w:tcPr>
            <w:tcW w:w="135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7DB91683"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Stochastic Monte Carlo modelling</w:t>
            </w:r>
          </w:p>
        </w:tc>
        <w:tc>
          <w:tcPr>
            <w:tcW w:w="225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40A1A27D"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Total USD 2,440.29M (90% CI: 2,162.55–2,716.15M); Gujarat highest milk loss (90 L/animal)</w:t>
            </w:r>
          </w:p>
        </w:tc>
        <w:tc>
          <w:tcPr>
            <w:tcW w:w="162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13E37BD7"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Vaccination (economic rationale supported)</w:t>
            </w:r>
          </w:p>
        </w:tc>
        <w:tc>
          <w:tcPr>
            <w:tcW w:w="1566"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1912A633"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 xml:space="preserve">Naidu </w:t>
            </w:r>
            <w:r w:rsidRPr="00C2213B">
              <w:rPr>
                <w:rFonts w:ascii="Times New Roman" w:hAnsi="Times New Roman" w:cs="Times New Roman"/>
                <w:i/>
              </w:rPr>
              <w:t>et al.,</w:t>
            </w:r>
            <w:r w:rsidRPr="00C2213B">
              <w:rPr>
                <w:rFonts w:ascii="Times New Roman" w:hAnsi="Times New Roman" w:cs="Times New Roman"/>
              </w:rPr>
              <w:t xml:space="preserve"> 2025</w:t>
            </w:r>
          </w:p>
        </w:tc>
      </w:tr>
      <w:tr w:rsidR="005A19F8" w:rsidRPr="00AE66FD" w14:paraId="6E37D6CB" w14:textId="77777777" w:rsidTr="004E63E8">
        <w:tc>
          <w:tcPr>
            <w:tcW w:w="1439"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445D09EA"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 xml:space="preserve">Rajendran </w:t>
            </w:r>
            <w:r w:rsidRPr="00C2213B">
              <w:rPr>
                <w:rFonts w:ascii="Times New Roman" w:hAnsi="Times New Roman" w:cs="Times New Roman"/>
                <w:i/>
              </w:rPr>
              <w:t>et al.</w:t>
            </w:r>
            <w:r w:rsidRPr="00C2213B">
              <w:rPr>
                <w:rFonts w:ascii="Times New Roman" w:hAnsi="Times New Roman" w:cs="Times New Roman"/>
              </w:rPr>
              <w:t xml:space="preserve"> (2025)</w:t>
            </w:r>
          </w:p>
        </w:tc>
        <w:tc>
          <w:tcPr>
            <w:tcW w:w="126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405237F0"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India (Uttar Pradesh)</w:t>
            </w:r>
          </w:p>
        </w:tc>
        <w:tc>
          <w:tcPr>
            <w:tcW w:w="135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2D38DB8A"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Farm-level economic assessment</w:t>
            </w:r>
          </w:p>
        </w:tc>
        <w:tc>
          <w:tcPr>
            <w:tcW w:w="225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794AFF71"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Significant milk production losses 2022–23; crossbred cattle disproportionately affected</w:t>
            </w:r>
          </w:p>
        </w:tc>
        <w:tc>
          <w:tcPr>
            <w:tcW w:w="162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4D3688BD"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Vaccination cost-effectiveness assessed</w:t>
            </w:r>
          </w:p>
        </w:tc>
        <w:tc>
          <w:tcPr>
            <w:tcW w:w="1566"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402889B6"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 xml:space="preserve">Rajendran </w:t>
            </w:r>
            <w:r w:rsidRPr="00C2213B">
              <w:rPr>
                <w:rFonts w:ascii="Times New Roman" w:hAnsi="Times New Roman" w:cs="Times New Roman"/>
                <w:i/>
              </w:rPr>
              <w:t>et al.,</w:t>
            </w:r>
            <w:r w:rsidRPr="00C2213B">
              <w:rPr>
                <w:rFonts w:ascii="Times New Roman" w:hAnsi="Times New Roman" w:cs="Times New Roman"/>
              </w:rPr>
              <w:t xml:space="preserve"> 2025</w:t>
            </w:r>
          </w:p>
        </w:tc>
      </w:tr>
      <w:tr w:rsidR="005A19F8" w:rsidRPr="00AE66FD" w14:paraId="558F04FA" w14:textId="77777777" w:rsidTr="004E63E8">
        <w:tc>
          <w:tcPr>
            <w:tcW w:w="9485" w:type="dxa"/>
            <w:gridSpan w:val="6"/>
            <w:tcBorders>
              <w:top w:val="single" w:sz="4" w:space="0" w:color="2E75B6"/>
              <w:left w:val="single" w:sz="1" w:space="0" w:color="BFC9CA"/>
              <w:bottom w:val="single" w:sz="4" w:space="0" w:color="2E75B6"/>
              <w:right w:val="single" w:sz="1" w:space="0" w:color="BFC9CA"/>
            </w:tcBorders>
            <w:tcMar>
              <w:top w:w="100" w:type="dxa"/>
              <w:left w:w="120" w:type="dxa"/>
              <w:bottom w:w="100" w:type="dxa"/>
              <w:right w:w="120" w:type="dxa"/>
            </w:tcMar>
          </w:tcPr>
          <w:p w14:paraId="6F38151E" w14:textId="77777777" w:rsidR="005A19F8" w:rsidRPr="00C2213B" w:rsidRDefault="005A19F8" w:rsidP="004E63E8">
            <w:pPr>
              <w:jc w:val="center"/>
              <w:rPr>
                <w:rFonts w:ascii="Times New Roman" w:hAnsi="Times New Roman" w:cs="Times New Roman"/>
              </w:rPr>
            </w:pPr>
            <w:r w:rsidRPr="00C2213B">
              <w:rPr>
                <w:rFonts w:ascii="Times New Roman" w:hAnsi="Times New Roman" w:cs="Times New Roman"/>
                <w:b/>
                <w:bCs/>
                <w:iCs/>
                <w:sz w:val="24"/>
              </w:rPr>
              <w:t>Southeast Asia</w:t>
            </w:r>
          </w:p>
        </w:tc>
      </w:tr>
      <w:tr w:rsidR="005A19F8" w:rsidRPr="00AE66FD" w14:paraId="17800F88" w14:textId="77777777" w:rsidTr="004E63E8">
        <w:tc>
          <w:tcPr>
            <w:tcW w:w="1439"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6ABEC601"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lastRenderedPageBreak/>
              <w:t>WOAH (2024)</w:t>
            </w:r>
          </w:p>
        </w:tc>
        <w:tc>
          <w:tcPr>
            <w:tcW w:w="126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33BF16BD"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Thailand</w:t>
            </w:r>
          </w:p>
        </w:tc>
        <w:tc>
          <w:tcPr>
            <w:tcW w:w="135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44D82C99"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Regional assessment</w:t>
            </w:r>
          </w:p>
        </w:tc>
        <w:tc>
          <w:tcPr>
            <w:tcW w:w="225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3433BE8D"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Losses USD 119.42–412.57/farmer; reduced milk production &amp; market disruption</w:t>
            </w:r>
          </w:p>
        </w:tc>
        <w:tc>
          <w:tcPr>
            <w:tcW w:w="162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40220050"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Mass vaccination &amp; movement restriction</w:t>
            </w:r>
          </w:p>
        </w:tc>
        <w:tc>
          <w:tcPr>
            <w:tcW w:w="1566"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7372D5C6"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WOAH, 2024</w:t>
            </w:r>
          </w:p>
        </w:tc>
      </w:tr>
      <w:tr w:rsidR="005A19F8" w:rsidRPr="00AE66FD" w14:paraId="2B891CE4" w14:textId="77777777" w:rsidTr="004E63E8">
        <w:tc>
          <w:tcPr>
            <w:tcW w:w="1439"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26E09EF6" w14:textId="77777777" w:rsidR="005A19F8" w:rsidRPr="00C2213B" w:rsidRDefault="005A19F8" w:rsidP="004E63E8">
            <w:pPr>
              <w:rPr>
                <w:rFonts w:ascii="Times New Roman" w:hAnsi="Times New Roman" w:cs="Times New Roman"/>
              </w:rPr>
            </w:pPr>
            <w:proofErr w:type="spellStart"/>
            <w:r w:rsidRPr="00C2213B">
              <w:rPr>
                <w:rFonts w:ascii="Times New Roman" w:hAnsi="Times New Roman" w:cs="Times New Roman"/>
              </w:rPr>
              <w:t>Modethed</w:t>
            </w:r>
            <w:proofErr w:type="spellEnd"/>
            <w:r w:rsidRPr="00C2213B">
              <w:rPr>
                <w:rFonts w:ascii="Times New Roman" w:hAnsi="Times New Roman" w:cs="Times New Roman"/>
              </w:rPr>
              <w:t xml:space="preserve"> </w:t>
            </w:r>
            <w:r w:rsidRPr="00C2213B">
              <w:rPr>
                <w:rFonts w:ascii="Times New Roman" w:hAnsi="Times New Roman" w:cs="Times New Roman"/>
                <w:i/>
              </w:rPr>
              <w:t>et al.</w:t>
            </w:r>
            <w:r w:rsidRPr="00C2213B">
              <w:rPr>
                <w:rFonts w:ascii="Times New Roman" w:hAnsi="Times New Roman" w:cs="Times New Roman"/>
              </w:rPr>
              <w:t xml:space="preserve"> (2025)</w:t>
            </w:r>
          </w:p>
        </w:tc>
        <w:tc>
          <w:tcPr>
            <w:tcW w:w="126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123F12F2"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Thailand (Northern)</w:t>
            </w:r>
          </w:p>
        </w:tc>
        <w:tc>
          <w:tcPr>
            <w:tcW w:w="135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18C67DA5"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Stochastic modelling of dairy farms</w:t>
            </w:r>
          </w:p>
        </w:tc>
        <w:tc>
          <w:tcPr>
            <w:tcW w:w="225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11CEF178"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Quantified financial losses in dairy farms; milk yield as primary loss driver</w:t>
            </w:r>
          </w:p>
        </w:tc>
        <w:tc>
          <w:tcPr>
            <w:tcW w:w="162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4B1249DB"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Economic rationale for vaccination confirmed</w:t>
            </w:r>
          </w:p>
        </w:tc>
        <w:tc>
          <w:tcPr>
            <w:tcW w:w="1566"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17A8386B" w14:textId="77777777" w:rsidR="005A19F8" w:rsidRPr="00C2213B" w:rsidRDefault="005A19F8" w:rsidP="004E63E8">
            <w:pPr>
              <w:rPr>
                <w:rFonts w:ascii="Times New Roman" w:hAnsi="Times New Roman" w:cs="Times New Roman"/>
              </w:rPr>
            </w:pPr>
            <w:proofErr w:type="spellStart"/>
            <w:r w:rsidRPr="00C2213B">
              <w:rPr>
                <w:rFonts w:ascii="Times New Roman" w:hAnsi="Times New Roman" w:cs="Times New Roman"/>
              </w:rPr>
              <w:t>Modethed</w:t>
            </w:r>
            <w:proofErr w:type="spellEnd"/>
            <w:r w:rsidRPr="00C2213B">
              <w:rPr>
                <w:rFonts w:ascii="Times New Roman" w:hAnsi="Times New Roman" w:cs="Times New Roman"/>
              </w:rPr>
              <w:t xml:space="preserve"> </w:t>
            </w:r>
            <w:r w:rsidRPr="00C2213B">
              <w:rPr>
                <w:rFonts w:ascii="Times New Roman" w:hAnsi="Times New Roman" w:cs="Times New Roman"/>
                <w:i/>
              </w:rPr>
              <w:t>et al.,</w:t>
            </w:r>
            <w:r w:rsidRPr="00C2213B">
              <w:rPr>
                <w:rFonts w:ascii="Times New Roman" w:hAnsi="Times New Roman" w:cs="Times New Roman"/>
              </w:rPr>
              <w:t xml:space="preserve"> 2025</w:t>
            </w:r>
          </w:p>
        </w:tc>
      </w:tr>
      <w:tr w:rsidR="005A19F8" w:rsidRPr="00AE66FD" w14:paraId="13F150F2" w14:textId="77777777" w:rsidTr="004E63E8">
        <w:tc>
          <w:tcPr>
            <w:tcW w:w="1439"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46261D43"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 xml:space="preserve">Hutchinson </w:t>
            </w:r>
            <w:r w:rsidRPr="00C2213B">
              <w:rPr>
                <w:rFonts w:ascii="Times New Roman" w:hAnsi="Times New Roman" w:cs="Times New Roman"/>
                <w:i/>
              </w:rPr>
              <w:t>et al.</w:t>
            </w:r>
            <w:r w:rsidRPr="00C2213B">
              <w:rPr>
                <w:rFonts w:ascii="Times New Roman" w:hAnsi="Times New Roman" w:cs="Times New Roman"/>
              </w:rPr>
              <w:t xml:space="preserve"> (2024)</w:t>
            </w:r>
          </w:p>
        </w:tc>
        <w:tc>
          <w:tcPr>
            <w:tcW w:w="126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3F3D634A"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Indonesia / SE Asia</w:t>
            </w:r>
          </w:p>
        </w:tc>
        <w:tc>
          <w:tcPr>
            <w:tcW w:w="135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3116E074"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Surveillance-based analysis</w:t>
            </w:r>
          </w:p>
        </w:tc>
        <w:tc>
          <w:tcPr>
            <w:tcW w:w="225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55ADA26C"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Trade disruptions with Australia; first LSD cases March 2022; substantial livestock losses</w:t>
            </w:r>
          </w:p>
        </w:tc>
        <w:tc>
          <w:tcPr>
            <w:tcW w:w="162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013CF2BD"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Epidemiological monitoring</w:t>
            </w:r>
          </w:p>
        </w:tc>
        <w:tc>
          <w:tcPr>
            <w:tcW w:w="1566"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1A38E68C"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 xml:space="preserve">Hutchinson </w:t>
            </w:r>
            <w:r w:rsidRPr="00C2213B">
              <w:rPr>
                <w:rFonts w:ascii="Times New Roman" w:hAnsi="Times New Roman" w:cs="Times New Roman"/>
                <w:i/>
              </w:rPr>
              <w:t>et al.,</w:t>
            </w:r>
            <w:r w:rsidRPr="00C2213B">
              <w:rPr>
                <w:rFonts w:ascii="Times New Roman" w:hAnsi="Times New Roman" w:cs="Times New Roman"/>
              </w:rPr>
              <w:t xml:space="preserve"> 2024</w:t>
            </w:r>
          </w:p>
        </w:tc>
      </w:tr>
      <w:tr w:rsidR="005A19F8" w:rsidRPr="00AE66FD" w14:paraId="414F667A" w14:textId="77777777" w:rsidTr="004E63E8">
        <w:tc>
          <w:tcPr>
            <w:tcW w:w="9485" w:type="dxa"/>
            <w:gridSpan w:val="6"/>
            <w:tcBorders>
              <w:top w:val="single" w:sz="4" w:space="0" w:color="2E75B6"/>
              <w:left w:val="single" w:sz="1" w:space="0" w:color="BFC9CA"/>
              <w:bottom w:val="single" w:sz="4" w:space="0" w:color="2E75B6"/>
              <w:right w:val="single" w:sz="1" w:space="0" w:color="BFC9CA"/>
            </w:tcBorders>
            <w:tcMar>
              <w:top w:w="100" w:type="dxa"/>
              <w:left w:w="120" w:type="dxa"/>
              <w:bottom w:w="100" w:type="dxa"/>
              <w:right w:w="120" w:type="dxa"/>
            </w:tcMar>
          </w:tcPr>
          <w:p w14:paraId="2BBB08DA" w14:textId="77777777" w:rsidR="005A19F8" w:rsidRPr="00C2213B" w:rsidRDefault="005A19F8" w:rsidP="004E63E8">
            <w:pPr>
              <w:jc w:val="center"/>
              <w:rPr>
                <w:rFonts w:ascii="Times New Roman" w:hAnsi="Times New Roman" w:cs="Times New Roman"/>
              </w:rPr>
            </w:pPr>
            <w:r w:rsidRPr="00C2213B">
              <w:rPr>
                <w:rFonts w:ascii="Times New Roman" w:hAnsi="Times New Roman" w:cs="Times New Roman"/>
                <w:b/>
                <w:bCs/>
                <w:iCs/>
                <w:sz w:val="24"/>
              </w:rPr>
              <w:t>Global / Regional Estimates</w:t>
            </w:r>
          </w:p>
        </w:tc>
      </w:tr>
      <w:tr w:rsidR="005A19F8" w:rsidRPr="00AE66FD" w14:paraId="69F16CD3" w14:textId="77777777" w:rsidTr="004E63E8">
        <w:tc>
          <w:tcPr>
            <w:tcW w:w="1439"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1E1B3F43"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TAFS (2024)</w:t>
            </w:r>
          </w:p>
        </w:tc>
        <w:tc>
          <w:tcPr>
            <w:tcW w:w="126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16569C8C"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Asia (regional)</w:t>
            </w:r>
          </w:p>
        </w:tc>
        <w:tc>
          <w:tcPr>
            <w:tcW w:w="135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13C06AF9"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Regional economic report</w:t>
            </w:r>
          </w:p>
        </w:tc>
        <w:tc>
          <w:tcPr>
            <w:tcW w:w="225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57D48A34"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Direct livestock &amp; production losses: USD 1.45 billion in Asia</w:t>
            </w:r>
          </w:p>
        </w:tc>
        <w:tc>
          <w:tcPr>
            <w:tcW w:w="162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0FC6CC21"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Regional vaccination recommended</w:t>
            </w:r>
          </w:p>
        </w:tc>
        <w:tc>
          <w:tcPr>
            <w:tcW w:w="1566"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5891BC4B"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TAFS, 2024</w:t>
            </w:r>
          </w:p>
        </w:tc>
      </w:tr>
      <w:tr w:rsidR="005A19F8" w:rsidRPr="00AE66FD" w14:paraId="3DE7BF95" w14:textId="77777777" w:rsidTr="004E63E8">
        <w:tc>
          <w:tcPr>
            <w:tcW w:w="1439"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6DE8C3D9" w14:textId="77777777" w:rsidR="005A19F8" w:rsidRPr="00C2213B" w:rsidRDefault="005A19F8" w:rsidP="004E63E8">
            <w:pPr>
              <w:rPr>
                <w:rFonts w:ascii="Times New Roman" w:hAnsi="Times New Roman" w:cs="Times New Roman"/>
              </w:rPr>
            </w:pPr>
            <w:proofErr w:type="spellStart"/>
            <w:r w:rsidRPr="00C2213B">
              <w:rPr>
                <w:rFonts w:ascii="Times New Roman" w:hAnsi="Times New Roman" w:cs="Times New Roman"/>
              </w:rPr>
              <w:t>Punyapornwithaya</w:t>
            </w:r>
            <w:proofErr w:type="spellEnd"/>
            <w:r w:rsidRPr="00C2213B">
              <w:rPr>
                <w:rFonts w:ascii="Times New Roman" w:hAnsi="Times New Roman" w:cs="Times New Roman"/>
              </w:rPr>
              <w:t xml:space="preserve"> </w:t>
            </w:r>
            <w:r w:rsidRPr="00C2213B">
              <w:rPr>
                <w:rFonts w:ascii="Times New Roman" w:hAnsi="Times New Roman" w:cs="Times New Roman"/>
                <w:i/>
              </w:rPr>
              <w:t>et al.</w:t>
            </w:r>
            <w:r w:rsidRPr="00C2213B">
              <w:rPr>
                <w:rFonts w:ascii="Times New Roman" w:hAnsi="Times New Roman" w:cs="Times New Roman"/>
              </w:rPr>
              <w:t xml:space="preserve"> (2024)</w:t>
            </w:r>
          </w:p>
        </w:tc>
        <w:tc>
          <w:tcPr>
            <w:tcW w:w="126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15AE5CF0"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Thailand (national)</w:t>
            </w:r>
          </w:p>
        </w:tc>
        <w:tc>
          <w:tcPr>
            <w:tcW w:w="135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5D301577"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Bayesian structural time series</w:t>
            </w:r>
          </w:p>
        </w:tc>
        <w:tc>
          <w:tcPr>
            <w:tcW w:w="225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18B44B80"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Mass vaccination + movement restriction reduced LSD case counts significantly</w:t>
            </w:r>
          </w:p>
        </w:tc>
        <w:tc>
          <w:tcPr>
            <w:tcW w:w="162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57C13C19"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Mass vaccination policy</w:t>
            </w:r>
          </w:p>
        </w:tc>
        <w:tc>
          <w:tcPr>
            <w:tcW w:w="1566"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2B2B79AE" w14:textId="77777777" w:rsidR="005A19F8" w:rsidRPr="00C2213B" w:rsidRDefault="005A19F8" w:rsidP="004E63E8">
            <w:pPr>
              <w:rPr>
                <w:rFonts w:ascii="Times New Roman" w:hAnsi="Times New Roman" w:cs="Times New Roman"/>
              </w:rPr>
            </w:pPr>
            <w:proofErr w:type="spellStart"/>
            <w:r w:rsidRPr="00C2213B">
              <w:rPr>
                <w:rFonts w:ascii="Times New Roman" w:hAnsi="Times New Roman" w:cs="Times New Roman"/>
              </w:rPr>
              <w:t>Punyapornwithaya</w:t>
            </w:r>
            <w:proofErr w:type="spellEnd"/>
            <w:r w:rsidRPr="00C2213B">
              <w:rPr>
                <w:rFonts w:ascii="Times New Roman" w:hAnsi="Times New Roman" w:cs="Times New Roman"/>
              </w:rPr>
              <w:t xml:space="preserve"> </w:t>
            </w:r>
            <w:r w:rsidRPr="00C2213B">
              <w:rPr>
                <w:rFonts w:ascii="Times New Roman" w:hAnsi="Times New Roman" w:cs="Times New Roman"/>
                <w:i/>
              </w:rPr>
              <w:t>et al.,</w:t>
            </w:r>
            <w:r w:rsidRPr="00C2213B">
              <w:rPr>
                <w:rFonts w:ascii="Times New Roman" w:hAnsi="Times New Roman" w:cs="Times New Roman"/>
              </w:rPr>
              <w:t xml:space="preserve"> 2024</w:t>
            </w:r>
          </w:p>
        </w:tc>
      </w:tr>
    </w:tbl>
    <w:p w14:paraId="7EAD99E2" w14:textId="77777777" w:rsidR="005A19F8" w:rsidRDefault="005A19F8" w:rsidP="005A19F8">
      <w:pPr>
        <w:spacing w:before="40" w:after="200"/>
        <w:rPr>
          <w:rFonts w:ascii="Times New Roman" w:hAnsi="Times New Roman" w:cs="Times New Roman"/>
          <w:b/>
          <w:bCs/>
          <w:i/>
          <w:iCs/>
        </w:rPr>
      </w:pPr>
    </w:p>
    <w:p w14:paraId="64F55C60" w14:textId="77777777" w:rsidR="005A19F8" w:rsidRPr="00892432" w:rsidRDefault="005A19F8" w:rsidP="005A19F8">
      <w:pPr>
        <w:spacing w:before="40" w:after="200"/>
        <w:rPr>
          <w:rFonts w:ascii="Times New Roman" w:hAnsi="Times New Roman" w:cs="Times New Roman"/>
        </w:rPr>
      </w:pPr>
      <w:r>
        <w:rPr>
          <w:rFonts w:ascii="Times New Roman" w:hAnsi="Times New Roman" w:cs="Times New Roman"/>
          <w:b/>
          <w:bCs/>
          <w:iCs/>
        </w:rPr>
        <w:t>Note:</w:t>
      </w:r>
      <w:r w:rsidRPr="00892432">
        <w:rPr>
          <w:rFonts w:ascii="Times New Roman" w:hAnsi="Times New Roman" w:cs="Times New Roman"/>
          <w:b/>
          <w:bCs/>
          <w:iCs/>
        </w:rPr>
        <w:t xml:space="preserve"> </w:t>
      </w:r>
      <w:r w:rsidRPr="00892432">
        <w:rPr>
          <w:rFonts w:ascii="Times New Roman" w:hAnsi="Times New Roman" w:cs="Times New Roman"/>
          <w:iCs/>
        </w:rPr>
        <w:t>BCR = Benefit-Cost Ratio; CFR = Case Fatality Rate; HF = Holstein Friesian; KP = Khyber Pakhtunkhwa; MRR = Marginal Rate of Return. All monetary values in USD. Studies are grouped by geographic region. Data extracted from cited references only.</w:t>
      </w:r>
    </w:p>
    <w:p w14:paraId="33E5B0A8" w14:textId="77777777" w:rsidR="005A19F8" w:rsidRPr="00AE66FD" w:rsidRDefault="005A19F8" w:rsidP="005A19F8">
      <w:pPr>
        <w:pStyle w:val="Heading2"/>
        <w:spacing w:before="240" w:after="120"/>
        <w:rPr>
          <w:rFonts w:ascii="Times New Roman" w:hAnsi="Times New Roman" w:cs="Times New Roman"/>
          <w:sz w:val="24"/>
          <w:szCs w:val="24"/>
        </w:rPr>
      </w:pPr>
    </w:p>
    <w:p w14:paraId="7F4685F7" w14:textId="77777777" w:rsidR="0052439A" w:rsidRDefault="0052439A" w:rsidP="005A19F8">
      <w:pPr>
        <w:spacing w:before="60" w:after="100"/>
        <w:rPr>
          <w:rFonts w:ascii="Times New Roman" w:hAnsi="Times New Roman" w:cs="Times New Roman"/>
          <w:b/>
          <w:bCs/>
          <w:sz w:val="24"/>
          <w:szCs w:val="24"/>
        </w:rPr>
      </w:pPr>
    </w:p>
    <w:p w14:paraId="23967867" w14:textId="77777777" w:rsidR="0052439A" w:rsidRDefault="0052439A" w:rsidP="005A19F8">
      <w:pPr>
        <w:spacing w:before="60" w:after="100"/>
        <w:rPr>
          <w:rFonts w:ascii="Times New Roman" w:hAnsi="Times New Roman" w:cs="Times New Roman"/>
          <w:b/>
          <w:bCs/>
          <w:sz w:val="24"/>
          <w:szCs w:val="24"/>
        </w:rPr>
      </w:pPr>
    </w:p>
    <w:p w14:paraId="32CAC25F" w14:textId="77777777" w:rsidR="0052439A" w:rsidRDefault="0052439A" w:rsidP="005A19F8">
      <w:pPr>
        <w:spacing w:before="60" w:after="100"/>
        <w:rPr>
          <w:rFonts w:ascii="Times New Roman" w:hAnsi="Times New Roman" w:cs="Times New Roman"/>
          <w:b/>
          <w:bCs/>
          <w:sz w:val="24"/>
          <w:szCs w:val="24"/>
        </w:rPr>
      </w:pPr>
    </w:p>
    <w:p w14:paraId="0DB6F872" w14:textId="5E95C59B" w:rsidR="005A19F8" w:rsidRDefault="005A19F8" w:rsidP="005A19F8">
      <w:pPr>
        <w:spacing w:before="60" w:after="100"/>
        <w:rPr>
          <w:rFonts w:ascii="Times New Roman" w:hAnsi="Times New Roman" w:cs="Times New Roman"/>
          <w:b/>
          <w:bCs/>
          <w:sz w:val="24"/>
          <w:szCs w:val="24"/>
        </w:rPr>
      </w:pPr>
      <w:bookmarkStart w:id="0" w:name="_GoBack"/>
      <w:bookmarkEnd w:id="0"/>
      <w:r w:rsidRPr="00AE66FD">
        <w:rPr>
          <w:rFonts w:ascii="Times New Roman" w:hAnsi="Times New Roman" w:cs="Times New Roman"/>
          <w:b/>
          <w:bCs/>
          <w:sz w:val="24"/>
          <w:szCs w:val="24"/>
        </w:rPr>
        <w:lastRenderedPageBreak/>
        <w:t>Table 2. Categories of Economic Losses Associated with Lumpy Skin Disease</w:t>
      </w:r>
    </w:p>
    <w:p w14:paraId="3F65F7F8" w14:textId="77777777" w:rsidR="005A19F8" w:rsidRPr="00AE66FD" w:rsidRDefault="005A19F8" w:rsidP="005A19F8">
      <w:pPr>
        <w:spacing w:before="60" w:after="100"/>
        <w:rPr>
          <w:rFonts w:ascii="Times New Roman" w:hAnsi="Times New Roman" w:cs="Times New Roman"/>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39"/>
        <w:gridCol w:w="1800"/>
        <w:gridCol w:w="2361"/>
        <w:gridCol w:w="2000"/>
        <w:gridCol w:w="1760"/>
      </w:tblGrid>
      <w:tr w:rsidR="005A19F8" w:rsidRPr="00AE66FD" w14:paraId="3EEA6E16" w14:textId="77777777" w:rsidTr="004E63E8">
        <w:trPr>
          <w:tblHeader/>
        </w:trPr>
        <w:tc>
          <w:tcPr>
            <w:tcW w:w="1439" w:type="dxa"/>
            <w:tcBorders>
              <w:top w:val="single" w:sz="4" w:space="0" w:color="2E75B6"/>
              <w:left w:val="single" w:sz="1" w:space="0" w:color="BFC9CA"/>
              <w:bottom w:val="single" w:sz="4" w:space="0" w:color="2E75B6"/>
              <w:right w:val="single" w:sz="1" w:space="0" w:color="BFC9CA"/>
            </w:tcBorders>
            <w:tcMar>
              <w:top w:w="100" w:type="dxa"/>
              <w:left w:w="120" w:type="dxa"/>
              <w:bottom w:w="100" w:type="dxa"/>
              <w:right w:w="120" w:type="dxa"/>
            </w:tcMar>
            <w:vAlign w:val="center"/>
          </w:tcPr>
          <w:p w14:paraId="45E6B4AB" w14:textId="77777777" w:rsidR="005A19F8" w:rsidRPr="00C2213B" w:rsidRDefault="005A19F8" w:rsidP="004E63E8">
            <w:pPr>
              <w:jc w:val="center"/>
              <w:rPr>
                <w:rFonts w:ascii="Times New Roman" w:hAnsi="Times New Roman" w:cs="Times New Roman"/>
              </w:rPr>
            </w:pPr>
            <w:r w:rsidRPr="00C2213B">
              <w:rPr>
                <w:rFonts w:ascii="Times New Roman" w:hAnsi="Times New Roman" w:cs="Times New Roman"/>
                <w:b/>
                <w:bCs/>
              </w:rPr>
              <w:t>Loss Category</w:t>
            </w:r>
          </w:p>
        </w:tc>
        <w:tc>
          <w:tcPr>
            <w:tcW w:w="1800" w:type="dxa"/>
            <w:tcBorders>
              <w:top w:val="single" w:sz="4" w:space="0" w:color="2E75B6"/>
              <w:left w:val="single" w:sz="1" w:space="0" w:color="BFC9CA"/>
              <w:bottom w:val="single" w:sz="4" w:space="0" w:color="2E75B6"/>
              <w:right w:val="single" w:sz="1" w:space="0" w:color="BFC9CA"/>
            </w:tcBorders>
            <w:tcMar>
              <w:top w:w="100" w:type="dxa"/>
              <w:left w:w="120" w:type="dxa"/>
              <w:bottom w:w="100" w:type="dxa"/>
              <w:right w:w="120" w:type="dxa"/>
            </w:tcMar>
            <w:vAlign w:val="center"/>
          </w:tcPr>
          <w:p w14:paraId="3EADDA37" w14:textId="77777777" w:rsidR="005A19F8" w:rsidRPr="00C2213B" w:rsidRDefault="005A19F8" w:rsidP="004E63E8">
            <w:pPr>
              <w:jc w:val="center"/>
              <w:rPr>
                <w:rFonts w:ascii="Times New Roman" w:hAnsi="Times New Roman" w:cs="Times New Roman"/>
              </w:rPr>
            </w:pPr>
            <w:r w:rsidRPr="00C2213B">
              <w:rPr>
                <w:rFonts w:ascii="Times New Roman" w:hAnsi="Times New Roman" w:cs="Times New Roman"/>
                <w:b/>
                <w:bCs/>
              </w:rPr>
              <w:t>Parameter</w:t>
            </w:r>
          </w:p>
        </w:tc>
        <w:tc>
          <w:tcPr>
            <w:tcW w:w="2361" w:type="dxa"/>
            <w:tcBorders>
              <w:top w:val="single" w:sz="4" w:space="0" w:color="2E75B6"/>
              <w:left w:val="single" w:sz="1" w:space="0" w:color="BFC9CA"/>
              <w:bottom w:val="single" w:sz="4" w:space="0" w:color="2E75B6"/>
              <w:right w:val="single" w:sz="1" w:space="0" w:color="BFC9CA"/>
            </w:tcBorders>
            <w:tcMar>
              <w:top w:w="100" w:type="dxa"/>
              <w:left w:w="120" w:type="dxa"/>
              <w:bottom w:w="100" w:type="dxa"/>
              <w:right w:w="120" w:type="dxa"/>
            </w:tcMar>
            <w:vAlign w:val="center"/>
          </w:tcPr>
          <w:p w14:paraId="2E993E82" w14:textId="77777777" w:rsidR="005A19F8" w:rsidRPr="00C2213B" w:rsidRDefault="005A19F8" w:rsidP="004E63E8">
            <w:pPr>
              <w:jc w:val="center"/>
              <w:rPr>
                <w:rFonts w:ascii="Times New Roman" w:hAnsi="Times New Roman" w:cs="Times New Roman"/>
              </w:rPr>
            </w:pPr>
            <w:r w:rsidRPr="00C2213B">
              <w:rPr>
                <w:rFonts w:ascii="Times New Roman" w:hAnsi="Times New Roman" w:cs="Times New Roman"/>
                <w:b/>
                <w:bCs/>
              </w:rPr>
              <w:t>Reported Range / Value</w:t>
            </w:r>
          </w:p>
        </w:tc>
        <w:tc>
          <w:tcPr>
            <w:tcW w:w="2000" w:type="dxa"/>
            <w:tcBorders>
              <w:top w:val="single" w:sz="4" w:space="0" w:color="2E75B6"/>
              <w:left w:val="single" w:sz="1" w:space="0" w:color="BFC9CA"/>
              <w:bottom w:val="single" w:sz="4" w:space="0" w:color="2E75B6"/>
              <w:right w:val="single" w:sz="1" w:space="0" w:color="BFC9CA"/>
            </w:tcBorders>
            <w:tcMar>
              <w:top w:w="100" w:type="dxa"/>
              <w:left w:w="120" w:type="dxa"/>
              <w:bottom w:w="100" w:type="dxa"/>
              <w:right w:w="120" w:type="dxa"/>
            </w:tcMar>
            <w:vAlign w:val="center"/>
          </w:tcPr>
          <w:p w14:paraId="47FFC27D" w14:textId="77777777" w:rsidR="005A19F8" w:rsidRPr="00C2213B" w:rsidRDefault="005A19F8" w:rsidP="004E63E8">
            <w:pPr>
              <w:jc w:val="center"/>
              <w:rPr>
                <w:rFonts w:ascii="Times New Roman" w:hAnsi="Times New Roman" w:cs="Times New Roman"/>
              </w:rPr>
            </w:pPr>
            <w:r w:rsidRPr="00C2213B">
              <w:rPr>
                <w:rFonts w:ascii="Times New Roman" w:hAnsi="Times New Roman" w:cs="Times New Roman"/>
                <w:b/>
                <w:bCs/>
              </w:rPr>
              <w:t>Key Source(s)</w:t>
            </w:r>
          </w:p>
        </w:tc>
        <w:tc>
          <w:tcPr>
            <w:tcW w:w="1760" w:type="dxa"/>
            <w:tcBorders>
              <w:top w:val="single" w:sz="4" w:space="0" w:color="2E75B6"/>
              <w:left w:val="single" w:sz="1" w:space="0" w:color="BFC9CA"/>
              <w:bottom w:val="single" w:sz="4" w:space="0" w:color="2E75B6"/>
              <w:right w:val="single" w:sz="1" w:space="0" w:color="BFC9CA"/>
            </w:tcBorders>
            <w:tcMar>
              <w:top w:w="100" w:type="dxa"/>
              <w:left w:w="120" w:type="dxa"/>
              <w:bottom w:w="100" w:type="dxa"/>
              <w:right w:w="120" w:type="dxa"/>
            </w:tcMar>
            <w:vAlign w:val="center"/>
          </w:tcPr>
          <w:p w14:paraId="39D51744" w14:textId="77777777" w:rsidR="005A19F8" w:rsidRPr="00C2213B" w:rsidRDefault="005A19F8" w:rsidP="004E63E8">
            <w:pPr>
              <w:jc w:val="center"/>
              <w:rPr>
                <w:rFonts w:ascii="Times New Roman" w:hAnsi="Times New Roman" w:cs="Times New Roman"/>
              </w:rPr>
            </w:pPr>
            <w:r w:rsidRPr="00C2213B">
              <w:rPr>
                <w:rFonts w:ascii="Times New Roman" w:hAnsi="Times New Roman" w:cs="Times New Roman"/>
                <w:b/>
                <w:bCs/>
              </w:rPr>
              <w:t>Production System</w:t>
            </w:r>
          </w:p>
        </w:tc>
      </w:tr>
      <w:tr w:rsidR="005A19F8" w:rsidRPr="00AE66FD" w14:paraId="5DE60D8B" w14:textId="77777777" w:rsidTr="004E63E8">
        <w:tc>
          <w:tcPr>
            <w:tcW w:w="9360" w:type="dxa"/>
            <w:gridSpan w:val="5"/>
            <w:tcBorders>
              <w:top w:val="single" w:sz="4" w:space="0" w:color="2E75B6"/>
              <w:left w:val="single" w:sz="1" w:space="0" w:color="BFC9CA"/>
              <w:bottom w:val="single" w:sz="4" w:space="0" w:color="2E75B6"/>
              <w:right w:val="single" w:sz="1" w:space="0" w:color="BFC9CA"/>
            </w:tcBorders>
            <w:tcMar>
              <w:top w:w="100" w:type="dxa"/>
              <w:left w:w="120" w:type="dxa"/>
              <w:bottom w:w="100" w:type="dxa"/>
              <w:right w:w="120" w:type="dxa"/>
            </w:tcMar>
          </w:tcPr>
          <w:p w14:paraId="428E086D" w14:textId="77777777" w:rsidR="005A19F8" w:rsidRPr="00C2213B" w:rsidRDefault="005A19F8" w:rsidP="004E63E8">
            <w:pPr>
              <w:jc w:val="center"/>
              <w:rPr>
                <w:rFonts w:ascii="Times New Roman" w:hAnsi="Times New Roman" w:cs="Times New Roman"/>
              </w:rPr>
            </w:pPr>
            <w:r w:rsidRPr="00C2213B">
              <w:rPr>
                <w:rFonts w:ascii="Times New Roman" w:hAnsi="Times New Roman" w:cs="Times New Roman"/>
                <w:b/>
                <w:bCs/>
                <w:iCs/>
                <w:sz w:val="24"/>
              </w:rPr>
              <w:t>Direct Economic Losses</w:t>
            </w:r>
          </w:p>
        </w:tc>
      </w:tr>
      <w:tr w:rsidR="005A19F8" w:rsidRPr="00AE66FD" w14:paraId="40D33DCC" w14:textId="77777777" w:rsidTr="004E63E8">
        <w:tc>
          <w:tcPr>
            <w:tcW w:w="1439"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5DA2866E"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Mortality</w:t>
            </w:r>
          </w:p>
        </w:tc>
        <w:tc>
          <w:tcPr>
            <w:tcW w:w="180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3F0C0A3F"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Case fatality rate</w:t>
            </w:r>
          </w:p>
        </w:tc>
        <w:tc>
          <w:tcPr>
            <w:tcW w:w="2361"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4BF1D606"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&lt;5% (general); up to 10% in susceptible exotic breeds</w:t>
            </w:r>
          </w:p>
        </w:tc>
        <w:tc>
          <w:tcPr>
            <w:tcW w:w="200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17AC746E"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Das et al. (2021); Saqib et al. (2023)</w:t>
            </w:r>
          </w:p>
        </w:tc>
        <w:tc>
          <w:tcPr>
            <w:tcW w:w="176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4DFB680B"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All systems</w:t>
            </w:r>
          </w:p>
        </w:tc>
      </w:tr>
      <w:tr w:rsidR="005A19F8" w:rsidRPr="00AE66FD" w14:paraId="569553E1" w14:textId="77777777" w:rsidTr="004E63E8">
        <w:tc>
          <w:tcPr>
            <w:tcW w:w="1439"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02F67FBF"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Milk production decline</w:t>
            </w:r>
          </w:p>
        </w:tc>
        <w:tc>
          <w:tcPr>
            <w:tcW w:w="180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458F848C"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 yield reduction</w:t>
            </w:r>
          </w:p>
        </w:tc>
        <w:tc>
          <w:tcPr>
            <w:tcW w:w="2361"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2DDCD79D"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20–65% during acute infection; recovery 2–8 weeks post-disease</w:t>
            </w:r>
          </w:p>
        </w:tc>
        <w:tc>
          <w:tcPr>
            <w:tcW w:w="200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0C4869F8"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Naidu et al. (2025); Rajendran et al. (2025)</w:t>
            </w:r>
          </w:p>
        </w:tc>
        <w:tc>
          <w:tcPr>
            <w:tcW w:w="176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511610F4"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Dairy farms</w:t>
            </w:r>
          </w:p>
        </w:tc>
      </w:tr>
      <w:tr w:rsidR="005A19F8" w:rsidRPr="00AE66FD" w14:paraId="4250E25C" w14:textId="77777777" w:rsidTr="004E63E8">
        <w:tc>
          <w:tcPr>
            <w:tcW w:w="1439"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39BFC684"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Hide/skin damage</w:t>
            </w:r>
          </w:p>
        </w:tc>
        <w:tc>
          <w:tcPr>
            <w:tcW w:w="180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0D2F7F63"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Hide downgrading</w:t>
            </w:r>
          </w:p>
        </w:tc>
        <w:tc>
          <w:tcPr>
            <w:tcW w:w="2361"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7236ACBD"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Permanent scarring; significant market value loss in leather industry</w:t>
            </w:r>
          </w:p>
        </w:tc>
        <w:tc>
          <w:tcPr>
            <w:tcW w:w="200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368DBC35"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Akther et al. (2023); Das et al. (2021)</w:t>
            </w:r>
          </w:p>
        </w:tc>
        <w:tc>
          <w:tcPr>
            <w:tcW w:w="176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767A064E"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Beef &amp; mixed</w:t>
            </w:r>
          </w:p>
        </w:tc>
      </w:tr>
      <w:tr w:rsidR="005A19F8" w:rsidRPr="00AE66FD" w14:paraId="0629B16B" w14:textId="77777777" w:rsidTr="004E63E8">
        <w:tc>
          <w:tcPr>
            <w:tcW w:w="1439"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3408BF5C"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Reproductive losses</w:t>
            </w:r>
          </w:p>
        </w:tc>
        <w:tc>
          <w:tcPr>
            <w:tcW w:w="180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4EA20164"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Fertility reduction</w:t>
            </w:r>
          </w:p>
        </w:tc>
        <w:tc>
          <w:tcPr>
            <w:tcW w:w="2361"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381C326B"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Temporary infertility in bulls; abortion; extended calving interval</w:t>
            </w:r>
          </w:p>
        </w:tc>
        <w:tc>
          <w:tcPr>
            <w:tcW w:w="200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2CC70B96"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Das et al. (2021); Tuppurainen &amp; Oura (2012)</w:t>
            </w:r>
          </w:p>
        </w:tc>
        <w:tc>
          <w:tcPr>
            <w:tcW w:w="176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6B1455BA"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Breeding herds</w:t>
            </w:r>
          </w:p>
        </w:tc>
      </w:tr>
      <w:tr w:rsidR="005A19F8" w:rsidRPr="00AE66FD" w14:paraId="229461BC" w14:textId="77777777" w:rsidTr="004E63E8">
        <w:tc>
          <w:tcPr>
            <w:tcW w:w="1439"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0887F844"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Veterinary &amp; treatment costs</w:t>
            </w:r>
          </w:p>
        </w:tc>
        <w:tc>
          <w:tcPr>
            <w:tcW w:w="180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634C0A7D"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Per animal treatment</w:t>
            </w:r>
          </w:p>
        </w:tc>
        <w:tc>
          <w:tcPr>
            <w:tcW w:w="2361"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773B49AE"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Variable; included in USD ~100/animal estimate (Pakistan)</w:t>
            </w:r>
          </w:p>
        </w:tc>
        <w:tc>
          <w:tcPr>
            <w:tcW w:w="200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3886841C"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Saqib et al. (2023); Chouhan et al. (2022)</w:t>
            </w:r>
          </w:p>
        </w:tc>
        <w:tc>
          <w:tcPr>
            <w:tcW w:w="176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1B86EF3B"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All systems</w:t>
            </w:r>
          </w:p>
        </w:tc>
      </w:tr>
      <w:tr w:rsidR="005A19F8" w:rsidRPr="00AE66FD" w14:paraId="13CCCBE1" w14:textId="77777777" w:rsidTr="004E63E8">
        <w:tc>
          <w:tcPr>
            <w:tcW w:w="1439"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31761EB9"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Body weight loss</w:t>
            </w:r>
          </w:p>
        </w:tc>
        <w:tc>
          <w:tcPr>
            <w:tcW w:w="180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1B85663E"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Weight reduction</w:t>
            </w:r>
          </w:p>
        </w:tc>
        <w:tc>
          <w:tcPr>
            <w:tcW w:w="2361"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67B0137D"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Prolonged; contributes to reduced slaughter value</w:t>
            </w:r>
          </w:p>
        </w:tc>
        <w:tc>
          <w:tcPr>
            <w:tcW w:w="200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68E8A0BD"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Molla et al. (2017); Gari et al. (2011)</w:t>
            </w:r>
          </w:p>
        </w:tc>
        <w:tc>
          <w:tcPr>
            <w:tcW w:w="176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3F6B55F1"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Beef &amp; mixed</w:t>
            </w:r>
          </w:p>
        </w:tc>
      </w:tr>
      <w:tr w:rsidR="005A19F8" w:rsidRPr="00AE66FD" w14:paraId="141933A7" w14:textId="77777777" w:rsidTr="004E63E8">
        <w:tc>
          <w:tcPr>
            <w:tcW w:w="9360" w:type="dxa"/>
            <w:gridSpan w:val="5"/>
            <w:tcBorders>
              <w:top w:val="single" w:sz="4" w:space="0" w:color="2E75B6"/>
              <w:left w:val="single" w:sz="1" w:space="0" w:color="BFC9CA"/>
              <w:bottom w:val="single" w:sz="4" w:space="0" w:color="2E75B6"/>
              <w:right w:val="single" w:sz="1" w:space="0" w:color="BFC9CA"/>
            </w:tcBorders>
            <w:tcMar>
              <w:top w:w="100" w:type="dxa"/>
              <w:left w:w="120" w:type="dxa"/>
              <w:bottom w:w="100" w:type="dxa"/>
              <w:right w:w="120" w:type="dxa"/>
            </w:tcMar>
          </w:tcPr>
          <w:p w14:paraId="32B63B99" w14:textId="77777777" w:rsidR="005A19F8" w:rsidRPr="00C2213B" w:rsidRDefault="005A19F8" w:rsidP="004E63E8">
            <w:pPr>
              <w:jc w:val="center"/>
              <w:rPr>
                <w:rFonts w:ascii="Times New Roman" w:hAnsi="Times New Roman" w:cs="Times New Roman"/>
              </w:rPr>
            </w:pPr>
            <w:r w:rsidRPr="00C2213B">
              <w:rPr>
                <w:rFonts w:ascii="Times New Roman" w:hAnsi="Times New Roman" w:cs="Times New Roman"/>
                <w:b/>
                <w:bCs/>
                <w:iCs/>
                <w:sz w:val="24"/>
              </w:rPr>
              <w:t>Indirect Economic Losses</w:t>
            </w:r>
          </w:p>
        </w:tc>
      </w:tr>
      <w:tr w:rsidR="005A19F8" w:rsidRPr="00AE66FD" w14:paraId="2C551F4B" w14:textId="77777777" w:rsidTr="004E63E8">
        <w:tc>
          <w:tcPr>
            <w:tcW w:w="1439"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25DF43B1"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Trade restrictions</w:t>
            </w:r>
          </w:p>
        </w:tc>
        <w:tc>
          <w:tcPr>
            <w:tcW w:w="180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0134B5B8"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Export bans; price suppression</w:t>
            </w:r>
          </w:p>
        </w:tc>
        <w:tc>
          <w:tcPr>
            <w:tcW w:w="2361"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5E2C1435"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Indonesia–Australia trade disruption; regional market collapse</w:t>
            </w:r>
          </w:p>
        </w:tc>
        <w:tc>
          <w:tcPr>
            <w:tcW w:w="200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5C101037"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Hutchinson et al. (2024); TAFS (2024)</w:t>
            </w:r>
          </w:p>
        </w:tc>
        <w:tc>
          <w:tcPr>
            <w:tcW w:w="176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6F4B06EA"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Commercial &amp; export-oriented</w:t>
            </w:r>
          </w:p>
        </w:tc>
      </w:tr>
      <w:tr w:rsidR="005A19F8" w:rsidRPr="00AE66FD" w14:paraId="1A6E95A1" w14:textId="77777777" w:rsidTr="004E63E8">
        <w:tc>
          <w:tcPr>
            <w:tcW w:w="1439"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589E4375"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lastRenderedPageBreak/>
              <w:t>Opportunity costs</w:t>
            </w:r>
          </w:p>
        </w:tc>
        <w:tc>
          <w:tcPr>
            <w:tcW w:w="180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4A8EB6B8"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 xml:space="preserve">Foregone income; </w:t>
            </w:r>
            <w:proofErr w:type="spellStart"/>
            <w:r w:rsidRPr="00C2213B">
              <w:rPr>
                <w:rFonts w:ascii="Times New Roman" w:hAnsi="Times New Roman" w:cs="Times New Roman"/>
              </w:rPr>
              <w:t>labour</w:t>
            </w:r>
            <w:proofErr w:type="spellEnd"/>
            <w:r w:rsidRPr="00C2213B">
              <w:rPr>
                <w:rFonts w:ascii="Times New Roman" w:hAnsi="Times New Roman" w:cs="Times New Roman"/>
              </w:rPr>
              <w:t xml:space="preserve"> diversion</w:t>
            </w:r>
          </w:p>
        </w:tc>
        <w:tc>
          <w:tcPr>
            <w:tcW w:w="2361"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60049B2A"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Underestimated in most studies; significant in smallholder systems</w:t>
            </w:r>
          </w:p>
        </w:tc>
        <w:tc>
          <w:tcPr>
            <w:tcW w:w="200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2BC190CC" w14:textId="77777777" w:rsidR="005A19F8" w:rsidRPr="00C2213B" w:rsidRDefault="005A19F8" w:rsidP="004E63E8">
            <w:pPr>
              <w:rPr>
                <w:rFonts w:ascii="Times New Roman" w:hAnsi="Times New Roman" w:cs="Times New Roman"/>
              </w:rPr>
            </w:pPr>
            <w:proofErr w:type="spellStart"/>
            <w:r w:rsidRPr="00C2213B">
              <w:rPr>
                <w:rFonts w:ascii="Times New Roman" w:hAnsi="Times New Roman" w:cs="Times New Roman"/>
              </w:rPr>
              <w:t>Modethed</w:t>
            </w:r>
            <w:proofErr w:type="spellEnd"/>
            <w:r w:rsidRPr="00C2213B">
              <w:rPr>
                <w:rFonts w:ascii="Times New Roman" w:hAnsi="Times New Roman" w:cs="Times New Roman"/>
              </w:rPr>
              <w:t xml:space="preserve"> et al. (2025); Saqib et al. (2023)</w:t>
            </w:r>
          </w:p>
        </w:tc>
        <w:tc>
          <w:tcPr>
            <w:tcW w:w="176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3BDCA339"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Smallholder</w:t>
            </w:r>
          </w:p>
        </w:tc>
      </w:tr>
      <w:tr w:rsidR="005A19F8" w:rsidRPr="00AE66FD" w14:paraId="050FBAE1" w14:textId="77777777" w:rsidTr="004E63E8">
        <w:tc>
          <w:tcPr>
            <w:tcW w:w="1439"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1F6F05C0"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Market disruption</w:t>
            </w:r>
          </w:p>
        </w:tc>
        <w:tc>
          <w:tcPr>
            <w:tcW w:w="180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013C5C70"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Delayed marketing; price reduction</w:t>
            </w:r>
          </w:p>
        </w:tc>
        <w:tc>
          <w:tcPr>
            <w:tcW w:w="2361"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03B2E552"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USD 119.42–412.57/farmer in Thailand (market + production losses)</w:t>
            </w:r>
          </w:p>
        </w:tc>
        <w:tc>
          <w:tcPr>
            <w:tcW w:w="200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011429D9"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WOAH (2024); Wilhelm &amp; Ward (2023)</w:t>
            </w:r>
          </w:p>
        </w:tc>
        <w:tc>
          <w:tcPr>
            <w:tcW w:w="176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7D962B80"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All systems</w:t>
            </w:r>
          </w:p>
        </w:tc>
      </w:tr>
      <w:tr w:rsidR="005A19F8" w:rsidRPr="00AE66FD" w14:paraId="06A662B1" w14:textId="77777777" w:rsidTr="004E63E8">
        <w:tc>
          <w:tcPr>
            <w:tcW w:w="1439"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4780EA2F"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Non-market values</w:t>
            </w:r>
          </w:p>
        </w:tc>
        <w:tc>
          <w:tcPr>
            <w:tcW w:w="180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37A4D980"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Draft power; social status; risk mitigation</w:t>
            </w:r>
          </w:p>
        </w:tc>
        <w:tc>
          <w:tcPr>
            <w:tcW w:w="2361"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4A38E7D4"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Rarely captured; underestimates burden in subsistence systems</w:t>
            </w:r>
          </w:p>
        </w:tc>
        <w:tc>
          <w:tcPr>
            <w:tcW w:w="200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0422922D"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Molla et al. (2017); Saqib et al. (2023)</w:t>
            </w:r>
          </w:p>
        </w:tc>
        <w:tc>
          <w:tcPr>
            <w:tcW w:w="1760"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3D4E79E0" w14:textId="77777777" w:rsidR="005A19F8" w:rsidRPr="00C2213B" w:rsidRDefault="005A19F8" w:rsidP="004E63E8">
            <w:pPr>
              <w:rPr>
                <w:rFonts w:ascii="Times New Roman" w:hAnsi="Times New Roman" w:cs="Times New Roman"/>
              </w:rPr>
            </w:pPr>
            <w:r w:rsidRPr="00C2213B">
              <w:rPr>
                <w:rFonts w:ascii="Times New Roman" w:hAnsi="Times New Roman" w:cs="Times New Roman"/>
              </w:rPr>
              <w:t>Smallholder / subsistence</w:t>
            </w:r>
          </w:p>
        </w:tc>
      </w:tr>
    </w:tbl>
    <w:p w14:paraId="3824CB63" w14:textId="77777777" w:rsidR="005A19F8" w:rsidRDefault="005A19F8" w:rsidP="005A19F8">
      <w:pPr>
        <w:spacing w:before="40" w:after="200"/>
        <w:rPr>
          <w:rFonts w:ascii="Times New Roman" w:hAnsi="Times New Roman" w:cs="Times New Roman"/>
          <w:b/>
          <w:bCs/>
          <w:i/>
          <w:iCs/>
          <w:sz w:val="24"/>
          <w:szCs w:val="24"/>
        </w:rPr>
      </w:pPr>
    </w:p>
    <w:p w14:paraId="769B5972" w14:textId="77777777" w:rsidR="005A19F8" w:rsidRPr="00453874" w:rsidRDefault="005A19F8" w:rsidP="005A19F8">
      <w:pPr>
        <w:spacing w:before="40" w:after="200"/>
        <w:rPr>
          <w:rFonts w:ascii="Times New Roman" w:hAnsi="Times New Roman" w:cs="Times New Roman"/>
          <w:szCs w:val="24"/>
        </w:rPr>
      </w:pPr>
      <w:r>
        <w:rPr>
          <w:rFonts w:ascii="Times New Roman" w:hAnsi="Times New Roman" w:cs="Times New Roman"/>
          <w:b/>
          <w:bCs/>
          <w:iCs/>
          <w:szCs w:val="24"/>
        </w:rPr>
        <w:t>Note:</w:t>
      </w:r>
      <w:r w:rsidRPr="00453874">
        <w:rPr>
          <w:rFonts w:ascii="Times New Roman" w:hAnsi="Times New Roman" w:cs="Times New Roman"/>
          <w:b/>
          <w:bCs/>
          <w:iCs/>
          <w:szCs w:val="24"/>
        </w:rPr>
        <w:t xml:space="preserve"> </w:t>
      </w:r>
      <w:r w:rsidRPr="00453874">
        <w:rPr>
          <w:rFonts w:ascii="Times New Roman" w:hAnsi="Times New Roman" w:cs="Times New Roman"/>
          <w:iCs/>
          <w:szCs w:val="24"/>
        </w:rPr>
        <w:t>All values derived from studies cited within this review. Non-market values (draft power, social function) are systematically underestimated in conventional economic assessments. Recovery period for milk production losses reported as 2–8 weeks post-recovery by Naidu et al. (2025) and Rajendran et al. (2025).</w:t>
      </w:r>
    </w:p>
    <w:p w14:paraId="40C36B5E" w14:textId="77777777" w:rsidR="005A19F8" w:rsidRPr="00AE66FD" w:rsidRDefault="005A19F8" w:rsidP="005A19F8">
      <w:pPr>
        <w:pStyle w:val="Heading2"/>
        <w:spacing w:before="240" w:after="120"/>
        <w:rPr>
          <w:rFonts w:ascii="Times New Roman" w:hAnsi="Times New Roman" w:cs="Times New Roman"/>
          <w:sz w:val="24"/>
          <w:szCs w:val="24"/>
        </w:rPr>
      </w:pPr>
    </w:p>
    <w:p w14:paraId="23FABFDB" w14:textId="77777777" w:rsidR="005A19F8" w:rsidRDefault="005A19F8" w:rsidP="005A19F8">
      <w:pPr>
        <w:spacing w:before="60" w:after="100"/>
        <w:rPr>
          <w:rFonts w:ascii="Times New Roman" w:hAnsi="Times New Roman" w:cs="Times New Roman"/>
          <w:b/>
          <w:bCs/>
          <w:sz w:val="24"/>
          <w:szCs w:val="24"/>
        </w:rPr>
      </w:pPr>
      <w:r w:rsidRPr="00AE66FD">
        <w:rPr>
          <w:rFonts w:ascii="Times New Roman" w:hAnsi="Times New Roman" w:cs="Times New Roman"/>
          <w:b/>
          <w:bCs/>
          <w:sz w:val="24"/>
          <w:szCs w:val="24"/>
        </w:rPr>
        <w:t>Table 3. Identified Research Gaps, Limitations, and Recommended Future Actions</w:t>
      </w:r>
    </w:p>
    <w:p w14:paraId="659EEBB4" w14:textId="77777777" w:rsidR="005A19F8" w:rsidRPr="00AE66FD" w:rsidRDefault="005A19F8" w:rsidP="005A19F8">
      <w:pPr>
        <w:spacing w:before="60" w:after="100"/>
        <w:rPr>
          <w:rFonts w:ascii="Times New Roman" w:hAnsi="Times New Roman" w:cs="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94"/>
        <w:gridCol w:w="2237"/>
        <w:gridCol w:w="3059"/>
        <w:gridCol w:w="2468"/>
      </w:tblGrid>
      <w:tr w:rsidR="005A19F8" w:rsidRPr="00AE66FD" w14:paraId="7E902FC0" w14:textId="77777777" w:rsidTr="004E63E8">
        <w:trPr>
          <w:trHeight w:val="461"/>
          <w:tblHeader/>
        </w:trPr>
        <w:tc>
          <w:tcPr>
            <w:tcW w:w="1736" w:type="dxa"/>
            <w:tcBorders>
              <w:top w:val="single" w:sz="4" w:space="0" w:color="2E75B6"/>
              <w:left w:val="single" w:sz="1" w:space="0" w:color="BFC9CA"/>
              <w:bottom w:val="single" w:sz="4" w:space="0" w:color="2E75B6"/>
              <w:right w:val="single" w:sz="1" w:space="0" w:color="BFC9CA"/>
            </w:tcBorders>
            <w:tcMar>
              <w:top w:w="100" w:type="dxa"/>
              <w:left w:w="120" w:type="dxa"/>
              <w:bottom w:w="100" w:type="dxa"/>
              <w:right w:w="120" w:type="dxa"/>
            </w:tcMar>
            <w:vAlign w:val="center"/>
          </w:tcPr>
          <w:p w14:paraId="1CC54C9B" w14:textId="77777777" w:rsidR="005A19F8" w:rsidRPr="00C2213B" w:rsidRDefault="005A19F8" w:rsidP="004E63E8">
            <w:pPr>
              <w:jc w:val="center"/>
              <w:rPr>
                <w:rFonts w:ascii="Times New Roman" w:hAnsi="Times New Roman" w:cs="Times New Roman"/>
                <w:szCs w:val="24"/>
              </w:rPr>
            </w:pPr>
            <w:r w:rsidRPr="00C2213B">
              <w:rPr>
                <w:rFonts w:ascii="Times New Roman" w:hAnsi="Times New Roman" w:cs="Times New Roman"/>
                <w:b/>
                <w:bCs/>
                <w:szCs w:val="24"/>
              </w:rPr>
              <w:t>Research Gap Area</w:t>
            </w:r>
          </w:p>
        </w:tc>
        <w:tc>
          <w:tcPr>
            <w:tcW w:w="2247" w:type="dxa"/>
            <w:tcBorders>
              <w:top w:val="single" w:sz="4" w:space="0" w:color="2E75B6"/>
              <w:left w:val="single" w:sz="1" w:space="0" w:color="BFC9CA"/>
              <w:bottom w:val="single" w:sz="4" w:space="0" w:color="2E75B6"/>
              <w:right w:val="single" w:sz="1" w:space="0" w:color="BFC9CA"/>
            </w:tcBorders>
            <w:tcMar>
              <w:top w:w="100" w:type="dxa"/>
              <w:left w:w="120" w:type="dxa"/>
              <w:bottom w:w="100" w:type="dxa"/>
              <w:right w:w="120" w:type="dxa"/>
            </w:tcMar>
            <w:vAlign w:val="center"/>
          </w:tcPr>
          <w:p w14:paraId="5818A595" w14:textId="77777777" w:rsidR="005A19F8" w:rsidRPr="00C2213B" w:rsidRDefault="005A19F8" w:rsidP="004E63E8">
            <w:pPr>
              <w:jc w:val="center"/>
              <w:rPr>
                <w:rFonts w:ascii="Times New Roman" w:hAnsi="Times New Roman" w:cs="Times New Roman"/>
                <w:szCs w:val="24"/>
              </w:rPr>
            </w:pPr>
            <w:r w:rsidRPr="00C2213B">
              <w:rPr>
                <w:rFonts w:ascii="Times New Roman" w:hAnsi="Times New Roman" w:cs="Times New Roman"/>
                <w:b/>
                <w:bCs/>
                <w:szCs w:val="24"/>
              </w:rPr>
              <w:t>Limitation Identified</w:t>
            </w:r>
          </w:p>
        </w:tc>
        <w:tc>
          <w:tcPr>
            <w:tcW w:w="3093" w:type="dxa"/>
            <w:tcBorders>
              <w:top w:val="single" w:sz="4" w:space="0" w:color="2E75B6"/>
              <w:left w:val="single" w:sz="1" w:space="0" w:color="BFC9CA"/>
              <w:bottom w:val="single" w:sz="4" w:space="0" w:color="2E75B6"/>
              <w:right w:val="single" w:sz="1" w:space="0" w:color="BFC9CA"/>
            </w:tcBorders>
            <w:tcMar>
              <w:top w:w="100" w:type="dxa"/>
              <w:left w:w="120" w:type="dxa"/>
              <w:bottom w:w="100" w:type="dxa"/>
              <w:right w:w="120" w:type="dxa"/>
            </w:tcMar>
            <w:vAlign w:val="center"/>
          </w:tcPr>
          <w:p w14:paraId="449525B6" w14:textId="77777777" w:rsidR="005A19F8" w:rsidRPr="00C2213B" w:rsidRDefault="005A19F8" w:rsidP="004E63E8">
            <w:pPr>
              <w:jc w:val="center"/>
              <w:rPr>
                <w:rFonts w:ascii="Times New Roman" w:hAnsi="Times New Roman" w:cs="Times New Roman"/>
                <w:szCs w:val="24"/>
              </w:rPr>
            </w:pPr>
            <w:r w:rsidRPr="00C2213B">
              <w:rPr>
                <w:rFonts w:ascii="Times New Roman" w:hAnsi="Times New Roman" w:cs="Times New Roman"/>
                <w:b/>
                <w:bCs/>
                <w:szCs w:val="24"/>
              </w:rPr>
              <w:t>Recommended Action</w:t>
            </w:r>
          </w:p>
        </w:tc>
        <w:tc>
          <w:tcPr>
            <w:tcW w:w="2482" w:type="dxa"/>
            <w:tcBorders>
              <w:top w:val="single" w:sz="4" w:space="0" w:color="2E75B6"/>
              <w:left w:val="single" w:sz="1" w:space="0" w:color="BFC9CA"/>
              <w:bottom w:val="single" w:sz="4" w:space="0" w:color="2E75B6"/>
              <w:right w:val="single" w:sz="1" w:space="0" w:color="BFC9CA"/>
            </w:tcBorders>
            <w:tcMar>
              <w:top w:w="100" w:type="dxa"/>
              <w:left w:w="120" w:type="dxa"/>
              <w:bottom w:w="100" w:type="dxa"/>
              <w:right w:w="120" w:type="dxa"/>
            </w:tcMar>
            <w:vAlign w:val="center"/>
          </w:tcPr>
          <w:p w14:paraId="28D49621" w14:textId="77777777" w:rsidR="005A19F8" w:rsidRPr="00C2213B" w:rsidRDefault="005A19F8" w:rsidP="004E63E8">
            <w:pPr>
              <w:jc w:val="center"/>
              <w:rPr>
                <w:rFonts w:ascii="Times New Roman" w:hAnsi="Times New Roman" w:cs="Times New Roman"/>
                <w:szCs w:val="24"/>
              </w:rPr>
            </w:pPr>
            <w:r w:rsidRPr="00C2213B">
              <w:rPr>
                <w:rFonts w:ascii="Times New Roman" w:hAnsi="Times New Roman" w:cs="Times New Roman"/>
                <w:b/>
                <w:bCs/>
                <w:szCs w:val="24"/>
              </w:rPr>
              <w:t>Key References Noting Gap</w:t>
            </w:r>
          </w:p>
        </w:tc>
      </w:tr>
      <w:tr w:rsidR="005A19F8" w:rsidRPr="00AE66FD" w14:paraId="0B1C1521" w14:textId="77777777" w:rsidTr="004E63E8">
        <w:trPr>
          <w:trHeight w:val="1384"/>
        </w:trPr>
        <w:tc>
          <w:tcPr>
            <w:tcW w:w="1736"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7C84C8B1" w14:textId="77777777" w:rsidR="005A19F8" w:rsidRPr="00C2213B" w:rsidRDefault="005A19F8" w:rsidP="004E63E8">
            <w:pPr>
              <w:rPr>
                <w:rFonts w:ascii="Times New Roman" w:hAnsi="Times New Roman" w:cs="Times New Roman"/>
                <w:szCs w:val="24"/>
              </w:rPr>
            </w:pPr>
            <w:r w:rsidRPr="00C2213B">
              <w:rPr>
                <w:rFonts w:ascii="Times New Roman" w:hAnsi="Times New Roman" w:cs="Times New Roman"/>
                <w:b/>
                <w:bCs/>
                <w:szCs w:val="24"/>
              </w:rPr>
              <w:t xml:space="preserve">Methodological </w:t>
            </w:r>
            <w:proofErr w:type="spellStart"/>
            <w:r w:rsidRPr="00C2213B">
              <w:rPr>
                <w:rFonts w:ascii="Times New Roman" w:hAnsi="Times New Roman" w:cs="Times New Roman"/>
                <w:b/>
                <w:bCs/>
                <w:szCs w:val="24"/>
              </w:rPr>
              <w:t>standardisation</w:t>
            </w:r>
            <w:proofErr w:type="spellEnd"/>
          </w:p>
        </w:tc>
        <w:tc>
          <w:tcPr>
            <w:tcW w:w="2247"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0D141688" w14:textId="77777777" w:rsidR="005A19F8" w:rsidRPr="00C2213B" w:rsidRDefault="005A19F8" w:rsidP="004E63E8">
            <w:pPr>
              <w:rPr>
                <w:rFonts w:ascii="Times New Roman" w:hAnsi="Times New Roman" w:cs="Times New Roman"/>
                <w:szCs w:val="24"/>
              </w:rPr>
            </w:pPr>
            <w:r w:rsidRPr="00C2213B">
              <w:rPr>
                <w:rFonts w:ascii="Times New Roman" w:hAnsi="Times New Roman" w:cs="Times New Roman"/>
                <w:szCs w:val="24"/>
              </w:rPr>
              <w:t>No internationally accepted protocols for LSD economic assessment; incomparable results across regions</w:t>
            </w:r>
          </w:p>
        </w:tc>
        <w:tc>
          <w:tcPr>
            <w:tcW w:w="3093"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56B105FE" w14:textId="77777777" w:rsidR="005A19F8" w:rsidRPr="00C2213B" w:rsidRDefault="005A19F8" w:rsidP="004E63E8">
            <w:pPr>
              <w:rPr>
                <w:rFonts w:ascii="Times New Roman" w:hAnsi="Times New Roman" w:cs="Times New Roman"/>
                <w:szCs w:val="24"/>
              </w:rPr>
            </w:pPr>
            <w:r w:rsidRPr="00C2213B">
              <w:rPr>
                <w:rFonts w:ascii="Times New Roman" w:hAnsi="Times New Roman" w:cs="Times New Roman"/>
                <w:szCs w:val="24"/>
              </w:rPr>
              <w:t xml:space="preserve">Develop </w:t>
            </w:r>
            <w:proofErr w:type="spellStart"/>
            <w:r w:rsidRPr="00C2213B">
              <w:rPr>
                <w:rFonts w:ascii="Times New Roman" w:hAnsi="Times New Roman" w:cs="Times New Roman"/>
                <w:szCs w:val="24"/>
              </w:rPr>
              <w:t>standardised</w:t>
            </w:r>
            <w:proofErr w:type="spellEnd"/>
            <w:r w:rsidRPr="00C2213B">
              <w:rPr>
                <w:rFonts w:ascii="Times New Roman" w:hAnsi="Times New Roman" w:cs="Times New Roman"/>
                <w:szCs w:val="24"/>
              </w:rPr>
              <w:t xml:space="preserve"> cost-category definitions, time horizons, and CBA templates aligned with OIE/FAO frameworks</w:t>
            </w:r>
          </w:p>
        </w:tc>
        <w:tc>
          <w:tcPr>
            <w:tcW w:w="2482"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603FD004" w14:textId="77777777" w:rsidR="005A19F8" w:rsidRPr="00C2213B" w:rsidRDefault="005A19F8" w:rsidP="004E63E8">
            <w:pPr>
              <w:rPr>
                <w:rFonts w:ascii="Times New Roman" w:hAnsi="Times New Roman" w:cs="Times New Roman"/>
                <w:szCs w:val="24"/>
              </w:rPr>
            </w:pPr>
            <w:r w:rsidRPr="00C2213B">
              <w:rPr>
                <w:rFonts w:ascii="Times New Roman" w:hAnsi="Times New Roman" w:cs="Times New Roman"/>
                <w:szCs w:val="24"/>
              </w:rPr>
              <w:t>Akther et al. (2023); Molla et al. (2017)</w:t>
            </w:r>
          </w:p>
        </w:tc>
      </w:tr>
      <w:tr w:rsidR="005A19F8" w:rsidRPr="00AE66FD" w14:paraId="4FC2492C" w14:textId="77777777" w:rsidTr="004E63E8">
        <w:trPr>
          <w:trHeight w:val="1153"/>
        </w:trPr>
        <w:tc>
          <w:tcPr>
            <w:tcW w:w="1736"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4F634723" w14:textId="77777777" w:rsidR="005A19F8" w:rsidRPr="00C2213B" w:rsidRDefault="005A19F8" w:rsidP="004E63E8">
            <w:pPr>
              <w:rPr>
                <w:rFonts w:ascii="Times New Roman" w:hAnsi="Times New Roman" w:cs="Times New Roman"/>
                <w:szCs w:val="24"/>
              </w:rPr>
            </w:pPr>
            <w:r w:rsidRPr="00C2213B">
              <w:rPr>
                <w:rFonts w:ascii="Times New Roman" w:hAnsi="Times New Roman" w:cs="Times New Roman"/>
                <w:b/>
                <w:bCs/>
                <w:szCs w:val="24"/>
              </w:rPr>
              <w:t>Smallholder system assessment</w:t>
            </w:r>
          </w:p>
        </w:tc>
        <w:tc>
          <w:tcPr>
            <w:tcW w:w="2247"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2EACF3BD" w14:textId="77777777" w:rsidR="005A19F8" w:rsidRPr="00C2213B" w:rsidRDefault="005A19F8" w:rsidP="004E63E8">
            <w:pPr>
              <w:rPr>
                <w:rFonts w:ascii="Times New Roman" w:hAnsi="Times New Roman" w:cs="Times New Roman"/>
                <w:szCs w:val="24"/>
              </w:rPr>
            </w:pPr>
            <w:r w:rsidRPr="00C2213B">
              <w:rPr>
                <w:rFonts w:ascii="Times New Roman" w:hAnsi="Times New Roman" w:cs="Times New Roman"/>
                <w:szCs w:val="24"/>
              </w:rPr>
              <w:t>Studies focus on commercial/semi-intensive systems; subsistence farms underrepresented</w:t>
            </w:r>
          </w:p>
        </w:tc>
        <w:tc>
          <w:tcPr>
            <w:tcW w:w="3093"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3C0F7453" w14:textId="77777777" w:rsidR="005A19F8" w:rsidRPr="00C2213B" w:rsidRDefault="005A19F8" w:rsidP="004E63E8">
            <w:pPr>
              <w:rPr>
                <w:rFonts w:ascii="Times New Roman" w:hAnsi="Times New Roman" w:cs="Times New Roman"/>
                <w:szCs w:val="24"/>
              </w:rPr>
            </w:pPr>
            <w:r w:rsidRPr="00C2213B">
              <w:rPr>
                <w:rFonts w:ascii="Times New Roman" w:hAnsi="Times New Roman" w:cs="Times New Roman"/>
                <w:szCs w:val="24"/>
              </w:rPr>
              <w:t>Develop mixed-methods approaches capturing non-market cattle values (draft power, social capital, risk function)</w:t>
            </w:r>
          </w:p>
        </w:tc>
        <w:tc>
          <w:tcPr>
            <w:tcW w:w="2482"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37EE65C0" w14:textId="77777777" w:rsidR="005A19F8" w:rsidRPr="00C2213B" w:rsidRDefault="005A19F8" w:rsidP="004E63E8">
            <w:pPr>
              <w:rPr>
                <w:rFonts w:ascii="Times New Roman" w:hAnsi="Times New Roman" w:cs="Times New Roman"/>
                <w:szCs w:val="24"/>
              </w:rPr>
            </w:pPr>
            <w:r w:rsidRPr="00C2213B">
              <w:rPr>
                <w:rFonts w:ascii="Times New Roman" w:hAnsi="Times New Roman" w:cs="Times New Roman"/>
                <w:szCs w:val="24"/>
              </w:rPr>
              <w:t>Saqib et al. (2023); Molla et al. (2017); Gari et al. (2011)</w:t>
            </w:r>
          </w:p>
        </w:tc>
      </w:tr>
      <w:tr w:rsidR="005A19F8" w:rsidRPr="00AE66FD" w14:paraId="621268FD" w14:textId="77777777" w:rsidTr="004E63E8">
        <w:trPr>
          <w:trHeight w:val="702"/>
        </w:trPr>
        <w:tc>
          <w:tcPr>
            <w:tcW w:w="1736"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6B7DEF54" w14:textId="77777777" w:rsidR="005A19F8" w:rsidRPr="00C2213B" w:rsidRDefault="005A19F8" w:rsidP="004E63E8">
            <w:pPr>
              <w:rPr>
                <w:rFonts w:ascii="Times New Roman" w:hAnsi="Times New Roman" w:cs="Times New Roman"/>
                <w:szCs w:val="24"/>
              </w:rPr>
            </w:pPr>
            <w:r w:rsidRPr="00C2213B">
              <w:rPr>
                <w:rFonts w:ascii="Times New Roman" w:hAnsi="Times New Roman" w:cs="Times New Roman"/>
                <w:b/>
                <w:bCs/>
                <w:szCs w:val="24"/>
              </w:rPr>
              <w:lastRenderedPageBreak/>
              <w:t>Long-term / longitudinal studies</w:t>
            </w:r>
          </w:p>
        </w:tc>
        <w:tc>
          <w:tcPr>
            <w:tcW w:w="2247"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59535B41" w14:textId="77777777" w:rsidR="005A19F8" w:rsidRPr="00C2213B" w:rsidRDefault="005A19F8" w:rsidP="004E63E8">
            <w:pPr>
              <w:rPr>
                <w:rFonts w:ascii="Times New Roman" w:hAnsi="Times New Roman" w:cs="Times New Roman"/>
                <w:szCs w:val="24"/>
              </w:rPr>
            </w:pPr>
            <w:r w:rsidRPr="00C2213B">
              <w:rPr>
                <w:rFonts w:ascii="Times New Roman" w:hAnsi="Times New Roman" w:cs="Times New Roman"/>
                <w:szCs w:val="24"/>
              </w:rPr>
              <w:t>Most studies assess acute outbreak periods only; chronic and cumulative impacts ignored</w:t>
            </w:r>
          </w:p>
        </w:tc>
        <w:tc>
          <w:tcPr>
            <w:tcW w:w="3093"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6DE0C29F" w14:textId="77777777" w:rsidR="005A19F8" w:rsidRPr="00C2213B" w:rsidRDefault="005A19F8" w:rsidP="004E63E8">
            <w:pPr>
              <w:rPr>
                <w:rFonts w:ascii="Times New Roman" w:hAnsi="Times New Roman" w:cs="Times New Roman"/>
                <w:szCs w:val="24"/>
              </w:rPr>
            </w:pPr>
            <w:r w:rsidRPr="00C2213B">
              <w:rPr>
                <w:rFonts w:ascii="Times New Roman" w:hAnsi="Times New Roman" w:cs="Times New Roman"/>
                <w:szCs w:val="24"/>
              </w:rPr>
              <w:t>Design cohort studies tracking herds for ≥3 years post-outbreak; include reproductive and structural market impacts</w:t>
            </w:r>
          </w:p>
        </w:tc>
        <w:tc>
          <w:tcPr>
            <w:tcW w:w="2482"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6297512F" w14:textId="77777777" w:rsidR="005A19F8" w:rsidRPr="00C2213B" w:rsidRDefault="005A19F8" w:rsidP="004E63E8">
            <w:pPr>
              <w:rPr>
                <w:rFonts w:ascii="Times New Roman" w:hAnsi="Times New Roman" w:cs="Times New Roman"/>
                <w:szCs w:val="24"/>
              </w:rPr>
            </w:pPr>
            <w:proofErr w:type="spellStart"/>
            <w:r w:rsidRPr="00C2213B">
              <w:rPr>
                <w:rFonts w:ascii="Times New Roman" w:hAnsi="Times New Roman" w:cs="Times New Roman"/>
                <w:szCs w:val="24"/>
              </w:rPr>
              <w:t>Modethed</w:t>
            </w:r>
            <w:proofErr w:type="spellEnd"/>
            <w:r w:rsidRPr="00C2213B">
              <w:rPr>
                <w:rFonts w:ascii="Times New Roman" w:hAnsi="Times New Roman" w:cs="Times New Roman"/>
                <w:szCs w:val="24"/>
              </w:rPr>
              <w:t xml:space="preserve"> et al. (2025); Rajendran et al. (2025)</w:t>
            </w:r>
          </w:p>
        </w:tc>
      </w:tr>
      <w:tr w:rsidR="005A19F8" w:rsidRPr="00AE66FD" w14:paraId="3CD48BB6" w14:textId="77777777" w:rsidTr="004E63E8">
        <w:trPr>
          <w:trHeight w:val="1153"/>
        </w:trPr>
        <w:tc>
          <w:tcPr>
            <w:tcW w:w="1736"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7752A7D8" w14:textId="77777777" w:rsidR="005A19F8" w:rsidRPr="00C2213B" w:rsidRDefault="005A19F8" w:rsidP="004E63E8">
            <w:pPr>
              <w:rPr>
                <w:rFonts w:ascii="Times New Roman" w:hAnsi="Times New Roman" w:cs="Times New Roman"/>
                <w:szCs w:val="24"/>
              </w:rPr>
            </w:pPr>
            <w:r w:rsidRPr="00C2213B">
              <w:rPr>
                <w:rFonts w:ascii="Times New Roman" w:hAnsi="Times New Roman" w:cs="Times New Roman"/>
                <w:b/>
                <w:bCs/>
                <w:szCs w:val="24"/>
              </w:rPr>
              <w:t>Regional economic variation</w:t>
            </w:r>
          </w:p>
        </w:tc>
        <w:tc>
          <w:tcPr>
            <w:tcW w:w="2247"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38FE05ED" w14:textId="77777777" w:rsidR="005A19F8" w:rsidRPr="00C2213B" w:rsidRDefault="005A19F8" w:rsidP="004E63E8">
            <w:pPr>
              <w:rPr>
                <w:rFonts w:ascii="Times New Roman" w:hAnsi="Times New Roman" w:cs="Times New Roman"/>
                <w:szCs w:val="24"/>
              </w:rPr>
            </w:pPr>
            <w:r w:rsidRPr="00C2213B">
              <w:rPr>
                <w:rFonts w:ascii="Times New Roman" w:hAnsi="Times New Roman" w:cs="Times New Roman"/>
                <w:szCs w:val="24"/>
              </w:rPr>
              <w:t>Intra-country economic heterogeneity not captured; especially in large countries (India, China)</w:t>
            </w:r>
          </w:p>
        </w:tc>
        <w:tc>
          <w:tcPr>
            <w:tcW w:w="3093"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043623B4" w14:textId="77777777" w:rsidR="005A19F8" w:rsidRPr="00C2213B" w:rsidRDefault="005A19F8" w:rsidP="004E63E8">
            <w:pPr>
              <w:rPr>
                <w:rFonts w:ascii="Times New Roman" w:hAnsi="Times New Roman" w:cs="Times New Roman"/>
                <w:szCs w:val="24"/>
              </w:rPr>
            </w:pPr>
            <w:r w:rsidRPr="00C2213B">
              <w:rPr>
                <w:rFonts w:ascii="Times New Roman" w:hAnsi="Times New Roman" w:cs="Times New Roman"/>
                <w:szCs w:val="24"/>
              </w:rPr>
              <w:t>Conduct sub-national economic assessments using geo-referenced production system data</w:t>
            </w:r>
          </w:p>
        </w:tc>
        <w:tc>
          <w:tcPr>
            <w:tcW w:w="2482"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2C045242" w14:textId="77777777" w:rsidR="005A19F8" w:rsidRPr="00C2213B" w:rsidRDefault="005A19F8" w:rsidP="004E63E8">
            <w:pPr>
              <w:rPr>
                <w:rFonts w:ascii="Times New Roman" w:hAnsi="Times New Roman" w:cs="Times New Roman"/>
                <w:szCs w:val="24"/>
              </w:rPr>
            </w:pPr>
            <w:r w:rsidRPr="00C2213B">
              <w:rPr>
                <w:rFonts w:ascii="Times New Roman" w:hAnsi="Times New Roman" w:cs="Times New Roman"/>
                <w:szCs w:val="24"/>
              </w:rPr>
              <w:t>Naidu et al. (2025); Roche et al. (2021)</w:t>
            </w:r>
          </w:p>
        </w:tc>
      </w:tr>
      <w:tr w:rsidR="005A19F8" w:rsidRPr="00AE66FD" w14:paraId="57AEC4B4" w14:textId="77777777" w:rsidTr="004E63E8">
        <w:trPr>
          <w:trHeight w:val="1394"/>
        </w:trPr>
        <w:tc>
          <w:tcPr>
            <w:tcW w:w="1736"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4100A7DF" w14:textId="77777777" w:rsidR="005A19F8" w:rsidRPr="00C2213B" w:rsidRDefault="005A19F8" w:rsidP="004E63E8">
            <w:pPr>
              <w:rPr>
                <w:rFonts w:ascii="Times New Roman" w:hAnsi="Times New Roman" w:cs="Times New Roman"/>
                <w:szCs w:val="24"/>
              </w:rPr>
            </w:pPr>
            <w:r w:rsidRPr="00C2213B">
              <w:rPr>
                <w:rFonts w:ascii="Times New Roman" w:hAnsi="Times New Roman" w:cs="Times New Roman"/>
                <w:b/>
                <w:bCs/>
                <w:szCs w:val="24"/>
              </w:rPr>
              <w:t>DIVA vaccine economics</w:t>
            </w:r>
          </w:p>
        </w:tc>
        <w:tc>
          <w:tcPr>
            <w:tcW w:w="2247"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5134FF49" w14:textId="77777777" w:rsidR="005A19F8" w:rsidRPr="00C2213B" w:rsidRDefault="005A19F8" w:rsidP="004E63E8">
            <w:pPr>
              <w:rPr>
                <w:rFonts w:ascii="Times New Roman" w:hAnsi="Times New Roman" w:cs="Times New Roman"/>
                <w:szCs w:val="24"/>
              </w:rPr>
            </w:pPr>
            <w:r w:rsidRPr="00C2213B">
              <w:rPr>
                <w:rFonts w:ascii="Times New Roman" w:hAnsi="Times New Roman" w:cs="Times New Roman"/>
                <w:szCs w:val="24"/>
              </w:rPr>
              <w:t>No commercially available DIVA vaccine; no economic evaluation of development and companion diagnostics</w:t>
            </w:r>
          </w:p>
        </w:tc>
        <w:tc>
          <w:tcPr>
            <w:tcW w:w="3093"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79327539" w14:textId="77777777" w:rsidR="005A19F8" w:rsidRPr="00C2213B" w:rsidRDefault="005A19F8" w:rsidP="004E63E8">
            <w:pPr>
              <w:rPr>
                <w:rFonts w:ascii="Times New Roman" w:hAnsi="Times New Roman" w:cs="Times New Roman"/>
                <w:szCs w:val="24"/>
              </w:rPr>
            </w:pPr>
            <w:r w:rsidRPr="00C2213B">
              <w:rPr>
                <w:rFonts w:ascii="Times New Roman" w:hAnsi="Times New Roman" w:cs="Times New Roman"/>
                <w:szCs w:val="24"/>
              </w:rPr>
              <w:t>Comprehensive cost-effectiveness analysis including R&amp;D, production, and surveillance costs</w:t>
            </w:r>
          </w:p>
        </w:tc>
        <w:tc>
          <w:tcPr>
            <w:tcW w:w="2482"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1FC80684" w14:textId="77777777" w:rsidR="005A19F8" w:rsidRPr="00C2213B" w:rsidRDefault="005A19F8" w:rsidP="004E63E8">
            <w:pPr>
              <w:rPr>
                <w:rFonts w:ascii="Times New Roman" w:hAnsi="Times New Roman" w:cs="Times New Roman"/>
                <w:szCs w:val="24"/>
              </w:rPr>
            </w:pPr>
            <w:r w:rsidRPr="00C2213B">
              <w:rPr>
                <w:rFonts w:ascii="Times New Roman" w:hAnsi="Times New Roman" w:cs="Times New Roman"/>
                <w:szCs w:val="24"/>
              </w:rPr>
              <w:t>Mazloum et al. (2023); Ronchi et al. (2024)</w:t>
            </w:r>
          </w:p>
        </w:tc>
      </w:tr>
      <w:tr w:rsidR="005A19F8" w:rsidRPr="00AE66FD" w14:paraId="56A6B9DC" w14:textId="77777777" w:rsidTr="004E63E8">
        <w:trPr>
          <w:trHeight w:val="1153"/>
        </w:trPr>
        <w:tc>
          <w:tcPr>
            <w:tcW w:w="1736"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66BD038E" w14:textId="77777777" w:rsidR="005A19F8" w:rsidRPr="00C2213B" w:rsidRDefault="005A19F8" w:rsidP="004E63E8">
            <w:pPr>
              <w:rPr>
                <w:rFonts w:ascii="Times New Roman" w:hAnsi="Times New Roman" w:cs="Times New Roman"/>
                <w:szCs w:val="24"/>
              </w:rPr>
            </w:pPr>
            <w:r w:rsidRPr="00C2213B">
              <w:rPr>
                <w:rFonts w:ascii="Times New Roman" w:hAnsi="Times New Roman" w:cs="Times New Roman"/>
                <w:b/>
                <w:bCs/>
                <w:szCs w:val="24"/>
              </w:rPr>
              <w:t>Integrated control economics</w:t>
            </w:r>
          </w:p>
        </w:tc>
        <w:tc>
          <w:tcPr>
            <w:tcW w:w="2247"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7C3E5A70" w14:textId="77777777" w:rsidR="005A19F8" w:rsidRPr="00C2213B" w:rsidRDefault="005A19F8" w:rsidP="004E63E8">
            <w:pPr>
              <w:rPr>
                <w:rFonts w:ascii="Times New Roman" w:hAnsi="Times New Roman" w:cs="Times New Roman"/>
                <w:szCs w:val="24"/>
              </w:rPr>
            </w:pPr>
            <w:r w:rsidRPr="00C2213B">
              <w:rPr>
                <w:rFonts w:ascii="Times New Roman" w:hAnsi="Times New Roman" w:cs="Times New Roman"/>
                <w:szCs w:val="24"/>
              </w:rPr>
              <w:t>No economic studies on combined vaccination + vector control + movement restriction strategies</w:t>
            </w:r>
          </w:p>
        </w:tc>
        <w:tc>
          <w:tcPr>
            <w:tcW w:w="3093"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7F20848D" w14:textId="77777777" w:rsidR="005A19F8" w:rsidRPr="00C2213B" w:rsidRDefault="005A19F8" w:rsidP="004E63E8">
            <w:pPr>
              <w:rPr>
                <w:rFonts w:ascii="Times New Roman" w:hAnsi="Times New Roman" w:cs="Times New Roman"/>
                <w:szCs w:val="24"/>
              </w:rPr>
            </w:pPr>
            <w:r w:rsidRPr="00C2213B">
              <w:rPr>
                <w:rFonts w:ascii="Times New Roman" w:hAnsi="Times New Roman" w:cs="Times New Roman"/>
                <w:szCs w:val="24"/>
              </w:rPr>
              <w:t>Design field trials with economic component evaluating synergistic effects of integrated approaches</w:t>
            </w:r>
          </w:p>
        </w:tc>
        <w:tc>
          <w:tcPr>
            <w:tcW w:w="2482"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1D8A1DD2" w14:textId="77777777" w:rsidR="005A19F8" w:rsidRPr="00C2213B" w:rsidRDefault="005A19F8" w:rsidP="004E63E8">
            <w:pPr>
              <w:rPr>
                <w:rFonts w:ascii="Times New Roman" w:hAnsi="Times New Roman" w:cs="Times New Roman"/>
                <w:szCs w:val="24"/>
              </w:rPr>
            </w:pPr>
            <w:r w:rsidRPr="00C2213B">
              <w:rPr>
                <w:rFonts w:ascii="Times New Roman" w:hAnsi="Times New Roman" w:cs="Times New Roman"/>
                <w:szCs w:val="24"/>
              </w:rPr>
              <w:t xml:space="preserve">Tuppurainen et al. (2021); </w:t>
            </w:r>
            <w:proofErr w:type="spellStart"/>
            <w:r w:rsidRPr="00C2213B">
              <w:rPr>
                <w:rFonts w:ascii="Times New Roman" w:hAnsi="Times New Roman" w:cs="Times New Roman"/>
                <w:szCs w:val="24"/>
              </w:rPr>
              <w:t>Punyapornwithaya</w:t>
            </w:r>
            <w:proofErr w:type="spellEnd"/>
            <w:r w:rsidRPr="00C2213B">
              <w:rPr>
                <w:rFonts w:ascii="Times New Roman" w:hAnsi="Times New Roman" w:cs="Times New Roman"/>
                <w:szCs w:val="24"/>
              </w:rPr>
              <w:t xml:space="preserve"> et al. (2024)</w:t>
            </w:r>
          </w:p>
        </w:tc>
      </w:tr>
      <w:tr w:rsidR="005A19F8" w:rsidRPr="00AE66FD" w14:paraId="5ED30418" w14:textId="77777777" w:rsidTr="004E63E8">
        <w:trPr>
          <w:trHeight w:val="922"/>
        </w:trPr>
        <w:tc>
          <w:tcPr>
            <w:tcW w:w="1736"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55350C14" w14:textId="77777777" w:rsidR="005A19F8" w:rsidRPr="00C2213B" w:rsidRDefault="005A19F8" w:rsidP="004E63E8">
            <w:pPr>
              <w:rPr>
                <w:rFonts w:ascii="Times New Roman" w:hAnsi="Times New Roman" w:cs="Times New Roman"/>
                <w:szCs w:val="24"/>
              </w:rPr>
            </w:pPr>
            <w:r w:rsidRPr="00C2213B">
              <w:rPr>
                <w:rFonts w:ascii="Times New Roman" w:hAnsi="Times New Roman" w:cs="Times New Roman"/>
                <w:b/>
                <w:bCs/>
                <w:szCs w:val="24"/>
              </w:rPr>
              <w:t>Digital/precision surveillance economics</w:t>
            </w:r>
          </w:p>
        </w:tc>
        <w:tc>
          <w:tcPr>
            <w:tcW w:w="2247"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6F1D4F54" w14:textId="77777777" w:rsidR="005A19F8" w:rsidRPr="00C2213B" w:rsidRDefault="005A19F8" w:rsidP="004E63E8">
            <w:pPr>
              <w:rPr>
                <w:rFonts w:ascii="Times New Roman" w:hAnsi="Times New Roman" w:cs="Times New Roman"/>
                <w:szCs w:val="24"/>
              </w:rPr>
            </w:pPr>
            <w:r w:rsidRPr="00C2213B">
              <w:rPr>
                <w:rFonts w:ascii="Times New Roman" w:hAnsi="Times New Roman" w:cs="Times New Roman"/>
                <w:szCs w:val="24"/>
              </w:rPr>
              <w:t>Economic value of early warning and digital surveillance systems not quantified</w:t>
            </w:r>
          </w:p>
        </w:tc>
        <w:tc>
          <w:tcPr>
            <w:tcW w:w="3093"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52793137" w14:textId="77777777" w:rsidR="005A19F8" w:rsidRPr="00C2213B" w:rsidRDefault="005A19F8" w:rsidP="004E63E8">
            <w:pPr>
              <w:rPr>
                <w:rFonts w:ascii="Times New Roman" w:hAnsi="Times New Roman" w:cs="Times New Roman"/>
                <w:szCs w:val="24"/>
              </w:rPr>
            </w:pPr>
            <w:r w:rsidRPr="00C2213B">
              <w:rPr>
                <w:rFonts w:ascii="Times New Roman" w:hAnsi="Times New Roman" w:cs="Times New Roman"/>
                <w:szCs w:val="24"/>
              </w:rPr>
              <w:t>Health-economic modelling of surveillance investment versus outbreak prevention savings</w:t>
            </w:r>
          </w:p>
        </w:tc>
        <w:tc>
          <w:tcPr>
            <w:tcW w:w="2482" w:type="dxa"/>
            <w:tcBorders>
              <w:top w:val="single" w:sz="1" w:space="0" w:color="BFC9CA"/>
              <w:left w:val="single" w:sz="1" w:space="0" w:color="BFC9CA"/>
              <w:bottom w:val="single" w:sz="1" w:space="0" w:color="BFC9CA"/>
              <w:right w:val="single" w:sz="1" w:space="0" w:color="BFC9CA"/>
            </w:tcBorders>
            <w:tcMar>
              <w:top w:w="100" w:type="dxa"/>
              <w:left w:w="120" w:type="dxa"/>
              <w:bottom w:w="100" w:type="dxa"/>
              <w:right w:w="120" w:type="dxa"/>
            </w:tcMar>
          </w:tcPr>
          <w:p w14:paraId="0E61F3CF" w14:textId="77777777" w:rsidR="005A19F8" w:rsidRPr="00C2213B" w:rsidRDefault="005A19F8" w:rsidP="004E63E8">
            <w:pPr>
              <w:rPr>
                <w:rFonts w:ascii="Times New Roman" w:hAnsi="Times New Roman" w:cs="Times New Roman"/>
                <w:szCs w:val="24"/>
              </w:rPr>
            </w:pPr>
            <w:r w:rsidRPr="00C2213B">
              <w:rPr>
                <w:rFonts w:ascii="Times New Roman" w:hAnsi="Times New Roman" w:cs="Times New Roman"/>
                <w:szCs w:val="24"/>
              </w:rPr>
              <w:t>Tuppurainen et al. (2021); Hutchinson et al. (2024)</w:t>
            </w:r>
          </w:p>
        </w:tc>
      </w:tr>
    </w:tbl>
    <w:p w14:paraId="6050F9E3" w14:textId="77777777" w:rsidR="005A19F8" w:rsidRDefault="005A19F8" w:rsidP="005A19F8">
      <w:pPr>
        <w:spacing w:before="40" w:after="200"/>
        <w:rPr>
          <w:rFonts w:ascii="Times New Roman" w:hAnsi="Times New Roman" w:cs="Times New Roman"/>
          <w:b/>
          <w:bCs/>
          <w:i/>
          <w:iCs/>
          <w:sz w:val="24"/>
          <w:szCs w:val="24"/>
        </w:rPr>
      </w:pPr>
    </w:p>
    <w:p w14:paraId="1D8F6C42" w14:textId="77777777" w:rsidR="005A19F8" w:rsidRPr="00453874" w:rsidRDefault="005A19F8" w:rsidP="005A19F8">
      <w:pPr>
        <w:spacing w:before="40" w:after="200"/>
        <w:rPr>
          <w:rFonts w:ascii="Times New Roman" w:hAnsi="Times New Roman" w:cs="Times New Roman"/>
          <w:szCs w:val="24"/>
        </w:rPr>
      </w:pPr>
      <w:r>
        <w:rPr>
          <w:rFonts w:ascii="Times New Roman" w:hAnsi="Times New Roman" w:cs="Times New Roman"/>
          <w:b/>
          <w:bCs/>
          <w:iCs/>
          <w:szCs w:val="24"/>
        </w:rPr>
        <w:t>Note:</w:t>
      </w:r>
      <w:r w:rsidRPr="00453874">
        <w:rPr>
          <w:rFonts w:ascii="Times New Roman" w:hAnsi="Times New Roman" w:cs="Times New Roman"/>
          <w:b/>
          <w:bCs/>
          <w:iCs/>
          <w:szCs w:val="24"/>
        </w:rPr>
        <w:t xml:space="preserve"> </w:t>
      </w:r>
      <w:r w:rsidRPr="00453874">
        <w:rPr>
          <w:rFonts w:ascii="Times New Roman" w:hAnsi="Times New Roman" w:cs="Times New Roman"/>
          <w:iCs/>
          <w:szCs w:val="24"/>
        </w:rPr>
        <w:t xml:space="preserve">CBA = Cost-Benefit Analysis; DIVA = Differentiate Infected from Vaccinated Animals; FAO = Food and Agriculture Organization; OIE = World </w:t>
      </w:r>
      <w:proofErr w:type="spellStart"/>
      <w:r w:rsidRPr="00453874">
        <w:rPr>
          <w:rFonts w:ascii="Times New Roman" w:hAnsi="Times New Roman" w:cs="Times New Roman"/>
          <w:iCs/>
          <w:szCs w:val="24"/>
        </w:rPr>
        <w:t>Organisation</w:t>
      </w:r>
      <w:proofErr w:type="spellEnd"/>
      <w:r w:rsidRPr="00453874">
        <w:rPr>
          <w:rFonts w:ascii="Times New Roman" w:hAnsi="Times New Roman" w:cs="Times New Roman"/>
          <w:iCs/>
          <w:szCs w:val="24"/>
        </w:rPr>
        <w:t xml:space="preserve"> for Animal Health. All gaps identified from synthesis of the cited literature.</w:t>
      </w:r>
    </w:p>
    <w:p w14:paraId="2238DDF2" w14:textId="77777777" w:rsidR="005A19F8" w:rsidRPr="00AE66FD" w:rsidRDefault="005A19F8" w:rsidP="005A19F8">
      <w:pPr>
        <w:spacing w:before="100" w:after="100"/>
        <w:rPr>
          <w:rFonts w:ascii="Times New Roman" w:hAnsi="Times New Roman" w:cs="Times New Roman"/>
          <w:sz w:val="24"/>
          <w:szCs w:val="24"/>
        </w:rPr>
      </w:pPr>
    </w:p>
    <w:p w14:paraId="7AA748B4" w14:textId="77777777" w:rsidR="005A19F8" w:rsidRPr="00F954A7" w:rsidRDefault="005A19F8" w:rsidP="005A19F8">
      <w:pPr>
        <w:rPr>
          <w:rFonts w:ascii="Times New Roman" w:hAnsi="Times New Roman" w:cs="Times New Roman"/>
          <w:sz w:val="24"/>
          <w:szCs w:val="24"/>
        </w:rPr>
      </w:pPr>
    </w:p>
    <w:p w14:paraId="3B32FEED" w14:textId="77777777" w:rsidR="005A19F8" w:rsidRPr="00D45EB4" w:rsidRDefault="005A19F8" w:rsidP="00521C4A">
      <w:pPr>
        <w:jc w:val="both"/>
        <w:rPr>
          <w:rFonts w:ascii="Times New Roman" w:hAnsi="Times New Roman" w:cs="Times New Roman"/>
          <w:sz w:val="24"/>
          <w:szCs w:val="24"/>
        </w:rPr>
      </w:pPr>
    </w:p>
    <w:sectPr w:rsidR="005A19F8" w:rsidRPr="00D45EB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F1CE8" w14:textId="77777777" w:rsidR="00DB5E26" w:rsidRDefault="00DB5E26" w:rsidP="00546DE2">
      <w:pPr>
        <w:spacing w:after="0" w:line="240" w:lineRule="auto"/>
      </w:pPr>
      <w:r>
        <w:separator/>
      </w:r>
    </w:p>
  </w:endnote>
  <w:endnote w:type="continuationSeparator" w:id="0">
    <w:p w14:paraId="0696F5E8" w14:textId="77777777" w:rsidR="00DB5E26" w:rsidRDefault="00DB5E26" w:rsidP="00546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A43B3" w14:textId="77777777" w:rsidR="00546DE2" w:rsidRDefault="00546D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BCA19" w14:textId="77777777" w:rsidR="00546DE2" w:rsidRDefault="00546D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54A61" w14:textId="77777777" w:rsidR="00546DE2" w:rsidRDefault="00546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7EF00" w14:textId="77777777" w:rsidR="00DB5E26" w:rsidRDefault="00DB5E26" w:rsidP="00546DE2">
      <w:pPr>
        <w:spacing w:after="0" w:line="240" w:lineRule="auto"/>
      </w:pPr>
      <w:r>
        <w:separator/>
      </w:r>
    </w:p>
  </w:footnote>
  <w:footnote w:type="continuationSeparator" w:id="0">
    <w:p w14:paraId="413052EA" w14:textId="77777777" w:rsidR="00DB5E26" w:rsidRDefault="00DB5E26" w:rsidP="00546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B09E9" w14:textId="6DF29808" w:rsidR="00546DE2" w:rsidRDefault="00546DE2">
    <w:pPr>
      <w:pStyle w:val="Header"/>
    </w:pPr>
    <w:r>
      <w:rPr>
        <w:noProof/>
      </w:rPr>
      <w:pict w14:anchorId="136A3E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2298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61A97" w14:textId="616B54E7" w:rsidR="00546DE2" w:rsidRDefault="00546DE2">
    <w:pPr>
      <w:pStyle w:val="Header"/>
    </w:pPr>
    <w:r>
      <w:rPr>
        <w:noProof/>
      </w:rPr>
      <w:pict w14:anchorId="459ADF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2298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73D95" w14:textId="0CBAAA77" w:rsidR="00546DE2" w:rsidRDefault="00546DE2">
    <w:pPr>
      <w:pStyle w:val="Header"/>
    </w:pPr>
    <w:r>
      <w:rPr>
        <w:noProof/>
      </w:rPr>
      <w:pict w14:anchorId="2657AD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2298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C5BE4"/>
    <w:multiLevelType w:val="hybridMultilevel"/>
    <w:tmpl w:val="06A2B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B4BEF"/>
    <w:multiLevelType w:val="hybridMultilevel"/>
    <w:tmpl w:val="A094C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405DC1"/>
    <w:multiLevelType w:val="hybridMultilevel"/>
    <w:tmpl w:val="10CCC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1201E8"/>
    <w:multiLevelType w:val="hybridMultilevel"/>
    <w:tmpl w:val="B30A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2C4F93"/>
    <w:multiLevelType w:val="hybridMultilevel"/>
    <w:tmpl w:val="E4120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A47E9C"/>
    <w:multiLevelType w:val="hybridMultilevel"/>
    <w:tmpl w:val="D9C04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2F27BF"/>
    <w:multiLevelType w:val="hybridMultilevel"/>
    <w:tmpl w:val="F544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4B716A"/>
    <w:multiLevelType w:val="hybridMultilevel"/>
    <w:tmpl w:val="9C18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7"/>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FD4"/>
    <w:rsid w:val="00011914"/>
    <w:rsid w:val="00013FD4"/>
    <w:rsid w:val="000930CE"/>
    <w:rsid w:val="000B3FB6"/>
    <w:rsid w:val="000E2355"/>
    <w:rsid w:val="000E49EF"/>
    <w:rsid w:val="00100AF5"/>
    <w:rsid w:val="00133185"/>
    <w:rsid w:val="001422E9"/>
    <w:rsid w:val="001672F1"/>
    <w:rsid w:val="0017569D"/>
    <w:rsid w:val="001B1ABB"/>
    <w:rsid w:val="001C6D56"/>
    <w:rsid w:val="001E041D"/>
    <w:rsid w:val="001F0BF9"/>
    <w:rsid w:val="00201169"/>
    <w:rsid w:val="00202E96"/>
    <w:rsid w:val="00234F70"/>
    <w:rsid w:val="002A2D4B"/>
    <w:rsid w:val="002A79C3"/>
    <w:rsid w:val="00303654"/>
    <w:rsid w:val="00316351"/>
    <w:rsid w:val="00327929"/>
    <w:rsid w:val="0037339B"/>
    <w:rsid w:val="00377A31"/>
    <w:rsid w:val="0048313A"/>
    <w:rsid w:val="00521C4A"/>
    <w:rsid w:val="0052439A"/>
    <w:rsid w:val="005446F1"/>
    <w:rsid w:val="00546DE2"/>
    <w:rsid w:val="005A19F8"/>
    <w:rsid w:val="005A3E2F"/>
    <w:rsid w:val="005D7408"/>
    <w:rsid w:val="006363D9"/>
    <w:rsid w:val="00694CB3"/>
    <w:rsid w:val="006B02D1"/>
    <w:rsid w:val="006C0AB8"/>
    <w:rsid w:val="006C2B71"/>
    <w:rsid w:val="006D1B8A"/>
    <w:rsid w:val="007041A9"/>
    <w:rsid w:val="00721273"/>
    <w:rsid w:val="00732F41"/>
    <w:rsid w:val="0075585D"/>
    <w:rsid w:val="007625E6"/>
    <w:rsid w:val="007657B9"/>
    <w:rsid w:val="007A6399"/>
    <w:rsid w:val="007E7DFC"/>
    <w:rsid w:val="0081081E"/>
    <w:rsid w:val="00816E30"/>
    <w:rsid w:val="00826CED"/>
    <w:rsid w:val="00831473"/>
    <w:rsid w:val="00832612"/>
    <w:rsid w:val="00847D8E"/>
    <w:rsid w:val="00891859"/>
    <w:rsid w:val="008A7B59"/>
    <w:rsid w:val="008C1359"/>
    <w:rsid w:val="008C5634"/>
    <w:rsid w:val="008E2EE5"/>
    <w:rsid w:val="009064B6"/>
    <w:rsid w:val="00933D74"/>
    <w:rsid w:val="009542E9"/>
    <w:rsid w:val="00956793"/>
    <w:rsid w:val="0097176E"/>
    <w:rsid w:val="009C36E9"/>
    <w:rsid w:val="009F5E49"/>
    <w:rsid w:val="00AA063D"/>
    <w:rsid w:val="00AC3258"/>
    <w:rsid w:val="00AE42B6"/>
    <w:rsid w:val="00AE75C4"/>
    <w:rsid w:val="00B23453"/>
    <w:rsid w:val="00B75886"/>
    <w:rsid w:val="00BC4C2C"/>
    <w:rsid w:val="00BF06E7"/>
    <w:rsid w:val="00C04948"/>
    <w:rsid w:val="00C10FB2"/>
    <w:rsid w:val="00C152C5"/>
    <w:rsid w:val="00CA4AE7"/>
    <w:rsid w:val="00D0443A"/>
    <w:rsid w:val="00D45EB4"/>
    <w:rsid w:val="00D67108"/>
    <w:rsid w:val="00D96265"/>
    <w:rsid w:val="00DA4247"/>
    <w:rsid w:val="00DB5E26"/>
    <w:rsid w:val="00DD7DC4"/>
    <w:rsid w:val="00E12C91"/>
    <w:rsid w:val="00E75DEA"/>
    <w:rsid w:val="00E96BD8"/>
    <w:rsid w:val="00EA504A"/>
    <w:rsid w:val="00EF6286"/>
    <w:rsid w:val="00F25733"/>
    <w:rsid w:val="00F36C52"/>
    <w:rsid w:val="00F41667"/>
    <w:rsid w:val="00F81D3E"/>
    <w:rsid w:val="00F82F54"/>
    <w:rsid w:val="00F91377"/>
    <w:rsid w:val="00F91781"/>
    <w:rsid w:val="00FA3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8B02C3"/>
  <w15:chartTrackingRefBased/>
  <w15:docId w15:val="{59FC46C1-53CC-4382-94DD-B080962E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9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link w:val="Heading2Char"/>
    <w:qFormat/>
    <w:rsid w:val="005A19F8"/>
    <w:pPr>
      <w:spacing w:before="200" w:after="80" w:line="240" w:lineRule="auto"/>
      <w:outlineLvl w:val="1"/>
    </w:pPr>
    <w:rPr>
      <w:rFonts w:ascii="Arial" w:eastAsia="Arial" w:hAnsi="Arial" w:cs="Arial"/>
      <w:b/>
      <w:bCs/>
      <w:color w:val="2980B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781"/>
    <w:pPr>
      <w:ind w:left="720"/>
      <w:contextualSpacing/>
    </w:pPr>
  </w:style>
  <w:style w:type="character" w:styleId="Hyperlink">
    <w:name w:val="Hyperlink"/>
    <w:basedOn w:val="DefaultParagraphFont"/>
    <w:uiPriority w:val="99"/>
    <w:unhideWhenUsed/>
    <w:rsid w:val="00891859"/>
    <w:rPr>
      <w:color w:val="0563C1" w:themeColor="hyperlink"/>
      <w:u w:val="single"/>
    </w:rPr>
  </w:style>
  <w:style w:type="character" w:customStyle="1" w:styleId="Heading2Char">
    <w:name w:val="Heading 2 Char"/>
    <w:basedOn w:val="DefaultParagraphFont"/>
    <w:link w:val="Heading2"/>
    <w:rsid w:val="005A19F8"/>
    <w:rPr>
      <w:rFonts w:ascii="Arial" w:eastAsia="Arial" w:hAnsi="Arial" w:cs="Arial"/>
      <w:b/>
      <w:bCs/>
      <w:color w:val="2980B9"/>
    </w:rPr>
  </w:style>
  <w:style w:type="paragraph" w:styleId="NoSpacing">
    <w:name w:val="No Spacing"/>
    <w:uiPriority w:val="1"/>
    <w:qFormat/>
    <w:rsid w:val="005A19F8"/>
    <w:pPr>
      <w:spacing w:after="0" w:line="240" w:lineRule="auto"/>
    </w:pPr>
    <w:rPr>
      <w:rFonts w:ascii="Arial" w:eastAsia="Arial" w:hAnsi="Arial" w:cs="Arial"/>
      <w:sz w:val="20"/>
      <w:szCs w:val="20"/>
    </w:rPr>
  </w:style>
  <w:style w:type="character" w:customStyle="1" w:styleId="Heading1Char">
    <w:name w:val="Heading 1 Char"/>
    <w:basedOn w:val="DefaultParagraphFont"/>
    <w:link w:val="Heading1"/>
    <w:uiPriority w:val="9"/>
    <w:rsid w:val="005A19F8"/>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011914"/>
    <w:rPr>
      <w:color w:val="605E5C"/>
      <w:shd w:val="clear" w:color="auto" w:fill="E1DFDD"/>
    </w:rPr>
  </w:style>
  <w:style w:type="paragraph" w:styleId="Header">
    <w:name w:val="header"/>
    <w:basedOn w:val="Normal"/>
    <w:link w:val="HeaderChar"/>
    <w:uiPriority w:val="99"/>
    <w:unhideWhenUsed/>
    <w:rsid w:val="00546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DE2"/>
  </w:style>
  <w:style w:type="paragraph" w:styleId="Footer">
    <w:name w:val="footer"/>
    <w:basedOn w:val="Normal"/>
    <w:link w:val="FooterChar"/>
    <w:uiPriority w:val="99"/>
    <w:unhideWhenUsed/>
    <w:rsid w:val="00546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62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19</Pages>
  <Words>5268</Words>
  <Characters>30030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FARAZI MART</dc:creator>
  <cp:keywords/>
  <dc:description/>
  <cp:lastModifiedBy>SDI PC 1170</cp:lastModifiedBy>
  <cp:revision>18</cp:revision>
  <cp:lastPrinted>2026-04-12T12:12:00Z</cp:lastPrinted>
  <dcterms:created xsi:type="dcterms:W3CDTF">2026-05-12T07:28:00Z</dcterms:created>
  <dcterms:modified xsi:type="dcterms:W3CDTF">2026-05-13T11:50:00Z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b91b4f7b-2987-4818-9c86-01b35692ebcc</vt:lpwstr>
  </property>
</Properties>
</file>