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BFCB9" w14:textId="77777777" w:rsidR="00753E24" w:rsidRDefault="00753E24" w:rsidP="00753E24">
      <w:pPr>
        <w:rPr>
          <w:rFonts w:ascii="Times New Roman" w:hAnsi="Times New Roman" w:cs="Times New Roman"/>
          <w:b/>
          <w:bCs/>
        </w:rPr>
      </w:pPr>
      <w:r w:rsidRPr="00A54953">
        <w:rPr>
          <w:rFonts w:ascii="Times New Roman" w:hAnsi="Times New Roman" w:cs="Times New Roman"/>
          <w:b/>
          <w:bCs/>
        </w:rPr>
        <w:t>Environmental Pathways of Agrochemical Contamination: Linking Agricultural Practices to Human Health Outcomes</w:t>
      </w:r>
    </w:p>
    <w:p w14:paraId="60E0C05A" w14:textId="7CDA9BA1" w:rsidR="002033D6" w:rsidRDefault="002033D6" w:rsidP="00753E24">
      <w:pPr>
        <w:rPr>
          <w:rFonts w:ascii="Times New Roman" w:hAnsi="Times New Roman" w:cs="Times New Roman"/>
          <w:b/>
          <w:bCs/>
        </w:rPr>
      </w:pPr>
    </w:p>
    <w:p w14:paraId="69916C18" w14:textId="77777777" w:rsidR="009E569D" w:rsidRPr="00A54953" w:rsidRDefault="009E569D" w:rsidP="00753E24">
      <w:pPr>
        <w:rPr>
          <w:rFonts w:ascii="Times New Roman" w:hAnsi="Times New Roman" w:cs="Times New Roman"/>
          <w:b/>
          <w:bCs/>
        </w:rPr>
      </w:pPr>
      <w:bookmarkStart w:id="0" w:name="_GoBack"/>
      <w:bookmarkEnd w:id="0"/>
    </w:p>
    <w:p w14:paraId="29402D64" w14:textId="77777777" w:rsidR="00F50E35" w:rsidRPr="00A54953" w:rsidRDefault="00F50E35" w:rsidP="00F50E35">
      <w:pPr>
        <w:rPr>
          <w:rFonts w:ascii="Times New Roman" w:hAnsi="Times New Roman" w:cs="Times New Roman"/>
          <w:b/>
          <w:bCs/>
        </w:rPr>
      </w:pPr>
      <w:r w:rsidRPr="00A54953">
        <w:rPr>
          <w:rFonts w:ascii="Times New Roman" w:hAnsi="Times New Roman" w:cs="Times New Roman"/>
          <w:b/>
          <w:bCs/>
        </w:rPr>
        <w:t xml:space="preserve">Abstract </w:t>
      </w:r>
    </w:p>
    <w:p w14:paraId="1E1A1000" w14:textId="77777777" w:rsidR="00F50E35" w:rsidRPr="00A54953" w:rsidRDefault="00F50E35" w:rsidP="00F50E35">
      <w:pPr>
        <w:rPr>
          <w:rFonts w:ascii="Times New Roman" w:hAnsi="Times New Roman" w:cs="Times New Roman"/>
        </w:rPr>
      </w:pPr>
      <w:r w:rsidRPr="00A54953">
        <w:rPr>
          <w:rFonts w:ascii="Times New Roman" w:hAnsi="Times New Roman" w:cs="Times New Roman"/>
        </w:rPr>
        <w:t>Agrochemicals, including pesticides and synthetic fertilizers, are widely used to enhance agricultural productivity but pose significant environmental and public health risks. This narrative review examines the environmental pathways through which agrochemicals disperse and their implications for human health. Agrochemicals contaminate soil, water, and air through processes such as runoff, leaching, volatilization, and spray drift, facilitating their entry into food systems and increasing human exposure via dietary, occupational, and environmental routes. Toxicokinetic processes, including absorption, distribution, metabolism, and excretion, influence their biological fate, while mechanisms such as neurotoxicity, endocrine disruption, oxidative stress, and genotoxicity contribute to adverse health outcomes. Evidence from epidemiological and experimental studies links agrochemical exposure to acute poisoning, chronic diseases, neurological disorders, reproductive dysfunction, and immunological effects, although variability in study design limits causal inference. Exposure burdens are disproportionately higher in low- and middle-income countries due to weaker regulatory systems and limited safety practices. Strengthening risk assessment, regulatory enforcement, and sustainable agricultural practices is essential to reduce exposure. Addressing research gaps and improving monitoring systems will be critical for mitigating environmental contamination and protecting human health.</w:t>
      </w:r>
    </w:p>
    <w:p w14:paraId="68E48C17" w14:textId="77777777" w:rsidR="003F7636" w:rsidRPr="00A54953" w:rsidRDefault="003F7636" w:rsidP="00F50E35">
      <w:pPr>
        <w:rPr>
          <w:rFonts w:ascii="Times New Roman" w:hAnsi="Times New Roman" w:cs="Times New Roman"/>
        </w:rPr>
      </w:pPr>
      <w:r w:rsidRPr="00A54953">
        <w:rPr>
          <w:rFonts w:ascii="Times New Roman" w:hAnsi="Times New Roman" w:cs="Times New Roman"/>
          <w:b/>
          <w:bCs/>
        </w:rPr>
        <w:t>Keywords:</w:t>
      </w:r>
      <w:r w:rsidRPr="00A54953">
        <w:rPr>
          <w:rFonts w:ascii="Times New Roman" w:hAnsi="Times New Roman" w:cs="Times New Roman"/>
        </w:rPr>
        <w:t xml:space="preserve"> Agrochemicals; Environmental contamination; Human exposure; Toxicity; Public health </w:t>
      </w:r>
    </w:p>
    <w:p w14:paraId="22DF421F"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1. Introduction</w:t>
      </w:r>
    </w:p>
    <w:p w14:paraId="69F86B16"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w:t>
      </w:r>
      <w:r w:rsidR="00DC5A28" w:rsidRPr="00A54953">
        <w:rPr>
          <w:rFonts w:ascii="Times New Roman" w:hAnsi="Times New Roman" w:cs="Times New Roman"/>
        </w:rPr>
        <w:t xml:space="preserve"> </w:t>
      </w:r>
      <w:r w:rsidRPr="00A54953">
        <w:rPr>
          <w:rFonts w:ascii="Times New Roman" w:hAnsi="Times New Roman" w:cs="Times New Roman"/>
        </w:rPr>
        <w:t>including pesticides, herbicides, fungicides, and synthetic fertilizers</w:t>
      </w:r>
      <w:r w:rsidR="00DC5A28" w:rsidRPr="00A54953">
        <w:rPr>
          <w:rFonts w:ascii="Times New Roman" w:hAnsi="Times New Roman" w:cs="Times New Roman"/>
        </w:rPr>
        <w:t xml:space="preserve"> </w:t>
      </w:r>
      <w:r w:rsidRPr="00A54953">
        <w:rPr>
          <w:rFonts w:ascii="Times New Roman" w:hAnsi="Times New Roman" w:cs="Times New Roman"/>
        </w:rPr>
        <w:t>are widely used in modern agriculture to enhance crop yield, control pests, and ensure food security</w:t>
      </w:r>
      <w:r w:rsidR="00E33B41" w:rsidRPr="00A54953">
        <w:rPr>
          <w:rFonts w:ascii="Times New Roman" w:hAnsi="Times New Roman" w:cs="Times New Roman"/>
        </w:rPr>
        <w:fldChar w:fldCharType="begin"/>
      </w:r>
      <w:r w:rsidR="00F44157" w:rsidRPr="00A54953">
        <w:rPr>
          <w:rFonts w:ascii="Times New Roman" w:hAnsi="Times New Roman" w:cs="Times New Roman"/>
        </w:rPr>
        <w:instrText xml:space="preserve"> ADDIN ZOTERO_ITEM CSL_CITATION {"citationID":"0ONk6XYp","properties":{"formattedCitation":"[1]","plainCitation":"[1]","noteIndex":0},"citationItems":[{"id":17826,"uris":["http://zotero.org/users/16652950/items/9A7LPKGE"],"itemData":{"id":17826,"type":"article-journal","abstract":"Pesticides are extensively used in modern agriculture and are an effective and economical way to enhance the yield quality and quantity, thus ensuring food security for the ever-growing population around the globe. Approximately, 2 million tonnes of pesticides are utilized annually worldwide, where China is the major contributing country, followed by the USA and Argentina, which is increasing rapidly. However, by the year 2020, the global pesticide usage has been estimated to increase up to 3.5 million tonnes. Although pesticides are beneficial for crop production point of view, extensive use of pesticides can possess serious consequences because of their bio-magnification and persistent nature. Diverse pesticides directly or indirectly polluted air, water, soil and overall ecosystem which cause serious health hazard for living being. In the present manuscript, an attempt has been made to critically review the global usage of different pesticides and their major adverse impacts on ecosystem, which will provide guidance for a wide range of researchers in this area.","container-title":"SN Applied Sciences","DOI":"10.1007/s42452-019-1485-1","ISSN":"2523-3971","issue":"11","journalAbbreviation":"SN Appl. Sci.","language":"en","page":"1446","source":"Springer Link","title":"Worldwide pesticide usage and its impacts on ecosystem","volume":"1","author":[{"family":"Sharma","given":"Anket"},{"family":"Kumar","given":"Vinod"},{"family":"Shahzad","given":"Babar"},{"family":"Tanveer","given":"Mohsin"},{"family":"Sidhu","given":"Gagan Preet Singh"},{"family":"Handa","given":"Neha"},{"family":"Kohli","given":"Sukhmeen Kaur"},{"family":"Yadav","given":"Poonam"},{"family":"Bali","given":"Aditi Shreeya"},{"family":"Parihar","given":"Ripu Daman"},{"family":"Dar","given":"Owias Iqbal"},{"family":"Singh","given":"Kirpal"},{"family":"Jasrotia","given":"Shivam"},{"family":"Bakshi","given":"Palak"},{"family":"Ramakrishnan","given":"M."},{"family":"Kumar","given":"Sandeep"},{"family":"Bhardwaj","given":"Renu"},{"family":"Thukral","given":"Ashwani Kumar"}],"issued":{"date-parts":[["2019",10,21]]}}}],"schema":"https://github.com/citation-style-language/schema/raw/master/csl-citation.json"} </w:instrText>
      </w:r>
      <w:r w:rsidR="00E33B41" w:rsidRPr="00A54953">
        <w:rPr>
          <w:rFonts w:ascii="Times New Roman" w:hAnsi="Times New Roman" w:cs="Times New Roman"/>
        </w:rPr>
        <w:fldChar w:fldCharType="separate"/>
      </w:r>
      <w:r w:rsidR="00F44157" w:rsidRPr="00A54953">
        <w:rPr>
          <w:rFonts w:ascii="Times New Roman" w:hAnsi="Times New Roman" w:cs="Times New Roman"/>
        </w:rPr>
        <w:t>[1]</w:t>
      </w:r>
      <w:r w:rsidR="00E33B41" w:rsidRPr="00A54953">
        <w:rPr>
          <w:rFonts w:ascii="Times New Roman" w:hAnsi="Times New Roman" w:cs="Times New Roman"/>
        </w:rPr>
        <w:fldChar w:fldCharType="end"/>
      </w:r>
      <w:r w:rsidRPr="00A54953">
        <w:rPr>
          <w:rFonts w:ascii="Times New Roman" w:hAnsi="Times New Roman" w:cs="Times New Roman"/>
        </w:rPr>
        <w:t>. These substances encompass diverse chemical classes such as organophosphates, carbamates, pyrethroids, and nitrogen- and phosphorus-based fertilizers, each designed to target specific biological processes</w:t>
      </w:r>
      <w:r w:rsidR="00C93D6E" w:rsidRPr="00A54953">
        <w:rPr>
          <w:rFonts w:ascii="Times New Roman" w:hAnsi="Times New Roman" w:cs="Times New Roman"/>
        </w:rPr>
        <w:fldChar w:fldCharType="begin"/>
      </w:r>
      <w:r w:rsidR="00C93D6E" w:rsidRPr="00A54953">
        <w:rPr>
          <w:rFonts w:ascii="Times New Roman" w:hAnsi="Times New Roman" w:cs="Times New Roman"/>
        </w:rPr>
        <w:instrText xml:space="preserve"> ADDIN ZOTERO_ITEM CSL_CITATION {"citationID":"5DCp4hs7","properties":{"formattedCitation":"[2]","plainCitation":"[2]","noteIndex":0},"citationItems":[{"id":309,"uris":["http://zotero.org/users/16652950/items/T4E8R8RL"],"itemData":{"id":309,"type":"article-journal","abstract":"A biomarker is any measurable biological moiety that can be assessed and measured as a potential index of either normal or abnormal pathophysiology or pharmacological responses to some treatment regimen. Every tissue in the body has a distinct biomolecular make-up, which is known as its biomarkers, which possess particular features, viz., the levels or activities (the ability of a gene or protein to carry out a particular body function) of a gene, protein, or other biomolecules. A biomarker refers to some feature that can be objectively quantified by various biochemical samples and evaluates the exposure of an organism to normal or pathological procedures or their response to some drug interventions. An in-depth and comprehensive realization of the significance of these biomarkers becomes quite important for the efficient diagnosis of diseases and for providing the appropriate directions in case of multiple drug choices being presently available, which can benefit any patient. Presently, advancements in omics technologies have opened up new possibilities to obtain novel biomarkers of different types, employing genomic strategies, epigenetics, metabolomics, transcriptomics, lipid-based analysis, protein studies, etc. Particular biomarkers for specific diseases, their prognostic capabilities, and responses to therapeutic paradigms have been applied for screening of various normal healthy, as well as diseased, tissue or serum samples, and act as appreciable tools in pharmacology and therapeutics, etc. In this review, we have summarized various biomarker types, their classification, and monitoring and detection methods and strategies. Various analytical techniques and approaches of biomarkers have also been described along with various clinically applicable biomarker sensing techniques which have been developed in the recent past. A section has also been dedicated to the latest trends in the formulation and designing of nanotechnology-based biomarker sensing and detection developments in this field.","container-title":"Pharmaceutics","DOI":"10.3390/pharmaceutics15061630","ISSN":"1999-4923","issue":"6","journalAbbreviation":"Pharmaceutics","note":"PMID: 37376078\nPMCID: PMC10303887","page":"1630","source":"PubMed Central","title":"Biomarkers as Biomedical Bioindicators: Approaches and Techniques for the Detection, Analysis, and Validation of Novel Biomarkers of Diseases","title-short":"Biomarkers as Biomedical Bioindicators","volume":"15","author":[{"family":"Ahmad","given":"Anas"},{"family":"Imran","given":"Mohammad"},{"family":"Ahsan","given":"Haseeb"}],"issued":{"date-parts":[["2023",5,31]]}}}],"schema":"https://github.com/citation-style-language/schema/raw/master/csl-citation.json"} </w:instrText>
      </w:r>
      <w:r w:rsidR="00C93D6E" w:rsidRPr="00A54953">
        <w:rPr>
          <w:rFonts w:ascii="Times New Roman" w:hAnsi="Times New Roman" w:cs="Times New Roman"/>
        </w:rPr>
        <w:fldChar w:fldCharType="separate"/>
      </w:r>
      <w:r w:rsidR="00C93D6E" w:rsidRPr="00A54953">
        <w:rPr>
          <w:rFonts w:ascii="Times New Roman" w:hAnsi="Times New Roman" w:cs="Times New Roman"/>
        </w:rPr>
        <w:t>[2]</w:t>
      </w:r>
      <w:r w:rsidR="00C93D6E" w:rsidRPr="00A54953">
        <w:rPr>
          <w:rFonts w:ascii="Times New Roman" w:hAnsi="Times New Roman" w:cs="Times New Roman"/>
        </w:rPr>
        <w:fldChar w:fldCharType="end"/>
      </w:r>
      <w:r w:rsidRPr="00A54953">
        <w:rPr>
          <w:rFonts w:ascii="Times New Roman" w:hAnsi="Times New Roman" w:cs="Times New Roman"/>
        </w:rPr>
        <w:t>. While their agronomic benefits are well established, many agrochemicals exhibit varying degrees of environmental persistence, bioaccumulation potential, and toxicity to non-target organisms, raising concerns about their broader ecological and human health impacts</w:t>
      </w:r>
      <w:r w:rsidR="00BF0B16" w:rsidRPr="00A54953">
        <w:rPr>
          <w:rFonts w:ascii="Times New Roman" w:hAnsi="Times New Roman" w:cs="Times New Roman"/>
        </w:rPr>
        <w:fldChar w:fldCharType="begin"/>
      </w:r>
      <w:r w:rsidR="00F44157" w:rsidRPr="00A54953">
        <w:rPr>
          <w:rFonts w:ascii="Times New Roman" w:hAnsi="Times New Roman" w:cs="Times New Roman"/>
        </w:rPr>
        <w:instrText xml:space="preserve"> ADDIN ZOTERO_ITEM CSL_CITATION {"citationID":"SnJZ654B","properties":{"formattedCitation":"[3]","plainCitation":"[3]","noteIndex":0},"citationItems":[{"id":17824,"uris":["http://zotero.org/users/16652950/items/LGBKTDU7"],"itemData":{"id":17824,"type":"article-journal","abstract":"The widespread use of pesticides in modern agriculture has significantly enhanced food production by managing pests and diseases; however, their degra...","container-title":"Environments","DOI":"10.3390/environments12080272","ISSN":"2076-3298","issue":"8","language":"en","license":"http://creativecommons.org/licenses/by/3.0/","note":"publisher: Multidisciplinary Digital Publishing Institute","source":"www.mdpi.com","title":"Pesticide Degradation: Impacts on Soil Fertility and Nutrient Cycling","title-short":"Pesticide Degradation","URL":"https://www.mdpi.com/2076-3298/12/8/272","volume":"12","author":[{"family":"Yasir","given":"Muhammad"},{"family":"Hossain","given":"Abul"},{"family":"Pratap-Singh","given":"Anubhav"}],"accessed":{"date-parts":[["2026",4,24]]},"issued":{"date-parts":[["2025",8,6]]}}}],"schema":"https://github.com/citation-style-language/schema/raw/master/csl-citation.json"} </w:instrText>
      </w:r>
      <w:r w:rsidR="00BF0B16" w:rsidRPr="00A54953">
        <w:rPr>
          <w:rFonts w:ascii="Times New Roman" w:hAnsi="Times New Roman" w:cs="Times New Roman"/>
        </w:rPr>
        <w:fldChar w:fldCharType="separate"/>
      </w:r>
      <w:r w:rsidR="00F44157" w:rsidRPr="00A54953">
        <w:rPr>
          <w:rFonts w:ascii="Times New Roman" w:hAnsi="Times New Roman" w:cs="Times New Roman"/>
        </w:rPr>
        <w:t>[3]</w:t>
      </w:r>
      <w:r w:rsidR="00BF0B16" w:rsidRPr="00A54953">
        <w:rPr>
          <w:rFonts w:ascii="Times New Roman" w:hAnsi="Times New Roman" w:cs="Times New Roman"/>
        </w:rPr>
        <w:fldChar w:fldCharType="end"/>
      </w:r>
      <w:r w:rsidRPr="00A54953">
        <w:rPr>
          <w:rFonts w:ascii="Times New Roman" w:hAnsi="Times New Roman" w:cs="Times New Roman"/>
        </w:rPr>
        <w:t>.</w:t>
      </w:r>
    </w:p>
    <w:p w14:paraId="7A31244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Globally, the use of agrochemicals has increased substantially over the past decades, driven by population growth, intensification of farming systems, and the need to meet rising food demand. According to reports from the Food and Agriculture Organization and the World Health Organization, millions of </w:t>
      </w:r>
      <w:proofErr w:type="spellStart"/>
      <w:r w:rsidRPr="00A54953">
        <w:rPr>
          <w:rFonts w:ascii="Times New Roman" w:hAnsi="Times New Roman" w:cs="Times New Roman"/>
        </w:rPr>
        <w:t>tonnes</w:t>
      </w:r>
      <w:proofErr w:type="spellEnd"/>
      <w:r w:rsidRPr="00A54953">
        <w:rPr>
          <w:rFonts w:ascii="Times New Roman" w:hAnsi="Times New Roman" w:cs="Times New Roman"/>
        </w:rPr>
        <w:t xml:space="preserve"> of pesticides and fertilizers are applied annually, with </w:t>
      </w:r>
      <w:r w:rsidRPr="00A54953">
        <w:rPr>
          <w:rFonts w:ascii="Times New Roman" w:hAnsi="Times New Roman" w:cs="Times New Roman"/>
        </w:rPr>
        <w:lastRenderedPageBreak/>
        <w:t>particularly rapid growth observed in low- and middle-income countries. In many of these settings, weak regulatory enforcement, limited farmer training, and inadequate safety practices contribute to excessive or improper use, amplifying the risk of environmental contamination and human exposure</w:t>
      </w:r>
      <w:r w:rsidR="00310024" w:rsidRPr="00A54953">
        <w:rPr>
          <w:rFonts w:ascii="Times New Roman" w:hAnsi="Times New Roman" w:cs="Times New Roman"/>
        </w:rPr>
        <w:fldChar w:fldCharType="begin"/>
      </w:r>
      <w:r w:rsidR="00310024" w:rsidRPr="00A54953">
        <w:rPr>
          <w:rFonts w:ascii="Times New Roman" w:hAnsi="Times New Roman" w:cs="Times New Roman"/>
        </w:rPr>
        <w:instrText xml:space="preserve"> ADDIN ZOTERO_ITEM CSL_CITATION {"citationID":"096EadJ3","properties":{"formattedCitation":"[4,5]","plainCitation":"[4,5]","noteIndex":0},"citationItems":[{"id":17828,"uris":["http://zotero.org/users/16652950/items/XSZY9CVH"],"itemData":{"id":17828,"type":"article-journal","abstract":"As agricultural production increases, the use of chemical fertilisers, herbicides, and other synthetic pesticides has equally increased over the years...","container-title":"Environments","DOI":"10.3390/environments11080182","ISSN":"2076-3298","issue":"8","language":"en","license":"http://creativecommons.org/licenses/by/3.0/","note":"publisher: Multidisciplinary Digital Publishing Institute","source":"www.mdpi.com","title":"Effects of Agricultural Pesticides on Decline in Insect Species and Individual Numbers","URL":"https://www.mdpi.com/2076-3298/11/8/182","volume":"11","author":[{"family":"Quandahor","given":"Peter"},{"family":"Kim","given":"Leesun"},{"family":"Kim","given":"Minju"},{"family":"Lee","given":"Keunpyo"},{"family":"Kusi","given":"Francis"},{"family":"Jeong","given":"In-hong"}],"accessed":{"date-parts":[["2026",4,24]]},"issued":{"date-parts":[["2024",8,20]]}}},{"id":13174,"uris":["http://zotero.org/users/16652950/items/4S3VLB6E"],"itemData":{"id":13174,"type":"article-journal","abstract":"This review critically examines the multifaceted impacts of chemical pesticides on environmental ecosystems and human health, highlighting the urgent need for sustainable pest management practices. The widespread use of pesticides, such as organochlorine compounds (e.g., DDT, endrin) known for their persistence and bioaccumulation, poses significant risks to biodiversity, water quality, and food safety. By accumulating in the food chain, these substances threaten higher trophic levels and amplify the potential for adverse health outcomes, including acute poisoning, cancer, and neurological disorders. Specific examples such as glyphosate and atrazine illustrate the pervasive nature of pesticide contamination in various environments. Key findings include the association of pesticide exposure with increased risks of non-Hodgkin lymphoma and Parkinson's disease, and the development of antibiotic resistance in microbial communities. The review discusses potential remediation methods, including physicochemical techniques like photodegradation and advanced oxidation processes, as well as bioremediation strategies involving microbial degradation. Photodegradation rates are influenced by environmental factors such as sunlight intensity, soil properties, and organic matter content. Bioremediation using specific microbial consortia has shown promise in degrading persistent pesticides, enhancing soil recovery. Emphasizing the importance of integrated pest management (IPM), enhanced regulatory frameworks, and user education, this review advocates for a strategic shift towards practices that minimize environmental harm and safeguard human health. Implementing these measures can significantly contribute to the advancement of sustainable agriculture by reducing pesticide reliance and promoting ecological balance.","container-title":"Emerging Contaminants","DOI":"10.1016/j.emcon.2024.100410","ISSN":"2405-6650","issue":"1","journalAbbreviation":"Emerging Contaminants","page":"100410","source":"ScienceDirect","title":"A comprehensive review on environmental and human health impacts of chemical pesticide usage","volume":"11","author":[{"family":"Zhou","given":"Wei"},{"family":"Li","given":"Mengmeng"},{"family":"Achal","given":"Varenyam"}],"issued":{"date-parts":[["2025",3,1]]}}}],"schema":"https://github.com/citation-style-language/schema/raw/master/csl-citation.json"} </w:instrText>
      </w:r>
      <w:r w:rsidR="00310024" w:rsidRPr="00A54953">
        <w:rPr>
          <w:rFonts w:ascii="Times New Roman" w:hAnsi="Times New Roman" w:cs="Times New Roman"/>
        </w:rPr>
        <w:fldChar w:fldCharType="separate"/>
      </w:r>
      <w:r w:rsidR="00310024" w:rsidRPr="00A54953">
        <w:rPr>
          <w:rFonts w:ascii="Times New Roman" w:hAnsi="Times New Roman" w:cs="Times New Roman"/>
        </w:rPr>
        <w:t>[4,5]</w:t>
      </w:r>
      <w:r w:rsidR="00310024" w:rsidRPr="00A54953">
        <w:rPr>
          <w:rFonts w:ascii="Times New Roman" w:hAnsi="Times New Roman" w:cs="Times New Roman"/>
        </w:rPr>
        <w:fldChar w:fldCharType="end"/>
      </w:r>
      <w:r w:rsidRPr="00A54953">
        <w:rPr>
          <w:rFonts w:ascii="Times New Roman" w:hAnsi="Times New Roman" w:cs="Times New Roman"/>
        </w:rPr>
        <w:t>.</w:t>
      </w:r>
    </w:p>
    <w:p w14:paraId="4A4A7AB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relationship between agricultural practices and human health is mediated through multiple environmental pathways</w:t>
      </w:r>
      <w:r w:rsidR="00B018AE" w:rsidRPr="00A54953">
        <w:rPr>
          <w:rFonts w:ascii="Times New Roman" w:hAnsi="Times New Roman" w:cs="Times New Roman"/>
        </w:rPr>
        <w:fldChar w:fldCharType="begin"/>
      </w:r>
      <w:r w:rsidR="00310024" w:rsidRPr="00A54953">
        <w:rPr>
          <w:rFonts w:ascii="Times New Roman" w:hAnsi="Times New Roman" w:cs="Times New Roman"/>
        </w:rPr>
        <w:instrText xml:space="preserve"> ADDIN ZOTERO_ITEM CSL_CITATION {"citationID":"omTNsUMA","properties":{"formattedCitation":"[6]","plainCitation":"[6]","noteIndex":0},"citationItems":[{"id":17823,"uris":["http://zotero.org/users/16652950/items/534SPP9N"],"itemData":{"id":17823,"type":"article-journal","abstract":"Battery Energy Storage Systems (BESS) are critical enablers of modern power systems, supporting renewable energy integration, grid stability, and flexible energy management. However, battery degradation, safety risks, and high lifecycle costs remain major barriers to their long-term economic viability. In response, health-aware modeling and control strategies have emerged as a key paradigm for explicitly embedding battery aging and health considerations into system-level decision-making. This review provides a structured and integrative synthesis of state-of-the-art health-aware approaches for BESS, with a particular emphasis on how degradation knowledge is translated into modeling, control, and energy management frameworks. First, fundamental battery degradation mechanisms and key health indicators are reviewed to establish a unified physical and operational foundation. Electrochemical, equivalent-circuit, data-driven, and hybrid battery models are then critically compared based on their ability to capture aging dynamics, computational tractability, and suitability for real-time applications.","language":"en","source":"Zotero","title":"A Review of Health-Aware Modeling and Control Strategies for Battery Energy Storage Systems","author":[{"family":"Osinubi","given":"Olorunfunmi Olamilekan"},{"family":"Adeoba","given":"Mariam Iyabo"}]}}],"schema":"https://github.com/citation-style-language/schema/raw/master/csl-citation.json"} </w:instrText>
      </w:r>
      <w:r w:rsidR="00B018AE" w:rsidRPr="00A54953">
        <w:rPr>
          <w:rFonts w:ascii="Times New Roman" w:hAnsi="Times New Roman" w:cs="Times New Roman"/>
        </w:rPr>
        <w:fldChar w:fldCharType="separate"/>
      </w:r>
      <w:r w:rsidR="00310024" w:rsidRPr="00A54953">
        <w:rPr>
          <w:rFonts w:ascii="Times New Roman" w:hAnsi="Times New Roman" w:cs="Times New Roman"/>
        </w:rPr>
        <w:t>[6]</w:t>
      </w:r>
      <w:r w:rsidR="00B018AE" w:rsidRPr="00A54953">
        <w:rPr>
          <w:rFonts w:ascii="Times New Roman" w:hAnsi="Times New Roman" w:cs="Times New Roman"/>
        </w:rPr>
        <w:fldChar w:fldCharType="end"/>
      </w:r>
      <w:r w:rsidRPr="00A54953">
        <w:rPr>
          <w:rFonts w:ascii="Times New Roman" w:hAnsi="Times New Roman" w:cs="Times New Roman"/>
        </w:rPr>
        <w:t>. Agrochemicals applied to crops can infiltrate soil systems, leach into groundwater, run off into surface water bodies, or disperse through the atmosphere via spray drift and volatilization. These processes facilitate entry into the food chain and increase the likelihood of human exposure through ingestion, inhalation, and dermal contact, thereby linking agricultural inputs to a range of adverse health outcomes.</w:t>
      </w:r>
    </w:p>
    <w:p w14:paraId="26535358"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This narrative review aims to synthesize current evidence on the environmental pathways of agrochemical contamination and to critically examine how these pathways translate into human exposure and health risks. It further highlights key knowledge gaps and discusses implications for public health policy and sustainable agricultural practices</w:t>
      </w:r>
      <w:r w:rsidR="006C0490" w:rsidRPr="00A54953">
        <w:rPr>
          <w:rFonts w:ascii="Times New Roman" w:hAnsi="Times New Roman" w:cs="Times New Roman"/>
        </w:rPr>
        <w:fldChar w:fldCharType="begin"/>
      </w:r>
      <w:r w:rsidR="00310024" w:rsidRPr="00A54953">
        <w:rPr>
          <w:rFonts w:ascii="Times New Roman" w:hAnsi="Times New Roman" w:cs="Times New Roman"/>
        </w:rPr>
        <w:instrText xml:space="preserve"> ADDIN ZOTERO_ITEM CSL_CITATION {"citationID":"cvQGrh3M","properties":{"formattedCitation":"[7]","plainCitation":"[7]","noteIndex":0},"citationItems":[{"id":11353,"uris":["http://zotero.org/users/16652950/items/F2S6AR5Y"],"itemData":{"id":11353,"type":"article-journal","abstract":"The outbreak of cholera in Nigeria represents a significant public health challenge, worsened by factors such as poor sanitation, inadequate clean water supply, and climate variability. This study explores multiple approaches required to address this epidemic through the lens of the One Health framework, which recognizes the interconnection between human, animal, and environmental health. Integrating epidemiological data, environmental studies, and veterinary science, the One Health approach offers a holistic strategy to combat cholera. This study examines the current cholera outbreak in Nigeria, identifying key contributing factors and evaluating the effectiveness of One Health interventions. The findings underscore the importance of collaborative efforts across sectors, including improved water, sanitation, and hygiene (WASH) practices, robust surveillance systems, and community engagement. Additionally, the study highlights the role of climate change in increasing cholera outbreaks and the necessity of incorporating environmental health strategies into public health planning. The One Health approach not only enhances understanding of cholera dynamics but also promotes sustainable solutions to prevent future outbreaks, ultimately contributing to the broader goal of global health security.","container-title":"Discover Public Health","DOI":"10.1186/s12982-025-00526-5","ISSN":"3005-0774","issue":"1","journalAbbreviation":"Discov Public Health","language":"en","page":"125","source":"Springer Link","title":"Outbreak of cholera in Nigeria: the role of One Health","title-short":"Outbreak of cholera in Nigeria","volume":"22","author":[{"family":"Aborode","given":"Abdullahi Tunde"},{"family":"Adesola","given":"Ridwan Olamilekan"},{"family":"Onifade","given":"Isreal Ayobami"},{"family":"Adesiyan","given":"Raphael"},{"family":"Ibiam","given":"Victor Akachukwu"},{"family":"Jinadu","given":"Noimat Abeni"},{"family":"Bakre","given":"Adetolase Azizat"}],"issued":{"date-parts":[["2025",3,31]]}}}],"schema":"https://github.com/citation-style-language/schema/raw/master/csl-citation.json"} </w:instrText>
      </w:r>
      <w:r w:rsidR="006C0490" w:rsidRPr="00A54953">
        <w:rPr>
          <w:rFonts w:ascii="Times New Roman" w:hAnsi="Times New Roman" w:cs="Times New Roman"/>
        </w:rPr>
        <w:fldChar w:fldCharType="separate"/>
      </w:r>
      <w:r w:rsidR="00310024" w:rsidRPr="00A54953">
        <w:rPr>
          <w:rFonts w:ascii="Times New Roman" w:hAnsi="Times New Roman" w:cs="Times New Roman"/>
        </w:rPr>
        <w:t>[7]</w:t>
      </w:r>
      <w:r w:rsidR="006C0490" w:rsidRPr="00A54953">
        <w:rPr>
          <w:rFonts w:ascii="Times New Roman" w:hAnsi="Times New Roman" w:cs="Times New Roman"/>
        </w:rPr>
        <w:fldChar w:fldCharType="end"/>
      </w:r>
      <w:r w:rsidRPr="00A54953">
        <w:rPr>
          <w:rFonts w:ascii="Times New Roman" w:hAnsi="Times New Roman" w:cs="Times New Roman"/>
        </w:rPr>
        <w:t>.</w:t>
      </w:r>
    </w:p>
    <w:p w14:paraId="65B110A9"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2. Overview of Agrochemical Use in Modern Agriculture </w:t>
      </w:r>
    </w:p>
    <w:p w14:paraId="54D91E5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2.1 Types and Classes </w:t>
      </w:r>
    </w:p>
    <w:p w14:paraId="286E3F4F"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comprise a broad spectrum of chemical agents designed to optimize agricultural productivity. Major categories include pesticides (insecticides, herbicides, fungicides), fertilizers, and plant growth regulators. Pesticides are further classified based on chemical structure and mode of action, including organophosphates (acetylcholinesterase inhibitors), carbamates, pyrethroids (neurotoxic sodium channel modulators), and neonicotinoids (nicotinic receptor agonists)</w:t>
      </w:r>
      <w:r w:rsidR="00C619F5" w:rsidRPr="00A54953">
        <w:rPr>
          <w:rFonts w:ascii="Times New Roman" w:hAnsi="Times New Roman" w:cs="Times New Roman"/>
        </w:rPr>
        <w:fldChar w:fldCharType="begin"/>
      </w:r>
      <w:r w:rsidR="00C619F5" w:rsidRPr="00A54953">
        <w:rPr>
          <w:rFonts w:ascii="Times New Roman" w:hAnsi="Times New Roman" w:cs="Times New Roman"/>
        </w:rPr>
        <w:instrText xml:space="preserve"> ADDIN ZOTERO_ITEM CSL_CITATION {"citationID":"PFj6Mvnx","properties":{"formattedCitation":"[8,9]","plainCitation":"[8,9]","noteIndex":0},"citationItems":[{"id":17830,"uris":["http://zotero.org/users/16652950/items/JBBVIVI6"],"itemData":{"id":17830,"type":"article-journal","abstract":"Pesticides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practices.","container-title":"Heliyon","DOI":"10.1016/j.heliyon.2024.e29128","ISSN":"2405-8440","issue":"7","journalAbbreviation":"Heliyon","note":"PMID: 38623208\nPMCID: PMC11016626","page":"e29128","source":"PubMed Central","title":"Pesticides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H."},{"family":"Hussain","given":"Sohail"}],"issued":{"date-parts":[["2024",4,4]]}}},{"id":17833,"uris":["http://zotero.org/users/16652950/items/CJHBBVID"],"itemData":{"id":17833,"type":"article-journal","abstract":"Pesticide use in crops is a severe problem in some countries. Each country has its legislation for use, but they differ in the degree of tolerance for these broadly toxic products. Several synthetic pesticides can cause air, soil, and water pollution, contaminating the human food chain and other living beings. In addition, some of them can accumulate in the environment for an indeterminate amount of time. The agriculture sector must guarantee healthy food with sustainable production using environmentally friendly methods. In this context, biological biopesticides from microbes and plants are a growing green solution for this segment. Several pests attack crops worldwide, including weeds, insects, nematodes, and microorganisms such as fungi, bacteria, and viruses, causing diseases and economic losses. The use of bioproducts from microorganisms, such as microbial biopesticides (MBPs) or microorganisms alone, is a practice and is growing due to the intense research in the world. Mainly, bacteria, fungi, and baculoviruses have been used as sources of biomolecules and secondary metabolites for biopesticide use. Different methods, such as direct soil application, spraying techniques with microorganisms, endotherapy, and seed treatment, are used. Adjuvants like surfactants, protective agents, and carriers improve the system in different formulations. In addition, microorganisms are a tool for the bioremediation of pesticides in the environment. This review summarizes these topics, focusing on the biopesticides of microbial origin.","container-title":"Plants","DOI":"10.3390/plants13192762","ISSN":"2223-7747","issue":"19","journalAbbreviation":"Plants (Basel)","note":"PMID: 39409632\nPMCID: PMC11479090","page":"2762","source":"PubMed Central","title":"Agricultural Pest Management: The Role of Microorganisms in Biopesticides and Soil Bioremediation","title-short":"Agricultural Pest Management","volume":"13","author":[{"family":"Vermelho","given":"Alane Beatriz"},{"family":"Moreira","given":"Jean Vinícius"},{"family":"Akamine","given":"Ingrid Teixeira"},{"family":"Cardoso","given":"Veronica S."},{"family":"Mansoldo","given":"Felipe R. P."}],"issued":{"date-parts":[["2024",10,1]]}}}],"schema":"https://github.com/citation-style-language/schema/raw/master/csl-citation.json"} </w:instrText>
      </w:r>
      <w:r w:rsidR="00C619F5" w:rsidRPr="00A54953">
        <w:rPr>
          <w:rFonts w:ascii="Times New Roman" w:hAnsi="Times New Roman" w:cs="Times New Roman"/>
        </w:rPr>
        <w:fldChar w:fldCharType="separate"/>
      </w:r>
      <w:r w:rsidR="00C619F5" w:rsidRPr="00A54953">
        <w:rPr>
          <w:rFonts w:ascii="Times New Roman" w:hAnsi="Times New Roman" w:cs="Times New Roman"/>
        </w:rPr>
        <w:t>[8,9]</w:t>
      </w:r>
      <w:r w:rsidR="00C619F5" w:rsidRPr="00A54953">
        <w:rPr>
          <w:rFonts w:ascii="Times New Roman" w:hAnsi="Times New Roman" w:cs="Times New Roman"/>
        </w:rPr>
        <w:fldChar w:fldCharType="end"/>
      </w:r>
      <w:r w:rsidRPr="00A54953">
        <w:rPr>
          <w:rFonts w:ascii="Times New Roman" w:hAnsi="Times New Roman" w:cs="Times New Roman"/>
        </w:rPr>
        <w:t>. Fertilizers primarily supply macronutrients such as nitrogen, phosphorus, and potassium, often in synthetic formulations like urea or ammonium nitrate. Herbicides such as glyphosate target plant metabolic pathways, while fungicides inhibit fungal growth through diverse biochemical mechanisms. The physicochemical properties of these compounds</w:t>
      </w:r>
      <w:r w:rsidR="00DC5A28" w:rsidRPr="00A54953">
        <w:rPr>
          <w:rFonts w:ascii="Times New Roman" w:hAnsi="Times New Roman" w:cs="Times New Roman"/>
        </w:rPr>
        <w:t xml:space="preserve"> </w:t>
      </w:r>
      <w:r w:rsidRPr="00A54953">
        <w:rPr>
          <w:rFonts w:ascii="Times New Roman" w:hAnsi="Times New Roman" w:cs="Times New Roman"/>
        </w:rPr>
        <w:t>including solubility, volatility, and persistence</w:t>
      </w:r>
      <w:r w:rsidR="00DC5A28" w:rsidRPr="00A54953">
        <w:rPr>
          <w:rFonts w:ascii="Times New Roman" w:hAnsi="Times New Roman" w:cs="Times New Roman"/>
        </w:rPr>
        <w:t xml:space="preserve"> </w:t>
      </w:r>
      <w:r w:rsidRPr="00A54953">
        <w:rPr>
          <w:rFonts w:ascii="Times New Roman" w:hAnsi="Times New Roman" w:cs="Times New Roman"/>
        </w:rPr>
        <w:t>largely determine their environmental behavior and potential for human exposure</w:t>
      </w:r>
      <w:r w:rsidR="00EB6052" w:rsidRPr="00A54953">
        <w:rPr>
          <w:rFonts w:ascii="Times New Roman" w:hAnsi="Times New Roman" w:cs="Times New Roman"/>
        </w:rPr>
        <w:fldChar w:fldCharType="begin"/>
      </w:r>
      <w:r w:rsidR="00EB6052" w:rsidRPr="00A54953">
        <w:rPr>
          <w:rFonts w:ascii="Times New Roman" w:hAnsi="Times New Roman" w:cs="Times New Roman"/>
        </w:rPr>
        <w:instrText xml:space="preserve"> ADDIN ZOTERO_ITEM CSL_CITATION {"citationID":"SQVr2jEj","properties":{"formattedCitation":"[10]","plainCitation":"[10]","noteIndex":0},"citationItems":[{"id":17837,"uris":["http://zotero.org/users/16652950/items/QXC2GKXG"],"itemData":{"id":17837,"type":"article-journal","abstract":"Background: Fertilizers are widely used to supply nutrients to crops, thereby increasing yields and soil fertility. However, the effects of their production and application on human health through occupational, residential, and environmental exposure remain unclear. Objective: To conduct a systematic review of epidemiological studies on the association between exposure to fertilizers and health-related outcomes. Methods: We searched in PubMed, Scopus, and Web of Science for cohort, case-control, cross-sectional, and ecological studies (up to May 2024) related to exposure to fertilizers and any reported human health endpoints across all age groups, without language or geographical limitations. Data were extracted for population and study characteristics, type of fertilizer used, exposure assessment, sample size, outcome and its definition, effect estimate, and quality characteristics from the eligible studies, and they were descriptively synthesized. Results: We found 65 eligible publications, with 407 postulated associations. Forty-six publications (321 associations) assessed exposure to inorganic fertilizers, and nineteen studies (93 associations) assessed organic fertilizers. Exposure assessed was related to occupation, residence, and/or proximity. The assessed outcomes were diverse, with considerable harmonization challenges. Inorganic fertilizers have been associated with an increased risk of cancerous outcomes in a small number of studies with methodological limitations and low replication validity, while organic fertilizers have been associated with infections and diarrhea. Conclusions: The epidemiological evidence suggests possible associations between inorganic fertilizers with solid organ tumors and hematological malignancies and organic fertilizers with infections and diarrhea. However, the available evidence is limited, and heterogeneity prevails. Further research is needed to enlarge the evidence base and increase the replication validity and robustness of the results.","container-title":"Toxics","DOI":"10.3390/toxics12100694","ISSN":"2305-6304","issue":"10","journalAbbreviation":"Toxics","note":"PMID: 39453114\nPMCID: PMC11511508","page":"694","source":"PubMed Central","title":"Fertilizers and Human Health—A Systematic Review of the Epidemiological Evidence","volume":"12","author":[{"family":"Tagkas","given":"Christos F."},{"family":"Rizos","given":"Evangelos C."},{"family":"Markozannes","given":"Georgios"},{"family":"Karalexi","given":"Maria A."},{"family":"Wairegi","given":"Lydia"},{"family":"Ntzani","given":"Evangelia E."}],"issued":{"date-parts":[["2024",9,26]]}}}],"schema":"https://github.com/citation-style-language/schema/raw/master/csl-citation.json"} </w:instrText>
      </w:r>
      <w:r w:rsidR="00EB6052" w:rsidRPr="00A54953">
        <w:rPr>
          <w:rFonts w:ascii="Times New Roman" w:hAnsi="Times New Roman" w:cs="Times New Roman"/>
        </w:rPr>
        <w:fldChar w:fldCharType="separate"/>
      </w:r>
      <w:r w:rsidR="00EB6052" w:rsidRPr="00A54953">
        <w:rPr>
          <w:rFonts w:ascii="Times New Roman" w:hAnsi="Times New Roman" w:cs="Times New Roman"/>
        </w:rPr>
        <w:t>[10]</w:t>
      </w:r>
      <w:r w:rsidR="00EB6052" w:rsidRPr="00A54953">
        <w:rPr>
          <w:rFonts w:ascii="Times New Roman" w:hAnsi="Times New Roman" w:cs="Times New Roman"/>
        </w:rPr>
        <w:fldChar w:fldCharType="end"/>
      </w:r>
      <w:r w:rsidRPr="00A54953">
        <w:rPr>
          <w:rFonts w:ascii="Times New Roman" w:hAnsi="Times New Roman" w:cs="Times New Roman"/>
        </w:rPr>
        <w:t>.</w:t>
      </w:r>
    </w:p>
    <w:p w14:paraId="287F80A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2.2 Application Practices</w:t>
      </w:r>
    </w:p>
    <w:p w14:paraId="3E778765"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Agrochemicals are applied through multiple delivery systems, including foliar spraying, soil incorporation, seed treatment, and irrigation-based methods such as chemigation. Foliar spraying remains the most common technique but is highly susceptible to spray drift, leading to off-target deposition. Soil application facilitates root uptake but increases the likelihood of leaching into groundwater, particularly in permeable soils. Seed treatments provide targeted protection during early plant growth but may still introduce residues into surrounding soil ecosystems. In many low- and middle-income settings, application practices are often characterized by overuse, improper dosing, and inadequate protective measures, driven by limited training and regulatory </w:t>
      </w:r>
      <w:r w:rsidRPr="00A54953">
        <w:rPr>
          <w:rFonts w:ascii="Times New Roman" w:hAnsi="Times New Roman" w:cs="Times New Roman"/>
        </w:rPr>
        <w:lastRenderedPageBreak/>
        <w:t>oversight. Seasonal variability, climatic conditions, and crop type further influence application frequency and environmental dispersion patterns</w:t>
      </w:r>
      <w:r w:rsidR="00FF4CAA" w:rsidRPr="00A54953">
        <w:rPr>
          <w:rFonts w:ascii="Times New Roman" w:hAnsi="Times New Roman" w:cs="Times New Roman"/>
        </w:rPr>
        <w:fldChar w:fldCharType="begin"/>
      </w:r>
      <w:r w:rsidR="00FF4CAA" w:rsidRPr="00A54953">
        <w:rPr>
          <w:rFonts w:ascii="Times New Roman" w:hAnsi="Times New Roman" w:cs="Times New Roman"/>
        </w:rPr>
        <w:instrText xml:space="preserve"> ADDIN ZOTERO_ITEM CSL_CITATION {"citationID":"PLunx9s7","properties":{"formattedCitation":"[11,12]","plainCitation":"[11,12]","noteIndex":0},"citationItems":[{"id":17840,"uris":["http://zotero.org/users/16652950/items/IQW3FQ8K"],"itemData":{"id":17840,"type":"article-journal","abstract":"In modern agriculture, plant protection is the key to ensuring crop health and improving yields. Intelligent pesticide prescription spraying (IPPS) te...","container-title":"Agriculture","DOI":"10.3390/agriculture15010081","ISSN":"2077-0472","issue":"1","language":"en","license":"http://creativecommons.org/licenses/by/3.0/","note":"publisher: Multidisciplinary Digital Publishing Institute","source":"www.mdpi.com","title":"Key Intelligent Pesticide Prescription Spraying Technologies for the Control of Pests, Diseases, and Weeds: A Review","title-short":"Key Intelligent Pesticide Prescription Spraying Technologies for the Control of Pests, Diseases, and Weeds","URL":"https://www.mdpi.com/2077-0472/15/1/81","volume":"15","author":[{"family":"Ye","given":"Kaiqiang"},{"family":"Hu","given":"Gang"},{"family":"Tong","given":"Zijie"},{"family":"Xu","given":"Youlin"},{"family":"Zheng","given":"Jiaqiang"}],"accessed":{"date-parts":[["2026",4,24]]},"issued":{"date-parts":[["2024",12,31]]}}},{"id":17842,"uris":["http://zotero.org/users/16652950/items/X9SVHKV5"],"itemData":{"id":17842,"type":"article-journal","abstract":"Currently, applying uniform distribution of chemical herbicide through a sprayer without considering the spatial distribution information of crops and weeds is the most common method of controlling weeds in commercial agricultural production system. This kind of weed management practice lead to excessive amounts of chemical herbicides being applied in a given field. The objective of this study was to perform site-specific weed control (SSWC) in a corn field by: (1) using a unmanned aerial system (UAS) to map the spatial distribution information of weeds in the field; (2) creating a prescription map based on the weed distribution map, and (3) spraying the field using the prescription map and a commercial size sprayer. In this study, we assumed that plants growing outside the corn rows are weeds and they need to be controlled. The first step in implementing such an approach is identifying the corn rows. For that, we are proposing a Crop Row Identification algorithm, a computer vision algorithm that identifies corn rows on UAS imagery. After being identified, the corn rows were then removed from the imagery and remaining vegetation fraction was classified as weeds. Based on that information, a grid-based weed prescription map was created and the weed control application was implemented through a commercial-size sprayer. The decision of spraying herbicides on a particular grid was based on the presence of weeds in that grid cell. All the grids that contained at least one weed were sprayed, while the grids free of weeds were not. Using our SSWC approach, we were able to save 26.2% of the acreage from being sprayed with herbicide compared to the current method. This study presents a full workflow from UAS image collection to field weed control implementation using a commercial size sprayer, and it shows that some level of savings can potentially be obtained even in a situation with high weed infestation, which might provide an opportunity to reduce chemical usage in corn production systems.","container-title":"Scientific Reports","DOI":"10.1038/s41598-023-33042-0","ISSN":"2045-2322","journalAbbreviation":"Sci Rep","note":"PMID: 37085558\nPMCID: PMC10121711","page":"6548","source":"PubMed Central","title":"Towards reducing chemical usage for weed control in agriculture using UAS imagery analysis and computer vision techniques","volume":"13","author":[{"family":"Sapkota","given":"Ranjan"},{"family":"Stenger","given":"John"},{"family":"Ostlie","given":"Michael"},{"family":"Flores","given":"Paulo"}],"issued":{"date-parts":[["2023",4,21]]}}}],"schema":"https://github.com/citation-style-language/schema/raw/master/csl-citation.json"} </w:instrText>
      </w:r>
      <w:r w:rsidR="00FF4CAA" w:rsidRPr="00A54953">
        <w:rPr>
          <w:rFonts w:ascii="Times New Roman" w:hAnsi="Times New Roman" w:cs="Times New Roman"/>
        </w:rPr>
        <w:fldChar w:fldCharType="separate"/>
      </w:r>
      <w:r w:rsidR="00FF4CAA" w:rsidRPr="00A54953">
        <w:rPr>
          <w:rFonts w:ascii="Times New Roman" w:hAnsi="Times New Roman" w:cs="Times New Roman"/>
        </w:rPr>
        <w:t>[11,12]</w:t>
      </w:r>
      <w:r w:rsidR="00FF4CAA" w:rsidRPr="00A54953">
        <w:rPr>
          <w:rFonts w:ascii="Times New Roman" w:hAnsi="Times New Roman" w:cs="Times New Roman"/>
        </w:rPr>
        <w:fldChar w:fldCharType="end"/>
      </w:r>
      <w:r w:rsidRPr="00A54953">
        <w:rPr>
          <w:rFonts w:ascii="Times New Roman" w:hAnsi="Times New Roman" w:cs="Times New Roman"/>
        </w:rPr>
        <w:t>.</w:t>
      </w:r>
    </w:p>
    <w:p w14:paraId="0A9209C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2.3 Regulatory Landscape </w:t>
      </w:r>
    </w:p>
    <w:p w14:paraId="1F8DFA33"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regulation of agrochemicals is guided by international frameworks and national policies aimed at minimizing risks to human health and the environment. Organizations such as the World Health Organization and the Food and Agriculture Organization provide joint guidelines on pesticide management, classification of hazard levels, and safe handling practices. Instruments such as the International Code of Conduct on Pesticide Management establish voluntary standards for lifecycle management, including production, distribution, application, and disposal. However, regulatory enforcement varies widely across countries, with many low-resource settings facing challenges related to weak monitoring systems, informal markets, and limited capacity for risk assessment. These gaps contribute to continued misuse and elevated exposure risks</w:t>
      </w:r>
      <w:r w:rsidR="00CF1721" w:rsidRPr="00A54953">
        <w:rPr>
          <w:rFonts w:ascii="Times New Roman" w:hAnsi="Times New Roman" w:cs="Times New Roman"/>
        </w:rPr>
        <w:fldChar w:fldCharType="begin"/>
      </w:r>
      <w:r w:rsidR="00CF1721" w:rsidRPr="00A54953">
        <w:rPr>
          <w:rFonts w:ascii="Times New Roman" w:hAnsi="Times New Roman" w:cs="Times New Roman"/>
        </w:rPr>
        <w:instrText xml:space="preserve"> ADDIN ZOTERO_ITEM CSL_CITATION {"citationID":"Nr4o9zqx","properties":{"formattedCitation":"[13]","plainCitation":"[13]","noteIndex":0},"citationItems":[{"id":17845,"uris":["http://zotero.org/users/16652950/items/KXJGRWI7"],"itemData":{"id":17845,"type":"article-journal","abstract":"Although pesticides have a positive effect on plant health in terms of insect pests and diseases control, increased productivity and improved crop storage, their malpractice impacts on food safety ...","container-title":"Cogent Food &amp; Agriculture","language":"en","source":"www.tandfonline.com","title":"Pesticide regulations and their malpractice implications on food and environment safety","URL":"https://www.tandfonline.com/doi/abs/10.1080/23311932.2019.1601544","accessed":{"date-parts":[["2026",4,24]]}}}],"schema":"https://github.com/citation-style-language/schema/raw/master/csl-citation.json"} </w:instrText>
      </w:r>
      <w:r w:rsidR="00CF1721" w:rsidRPr="00A54953">
        <w:rPr>
          <w:rFonts w:ascii="Times New Roman" w:hAnsi="Times New Roman" w:cs="Times New Roman"/>
        </w:rPr>
        <w:fldChar w:fldCharType="separate"/>
      </w:r>
      <w:r w:rsidR="00CF1721" w:rsidRPr="00A54953">
        <w:rPr>
          <w:rFonts w:ascii="Times New Roman" w:hAnsi="Times New Roman" w:cs="Times New Roman"/>
        </w:rPr>
        <w:t>[13]</w:t>
      </w:r>
      <w:r w:rsidR="00CF1721" w:rsidRPr="00A54953">
        <w:rPr>
          <w:rFonts w:ascii="Times New Roman" w:hAnsi="Times New Roman" w:cs="Times New Roman"/>
        </w:rPr>
        <w:fldChar w:fldCharType="end"/>
      </w:r>
      <w:r w:rsidRPr="00A54953">
        <w:rPr>
          <w:rFonts w:ascii="Times New Roman" w:hAnsi="Times New Roman" w:cs="Times New Roman"/>
        </w:rPr>
        <w:t>.</w:t>
      </w:r>
    </w:p>
    <w:p w14:paraId="24C4476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 Environmental Pathways of Agrochemical Contamination </w:t>
      </w:r>
    </w:p>
    <w:p w14:paraId="18F30758" w14:textId="77777777" w:rsidR="00E63698" w:rsidRPr="00A54953" w:rsidRDefault="00E63698" w:rsidP="005849CD">
      <w:pPr>
        <w:rPr>
          <w:rFonts w:ascii="Times New Roman" w:hAnsi="Times New Roman" w:cs="Times New Roman"/>
          <w:b/>
          <w:bCs/>
          <w:i/>
          <w:iCs/>
        </w:rPr>
      </w:pPr>
      <w:r w:rsidRPr="00A54953">
        <w:rPr>
          <w:rFonts w:ascii="Times New Roman" w:hAnsi="Times New Roman" w:cs="Times New Roman"/>
          <w:b/>
          <w:bCs/>
          <w:i/>
          <w:iCs/>
        </w:rPr>
        <w:t>As shown in Figure 1, agrochemicals disperse through multiple environmental pathways and enter the human body via ingestion, inhalation, and dermal contact</w:t>
      </w:r>
    </w:p>
    <w:p w14:paraId="3E6D69CD" w14:textId="77777777" w:rsidR="00E63698" w:rsidRPr="00A54953" w:rsidRDefault="00E63698" w:rsidP="00E63698">
      <w:pPr>
        <w:rPr>
          <w:rFonts w:ascii="Times New Roman" w:hAnsi="Times New Roman" w:cs="Times New Roman"/>
          <w:b/>
          <w:bCs/>
        </w:rPr>
      </w:pPr>
      <w:r w:rsidRPr="00A54953">
        <w:rPr>
          <w:rFonts w:ascii="Times New Roman" w:hAnsi="Times New Roman" w:cs="Times New Roman"/>
          <w:b/>
          <w:bCs/>
          <w:noProof/>
        </w:rPr>
        <w:drawing>
          <wp:inline distT="0" distB="0" distL="0" distR="0" wp14:anchorId="2D2386D6" wp14:editId="3C3A4C90">
            <wp:extent cx="5943600" cy="3962400"/>
            <wp:effectExtent l="0" t="0" r="0" b="0"/>
            <wp:docPr id="1341621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1057" name="Picture 13416210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A54953">
        <w:rPr>
          <w:rFonts w:ascii="Times New Roman" w:hAnsi="Times New Roman" w:cs="Times New Roman"/>
          <w:b/>
          <w:bCs/>
        </w:rPr>
        <w:t xml:space="preserve">Figure 1: Environmental Pathways of Agrochemical Contamination Linking Agricultural Application to Human Exposure. </w:t>
      </w:r>
      <w:r w:rsidRPr="00A54953">
        <w:rPr>
          <w:rFonts w:ascii="Times New Roman" w:hAnsi="Times New Roman" w:cs="Times New Roman"/>
        </w:rPr>
        <w:t xml:space="preserve">This figure illustrates the movement of agrochemicals from </w:t>
      </w:r>
      <w:r w:rsidRPr="00A54953">
        <w:rPr>
          <w:rFonts w:ascii="Times New Roman" w:hAnsi="Times New Roman" w:cs="Times New Roman"/>
        </w:rPr>
        <w:lastRenderedPageBreak/>
        <w:t>agricultural application into environmental media, including air, soil, and water, and their transfer into exposure media such as food, drinking water, and contaminated air. It highlights the primary human exposure pathways—ingestion, inhalation, and dermal contact—and the potential health risks associated with these exposures.</w:t>
      </w:r>
    </w:p>
    <w:p w14:paraId="0680A51C" w14:textId="77777777" w:rsidR="00E63698" w:rsidRPr="00A54953" w:rsidRDefault="00E63698" w:rsidP="005849CD">
      <w:pPr>
        <w:rPr>
          <w:rFonts w:ascii="Times New Roman" w:hAnsi="Times New Roman" w:cs="Times New Roman"/>
          <w:b/>
          <w:bCs/>
        </w:rPr>
      </w:pPr>
    </w:p>
    <w:p w14:paraId="104AC92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3.1 Soil Contamination </w:t>
      </w:r>
    </w:p>
    <w:p w14:paraId="2014074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Soil represents a primary reservoir for agrochemical accumulation following application. Many compounds exhibit strong adsorption to soil particles, influenced by organic matter content, pH, and clay composition. Persistent chemicals may remain in soils for extended periods, undergoing slow degradation through microbial metabolism, hydrolysis, or photolysis. Repeated application can lead to residue buildup, altering soil microbial communities and enzymatic activity. Such disruptions may impair nutrient cycling and soil fertility. Additionally, certain agrochemicals can be taken up by plant roots and translocated within tissues, facilitating entry into the food chain. Soil-bound residues also serve as a secondary source of contamination, with the potential to migrate into water systems through erosion and runoff processes</w:t>
      </w:r>
      <w:r w:rsidR="002635A7" w:rsidRPr="00A54953">
        <w:rPr>
          <w:rFonts w:ascii="Times New Roman" w:hAnsi="Times New Roman" w:cs="Times New Roman"/>
        </w:rPr>
        <w:fldChar w:fldCharType="begin"/>
      </w:r>
      <w:r w:rsidR="002635A7" w:rsidRPr="00A54953">
        <w:rPr>
          <w:rFonts w:ascii="Times New Roman" w:hAnsi="Times New Roman" w:cs="Times New Roman"/>
        </w:rPr>
        <w:instrText xml:space="preserve"> ADDIN ZOTERO_ITEM CSL_CITATION {"citationID":"jpkTz65c","properties":{"formattedCitation":"[14,15]","plainCitation":"[14,15]","noteIndex":0},"citationItems":[{"id":17847,"uris":["http://zotero.org/users/16652950/items/K55I324A"],"itemData":{"id":17847,"type":"article-journal","abstract":"The presence of persistent contaminants in soils is of growing concern around the world. Contaminated soils can affect numerous ecological environment...","container-title":"Environments","DOI":"10.3390/environments12070229","ISSN":"2076-3298","issue":"7","language":"en","license":"http://creativecommons.org/licenses/by/3.0/","note":"publisher: Multidisciplinary Digital Publishing Institute","source":"www.mdpi.com","title":"A Review of Persistent Soil Contaminants: Assessment and Remediation Strategies","title-short":"A Review of Persistent Soil Contaminants","URL":"https://www.mdpi.com/2076-3298/12/7/229","volume":"12","author":[{"family":"Correia","given":"António Alberto S."},{"family":"Rasteiro","given":"Maria Graça"}],"accessed":{"date-parts":[["2026",4,24]]},"issued":{"date-parts":[["2025",7,4]]}}},{"id":14918,"uris":["http://zotero.org/users/16652950/items/9YAZUK2M"],"itemData":{"id":14918,"type":"article-journal","abstract":"Agricultural activities are essential for sustaining the global population, yet they exert considerable pressure on the environment. A major challenge we face today is agricultural pollution, much of which is diffuse in nature, lacking a clear point of origin for chemical discharge. Modern agricultural practices, which often depend on substantial applications of fertilizers, pesticides, and irrigation water, are key contributors to this form of pollution. These activities lead to downstream contamination through mechanisms such as surface runoff, leaching, soil erosion, wind dispersal, and sedimentation. The environmental and human health consequences of diffuse pollution are profound and cannot be ignored. Accurate assessment of the risks posed by agricultural pollutants is crucial for ensuring the production of safe, high-quality food while safeguarding the environment. This requires systematic monitoring and evaluation of agricultural practices, including soil testing and nutrient management. Furthermore, the development and implementation of best management practices (BMPs) are critical in reducing the levels of agricultural pollution. Such measures are essential for mitigating the negative impacts on ecosystems and public health. Therefore, the adoption of preventive strategies aimed at minimizing pollution and its associated risks is highly recommended to ensure long-term environmental sustainability and human well-being.","container-title":"Science of The Total Environment","DOI":"10.1016/j.scitotenv.2025.178398","ISSN":"0048-9697","journalAbbreviation":"Science of The Total Environment","page":"178398","source":"ScienceDirect","title":"Diffuse soil pollution from agriculture: Impacts and remediation","title-short":"Diffuse soil pollution from agriculture","volume":"962","author":[{"family":"Nuruzzaman","given":"Md"},{"family":"Bahar","given":"Md Mezbaul"},{"family":"Naidu","given":"Ravi"}],"issued":{"date-parts":[["2025",1,25]]}}}],"schema":"https://github.com/citation-style-language/schema/raw/master/csl-citation.json"} </w:instrText>
      </w:r>
      <w:r w:rsidR="002635A7" w:rsidRPr="00A54953">
        <w:rPr>
          <w:rFonts w:ascii="Times New Roman" w:hAnsi="Times New Roman" w:cs="Times New Roman"/>
        </w:rPr>
        <w:fldChar w:fldCharType="separate"/>
      </w:r>
      <w:r w:rsidR="002635A7" w:rsidRPr="00A54953">
        <w:rPr>
          <w:rFonts w:ascii="Times New Roman" w:hAnsi="Times New Roman" w:cs="Times New Roman"/>
        </w:rPr>
        <w:t>[14,15]</w:t>
      </w:r>
      <w:r w:rsidR="002635A7" w:rsidRPr="00A54953">
        <w:rPr>
          <w:rFonts w:ascii="Times New Roman" w:hAnsi="Times New Roman" w:cs="Times New Roman"/>
        </w:rPr>
        <w:fldChar w:fldCharType="end"/>
      </w:r>
      <w:r w:rsidRPr="00A54953">
        <w:rPr>
          <w:rFonts w:ascii="Times New Roman" w:hAnsi="Times New Roman" w:cs="Times New Roman"/>
        </w:rPr>
        <w:t>.</w:t>
      </w:r>
    </w:p>
    <w:p w14:paraId="3B672EE4"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3.2 Water Contamination </w:t>
      </w:r>
    </w:p>
    <w:p w14:paraId="007EB859"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Water systems are highly vulnerable to agrochemical contamination through both surface runoff and subsurface leaching. During rainfall or irrigation events, chemicals applied to agricultural fields can be transported into nearby rivers, lakes, and reservoirs. This process is particularly pronounced in regions with intense precipitation or poor soil retention capacity. Leaching into groundwater occurs when soluble compounds infiltrate through soil layers, posing risks to drinking water supplies. Nutrient-rich fertilizers, especially nitrogen and phosphorus, contribute to eutrophication, characterized by excessive algal growth, oxygen depletion, and ecosystem imbalance. Pesticide residues have been detected in both surface and groundwater across diverse geographic regions, highlighting the widespread nature of contamination. The persistence and mobility of these substances depend on their chemical properties and environmental conditions, including temperature, pH, and hydrological dynamics</w:t>
      </w:r>
      <w:r w:rsidR="00332E93" w:rsidRPr="00A54953">
        <w:rPr>
          <w:rFonts w:ascii="Times New Roman" w:hAnsi="Times New Roman" w:cs="Times New Roman"/>
        </w:rPr>
        <w:fldChar w:fldCharType="begin"/>
      </w:r>
      <w:r w:rsidR="00332E93" w:rsidRPr="00A54953">
        <w:rPr>
          <w:rFonts w:ascii="Times New Roman" w:hAnsi="Times New Roman" w:cs="Times New Roman"/>
        </w:rPr>
        <w:instrText xml:space="preserve"> ADDIN ZOTERO_ITEM CSL_CITATION {"citationID":"SMDLjAYc","properties":{"formattedCitation":"[16,17]","plainCitation":"[16,17]","noteIndex":0},"citationItems":[{"id":17849,"uris":["http://zotero.org/users/16652950/items/NHB5JEJ7"],"itemData":{"id":17849,"type":"article-journal","abstract":"Groundwater contamination by pesticides poses significant risks to this critical freshwater resource, which supports urban, rural, industrial, and agricultural needs. Pesticides, widely used to enhance agricultural productivity, often infiltrate groundwater, threatening both environmental sustainability and human health. By analyzing recent studies, this article highlights the long-term risks associated with pesticide residues and evaluates mitigation strategies, including Best Management Practices (BMPs), bioremediation, and policy interventions. The findings underscore the need for integrated approaches to groundwater protection, such as promoting organic and sustainable farming practices, implementing robust groundwater quality monitoring systems, and strengthening pesticide regulations. This review examines the intricate dynamics of pesticide pollution, encompassing its sources, transport pathways, persistence, and impacts on groundwater systems. In addition, it offers a foundation for informed policymaking, future research, and the development of strategies aimed at conserving groundwater resources and minimizing pesticide contamination.","container-title":"Discover Agriculture","DOI":"10.1007/s44279-025-00337-x","ISSN":"2731-9598","issue":"1","journalAbbreviation":"Discov Agric","language":"en","page":"152","source":"Springer Link","title":"Pesticide contamination in groundwater: processes, risks, and mitigation strategies","title-short":"Pesticide contamination in groundwater","volume":"3","author":[{"family":"Acharya","given":"Licon Kumar"},{"family":"Paramaguru","given":"Pradosh Kumar"},{"family":"Tripathi","given":"Kailashpati"},{"family":"Bhoi","given":"Tanmay Kumar"},{"family":"Seth","given":"Pinki"},{"family":"Birah","given":"Ajanta"}],"issued":{"date-parts":[["2025",9,13]]}}},{"id":17851,"uris":["http://zotero.org/users/16652950/items/LD9E6H4V"],"itemData":{"id":17851,"type":"article-journal","abstract":"Agricultural non-point source pollution (ANPSP) significantly affects worldwide water quality, soil integrity, and ecosystems. Primary factors are nut...","container-title":"Agriculture","DOI":"10.3390/agriculture15050531","ISSN":"2077-0472","issue":"5","language":"en","license":"http://creativecommons.org/licenses/by/3.0/","note":"publisher: Multidisciplinary Digital Publishing Institute","source":"www.mdpi.com","title":"Agricultural Non-Point Source Pollution: Comprehensive Analysis of Sources and Assessment Methods","title-short":"Agricultural Non-Point Source Pollution","URL":"https://www.mdpi.com/2077-0472/15/5/531","volume":"15","author":[{"family":"Hussain","given":"Fida"},{"family":"Ahmed","given":"Shakeel"},{"family":"Naqvi","given":"Syed Muhammad Zaigham Abbas"},{"family":"Awais","given":"Muhammad"},{"family":"Zhang","given":"Yanyan"},{"family":"Zhang","given":"Hao"},{"family":"Raghavan","given":"Vijaya"},{"family":"Zang","given":"Yiheng"},{"family":"Zhao","given":"Guoqing"},{"family":"Hu","given":"Jiandong"}],"accessed":{"date-parts":[["2026",4,24]]},"issued":{"date-parts":[["2025",2,27]]}}}],"schema":"https://github.com/citation-style-language/schema/raw/master/csl-citation.json"} </w:instrText>
      </w:r>
      <w:r w:rsidR="00332E93" w:rsidRPr="00A54953">
        <w:rPr>
          <w:rFonts w:ascii="Times New Roman" w:hAnsi="Times New Roman" w:cs="Times New Roman"/>
        </w:rPr>
        <w:fldChar w:fldCharType="separate"/>
      </w:r>
      <w:r w:rsidR="00332E93" w:rsidRPr="00A54953">
        <w:rPr>
          <w:rFonts w:ascii="Times New Roman" w:hAnsi="Times New Roman" w:cs="Times New Roman"/>
        </w:rPr>
        <w:t>[16,17]</w:t>
      </w:r>
      <w:r w:rsidR="00332E93" w:rsidRPr="00A54953">
        <w:rPr>
          <w:rFonts w:ascii="Times New Roman" w:hAnsi="Times New Roman" w:cs="Times New Roman"/>
        </w:rPr>
        <w:fldChar w:fldCharType="end"/>
      </w:r>
      <w:r w:rsidRPr="00A54953">
        <w:rPr>
          <w:rFonts w:ascii="Times New Roman" w:hAnsi="Times New Roman" w:cs="Times New Roman"/>
        </w:rPr>
        <w:t>.</w:t>
      </w:r>
    </w:p>
    <w:p w14:paraId="1872E7CE"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3.3 Airborne Transport </w:t>
      </w:r>
    </w:p>
    <w:p w14:paraId="0B338988"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Agrochemicals can enter the atmosphere through processes such as spray drift and volatilization. Spray drift occurs when fine droplets are carried by wind during or after application, leading to deposition beyond target areas. Volatilization involves the transformation of liquid or solid chemicals into gaseous forms, enabling atmospheric dispersion over varying distances. Once airborne, these substances may undergo chemical transformation or attach to particulate matter, facilitating long-range transport. Atmospheric deposition through rainfall or dry settling can reintroduce agrochemicals into soil and water systems far from the original application site. This pathway is particularly relevant for semi-volatile compounds and contributes to the global </w:t>
      </w:r>
      <w:r w:rsidRPr="00A54953">
        <w:rPr>
          <w:rFonts w:ascii="Times New Roman" w:hAnsi="Times New Roman" w:cs="Times New Roman"/>
        </w:rPr>
        <w:lastRenderedPageBreak/>
        <w:t>distribution of certain persistent pollutants, raising concerns about transboundary exposure</w:t>
      </w:r>
      <w:r w:rsidR="001E1A99" w:rsidRPr="00A54953">
        <w:rPr>
          <w:rFonts w:ascii="Times New Roman" w:hAnsi="Times New Roman" w:cs="Times New Roman"/>
        </w:rPr>
        <w:fldChar w:fldCharType="begin"/>
      </w:r>
      <w:r w:rsidR="00B87AC2" w:rsidRPr="00A54953">
        <w:rPr>
          <w:rFonts w:ascii="Times New Roman" w:hAnsi="Times New Roman" w:cs="Times New Roman"/>
        </w:rPr>
        <w:instrText xml:space="preserve"> ADDIN ZOTERO_ITEM CSL_CITATION {"citationID":"ANjC4nP7","properties":{"formattedCitation":"[18,19]","plainCitation":"[18,19]","noteIndex":0},"citationItems":[{"id":17853,"uris":["http://zotero.org/users/16652950/items/IN2YYVXZ"],"itemData":{"id":17853,"type":"article-journal","abstract":"This critical review examines the release of pesticides from agricultural practices into the air, with a focus on volatilization, and the factors influencing their dispersion. The review delves into the effects of airborne pesticides on human health and their contribution to anthropogenic air pollution. It highlights the necessity of interdisciplinary research encompassing science, technology, public policy, and agricultural practices to effectively mitigate the risks associated with pesticide volatilization and spray dispersion. The text acknowledges the need for more research to understand the fate and transport of airborne pesticides, develop innovative application technologies, improve predictive modeling and risk assessment, and adopt sustainable pest management strategies. Robust policies and regulations, supported by education, training, research, and development, are crucial to ensuring the safe and sustainable use of pesticides for human health and the environment. By providing valuable insights, this review aids researchers and practitioners in devising effective and sustainable solutions for safeguarding human health and the environment from the hazards of airborne pesticides.","container-title":"Toxics","DOI":"10.3390/toxics11100858","ISSN":"2305-6304","issue":"10","journalAbbreviation":"Toxics","note":"PMID: 37888709\nPMCID: PMC10611335","page":"858","source":"PubMed Central","title":"Airborne Pesticides from Agricultural Practices: A Critical Review of Pathways, Influencing Factors, and Human Health Implications","title-short":"Airborne Pesticides from Agricultural Practices","volume":"11","author":[{"family":"Boonupara","given":"Thirasant"},{"family":"Udomkun","given":"Patchimaporn"},{"family":"Khan","given":"Eakalak"},{"family":"Kajitvichyanukul","given":"Puangrat"}],"issued":{"date-parts":[["2023",10,13]]}}},{"id":17856,"uris":["http://zotero.org/users/16652950/items/HK3WXITR"],"itemData":{"id":17856,"type":"article-journal","abstract":"According to estimates from the World Health Organization (WHO), organophosphate pesticides are responsible for approximately 300,000 deaths worldwide...","container-title":"Sustainability","DOI":"10.3390/su16072908","ISSN":"2071-1050","issue":"7","language":"en","license":"http://creativecommons.org/licenses/by/3.0/","note":"publisher: Multidisciplinary Digital Publishing Institute","source":"www.mdpi.com","title":"A Hybrid Modeling Approach for Estimating the Exposure to Organophosphate Pesticide Drift in Sangamon County, Illinois","URL":"https://www.mdpi.com/2071-1050/16/7/2908","volume":"16","author":[{"family":"Afandi","given":"Gamal El"},{"family":"Ismael","given":"Hossam"},{"family":"Fall","given":"Souleymane"}],"accessed":{"date-parts":[["2026",4,24]]},"issued":{"date-parts":[["2024",3,29]]}}}],"schema":"https://github.com/citation-style-language/schema/raw/master/csl-citation.json"} </w:instrText>
      </w:r>
      <w:r w:rsidR="001E1A99" w:rsidRPr="00A54953">
        <w:rPr>
          <w:rFonts w:ascii="Times New Roman" w:hAnsi="Times New Roman" w:cs="Times New Roman"/>
        </w:rPr>
        <w:fldChar w:fldCharType="separate"/>
      </w:r>
      <w:r w:rsidR="00B87AC2" w:rsidRPr="00A54953">
        <w:rPr>
          <w:rFonts w:ascii="Times New Roman" w:hAnsi="Times New Roman" w:cs="Times New Roman"/>
        </w:rPr>
        <w:t>[18,19]</w:t>
      </w:r>
      <w:r w:rsidR="001E1A99" w:rsidRPr="00A54953">
        <w:rPr>
          <w:rFonts w:ascii="Times New Roman" w:hAnsi="Times New Roman" w:cs="Times New Roman"/>
        </w:rPr>
        <w:fldChar w:fldCharType="end"/>
      </w:r>
      <w:r w:rsidRPr="00A54953">
        <w:rPr>
          <w:rFonts w:ascii="Times New Roman" w:hAnsi="Times New Roman" w:cs="Times New Roman"/>
        </w:rPr>
        <w:t>.</w:t>
      </w:r>
    </w:p>
    <w:p w14:paraId="532FCE2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3.4 Food Chain Contamination </w:t>
      </w:r>
    </w:p>
    <w:p w14:paraId="6C04A903"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can enter the food chain through direct deposition on crops, uptake from contaminated soil and water, or accumulation in animal tissues. Plants absorb certain chemicals through roots or leaf surfaces, leading to measurable residues in edible parts. Livestock may ingest contaminated feed or water, resulting in bioaccumulation within tissues such as fat, liver, and milk. Over time, some compounds may undergo biomagnification, where concentrations increase at higher trophic levels. Chronic dietary exposure to low levels of agrochemical residues is a significant concern for human health, particularly in populations reliant on locally produced food. Regulatory agencies establish maximum residue limits (MRLs) to control exposure; however, monitoring and enforcement challenges may limit their effectiveness in some regions</w:t>
      </w:r>
      <w:r w:rsidR="00875D13" w:rsidRPr="00A54953">
        <w:rPr>
          <w:rFonts w:ascii="Times New Roman" w:hAnsi="Times New Roman" w:cs="Times New Roman"/>
        </w:rPr>
        <w:fldChar w:fldCharType="begin"/>
      </w:r>
      <w:r w:rsidR="00875D13" w:rsidRPr="00A54953">
        <w:rPr>
          <w:rFonts w:ascii="Times New Roman" w:hAnsi="Times New Roman" w:cs="Times New Roman"/>
        </w:rPr>
        <w:instrText xml:space="preserve"> ADDIN ZOTERO_ITEM CSL_CITATION {"citationID":"27fpAQGT","properties":{"formattedCitation":"[20]","plainCitation":"[20]","noteIndex":0},"citationItems":[{"id":17858,"uris":["http://zotero.org/users/16652950/items/NW32QKKS"],"itemData":{"id":17858,"type":"article-journal","abstract":"Heavy metal contamination in food systems has emerged as a critical global concern due to its persistent nature and serious implications for food safety and public health. Rapid industrialization, urban expansion, and unsustainable agricultural practices especially the use of untreated wastewater for irrigation have contributed significantly to the accumulation of toxic metals in agricultural soils and edible crops. This review synthesizes current knowledge on the mechanisms of heavy metal uptake, translocation, and accumulation in vegetable crops, with a particular focus on how these processes affect the entry of harmful metals into the human food chain. Key physiological and molecular mechanisms, including the role of metal transporters and detoxification strategies within plant tissues, are discussed with relevance to food safety and phytoremediation. The paper also critically evaluates human health risks associated with dietary exposure to heavy metals, using metrics such as chronic daily intake (CDI), hazard quotient (HQ), and total cancer risk (TCR). Importantly, the review identifies key knowledge gaps such as inconsistent data on crop-specific uptake patterns, lack of long-term human health studies, and insufficient attention to emerging contaminants and outlines directions for future research. Evidence from recent studies shows that metal concentrations in commonly consumed vegetables often exceed FAO/WHO permissible limits, especially in regions using contaminated irrigation sources. To mitigate these risks, the review underscores the urgent need for stricter wastewater regulations, improved soil management practices, and the development of low-accumulating crop varieties. This integrative perspective aims to inform both scientific inquiry and policy decisions for safer and more sustainable food production.","container-title":"Discover Environment","DOI":"10.1007/s44274-025-00373-w","ISSN":"2731-9431","issue":"1","journalAbbreviation":"Discov Environ","language":"en","page":"210","source":"Springer Link","title":"Accumulation of toxic metals in vegetable crops and associated dietary exposure risks to human health","volume":"3","author":[{"family":"Ali","given":"Saquib"},{"family":"Ahirwar","given":"Rajesh"}],"issued":{"date-parts":[["2025",10,30]]}}}],"schema":"https://github.com/citation-style-language/schema/raw/master/csl-citation.json"} </w:instrText>
      </w:r>
      <w:r w:rsidR="00875D13" w:rsidRPr="00A54953">
        <w:rPr>
          <w:rFonts w:ascii="Times New Roman" w:hAnsi="Times New Roman" w:cs="Times New Roman"/>
        </w:rPr>
        <w:fldChar w:fldCharType="separate"/>
      </w:r>
      <w:r w:rsidR="00875D13" w:rsidRPr="00A54953">
        <w:rPr>
          <w:rFonts w:ascii="Times New Roman" w:hAnsi="Times New Roman" w:cs="Times New Roman"/>
        </w:rPr>
        <w:t>[20]</w:t>
      </w:r>
      <w:r w:rsidR="00875D13" w:rsidRPr="00A54953">
        <w:rPr>
          <w:rFonts w:ascii="Times New Roman" w:hAnsi="Times New Roman" w:cs="Times New Roman"/>
        </w:rPr>
        <w:fldChar w:fldCharType="end"/>
      </w:r>
      <w:r w:rsidRPr="00A54953">
        <w:rPr>
          <w:rFonts w:ascii="Times New Roman" w:hAnsi="Times New Roman" w:cs="Times New Roman"/>
        </w:rPr>
        <w:t>.</w:t>
      </w:r>
    </w:p>
    <w:p w14:paraId="09D4BD66"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3.5 Occupational Pathways </w:t>
      </w:r>
    </w:p>
    <w:p w14:paraId="41729559"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Occupational exposure represents a critical pathway for individuals directly involved in agricultural activities. Farmers, pesticide applicators, and agricultural workers are frequently exposed through dermal contact, inhalation of aerosols, and accidental ingestion. Activities such as mixing, loading, and spraying agrochemicals are associated with the highest exposure risks, particularly in the absence of appropriate personal protective equipment (PPE). In many low-resource settings, inadequate training, lack of awareness, and limited access to protective gear exacerbate exposure levels. Improper storage and disposal practices further increase the risk of accidental poisoning and environmental contamination. Chronic occupational exposure has been linked to a range of adverse health effects, underscoring the importance of safety training, regulatory enforcement, and adoption of safer agricultural practices</w:t>
      </w:r>
      <w:r w:rsidR="00423EFE" w:rsidRPr="00A54953">
        <w:rPr>
          <w:rFonts w:ascii="Times New Roman" w:hAnsi="Times New Roman" w:cs="Times New Roman"/>
        </w:rPr>
        <w:fldChar w:fldCharType="begin"/>
      </w:r>
      <w:r w:rsidR="00896D37" w:rsidRPr="00A54953">
        <w:rPr>
          <w:rFonts w:ascii="Times New Roman" w:hAnsi="Times New Roman" w:cs="Times New Roman"/>
        </w:rPr>
        <w:instrText xml:space="preserve"> ADDIN ZOTERO_ITEM CSL_CITATION {"citationID":"LoV5d6e4","properties":{"formattedCitation":"[21,22]","plainCitation":"[21,22]","noteIndex":0},"citationItems":[{"id":17861,"uris":["http://zotero.org/users/16652950/items/GYRZZDVE"],"itemData":{"id":17861,"type":"article-journal","abstract":"Introduction: Agricultural workers are frequently exposed to pesticides and agrochemicals through dermal contact, making dermal exposure assessment a crucial aspect of occupational health and safety.\nObjectives: This scoping review explores the different patterns of dermal distribution in agricultural settings and the key determinants influencing exposure levels. Understanding dermal distribution is essential for agricultural workers to improve their awareness of body parts that are at a higher risk of pesticide exposure and to prioritize protection for these areas.\nMethods: A search on three databases was done from 2006-2025 using the term occupational, dermal or skin and pesticide exposure. This review will explore on differences in pesticide dermal distribution and the determinants.\nResults: Across multiple studies examining dermal pesticide exposure, the lower legs and hands consistently showed the highest exposure particularly in application and mixing/loading tasks with exposure patterns influenced by task type, plant height, and spraying method, such as tractor use. Studies comparing total dermal exposure across various determinants consistently showed that application tasks, taller plant heights, motorized sprayers, and the applicator job role were associated with the highest exposure levels.\nConclusions: This scoping review reveals that hands and lower legs are the most pesticide-exposed body parts in agriculture, underscoring the need for targeted, accessible protective measures especially in low-resource settings to reduce health risks.","container-title":"Journal of Chemical Health Risks","ISSN":"2251-6727","issue":"4","language":"en","page":"1835-1850","source":"jchr.org","title":"Dermal Distributions of Pesticide in Agriculture Occupational Settings: A Scoping Review","title-short":"Dermal Distributions of Pesticide in Agriculture Occupational Settings","volume":"15","author":[{"family":"Sazali","given":"Ahmad Syuaib A."}],"issued":{"date-parts":[["2025",8,6]]}}},{"id":17863,"uris":["http://zotero.org/users/16652950/items/RAAJRDNC"],"itemData":{"id":17863,"type":"article-journal","abstract":"Pesticides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health.","container-title":"Toxics","DOI":"10.3390/toxics10060335","ISSN":"2305-6304","issue":"6","journalAbbreviation":"Toxics","note":"PMID: 35736943\nPMCID: PMC9231402","page":"335","source":"PubMed Central","title":"Exposure Routes and Health Risks Associated with Pesticide Application","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Tri"},{"family":"Sadler","given":"Ross"},{"family":"Connell","given":"Des"}],"issued":{"date-parts":[["2022",6,19]]}}}],"schema":"https://github.com/citation-style-language/schema/raw/master/csl-citation.json"} </w:instrText>
      </w:r>
      <w:r w:rsidR="00423EFE" w:rsidRPr="00A54953">
        <w:rPr>
          <w:rFonts w:ascii="Times New Roman" w:hAnsi="Times New Roman" w:cs="Times New Roman"/>
        </w:rPr>
        <w:fldChar w:fldCharType="separate"/>
      </w:r>
      <w:r w:rsidR="00896D37" w:rsidRPr="00A54953">
        <w:rPr>
          <w:rFonts w:ascii="Times New Roman" w:hAnsi="Times New Roman" w:cs="Times New Roman"/>
        </w:rPr>
        <w:t>[21,22]</w:t>
      </w:r>
      <w:r w:rsidR="00423EFE" w:rsidRPr="00A54953">
        <w:rPr>
          <w:rFonts w:ascii="Times New Roman" w:hAnsi="Times New Roman" w:cs="Times New Roman"/>
        </w:rPr>
        <w:fldChar w:fldCharType="end"/>
      </w:r>
      <w:r w:rsidRPr="00A54953">
        <w:rPr>
          <w:rFonts w:ascii="Times New Roman" w:hAnsi="Times New Roman" w:cs="Times New Roman"/>
        </w:rPr>
        <w:t>.</w:t>
      </w:r>
    </w:p>
    <w:p w14:paraId="63D84003"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4. Human Exposure Pathways </w:t>
      </w:r>
    </w:p>
    <w:p w14:paraId="7A1C9445"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Dietary Exposure</w:t>
      </w:r>
    </w:p>
    <w:p w14:paraId="35710B76"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Dietary intake represents a primary route of agrochemical exposure for the general population. Residues may persist on fruits, vegetables, and grains following application, or enter food products through uptake from contaminated soil and water. Lipophilic compounds can accumulate in animal-derived foods such as meat, milk, and eggs, increasing exposure through regular consumption</w:t>
      </w:r>
      <w:r w:rsidR="00822ADD" w:rsidRPr="00A54953">
        <w:rPr>
          <w:rFonts w:ascii="Times New Roman" w:hAnsi="Times New Roman" w:cs="Times New Roman"/>
        </w:rPr>
        <w:fldChar w:fldCharType="begin"/>
      </w:r>
      <w:r w:rsidR="00822ADD" w:rsidRPr="00A54953">
        <w:rPr>
          <w:rFonts w:ascii="Times New Roman" w:hAnsi="Times New Roman" w:cs="Times New Roman"/>
        </w:rPr>
        <w:instrText xml:space="preserve"> ADDIN ZOTERO_ITEM CSL_CITATION {"citationID":"vT0fBCzI","properties":{"formattedCitation":"[23]","plainCitation":"[23]","noteIndex":0},"citationItems":[{"id":17866,"uris":["http://zotero.org/users/16652950/items/CYPCNV9N"],"itemData":{"id":17866,"type":"article-journal","abstract":"Background:\nIntake of conventionally grown fruits and vegetables (FVs) is an important route of exposure to pesticide residues in the general population. However, whether health risk stemming from exposure to pesticides through diet could offset benefits of consuming FVs is unclear.\n\nObjective:\nWe assessed the association of FV intake, classified according to their pesticide residue status, with total and cause-specific mortality.\n\nMethods:\nWe followed 137,378 women (NHS, 1998–2019, and NHSII, 1999–2019) and 23,502 men (HPFS, 1998–2020) without cardiovascular disease, cancer, or diabetes at baseline. FV intake was assessed using validated food frequency questionnaires and categorized as having high- or low-pesticide-residues using data from the USDA Pesticide Data Program. Cox proportional hazards models were used to estimate hazard ratios (HRs) and 95% confidence intervals (CI) for total and cause-specific mortality associated with high- and low-pesticide-residue FV intake.\n\nResults:\nA total of 27,026 deaths, including 4,318 from CVD and 6,426 from cancer, were documented during 3,081,360 person-years of follow-up. In multivariable-adjusted analyses, participants who consumed ≥4 servings/day of low-pesticide-residue FVs had 36% (95% CI: 32%-41%) lower mortality risk compared to participants who consumed &lt;1 serving/day. The corresponding estimate for high-pesticide residue FV intake was 0.93 (95% CI: 0.81–1.07). This pattern was similar across the three most frequent causes of death (cardiovascular disease, cancer and respiratory diseases).\n\nConclusions:\nHigh-pesticide-residue FV intake was unrelated whereas low-pesticide residue FV intake was inversely related to all-cause mortality, suggesting that exposure to pesticide residues through diet may offset the beneficial effect of FV intake on mortality.","container-title":"Environment international","DOI":"10.1016/j.envint.2021.107024","ISSN":"0160-4120","journalAbbreviation":"Environ Int","note":"PMID: 34894487\nPMCID: PMC8771456","page":"107024","source":"PubMed Central","title":"Intake of fruits and vegetables according to pesticide residue status in relation to all-cause and disease-specific mortality: Results from three prospective cohort studies","title-short":"Intake of fruits and vegetables according to pesticide residue status in relation to all-cause and disease-specific mortality","volume":"159","author":[{"family":"Sandoval-Insausti","given":"Helena"},{"family":"Chin","given":"Yu-Han"},{"family":"Wang","given":"Yi-Xin"},{"family":"Hart","given":"Jaime E."},{"family":"Bhupathiraju","given":"Shilpa N."},{"family":"Mínguez-Alarcón","given":"Lidia"},{"family":"Ding","given":"Ming"},{"family":"Willett","given":"Walter C."},{"family":"Laden","given":"Francine"},{"family":"Chavarro","given":"Jorge E."}],"issued":{"date-parts":[["2022",1,15]]}}}],"schema":"https://github.com/citation-style-language/schema/raw/master/csl-citation.json"} </w:instrText>
      </w:r>
      <w:r w:rsidR="00822ADD" w:rsidRPr="00A54953">
        <w:rPr>
          <w:rFonts w:ascii="Times New Roman" w:hAnsi="Times New Roman" w:cs="Times New Roman"/>
        </w:rPr>
        <w:fldChar w:fldCharType="separate"/>
      </w:r>
      <w:r w:rsidR="00822ADD" w:rsidRPr="00A54953">
        <w:rPr>
          <w:rFonts w:ascii="Times New Roman" w:hAnsi="Times New Roman" w:cs="Times New Roman"/>
        </w:rPr>
        <w:t>[23]</w:t>
      </w:r>
      <w:r w:rsidR="00822ADD" w:rsidRPr="00A54953">
        <w:rPr>
          <w:rFonts w:ascii="Times New Roman" w:hAnsi="Times New Roman" w:cs="Times New Roman"/>
        </w:rPr>
        <w:fldChar w:fldCharType="end"/>
      </w:r>
      <w:r w:rsidRPr="00A54953">
        <w:rPr>
          <w:rFonts w:ascii="Times New Roman" w:hAnsi="Times New Roman" w:cs="Times New Roman"/>
        </w:rPr>
        <w:t>. Washing, peeling, and cooking can reduce but not fully eliminate residues. Chronic low-dose ingestion is of particular concern due to cumulative effects over time. Regulatory frameworks establish maximum residue limits (MRLs), but compliance varies across regions, especially where monitoring systems are limited or informal food markets predominate</w:t>
      </w:r>
      <w:r w:rsidR="009D2534" w:rsidRPr="00A54953">
        <w:rPr>
          <w:rFonts w:ascii="Times New Roman" w:hAnsi="Times New Roman" w:cs="Times New Roman"/>
        </w:rPr>
        <w:fldChar w:fldCharType="begin"/>
      </w:r>
      <w:r w:rsidR="009D2534" w:rsidRPr="00A54953">
        <w:rPr>
          <w:rFonts w:ascii="Times New Roman" w:hAnsi="Times New Roman" w:cs="Times New Roman"/>
        </w:rPr>
        <w:instrText xml:space="preserve"> ADDIN ZOTERO_ITEM CSL_CITATION {"citationID":"rhzN7Ww4","properties":{"formattedCitation":"[23]","plainCitation":"[23]","noteIndex":0},"citationItems":[{"id":17866,"uris":["http://zotero.org/users/16652950/items/CYPCNV9N"],"itemData":{"id":17866,"type":"article-journal","abstract":"Background:\nIntake of conventionally grown fruits and vegetables (FVs) is an important route of exposure to pesticide residues in the general population. However, whether health risk stemming from exposure to pesticides through diet could offset benefits of consuming FVs is unclear.\n\nObjective:\nWe assessed the association of FV intake, classified according to their pesticide residue status, with total and cause-specific mortality.\n\nMethods:\nWe followed 137,378 women (NHS, 1998–2019, and NHSII, 1999–2019) and 23,502 men (HPFS, 1998–2020) without cardiovascular disease, cancer, or diabetes at baseline. FV intake was assessed using validated food frequency questionnaires and categorized as having high- or low-pesticide-residues using data from the USDA Pesticide Data Program. Cox proportional hazards models were used to estimate hazard ratios (HRs) and 95% confidence intervals (CI) for total and cause-specific mortality associated with high- and low-pesticide-residue FV intake.\n\nResults:\nA total of 27,026 deaths, including 4,318 from CVD and 6,426 from cancer, were documented during 3,081,360 person-years of follow-up. In multivariable-adjusted analyses, participants who consumed ≥4 servings/day of low-pesticide-residue FVs had 36% (95% CI: 32%-41%) lower mortality risk compared to participants who consumed &lt;1 serving/day. The corresponding estimate for high-pesticide residue FV intake was 0.93 (95% CI: 0.81–1.07). This pattern was similar across the three most frequent causes of death (cardiovascular disease, cancer and respiratory diseases).\n\nConclusions:\nHigh-pesticide-residue FV intake was unrelated whereas low-pesticide residue FV intake was inversely related to all-cause mortality, suggesting that exposure to pesticide residues through diet may offset the beneficial effect of FV intake on mortality.","container-title":"Environment international","DOI":"10.1016/j.envint.2021.107024","ISSN":"0160-4120","journalAbbreviation":"Environ Int","note":"PMID: 34894487\nPMCID: PMC8771456","page":"107024","source":"PubMed Central","title":"Intake of fruits and vegetables according to pesticide residue status in relation to all-cause and disease-specific mortality: Results from three prospective cohort studies","title-short":"Intake of fruits and vegetables according to pesticide residue status in relation to all-cause and disease-specific mortality","volume":"159","author":[{"family":"Sandoval-Insausti","given":"Helena"},{"family":"Chin","given":"Yu-Han"},{"family":"Wang","given":"Yi-Xin"},{"family":"Hart","given":"Jaime E."},{"family":"Bhupathiraju","given":"Shilpa N."},{"family":"Mínguez-Alarcón","given":"Lidia"},{"family":"Ding","given":"Ming"},{"family":"Willett","given":"Walter C."},{"family":"Laden","given":"Francine"},{"family":"Chavarro","given":"Jorge E."}],"issued":{"date-parts":[["2022",1,15]]}}}],"schema":"https://github.com/citation-style-language/schema/raw/master/csl-citation.json"} </w:instrText>
      </w:r>
      <w:r w:rsidR="009D2534" w:rsidRPr="00A54953">
        <w:rPr>
          <w:rFonts w:ascii="Times New Roman" w:hAnsi="Times New Roman" w:cs="Times New Roman"/>
        </w:rPr>
        <w:fldChar w:fldCharType="separate"/>
      </w:r>
      <w:r w:rsidR="009D2534" w:rsidRPr="00A54953">
        <w:rPr>
          <w:rFonts w:ascii="Times New Roman" w:hAnsi="Times New Roman" w:cs="Times New Roman"/>
        </w:rPr>
        <w:t>[23]</w:t>
      </w:r>
      <w:r w:rsidR="009D2534" w:rsidRPr="00A54953">
        <w:rPr>
          <w:rFonts w:ascii="Times New Roman" w:hAnsi="Times New Roman" w:cs="Times New Roman"/>
        </w:rPr>
        <w:fldChar w:fldCharType="end"/>
      </w:r>
      <w:r w:rsidRPr="00A54953">
        <w:rPr>
          <w:rFonts w:ascii="Times New Roman" w:hAnsi="Times New Roman" w:cs="Times New Roman"/>
        </w:rPr>
        <w:t>.</w:t>
      </w:r>
    </w:p>
    <w:p w14:paraId="4CD1730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Occupational Exposure </w:t>
      </w:r>
    </w:p>
    <w:p w14:paraId="1A36A01F"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lastRenderedPageBreak/>
        <w:t>Occupational exposure is typically higher in magnitude and occurs among farmers, pesticide applicators, and agricultural workers. Exposure pathways include dermal absorption during handling, inhalation of aerosols during spraying, and incidental ingestion due to poor hygiene practices. The intensity of exposure is influenced by application methods, duration of contact, and use of personal protective equipment. Inadequate training and limited access to safety resources in many low- and middle-income settings contribute to elevated risk. Repeated exposure can result in both acute toxicity and long-term health effects</w:t>
      </w:r>
      <w:r w:rsidR="00D6215E" w:rsidRPr="00A54953">
        <w:rPr>
          <w:rFonts w:ascii="Times New Roman" w:hAnsi="Times New Roman" w:cs="Times New Roman"/>
        </w:rPr>
        <w:fldChar w:fldCharType="begin"/>
      </w:r>
      <w:r w:rsidR="00D6215E" w:rsidRPr="00A54953">
        <w:rPr>
          <w:rFonts w:ascii="Times New Roman" w:hAnsi="Times New Roman" w:cs="Times New Roman"/>
        </w:rPr>
        <w:instrText xml:space="preserve"> ADDIN ZOTERO_ITEM CSL_CITATION {"citationID":"1BmTMtOw","properties":{"formattedCitation":"[24]","plainCitation":"[24]","noteIndex":0},"citationItems":[{"id":17869,"uris":["http://zotero.org/users/16652950/items/6ET94N7I"],"itemData":{"id":17869,"type":"article-journal","abstract":"Inappropriate use of pesticides followed by unsafe handling practices to control the insect infestation among the farming groups in developing countries has resulted in a high exposure risk. The use of personal protective equipment is also negligible among Indian farmers due to their affordability to access the same. Very little research has been conducted to establish an exposure assessment procedure through dermal penetration of pesticide residues. Therefore, to quantify the contamination of pesticide residues through dermal exposure along with detailed field observations and pesticide management practices, a field study was conducted in Rangareddy district, Telangana, Southern India, to assess the dermal exposure based on dosimeter and hand washing methods. The analytical method was modified and validated in-house, for performance parameters such as limit of detection, quantification, linear range, recovery and precision. The Potential Dermal Exposure values ranged from 0.15 to 13.45 </w:instrText>
      </w:r>
      <w:r w:rsidR="00D6215E" w:rsidRPr="00A54953">
        <w:rPr>
          <w:rFonts w:ascii="Times New Roman" w:hAnsi="Times New Roman" w:cs="Times New Roman"/>
        </w:rPr>
        <w:instrText xml:space="preserve">g, while a reduction was found in exposure levels as Actual Dermal Exposure values ranged from 0 to 0.629 </w:instrText>
      </w:r>
      <w:r w:rsidR="00D6215E" w:rsidRPr="00A54953">
        <w:rPr>
          <w:rFonts w:ascii="Times New Roman" w:hAnsi="Times New Roman" w:cs="Times New Roman"/>
        </w:rPr>
        <w:instrText xml:space="preserve">g. Contamination through hand washing was the major contributor to overall dermal exposure. Statistical analysis revealed a significant difference in the exposed dermal regions of the leg and torso after the use of PPE. Penetration factor for each anatomical region and risk evaluation in terms of the Margin of Safety implies unsafe handling of pesticides. The findings of the present study confirm the increased exposure to organophosphate pesticides among operators and highlight the importance of the use of protective measures especially among those that focus on dermal exposure mitigation.","container-title":"Frontiers in Public Health","DOI":"10.3389/fpubh.2022.957774","ISSN":"2296-2565","journalAbbreviation":"Front. Public Health","language":"English","note":"publisher: Frontiers","source":"Frontiers","title":"Assessment of dermal exposure to pesticides among farmers using dosimeter and hand washing methods","URL":"https://www.frontiersin.org/journals/public-health/articles/10.3389/fpubh.2022.957774/full","volume":"10","author":[{"family":"Lari","given":"Summaiya"},{"family":"Jonnalagadda","given":"Padmaja R."},{"family":"Yamagani","given":"Praveen"},{"family":"Medithi","given":"Srujana"},{"family":"Vanka","given":"Janardhan"},{"family":"Pandiyan","given":"Arun"},{"family":"Naidu","given":"Mohan"},{"family":"Jee","given":"Babban"}],"accessed":{"date-parts":[["2026",4,24]]},"issued":{"date-parts":[["2022",8,24]]}}}],"schema":"https://github.com/citation-style-language/schema/raw/master/csl-citation.json"} </w:instrText>
      </w:r>
      <w:r w:rsidR="00D6215E" w:rsidRPr="00A54953">
        <w:rPr>
          <w:rFonts w:ascii="Times New Roman" w:hAnsi="Times New Roman" w:cs="Times New Roman"/>
        </w:rPr>
        <w:fldChar w:fldCharType="separate"/>
      </w:r>
      <w:r w:rsidR="00D6215E" w:rsidRPr="00A54953">
        <w:rPr>
          <w:rFonts w:ascii="Times New Roman" w:hAnsi="Times New Roman" w:cs="Times New Roman"/>
        </w:rPr>
        <w:t>[24]</w:t>
      </w:r>
      <w:r w:rsidR="00D6215E" w:rsidRPr="00A54953">
        <w:rPr>
          <w:rFonts w:ascii="Times New Roman" w:hAnsi="Times New Roman" w:cs="Times New Roman"/>
        </w:rPr>
        <w:fldChar w:fldCharType="end"/>
      </w:r>
      <w:r w:rsidRPr="00A54953">
        <w:rPr>
          <w:rFonts w:ascii="Times New Roman" w:hAnsi="Times New Roman" w:cs="Times New Roman"/>
        </w:rPr>
        <w:t>.</w:t>
      </w:r>
    </w:p>
    <w:p w14:paraId="3CA9912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Environmental/Residential Exposure </w:t>
      </w:r>
    </w:p>
    <w:p w14:paraId="5032D22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Individuals living near agricultural areas may be exposed through environmental pathways such as contaminated air, water, and soil. Spray drift and volatilization can transport agrochemicals beyond target fields, leading to deposition in residential zones. Contaminated groundwater used for drinking or household purposes represents another important route</w:t>
      </w:r>
      <w:r w:rsidR="00301F7B"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{"citationID":"U9503aKd","properties":{"formattedCitation":"[25]","plainCitation":"[25]","noteIndex":0},"citationItems":[{"id":11035,"uris":["http://zotero.org/users/16652950/items/N7MLCCZ5"],"itemData":{"id":11035,"type":"article-journal","abstract":"Antimicrobial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301F7B" w:rsidRPr="00A54953">
        <w:rPr>
          <w:rFonts w:ascii="Times New Roman" w:hAnsi="Times New Roman" w:cs="Times New Roman"/>
        </w:rPr>
        <w:fldChar w:fldCharType="separate"/>
      </w:r>
      <w:r w:rsidR="00301F7B" w:rsidRPr="00A54953">
        <w:rPr>
          <w:rFonts w:ascii="Times New Roman" w:hAnsi="Times New Roman" w:cs="Times New Roman"/>
        </w:rPr>
        <w:t>[25]</w:t>
      </w:r>
      <w:r w:rsidR="00301F7B" w:rsidRPr="00A54953">
        <w:rPr>
          <w:rFonts w:ascii="Times New Roman" w:hAnsi="Times New Roman" w:cs="Times New Roman"/>
        </w:rPr>
        <w:fldChar w:fldCharType="end"/>
      </w:r>
      <w:r w:rsidRPr="00A54953">
        <w:rPr>
          <w:rFonts w:ascii="Times New Roman" w:hAnsi="Times New Roman" w:cs="Times New Roman"/>
        </w:rPr>
        <w:t>. Indoor contamination may also occur through the transfer of residues on clothing or equipment. These exposures are typically lower than occupational levels but may be continuous and cumulative</w:t>
      </w:r>
      <w:r w:rsidR="00315705" w:rsidRPr="00A54953">
        <w:rPr>
          <w:rFonts w:ascii="Times New Roman" w:hAnsi="Times New Roman" w:cs="Times New Roman"/>
        </w:rPr>
        <w:fldChar w:fldCharType="begin"/>
      </w:r>
      <w:r w:rsidR="00315705" w:rsidRPr="00A54953">
        <w:rPr>
          <w:rFonts w:ascii="Times New Roman" w:hAnsi="Times New Roman" w:cs="Times New Roman"/>
        </w:rPr>
        <w:instrText xml:space="preserve"> ADDIN ZOTERO_ITEM CSL_CITATION {"citationID":"waYEodHM","properties":{"formattedCitation":"[18]","plainCitation":"[18]","noteIndex":0},"citationItems":[{"id":17853,"uris":["http://zotero.org/users/16652950/items/IN2YYVXZ"],"itemData":{"id":17853,"type":"article-journal","abstract":"This critical review examines the release of pesticides from agricultural practices into the air, with a focus on volatilization, and the factors influencing their dispersion. The review delves into the effects of airborne pesticides on human health and their contribution to anthropogenic air pollution. It highlights the necessity of interdisciplinary research encompassing science, technology, public policy, and agricultural practices to effectively mitigate the risks associated with pesticide volatilization and spray dispersion. The text acknowledges the need for more research to understand the fate and transport of airborne pesticides, develop innovative application technologies, improve predictive modeling and risk assessment, and adopt sustainable pest management strategies. Robust policies and regulations, supported by education, training, research, and development, are crucial to ensuring the safe and sustainable use of pesticides for human health and the environment. By providing valuable insights, this review aids researchers and practitioners in devising effective and sustainable solutions for safeguarding human health and the environment from the hazards of airborne pesticides.","container-title":"Toxics","DOI":"10.3390/toxics11100858","ISSN":"2305-6304","issue":"10","journalAbbreviation":"Toxics","note":"PMID: 37888709\nPMCID: PMC10611335","page":"858","source":"PubMed Central","title":"Airborne Pesticides from Agricultural Practices: A Critical Review of Pathways, Influencing Factors, and Human Health Implications","title-short":"Airborne Pesticides from Agricultural Practices","volume":"11","author":[{"family":"Boonupara","given":"Thirasant"},{"family":"Udomkun","given":"Patchimaporn"},{"family":"Khan","given":"Eakalak"},{"family":"Kajitvichyanukul","given":"Puangrat"}],"issued":{"date-parts":[["2023",10,13]]}}}],"schema":"https://github.com/citation-style-language/schema/raw/master/csl-citation.json"} </w:instrText>
      </w:r>
      <w:r w:rsidR="00315705" w:rsidRPr="00A54953">
        <w:rPr>
          <w:rFonts w:ascii="Times New Roman" w:hAnsi="Times New Roman" w:cs="Times New Roman"/>
        </w:rPr>
        <w:fldChar w:fldCharType="separate"/>
      </w:r>
      <w:r w:rsidR="00315705" w:rsidRPr="00A54953">
        <w:rPr>
          <w:rFonts w:ascii="Times New Roman" w:hAnsi="Times New Roman" w:cs="Times New Roman"/>
        </w:rPr>
        <w:t>[18]</w:t>
      </w:r>
      <w:r w:rsidR="00315705" w:rsidRPr="00A54953">
        <w:rPr>
          <w:rFonts w:ascii="Times New Roman" w:hAnsi="Times New Roman" w:cs="Times New Roman"/>
        </w:rPr>
        <w:fldChar w:fldCharType="end"/>
      </w:r>
      <w:r w:rsidRPr="00A54953">
        <w:rPr>
          <w:rFonts w:ascii="Times New Roman" w:hAnsi="Times New Roman" w:cs="Times New Roman"/>
        </w:rPr>
        <w:t>.</w:t>
      </w:r>
    </w:p>
    <w:p w14:paraId="48B5BAA0"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Vulnerable Populations </w:t>
      </w:r>
    </w:p>
    <w:p w14:paraId="7EC56164"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Certain populations are more susceptible to agrochemical exposure and its effects. Children have higher intake relative to body weight and developing organ systems, increasing vulnerability</w:t>
      </w:r>
      <w:r w:rsidR="009C5C78"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{"citationID":"wkVzMHjV","properties":{"formattedCitation":"[26]","plainCitation":"[26]","noteIndex":0},"citationItems":[{"id":17767,"uris":["http://zotero.org/users/16652950/items/3D8DRUKT"],"itemData":{"id":17767,"type":"article-journal","abstract":"Children residing in agricultural settings are uniquely vulnerable to early-life exposure to agrochemicals, which may contribute to the development of pediatric cancers. This narrative review, incorporating systematic search and appraisal elements, synthesizes current evidence on the relationship between prenatal and early childhood agrochemical exposures and pediatric cancer risk, with a focus on predictive and spatial modeling approaches. A structured literature search was conducted across PubMed, Web of Science, Scopus, and Embase to identify epidemiologic, exposure modeling, and mechanistic studies published between 2000 and 2025. Epidemiologic evidence consistently implicates leukemia, particularly acute lymphoblastic leukemia, as the malignancy most strongly associated with early-life agrochemical exposure, while findings for central nervous system tumors and rarer pediatric cancers remain less consistent. Mechanistic studies support biological plausibility through pathways including genotoxicity, endocrine disruption, epigenetic reprogramming, and immune dysregulation during critical developmental windows. Predictive modeling approaches—ranging from traditional regression and Bayesian hierarchical models to machine learning and GIS-based methods—enhance exposure estimation, risk stratification, and identification of high-risk subgroups, though challenges persist related to exposure misclassification, chemical mixture assessment, and integration of mechanistic evidence. Overall, this review highlights key methodological gaps and research priorities, emphasizing the need for longitudinal, biomarker-validated studies and hybrid causal–predictive modeling frameworks. Advancing interdisciplinary, prevention-oriented research in this area is essential for informing evidence-based interventions, reducing pediatric cancer burden in agricultural populations, and promoting equitable environmental health outcomes.","container-title":"Journal of Medicine and Health Research","DOI":"10.56557/jomahr/2026/v11i110210","ISSN":"2456-9178","issue":"1","language":"en","page":"82-99","source":"ikprress.org","title":"Predictive Modeling of Early-Life Agrochemical Exposure and Pediatric Cancer Risk among Children of U.S. Farmers: A Narrative Review","title-short":"Predictive Modeling of Early-Life Agrochemical Exposure and Pediatric Cancer Risk among Children of U.S. Farmers","volume":"11","author":[{"family":"Ugorji","given":"Henry Okorie"},{"family":"Egbuchiem","given":"Alex Nnanyelugo"},{"family":"Dudzilah","given":"Gifty"},{"family":"Oke","given":"Rachael Boluwatife"},{"family":"Aderanti","given":"Tosin Abiodun"}],"issued":{"date-parts":[["2026",1,30]]}}}],"schema":"https://github.com/citation-style-language/schema/raw/master/csl-citation.json"} </w:instrText>
      </w:r>
      <w:r w:rsidR="009C5C78" w:rsidRPr="00A54953">
        <w:rPr>
          <w:rFonts w:ascii="Times New Roman" w:hAnsi="Times New Roman" w:cs="Times New Roman"/>
        </w:rPr>
        <w:fldChar w:fldCharType="separate"/>
      </w:r>
      <w:r w:rsidR="00301F7B" w:rsidRPr="00A54953">
        <w:rPr>
          <w:rFonts w:ascii="Times New Roman" w:hAnsi="Times New Roman" w:cs="Times New Roman"/>
        </w:rPr>
        <w:t>[26]</w:t>
      </w:r>
      <w:r w:rsidR="009C5C78" w:rsidRPr="00A54953">
        <w:rPr>
          <w:rFonts w:ascii="Times New Roman" w:hAnsi="Times New Roman" w:cs="Times New Roman"/>
        </w:rPr>
        <w:fldChar w:fldCharType="end"/>
      </w:r>
      <w:r w:rsidRPr="00A54953">
        <w:rPr>
          <w:rFonts w:ascii="Times New Roman" w:hAnsi="Times New Roman" w:cs="Times New Roman"/>
        </w:rPr>
        <w:t>. Pregnant women may experience exposure that affects fetal development. Rural communities, particularly in low-resource settings, often face disproportionate risks due to proximity to farms and limited protective infrastructure.</w:t>
      </w:r>
      <w:r w:rsidR="00456883" w:rsidRPr="00A54953">
        <w:rPr>
          <w:rFonts w:ascii="Times New Roman" w:hAnsi="Times New Roman" w:cs="Times New Roman"/>
        </w:rPr>
        <w:t xml:space="preserve"> These exposures are typically lower than occupational levels but may be continuous and cumulative.</w:t>
      </w:r>
    </w:p>
    <w:p w14:paraId="75362E4A" w14:textId="77777777" w:rsidR="00456883" w:rsidRPr="00A54953" w:rsidRDefault="00456883" w:rsidP="005849CD">
      <w:pPr>
        <w:rPr>
          <w:rFonts w:ascii="Times New Roman" w:hAnsi="Times New Roman" w:cs="Times New Roman"/>
        </w:rPr>
      </w:pPr>
    </w:p>
    <w:p w14:paraId="3A9ABB8D"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 xml:space="preserve"> Table: Environmental Pathways, Exposure Routes, and Health Effects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6"/>
        <w:gridCol w:w="2684"/>
        <w:gridCol w:w="2141"/>
        <w:gridCol w:w="2549"/>
      </w:tblGrid>
      <w:tr w:rsidR="00456883" w:rsidRPr="00A54953" w14:paraId="2163A9A3" w14:textId="77777777" w:rsidTr="00A13505">
        <w:trPr>
          <w:tblHeader/>
          <w:tblCellSpacing w:w="15" w:type="dxa"/>
        </w:trPr>
        <w:tc>
          <w:tcPr>
            <w:tcW w:w="0" w:type="auto"/>
            <w:vAlign w:val="center"/>
            <w:hideMark/>
          </w:tcPr>
          <w:p w14:paraId="5D19F500"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Environmental Pathway</w:t>
            </w:r>
          </w:p>
        </w:tc>
        <w:tc>
          <w:tcPr>
            <w:tcW w:w="0" w:type="auto"/>
            <w:vAlign w:val="center"/>
            <w:hideMark/>
          </w:tcPr>
          <w:p w14:paraId="47D8E69A"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Transport Process</w:t>
            </w:r>
          </w:p>
        </w:tc>
        <w:tc>
          <w:tcPr>
            <w:tcW w:w="0" w:type="auto"/>
            <w:vAlign w:val="center"/>
            <w:hideMark/>
          </w:tcPr>
          <w:p w14:paraId="67138779"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Human Exposure Route</w:t>
            </w:r>
          </w:p>
        </w:tc>
        <w:tc>
          <w:tcPr>
            <w:tcW w:w="0" w:type="auto"/>
            <w:vAlign w:val="center"/>
            <w:hideMark/>
          </w:tcPr>
          <w:p w14:paraId="73410B84"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Key Health Effects</w:t>
            </w:r>
          </w:p>
        </w:tc>
      </w:tr>
      <w:tr w:rsidR="00456883" w:rsidRPr="00A54953" w14:paraId="2B6A9345" w14:textId="77777777" w:rsidTr="00A13505">
        <w:trPr>
          <w:tblCellSpacing w:w="15" w:type="dxa"/>
        </w:trPr>
        <w:tc>
          <w:tcPr>
            <w:tcW w:w="0" w:type="auto"/>
            <w:vAlign w:val="center"/>
            <w:hideMark/>
          </w:tcPr>
          <w:p w14:paraId="076F8E3C"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Soil</w:t>
            </w:r>
          </w:p>
        </w:tc>
        <w:tc>
          <w:tcPr>
            <w:tcW w:w="0" w:type="auto"/>
            <w:vAlign w:val="center"/>
            <w:hideMark/>
          </w:tcPr>
          <w:p w14:paraId="5DB05A3A"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Adsorption, degradation, runoff</w:t>
            </w:r>
          </w:p>
        </w:tc>
        <w:tc>
          <w:tcPr>
            <w:tcW w:w="0" w:type="auto"/>
            <w:vAlign w:val="center"/>
            <w:hideMark/>
          </w:tcPr>
          <w:p w14:paraId="51825962"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Food ingestion (plants), dermal contact</w:t>
            </w:r>
          </w:p>
        </w:tc>
        <w:tc>
          <w:tcPr>
            <w:tcW w:w="0" w:type="auto"/>
            <w:vAlign w:val="center"/>
            <w:hideMark/>
          </w:tcPr>
          <w:p w14:paraId="10ABD72D"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Chronic diseases, toxicity</w:t>
            </w:r>
          </w:p>
        </w:tc>
      </w:tr>
      <w:tr w:rsidR="00456883" w:rsidRPr="00A54953" w14:paraId="6B2FC25F" w14:textId="77777777" w:rsidTr="00A13505">
        <w:trPr>
          <w:tblCellSpacing w:w="15" w:type="dxa"/>
        </w:trPr>
        <w:tc>
          <w:tcPr>
            <w:tcW w:w="0" w:type="auto"/>
            <w:vAlign w:val="center"/>
            <w:hideMark/>
          </w:tcPr>
          <w:p w14:paraId="32A08134"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Water</w:t>
            </w:r>
          </w:p>
        </w:tc>
        <w:tc>
          <w:tcPr>
            <w:tcW w:w="0" w:type="auto"/>
            <w:vAlign w:val="center"/>
            <w:hideMark/>
          </w:tcPr>
          <w:p w14:paraId="52897823"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Runoff, leaching into groundwater</w:t>
            </w:r>
          </w:p>
        </w:tc>
        <w:tc>
          <w:tcPr>
            <w:tcW w:w="0" w:type="auto"/>
            <w:vAlign w:val="center"/>
            <w:hideMark/>
          </w:tcPr>
          <w:p w14:paraId="7ED2C528"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Drinking water, food chain</w:t>
            </w:r>
          </w:p>
        </w:tc>
        <w:tc>
          <w:tcPr>
            <w:tcW w:w="0" w:type="auto"/>
            <w:vAlign w:val="center"/>
            <w:hideMark/>
          </w:tcPr>
          <w:p w14:paraId="76E285B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Gastrointestinal, kidney, systemic effects</w:t>
            </w:r>
          </w:p>
        </w:tc>
      </w:tr>
      <w:tr w:rsidR="00456883" w:rsidRPr="00A54953" w14:paraId="3EDEA763" w14:textId="77777777" w:rsidTr="00A13505">
        <w:trPr>
          <w:tblCellSpacing w:w="15" w:type="dxa"/>
        </w:trPr>
        <w:tc>
          <w:tcPr>
            <w:tcW w:w="0" w:type="auto"/>
            <w:vAlign w:val="center"/>
            <w:hideMark/>
          </w:tcPr>
          <w:p w14:paraId="2240A615"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Air</w:t>
            </w:r>
          </w:p>
        </w:tc>
        <w:tc>
          <w:tcPr>
            <w:tcW w:w="0" w:type="auto"/>
            <w:vAlign w:val="center"/>
            <w:hideMark/>
          </w:tcPr>
          <w:p w14:paraId="253038F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Spray drift, volatilization</w:t>
            </w:r>
          </w:p>
        </w:tc>
        <w:tc>
          <w:tcPr>
            <w:tcW w:w="0" w:type="auto"/>
            <w:vAlign w:val="center"/>
            <w:hideMark/>
          </w:tcPr>
          <w:p w14:paraId="460529B3"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Inhalation, dermal contact</w:t>
            </w:r>
          </w:p>
        </w:tc>
        <w:tc>
          <w:tcPr>
            <w:tcW w:w="0" w:type="auto"/>
            <w:vAlign w:val="center"/>
            <w:hideMark/>
          </w:tcPr>
          <w:p w14:paraId="4F1DA20D"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Respiratory issues, neurological effects</w:t>
            </w:r>
          </w:p>
        </w:tc>
      </w:tr>
      <w:tr w:rsidR="00456883" w:rsidRPr="00A54953" w14:paraId="7612C849" w14:textId="77777777" w:rsidTr="00A13505">
        <w:trPr>
          <w:tblCellSpacing w:w="15" w:type="dxa"/>
        </w:trPr>
        <w:tc>
          <w:tcPr>
            <w:tcW w:w="0" w:type="auto"/>
            <w:vAlign w:val="center"/>
            <w:hideMark/>
          </w:tcPr>
          <w:p w14:paraId="7EC8528F"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lastRenderedPageBreak/>
              <w:t>Food Chain</w:t>
            </w:r>
          </w:p>
        </w:tc>
        <w:tc>
          <w:tcPr>
            <w:tcW w:w="0" w:type="auto"/>
            <w:vAlign w:val="center"/>
            <w:hideMark/>
          </w:tcPr>
          <w:p w14:paraId="661430BB"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Uptake, bioaccumulation, biomagnification</w:t>
            </w:r>
          </w:p>
        </w:tc>
        <w:tc>
          <w:tcPr>
            <w:tcW w:w="0" w:type="auto"/>
            <w:vAlign w:val="center"/>
            <w:hideMark/>
          </w:tcPr>
          <w:p w14:paraId="2F9E6EA5"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Dietary intake</w:t>
            </w:r>
          </w:p>
        </w:tc>
        <w:tc>
          <w:tcPr>
            <w:tcW w:w="0" w:type="auto"/>
            <w:vAlign w:val="center"/>
            <w:hideMark/>
          </w:tcPr>
          <w:p w14:paraId="6C077B5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Cancer, endocrine disruption</w:t>
            </w:r>
          </w:p>
        </w:tc>
      </w:tr>
      <w:tr w:rsidR="00456883" w:rsidRPr="00A54953" w14:paraId="0CB2468B" w14:textId="77777777" w:rsidTr="00A13505">
        <w:trPr>
          <w:tblCellSpacing w:w="15" w:type="dxa"/>
        </w:trPr>
        <w:tc>
          <w:tcPr>
            <w:tcW w:w="0" w:type="auto"/>
            <w:vAlign w:val="center"/>
            <w:hideMark/>
          </w:tcPr>
          <w:p w14:paraId="499A8E15"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Occupational</w:t>
            </w:r>
          </w:p>
        </w:tc>
        <w:tc>
          <w:tcPr>
            <w:tcW w:w="0" w:type="auto"/>
            <w:vAlign w:val="center"/>
            <w:hideMark/>
          </w:tcPr>
          <w:p w14:paraId="4949955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Direct handling, mixing, spraying</w:t>
            </w:r>
          </w:p>
        </w:tc>
        <w:tc>
          <w:tcPr>
            <w:tcW w:w="0" w:type="auto"/>
            <w:vAlign w:val="center"/>
            <w:hideMark/>
          </w:tcPr>
          <w:p w14:paraId="26F22E87"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Dermal, inhalation, ingestion</w:t>
            </w:r>
          </w:p>
        </w:tc>
        <w:tc>
          <w:tcPr>
            <w:tcW w:w="0" w:type="auto"/>
            <w:vAlign w:val="center"/>
            <w:hideMark/>
          </w:tcPr>
          <w:p w14:paraId="33EFAC50"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Acute poisoning, long-term toxicity</w:t>
            </w:r>
          </w:p>
        </w:tc>
      </w:tr>
    </w:tbl>
    <w:p w14:paraId="2E48EEEE" w14:textId="77777777" w:rsidR="00A13505" w:rsidRPr="00A54953" w:rsidRDefault="00A13505" w:rsidP="005849CD">
      <w:pPr>
        <w:rPr>
          <w:rFonts w:ascii="Times New Roman" w:hAnsi="Times New Roman" w:cs="Times New Roman"/>
          <w:b/>
          <w:bCs/>
        </w:rPr>
      </w:pPr>
    </w:p>
    <w:p w14:paraId="3F02EF49"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5. </w:t>
      </w:r>
      <w:proofErr w:type="spellStart"/>
      <w:r w:rsidRPr="00A54953">
        <w:rPr>
          <w:rFonts w:ascii="Times New Roman" w:hAnsi="Times New Roman" w:cs="Times New Roman"/>
          <w:b/>
          <w:bCs/>
        </w:rPr>
        <w:t>Toxicokinetics</w:t>
      </w:r>
      <w:proofErr w:type="spellEnd"/>
      <w:r w:rsidRPr="00A54953">
        <w:rPr>
          <w:rFonts w:ascii="Times New Roman" w:hAnsi="Times New Roman" w:cs="Times New Roman"/>
          <w:b/>
          <w:bCs/>
        </w:rPr>
        <w:t xml:space="preserve"> and Mechanisms of Action</w:t>
      </w:r>
    </w:p>
    <w:p w14:paraId="6EA2A0A7" w14:textId="77777777" w:rsidR="00A13505" w:rsidRPr="00A54953" w:rsidRDefault="00A13505" w:rsidP="005849CD">
      <w:pPr>
        <w:rPr>
          <w:rFonts w:ascii="Times New Roman" w:hAnsi="Times New Roman" w:cs="Times New Roman"/>
          <w:b/>
          <w:bCs/>
        </w:rPr>
      </w:pPr>
    </w:p>
    <w:p w14:paraId="6FFA1E6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ADME Processes </w:t>
      </w:r>
    </w:p>
    <w:p w14:paraId="696D397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The </w:t>
      </w:r>
      <w:proofErr w:type="spellStart"/>
      <w:r w:rsidRPr="00A54953">
        <w:rPr>
          <w:rFonts w:ascii="Times New Roman" w:hAnsi="Times New Roman" w:cs="Times New Roman"/>
        </w:rPr>
        <w:t>toxicokinetics</w:t>
      </w:r>
      <w:proofErr w:type="spellEnd"/>
      <w:r w:rsidRPr="00A54953">
        <w:rPr>
          <w:rFonts w:ascii="Times New Roman" w:hAnsi="Times New Roman" w:cs="Times New Roman"/>
        </w:rPr>
        <w:t xml:space="preserve"> of agrochemicals are governed by processes of absorption, distribution, metabolism, and excretion (ADME). Absorption occurs through dermal contact, inhalation, or ingestion, depending on the exposure pathway</w:t>
      </w:r>
      <w:r w:rsidR="00974F95"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{"citationID":"CEdHQAKQ","properties":{"formattedCitation":"[27]","plainCitation":"[27]","noteIndex":0},"citationItems":[{"id":17871,"uris":["http://zotero.org/users/16652950/items/JGCBDZUM"],"itemData":{"id":17871,"type":"article-journal","abstract":"Trifluoroacetic acid (TFA) is a persistent degradation product of widely used fluorinated compounds such as hydrofluorocarbons, hydrofluoroolefins, hy...","container-title":"Environments","DOI":"10.3390/environments12080277","ISSN":"2076-3298","issue":"8","language":"en","license":"http://creativecommons.org/licenses/by/3.0/","note":"publisher: Multidisciplinary Digital Publishing Institute","source":"www.mdpi.com","title":"Trifluoroacetic Acid: A Narrative Review on Physico-Chemical Properties, Exposure Pathways, and Toxicological Concerns","title-short":"Trifluoroacetic Acid","URL":"https://www.mdpi.com/2076-3298/12/8/277","volume":"12","author":[{"family":"Moscato","given":"Andrea"},{"family":"Longo","given":"Maria Valentina"},{"family":"Ferrante","given":"Margherita"},{"family":"Fiore","given":"Maria"}],"accessed":{"date-parts":[["2026",4,24]]},"issued":{"date-parts":[["2025",8,11]]}}}],"schema":"https://github.com/citation-style-language/schema/raw/master/csl-citation.json"} </w:instrText>
      </w:r>
      <w:r w:rsidR="00974F95" w:rsidRPr="00A54953">
        <w:rPr>
          <w:rFonts w:ascii="Times New Roman" w:hAnsi="Times New Roman" w:cs="Times New Roman"/>
        </w:rPr>
        <w:fldChar w:fldCharType="separate"/>
      </w:r>
      <w:r w:rsidR="00301F7B" w:rsidRPr="00A54953">
        <w:rPr>
          <w:rFonts w:ascii="Times New Roman" w:hAnsi="Times New Roman" w:cs="Times New Roman"/>
        </w:rPr>
        <w:t>[27]</w:t>
      </w:r>
      <w:r w:rsidR="00974F95" w:rsidRPr="00A54953">
        <w:rPr>
          <w:rFonts w:ascii="Times New Roman" w:hAnsi="Times New Roman" w:cs="Times New Roman"/>
        </w:rPr>
        <w:fldChar w:fldCharType="end"/>
      </w:r>
      <w:r w:rsidRPr="00A54953">
        <w:rPr>
          <w:rFonts w:ascii="Times New Roman" w:hAnsi="Times New Roman" w:cs="Times New Roman"/>
        </w:rPr>
        <w:t>. Lipophilic compounds readily cross biological membranes and may accumulate in adipose tissue, while hydrophilic substances are more likely to circulate in plasma and be excreted. Distribution determines the target organs affected, with some chemicals crossing the blood–brain barrier or placenta. Metabolism, primarily in the liver, involves enzymatic transformation into more water-soluble metabolites, though in some cases this process generates more toxic intermediates. Excretion occurs via urine, feces, or exhalation. Variability in these processes influences individual susceptibility and toxicity profiles</w:t>
      </w:r>
      <w:r w:rsidR="003A39AF"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{"citationID":"4YG2KSxi","properties":{"formattedCitation":"[28,29]","plainCitation":"[28,29]","noteIndex":0},"citationItems":[{"id":17875,"uris":["http://zotero.org/users/16652950/items/VM3GSB9J"],"itemData":{"id":17875,"type":"article-journal","abstract":"Drug-protein binding plays a key role in determining the pharmacokinetics of a drug. The distribution and protein binding ability of a drug changes over a lifetime, and are important considerations during pregnancy and lactation. Although proteins are a significant fraction in plasma composition, they also exist beyond the bloodstream and bind with drugs in the skin, tissues or organs. Protein binding influences the bioavailability and distribution of active compounds, and is a limiting factor in the passage of drugs across biological membranes and barriers: drugs are often unable to cross membranes mainly due to the high molecular mass of the drug-protein complex, thus resulting in the accumulation of the active compounds and a significant reduction of their pharmacological activity. This review describes the consequences of drug-protein binding on drug transport across physiological barriers, whose role is to allow the passage of essential substances—such as nutrients or oxygen, but not of xenobiotics. The placental barrier regulates passage of xenobiotics into a fetus and protects the unborn organism. The blood–brain barrier is the most important barrier in the entire organism and the skin separates the human body from the environment.","container-title":"Molecular Biology Reports","DOI":"10.1007/s11033-020-05361-2","ISSN":"1573-4978","issue":"4","journalAbbreviation":"Mol Biol Rep","language":"en","page":"3221-3231","source":"Springer Link","title":"Biological barriers, and the influence of protein binding on the passage of drugs across them","volume":"47","author":[{"family":"Wanat","given":"Karolina"}],"issued":{"date-parts":[["2020",4,1]]}}},{"id":17878,"uris":["http://zotero.org/users/16652950/items/ADFEDJAC"],"itemData":{"id":17878,"type":"article-journal","abstract":"This review aims to provide a thorough examination of the benefits, challenges, and advancements in utilizing lipids for more effective drug delivery, ultimately contributing to the development of innovative approaches in pharmaceutical science. Lipophilic drugs, characterized by low aqueous solubility, present a formidable challenge in achieving effective delivery and absorption within the human body. To address this issue, one promising approach involves harnessing the potential of lipids. Lipids, in their diverse forms, serve as carriers, leveraging their unique capacity to enhance solubility, stability, and absorption of these challenging drugs. By facilitating improved intestinal solubility and selective lymphatic absorption of porously permeable drugs, lipids offer an array of possibilities for drug delivery. This versatile characteristic not only bolsters the pharmacological efficacy of drugs with low bioavailability but also contributes to enhanced therapeutic performance, ultimately reducing the required dose size and associated costs. This comprehensive review delves into the strategic formulation approaches that employ lipids as carriers to ameliorate drug solubility and bioavailability. Emphasis is placed on the critical considerations of lipid type, composition, and processing techniques when designing lipid-based formulations. This review meticulously examines the multifaceted challenges that come hand in hand with lipid-based formulations for lipophilic drugs, offering an insightful perspective on future trends. Regulatory considerations and the broad spectrum of potential applications are also thoughtfully discussed. In summary, this review presents a valuable repository of insights into the effective utilization of lipids as carriers, all aimed at elevating the bioavailability of lipophilic drugs.","container-title":"Saudi Pharmaceutical Journal : SPJ","DOI":"10.1016/j.jsps.2023.101870","ISSN":"1319-0164","issue":"12","journalAbbreviation":"Saudi Pharm J","note":"PMID: 38053738\nPMCID: PMC10694332","page":"101870","source":"PubMed Central","title":"Exploring LIPIDs for their potential to improves bioavailability of lipophilic drugs candidates: A review","title-short":"Exploring LIPIDs for their potential to improves bioavailability of lipophilic drugs candidates","volume":"31","author":[{"family":"Preeti","given":""},{"family":"Sambhakar","given":"Sharda"},{"family":"Saharan","given":"Renu"},{"family":"Narwal","given":"Sonia"},{"family":"Malik","given":"Rohit"},{"family":"Gahlot","given":"Vinod"},{"family":"Khalid","given":"Asaad"},{"family":"Najmi","given":"Asim"},{"family":"Zoghebi","given":"Khalid"},{"family":"Halawi","given":"Maryam A."},{"family":"Albratty","given":"Mohammed"},{"family":"Mohan","given":"Syam"}],"issued":{"date-parts":[["2023",12]]}}}],"schema":"https://github.com/citation-style-language/schema/raw/master/csl-citation.json"} </w:instrText>
      </w:r>
      <w:r w:rsidR="003A39AF" w:rsidRPr="00A54953">
        <w:rPr>
          <w:rFonts w:ascii="Times New Roman" w:hAnsi="Times New Roman" w:cs="Times New Roman"/>
        </w:rPr>
        <w:fldChar w:fldCharType="separate"/>
      </w:r>
      <w:r w:rsidR="00301F7B" w:rsidRPr="00A54953">
        <w:rPr>
          <w:rFonts w:ascii="Times New Roman" w:hAnsi="Times New Roman" w:cs="Times New Roman"/>
        </w:rPr>
        <w:t>[28,29]</w:t>
      </w:r>
      <w:r w:rsidR="003A39AF" w:rsidRPr="00A54953">
        <w:rPr>
          <w:rFonts w:ascii="Times New Roman" w:hAnsi="Times New Roman" w:cs="Times New Roman"/>
        </w:rPr>
        <w:fldChar w:fldCharType="end"/>
      </w:r>
      <w:r w:rsidRPr="00A54953">
        <w:rPr>
          <w:rFonts w:ascii="Times New Roman" w:hAnsi="Times New Roman" w:cs="Times New Roman"/>
        </w:rPr>
        <w:t>.</w:t>
      </w:r>
    </w:p>
    <w:p w14:paraId="1E41B723"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Mechanisms of Action</w:t>
      </w:r>
    </w:p>
    <w:p w14:paraId="5A1B82B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exert toxic effects through multiple biological mechanisms. Neurotoxicity is a well-characterized pathway, particularly for organophosphates and carbamates, which inhibit acetylcholinesterase, leading to accumulation of acetylcholine and disruption of synaptic transmission</w:t>
      </w:r>
      <w:r w:rsidR="00572EF6"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{"citationID":"GyB5p6eu","properties":{"formattedCitation":"[30,31]","plainCitation":"[30,31]","noteIndex":0},"citationItems":[{"id":17777,"uris":["http://zotero.org/users/16652950/items/WSTTA64F"],"itemData":{"id":17777,"type":"article-journal","abstract":"The widespread use of antibiotics has transformed human health but also profoundly disrupted the commensal microbiota, leading to antibiotic resistance and altered host-microbe interactions. Emerging evidence links antibiotic-induced dysbiosis to an increased risk of several cancers, including colorectal, breast, liver, and gastric malignancies. Antibiotic exposure promotes the selection and horizontal transfer of resistance genes within gut microbial communities, fostering the persistence of pro-inflammatory, genotoxic, and metabolically dysregulated bacterial populations. These changes can compromise mucosal immunity, alter bile acid metabolism, increase reactive oxygen species production, and facilitate tumor-promoting signaling. Furthermore, resistant bacteria within the tumor microenvironment may reduce therapeutic efficacy and contribute to immunotherapy resistance. This review highlights recent findings on how antibiotic-driven microbiome remodeling and resistance gene dissemination contribute to carcinogenesis, emphasizing the need for microbiota-preserving antimicrobial strategies in oncology.","container-title":"International Journal of Molecular Biology and Biochemistry","DOI":"10.33545/26646501.2024.v6.i1a.105","ISSN":"2664-651X","issue":"1","journalAbbreviation":"Int. J. Mol. Biol. Biochem.","language":"en","note":"publisher: Prime Publications","page":"68-77","source":"www.biologyjournals.net","title":"Microbial dysbiosis and antibiotic resistance in cancer development and therapy","volume":"6","author":[{"family":"Okafor","given":"Chinaecherem"},{"family":"Ibiam","given":"Victor Akachukwu"},{"family":"Fagbemi","given":"Bukola Titilayo"},{"family":"Ubani","given":"Chinwendu"},{"family":"Olorunkosebi","given":"Mary Tomi"}],"issued":{"date-parts":[["2024"]]}}},{"id":17087,"uris":["http://zotero.org/users/16652950/items/AMK64WVW"],"itemData":{"id":17087,"type":"article-journal","abstract":"Exposure to heavy metals continues to be a major global health concern, affecting biological systems in ways that go well beyond short-term toxicity. According to recent studies, metals like lead, cadmium, arsenic, and mercury leave long-lasting \"epigenetic footprints\" on the genome, changing chromatin structure, histone modifications, DNA methylation, and non-coding RNA activity. These disturbances, which ultimately change gene expression and disease vulnerability over the lifespan, are intimately linked to oxidative stress, compromised one-carbon metabolism, mitochondrial instability, and modified cellular signalling. In order to understand how heavy metals alter the epigenome and assess the consequences for human health, this paper summarises mechanistic, experimental, and population-level data. Additionally, it tackles methodological issues such as batch effects, cell-type heterogeneity, and obstacles in demonstrating causality that hamper the interpretation of epigenetic data. The article concludes by discussing how exposure assessment, public health surveillance, and environmental justice programs may benefit from epigenetic insights, providing avenues for more effective and equitable preventive measures.","container-title":"International Journal of Clinical Biology and Biochemistry","DOI":"10.33545/26646188.2023.v5.i2a.110","ISSN":"2664-6196","issue":"2","journalAbbreviation":"Int. J. Clin. Biol. Biochem.","language":"en","note":"publisher: Prime Publications","page":"53-61","source":"www.biochemistryjournal.net","title":"Epigenetic footprints of heavy metal exposure: Biochemical mechanisms and public health implications","title-short":"Epigenetic footprints of heavy metal exposure","volume":"5","author":[{"family":"Ibiam","given":"Akachukwu"},{"family":"Ubani","given":"Chinwendu"},{"family":"Okafor","given":"Chinaecherem"},{"family":"Olorunkosebi","given":"Mary Tomi"},{"family":"Fagbemi","given":"Bukola Titilayo"}],"issued":{"date-parts":[["2023"]]}}}],"schema":"https://github.com/citation-style-language/schema/raw/master/csl-citation.json"} </w:instrText>
      </w:r>
      <w:r w:rsidR="00572EF6" w:rsidRPr="00A54953">
        <w:rPr>
          <w:rFonts w:ascii="Times New Roman" w:hAnsi="Times New Roman" w:cs="Times New Roman"/>
        </w:rPr>
        <w:fldChar w:fldCharType="separate"/>
      </w:r>
      <w:r w:rsidR="00301F7B" w:rsidRPr="00A54953">
        <w:rPr>
          <w:rFonts w:ascii="Times New Roman" w:hAnsi="Times New Roman" w:cs="Times New Roman"/>
        </w:rPr>
        <w:t>[30,31]</w:t>
      </w:r>
      <w:r w:rsidR="00572EF6" w:rsidRPr="00A54953">
        <w:rPr>
          <w:rFonts w:ascii="Times New Roman" w:hAnsi="Times New Roman" w:cs="Times New Roman"/>
        </w:rPr>
        <w:fldChar w:fldCharType="end"/>
      </w:r>
      <w:r w:rsidRPr="00A54953">
        <w:rPr>
          <w:rFonts w:ascii="Times New Roman" w:hAnsi="Times New Roman" w:cs="Times New Roman"/>
        </w:rPr>
        <w:t>. Pyrethroids alter voltage-gated sodium channel function, prolonging neuronal excitation. Endocrine disruption occurs when chemicals interfere with hormone synthesis, receptor binding, or signaling pathways, potentially affecting reproductive and developmental processes</w:t>
      </w:r>
      <w:r w:rsidR="00F051E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{"citationID":"gQaUyTZK","properties":{"formattedCitation":"[32,33]","plainCitation":"[32,33]","noteIndex":0},"citationItems":[{"id":17779,"uris":["http://zotero.org/users/16652950/items/ZHWU7H28"],"itemData":{"id":17779,"type":"article-journal","abstract":"Aim: The expression of Ki-67, cytokeratin-18, and BCL-2 proteins in Wistar rats testes was studied using Rauwolfia vomitoria RV extract, Chlorpromazine (CPZ), and combination of Reserpine, Ascorbate, and Zinc (RAZ).Methods: Forty-five eight weeks old male Wistar rats (170-190 g) were selected into nine groups of five rats each. Group A was the control group, animals in groups B and C received 10 and 20 mg/kg of chlorpromazine respectively, animals in groups D and E received 2.5 and 5 mg/kg of reserpine respectively, animals in groups F and G received 150 and 300 mg/kg of RV leaf extract respectively while groups H and I animals received (2.5:5:100) mg/kg and (5:10:200) mg/kg of combination of RAZ respectively. All compounds were administered orally for 56 days.Results: Chlorpromazine and reserpine treated rats showed weak immunoreactivity to ki-67 and strong positive immunoreactivity to cytokeratin and BCL-2 proteins while RVand combination of RAZ treated rats showed weak positive immunoreactivity to cytokeratin and BCL-2 and strong immunoreactivity to ki-67. Furthermore, slight significant increase in germ cell proliferation index was seen in RV and RAZ treated groups when compared with CPZ and RES treated groups while significant decrease in germ cell apoptotic index and immature sertoli cell index were seen in RV and RAZ treated groups when compared with CPZ and RES treated groups.Conclusion: This research revealed the reproductive toxicity of synthetic antipsychotic drugs (CPZ and RES) and also unveiled the fertility potential of antipsychotic herb (RV) extract alongside RAZ by reducing the reproductive toxicity that is commonly associated with antipsychotic drugs.","container-title":"Research Journal of Health Sciences","DOI":"10.4314/rejhs.v10i3.2","ISSN":"2467-8252","issue":"3","language":"en","license":"Copyright (c) 0","page":"177-189","source":"www.ajol.info","title":"Immunohistochemical Expression of Ki-67, cytokeratin-18 and BCL-2 in Wistar rats testes treated with Rauwolfia vomitoria, Chlorpromazine and Co-administration of Reserpine, Ascorbate and Zinc","volume":"10","author":[{"family":"Adeleke","given":"O. S."},{"family":"Oyewopo","given":"A. O."},{"family":"Falana","given":"B. A."},{"family":"Akinyemi","given":"B. R."},{"family":"Dare","given":"B. J."},{"family":"Adegoke","given":"A. A."},{"family":"Ibiam","given":"V."},{"family":"Adeyemi","given":"B. S."},{"family":"Ilesanmi","given":"D. O."}],"issued":{"date-parts":[["2022",9,28]]}}},{"id":17881,"uris":["http://zotero.org/users/16652950/items/PET8CXB3"],"itemData":{"id":17881,"type":"article-journal","abstract":"Methyl parathion (C8H10NO5PS) and parathion (C10H14NO5PS) are both organophosphate insecticides (OPI) widely used for household and agricultural applications. They are known for their ability to irreversibly inhibit acetylcholinesterase which often leads to a profound effect on the nervous system of exposed organisms. Many recently published studies have indicated that human exposure to OPI may be associated with neurologic, hematopoietic, cardiovascular, and reproductive adverse effects. Studies have also linked OPI exposure to a number of degenerative diseases including Parkinson's, Alzheimer's, and amyotrophic lateral sclerosis. Also, oxidative stress (OS) has been reported as a possible mechanism of OPI toxicity in humans. Hence, the aim of the present investigation was to use human liver carcinoma (HepG2) cells as a test model to evaluate the role of OS in methyl parathion- and parathion-induced toxicity. To achieve this goal, we performed the MTT [3-(4, 5-dimethylthiazol-2-yl)-2, 5-diphenyltetrazolium bromide] assay for cell viability, lipid peroxidation assay for malondialdehyde (MDA) production, and Comet assay for DNA damage, respectively. Results from MTT assay indicated that methyl parathion and parathion gradually reduce the viability of HepG2 cells in a dose-dependent manner, showing 48 h-LD50 values of 26.20 mM and 23.58 mM, respectively. Lipid peroxidation assay resulted in a significant increase (p&lt;0.05) of MDA level in methyl parathion- and parathion-treated HepG2 cells compared to controls, suggesting that OS plays a key role in OPI-induced toxicity. Comet assay indicated a significant increase in genotoxicity at higher concentrations of OPI exposure. Overall, we found that methyl-parathion is slightly less toxic than parathion to HepG2 cells. The cytotoxic effect of these OPI was found to be associated, at least in part, with oxidative cell/tissue damage.","container-title":"Environmental toxicology","DOI":"10.1002/tox.20725","ISSN":"1520-4081","issue":"6","journalAbbreviation":"Environ Toxicol","note":"PMID: 21544925\nPMCID: PMC3768275","page":"342-348","source":"PubMed Central","title":"Involvement of Oxidative Stress in Methyl Parathion and Parathion-Induced Toxicity and Genotoxicity to Human Liver Carcinoma (HepG2) Cells","volume":"28","author":[{"family":"Edwards","given":"Falicia L."},{"family":"Yedjou","given":"Clement G."},{"family":"Tchounwou","given":"Paul B."}],"issued":{"date-parts":[["2013",6]]}}}],"schema":"https://github.com/citation-style-language/schema/raw/master/csl-citation.json"} </w:instrText>
      </w:r>
      <w:r w:rsidR="00F051E0" w:rsidRPr="00A54953">
        <w:rPr>
          <w:rFonts w:ascii="Times New Roman" w:hAnsi="Times New Roman" w:cs="Times New Roman"/>
        </w:rPr>
        <w:fldChar w:fldCharType="separate"/>
      </w:r>
      <w:r w:rsidR="00301F7B" w:rsidRPr="00A54953">
        <w:rPr>
          <w:rFonts w:ascii="Times New Roman" w:hAnsi="Times New Roman" w:cs="Times New Roman"/>
        </w:rPr>
        <w:t>[32,33]</w:t>
      </w:r>
      <w:r w:rsidR="00F051E0" w:rsidRPr="00A54953">
        <w:rPr>
          <w:rFonts w:ascii="Times New Roman" w:hAnsi="Times New Roman" w:cs="Times New Roman"/>
        </w:rPr>
        <w:fldChar w:fldCharType="end"/>
      </w:r>
      <w:r w:rsidRPr="00A54953">
        <w:rPr>
          <w:rFonts w:ascii="Times New Roman" w:hAnsi="Times New Roman" w:cs="Times New Roman"/>
        </w:rPr>
        <w:t>. Oxidative stress is another common mechanism, involving the generation of reactive oxygen species that damage cellular components such as lipids, proteins, and DNA. This can trigger inflammatory responses and contribute to chronic disease development. Genotoxic effects include direct DNA damage, chromosomal alterations, and epigenetic modifications, which may influence gene expression without altering the DNA sequence</w:t>
      </w:r>
      <w:r w:rsidR="001A6509"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{"citationID":"yqMSrkg4","properties":{"formattedCitation":"[34]","plainCitation":"[34]","noteIndex":0},"citationItems":[{"id":17760,"uris":["http://zotero.org/users/16652950/items/CP44PINJ"],"itemData":{"id":17760,"type":"article-journal","abstract":"Agrochemicals, such as pesticides, herbicides, and fungicides, are heavily used by U.S. agricultural workers. As a result, they face chronic occupational health risks. There is therefore a need for risk assessment methods that can identify cumulative effects. Furthermore, while machine learning (ML) methods and modelling strategies have great potential to assess these factors, this potential has not yet been analyzed for the biological impacts of farming. The aim of this review is to assess the existing literature on ML and its ability to evaluate oxidative stress, hormonal alterations, and immune system impacts related to occupational exposure to chemical cocktails, specifically as it pertains to farmers in the U.S. Literature was collected from PubMed, Scopus, Web of Science, and Google Scholar from the years 2010 to 2025. To be included, studies had to be peer-reviewed, published within the range of the search, and have used related ML algorithms like mixing models, random forests, ensembles, and neural networks. A total of 8 studies met the inclusion criteria and were included in the final synthesis. In the included studies, machine learning models consistently demonstrated strong predictive performance for oxidative stress biomarkers, hormonal alterations, and immune-related outcomes associated with agrochemical mixture exposure. For toxicity predictions, ML models achieved R² values of 0.75 to 0.89. For predicting interactions, the models achieved an AUC of 0.88 to 0.95. The models also obtained classification accuracies of &amp;gt;80 to 85% for these outcomes. The ML models were able to adequately deal with the complexity of conventional methods in these cases. These values represent performance ranges observed across individual studies rather than pooled quantitative estimates. ML is able to predict effects from oxidative stress, hormonal, and immune effects from agrochemical mixtures, and classifies important synergies and nonlinear effects for agricultural workers. A greater focus on longitudinal data, as well as the use of standard ML protocols, real time data from integrated biomarkers, and hybrid mechanistic and ML models, should allow for personalized data and protective data to provide safer pesticide usage and provide better protective measures for the agricultural workforce in the United States.","container-title":"Journal of Life Science and Public Health","DOI":"10.69739/jlsph.v2i1.1693","ISSN":"3106-8235","issue":"1","language":"en","page":"42-54","source":"journals.stecab.com","title":"Machine-Learning Prediction of Oxidative Stress and Hormonal-Immune Effects from Agrochemical Mixtures in U.S. Farmers","volume":"2","author":[{"family":"Dudzilah","given":"Gifty"},{"family":"Donkor","given":"Felix"},{"family":"Egbuchiem","given":"Alex Nnanyelugo"},{"family":"Markus","given":"Saerimam Nzunde"},{"family":"Obeke","given":"Onyekachi"}],"issued":{"date-parts":[["2026",3,5]]}}}],"schema":"https://github.com/citation-style-language/schema/raw/master/csl-citation.json"} </w:instrText>
      </w:r>
      <w:r w:rsidR="001A6509" w:rsidRPr="00A54953">
        <w:rPr>
          <w:rFonts w:ascii="Times New Roman" w:hAnsi="Times New Roman" w:cs="Times New Roman"/>
        </w:rPr>
        <w:fldChar w:fldCharType="separate"/>
      </w:r>
      <w:r w:rsidR="00301F7B" w:rsidRPr="00A54953">
        <w:rPr>
          <w:rFonts w:ascii="Times New Roman" w:hAnsi="Times New Roman" w:cs="Times New Roman"/>
        </w:rPr>
        <w:t>[34]</w:t>
      </w:r>
      <w:r w:rsidR="001A6509" w:rsidRPr="00A54953">
        <w:rPr>
          <w:rFonts w:ascii="Times New Roman" w:hAnsi="Times New Roman" w:cs="Times New Roman"/>
        </w:rPr>
        <w:fldChar w:fldCharType="end"/>
      </w:r>
      <w:r w:rsidRPr="00A54953">
        <w:rPr>
          <w:rFonts w:ascii="Times New Roman" w:hAnsi="Times New Roman" w:cs="Times New Roman"/>
        </w:rPr>
        <w:t>. These mechanisms are not mutually exclusive and often interact, resulting in complex toxicological outcomes that depend on dose, duration of exposure, and individual biological factors</w:t>
      </w:r>
      <w:r w:rsidR="00BE10A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{"citationID":"PM8Om671","properties":{"formattedCitation":"[35]","plainCitation":"[35]","noteIndex":0},"citationItems":[{"id":17884,"uris":["http://zotero.org/users/16652950/items/6EKLD6XJ"],"itemData":{"id":17884,"type":"webpage","title":"Mechanism of Neurotoxicity - an overview | ScienceDirect Topics","URL":"https://www.sciencedirect.com/topics/medicine-and-dentistry/mechanism-of-neurotoxicity","accessed":{"date-parts":[["2026",4,24]]}}}],"schema":"https://github.com/citation-style-language/schema/raw/master/csl-citation.json"} </w:instrText>
      </w:r>
      <w:r w:rsidR="00BE10AC" w:rsidRPr="00A54953">
        <w:rPr>
          <w:rFonts w:ascii="Times New Roman" w:hAnsi="Times New Roman" w:cs="Times New Roman"/>
        </w:rPr>
        <w:fldChar w:fldCharType="separate"/>
      </w:r>
      <w:r w:rsidR="00301F7B" w:rsidRPr="00A54953">
        <w:rPr>
          <w:rFonts w:ascii="Times New Roman" w:hAnsi="Times New Roman" w:cs="Times New Roman"/>
        </w:rPr>
        <w:t>[35]</w:t>
      </w:r>
      <w:r w:rsidR="00BE10AC" w:rsidRPr="00A54953">
        <w:rPr>
          <w:rFonts w:ascii="Times New Roman" w:hAnsi="Times New Roman" w:cs="Times New Roman"/>
        </w:rPr>
        <w:fldChar w:fldCharType="end"/>
      </w:r>
      <w:r w:rsidRPr="00A54953">
        <w:rPr>
          <w:rFonts w:ascii="Times New Roman" w:hAnsi="Times New Roman" w:cs="Times New Roman"/>
        </w:rPr>
        <w:t>.</w:t>
      </w:r>
    </w:p>
    <w:p w14:paraId="6C71BD5B"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lastRenderedPageBreak/>
        <w:t xml:space="preserve">6. Human Health Outcomes </w:t>
      </w:r>
    </w:p>
    <w:p w14:paraId="627A2BF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6.1 Acute Toxicity </w:t>
      </w:r>
    </w:p>
    <w:p w14:paraId="03F58FC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rPr>
        <w:t>Acute exposure to high levels of agrochemicals can result in immediate toxic effects, particularly in occupational settings or cases of accidental or intentional poisoning. Symptoms vary depending on the chemical class but may include nausea, vomiting, respiratory distress, muscle weakness, seizures, and, in severe cases, death. Organophosphate poisoning is characterized by cholinergic symptoms due to acetylcholinesterase inhibition. Prompt medical intervention is critical to reduce morbidity and mortality. Acute toxicity remains a significant public health concern in regions with limited regulatory control and healthcare access</w:t>
      </w:r>
      <w:r w:rsidR="00FB58A9"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{"citationID":"mNsu3xqs","properties":{"formattedCitation":"[36]","plainCitation":"[36]","noteIndex":0},"citationItems":[{"id":17886,"uris":["http://zotero.org/users/16652950/items/29ERV8QV"],"itemData":{"id":17886,"type":"article-journal","abstract":"Pesticide poisoning is widely accepted as a major public health problem in low- and middle-income countries, especially in East Africa. However, a ver...","container-title":"Toxics","DOI":"10.3390/toxics13040300","ISSN":"2305-6304","issue":"4","language":"en","license":"http://creativecommons.org/licenses/by/3.0/","note":"publisher: Multidisciplinary Digital Publishing Institute","source":"www.mdpi.com","title":"Assessment of Unintentional Acute Pesticide Poisoning (UAPP) Amongst Cotton Farmers in Tanzania","URL":"https://www.mdpi.com/2305-6304/13/4/300","volume":"13","author":[{"family":"Kapeleka","given":"Jones Ackson"},{"family":"Ngowi","given":"Aiwerasia Vera"},{"family":"Mng’anya","given":"Silvani"},{"family":"Willis","given":"Sheila E."},{"family":"Salmon","given":"Joey P."},{"family":"Tyrell","given":"Keith F."},{"family":"Williamson","given":"Stephanie"},{"family":"Eddleston","given":"Michael"},{"family":"Stuart","given":"Alexander M."}],"accessed":{"date-parts":[["2026",4,24]]},"issued":{"date-parts":[["2025",4,10]]}}}],"schema":"https://github.com/citation-style-language/schema/raw/master/csl-citation.json"} </w:instrText>
      </w:r>
      <w:r w:rsidR="00FB58A9" w:rsidRPr="00A54953">
        <w:rPr>
          <w:rFonts w:ascii="Times New Roman" w:hAnsi="Times New Roman" w:cs="Times New Roman"/>
        </w:rPr>
        <w:fldChar w:fldCharType="separate"/>
      </w:r>
      <w:r w:rsidR="00301F7B" w:rsidRPr="00A54953">
        <w:rPr>
          <w:rFonts w:ascii="Times New Roman" w:hAnsi="Times New Roman" w:cs="Times New Roman"/>
        </w:rPr>
        <w:t>[36]</w:t>
      </w:r>
      <w:r w:rsidR="00FB58A9" w:rsidRPr="00A54953">
        <w:rPr>
          <w:rFonts w:ascii="Times New Roman" w:hAnsi="Times New Roman" w:cs="Times New Roman"/>
        </w:rPr>
        <w:fldChar w:fldCharType="end"/>
      </w:r>
      <w:r w:rsidRPr="00A54953">
        <w:rPr>
          <w:rFonts w:ascii="Times New Roman" w:hAnsi="Times New Roman" w:cs="Times New Roman"/>
        </w:rPr>
        <w:t>.</w:t>
      </w:r>
    </w:p>
    <w:p w14:paraId="7E989D9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6.2 Chronic Diseases</w:t>
      </w:r>
    </w:p>
    <w:p w14:paraId="3FE30984"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Long-term exposure to agrochemicals has been associated with an increased risk of chronic non-communicable diseases. Epidemiological studies suggest links between pesticide exposure and various cancers, including hematological malignancies and solid tumors, although causality may be difficult to establish due to confounding factors</w:t>
      </w:r>
      <w:r w:rsidR="00CE7E75"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{"citationID":"vydy1QkJ","properties":{"formattedCitation":"[37]","plainCitation":"[37]","noteIndex":0},"citationItems":[{"id":17763,"uris":["http://zotero.org/users/16652950/items/9N3BC5JR"],"itemData":{"id":17763,"type":"article-journal","abstract":"Agrochemical exposure is a pervasive occupational hazard in U.S. agriculture, where farmers experience repeated and often cumulative contact with pesticides, herbicides, and related chemical agents over extended working lifetimes. Epidemiologic studies have long raised concerns about elevated risks of certain adult cancers in farming populations, yet conventional analytic approaches frequently struggle to capture the complexity of exposure patterns, prolonged latency periods, and interacting occupational and environmental risk factors. In recent years, predictive modeling has emerged as a valuable framework for integrating heterogeneous exposure data and improving cancer risk estimation in agricultural settings. This narrative review synthesizes the literature on predictive modeling approaches used to examine relationships between agrochemical exposure and adult cancer risk among U.S. farmers. Emphasis is placed on exposure assessment strategies, including cumulative and time-varying metrics, the application of traditional statistical and machine learning models, and the cancer outcomes most commonly evaluated. Across studies, models that incorporate multidimensional exposure information consistently demonstrate greater predictive utility than those relying on simplified or binary exposure indicators. Machine learning approaches often achieve improved predictive performance in high-dimensional exposure contexts, although limitations related to interpretability, validation, and generalizability remain. Overall, the evidence suggests that predictive modeling can meaningfully advance understanding of agrochemical-related cancer risk when applied with methodological rigor and transparency. Strengthening exposure data integration, enhancing model explainability, and prioritizing external validation will be essential for translating predictive insights into effective occupational health surveillance, targeted cancer prevention strategies, and evidence-based policy decisions for U.S. farming populations.","container-title":"Journal of Medicine and Health Research","issue":"1","page":"100-113","source":"HAL","title":"Predictive Modeling of Agrochemical Exposure and Adult Cancer Risk in U.S. Farmers: A Narrative Review","title-short":"Predictive Modeling of Agrochemical Exposure and Adult Cancer Risk in U.S. Farmers","volume":"11","author":[{"family":"Egbuchiem","given":"Alex Nnanyelugo"},{"family":"Owusu","given":"Antwi Edmond"},{"family":"Fosua","given":"Buabeng Victoria"}],"issued":{"date-parts":[["2026",1]]}}}],"schema":"https://github.com/citation-style-language/schema/raw/master/csl-citation.json"} </w:instrText>
      </w:r>
      <w:r w:rsidR="00CE7E75" w:rsidRPr="00A54953">
        <w:rPr>
          <w:rFonts w:ascii="Times New Roman" w:hAnsi="Times New Roman" w:cs="Times New Roman"/>
        </w:rPr>
        <w:fldChar w:fldCharType="separate"/>
      </w:r>
      <w:r w:rsidR="00301F7B" w:rsidRPr="00A54953">
        <w:rPr>
          <w:rFonts w:ascii="Times New Roman" w:hAnsi="Times New Roman" w:cs="Times New Roman"/>
        </w:rPr>
        <w:t>[37]</w:t>
      </w:r>
      <w:r w:rsidR="00CE7E75" w:rsidRPr="00A54953">
        <w:rPr>
          <w:rFonts w:ascii="Times New Roman" w:hAnsi="Times New Roman" w:cs="Times New Roman"/>
        </w:rPr>
        <w:fldChar w:fldCharType="end"/>
      </w:r>
      <w:r w:rsidRPr="00A54953">
        <w:rPr>
          <w:rFonts w:ascii="Times New Roman" w:hAnsi="Times New Roman" w:cs="Times New Roman"/>
        </w:rPr>
        <w:t>. Cardiovascular effects, such as hypertension and endothelial dysfunction, have also been reported in populations with prolonged exposure. Chronic kidney disease has been observed in certain agricultural communities, potentially linked to repeated exposure to environmental toxins, including agrochemicals</w:t>
      </w:r>
      <w:r w:rsidR="00CA6BA7"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{"citationID":"qZIcS67f","properties":{"formattedCitation":"[38,39]","plainCitation":"[38,39]","noteIndex":0},"citationItems":[{"id":17752,"uris":["http://zotero.org/users/16652950/items/IGVJ8SKM"],"itemData":{"id":17752,"type":"article-journal","abstract":"Background Exposure to nitrate through contaminated drinking water has been suggested as a potential risk factor for colorectal cancer (CRC). However, ecological evidence across the U.S. states remains limited. This study aims to examine the association between average nitrate concentrations and CRC incidence across 31 U.S. states. Methods An ecological analysis was conducted using data from the Centers for Disease Control and Prevention's (CDC's) Environmental Public Health Tracking Network and United States Cancer Statistics (2017-2021). Simple linear regression and Pearson correlation analyses were performed, stratified by gender. Results No significant associations were observed between nitrate concentrations and CRC incidence in both strata. Correlations were weak and non-significant.  Conclusions In our study, state-level nitrate exposure was not significantly linked to CRC incidence. Further individual-level studies are recommended.","container-title":"Cureus","DOI":"10.7759/cureus.84530","ISSN":"2168-8184","issue":"5","journalAbbreviation":"Cureus","language":"eng","note":"PMID: 40546631\nPMCID: PMC12179813","page":"e84530","source":"PubMed","title":"Evaluation of the Relationship Between Nitrate Use and the Prevalence of Colorectal Cancers in the United States","volume":"17","author":[{"family":"Egbuchiem","given":"Alex N."},{"family":"Okobi","given":"Okelue E."},{"family":"Odutola","given":"Oluwadamilola D."},{"family":"Igbenabor","given":"Christiana A."},{"family":"Okey-Ndeche","given":"Uzoma N."},{"family":"Omotunde","given":"Oluwatobiloba"},{"family":"Ayantoyinbo","given":"Tosin"},{"family":"Abonyi","given":"Obinna C."},{"family":"Oghotuoma","given":"Oghenemaro O."},{"family":"Nnabude","given":"Ogechukwu H."},{"family":"Nwume","given":"Chuka G."}],"issued":{"date-parts":[["2025",5]]}}},{"id":17888,"uris":["http://zotero.org/users/16652950/items/UZ6ARQW8"],"itemData":{"id":17888,"type":"chapter","abstract":"The term “agrochemical” refers to a broad range of chemical substances, including fertilizers, hormones, fungicides, insecticides, and other artificial soil treatments that are used to improve crop yield directly or indirectly. Agrochemicals are frequently thought of as a quick, simple, and sometimes affordable way to get rid of weeds and insect pests while also increasing productivity in diverse agricultural settings. However, the continuous and careless use of agrochemicals to combat agricultural pests and disease vectors has seriously endangered the environment, human health, and biodiversity. The health effects of agrochemical used are little understood but commonly known. For instance, agrochemicals have the potential to cause health issues such as cancer, reproductive and developmental toxicity, and neurotoxicity that are especially harmful to young and developing organisms including humans and other animals. Therefore, it is important to highlight the mechanistic and metabolic sequence between agrochemical exposure and the manifestation of diverse endpoint effects within and outside the food chain and environment. Sustainable alternatives like the fish-rice systems are unpopular and their adoption is affecting local biodiversity. The increasing use of pesticides in rice and vegetable farms has adverse negative effects on microbial and avian diversity and human health. Biological solutions have the potential to reduce the long-term effects of these agrochemicals and promote a healthy environment. The use of biopesticides, integrated pest management (IPM) practices, and a variety of natural products and biological agents can lessen the negative effects of agrochemicals. This chapter will discuss the potentially dangerous effects of agrochemical exposure, highlight human health issues such as cancers, neurological diseases, birth deformities and anomalies as well as other biodiversity and environment-related dangers, and suggest economically sound and safe alternatives to commonly used agrochemicals.","container-title":"One Health Implications of Agrochemicals and their Sustainable Alternatives","event-place":"Singapore","ISBN":"978-981-99-3439-3","language":"en","note":"DOI: 10.1007/978-981-99-3439-3_4","page":"105-135","publisher":"Springer Nature","publisher-place":"Singapore","source":"Springer Link","title":"Evidence of the Toxic Potentials of Agrochemicals on Human Health and Biodiversity","URL":"https://doi.org/10.1007/978-981-99-3439-3_4","author":[{"family":"Punia","given":"Abhay"},{"family":"Dehal","given":"Lipsa"},{"family":"Chauhan","given":"Nalini Singh"}],"editor":[{"family":"Ogwu","given":"Matthew Chidozie"},{"family":"Chibueze Izah","given":"Sylvester"}],"accessed":{"date-parts":[["2026",4,24]]},"issued":{"date-parts":[["2023"]]}}}],"schema":"https://github.com/citation-style-language/schema/raw/master/csl-citation.json"} </w:instrText>
      </w:r>
      <w:r w:rsidR="00CA6BA7" w:rsidRPr="00A54953">
        <w:rPr>
          <w:rFonts w:ascii="Times New Roman" w:hAnsi="Times New Roman" w:cs="Times New Roman"/>
        </w:rPr>
        <w:fldChar w:fldCharType="separate"/>
      </w:r>
      <w:r w:rsidR="00301F7B" w:rsidRPr="00A54953">
        <w:rPr>
          <w:rFonts w:ascii="Times New Roman" w:hAnsi="Times New Roman" w:cs="Times New Roman"/>
        </w:rPr>
        <w:t>[38,39]</w:t>
      </w:r>
      <w:r w:rsidR="00CA6BA7" w:rsidRPr="00A54953">
        <w:rPr>
          <w:rFonts w:ascii="Times New Roman" w:hAnsi="Times New Roman" w:cs="Times New Roman"/>
        </w:rPr>
        <w:fldChar w:fldCharType="end"/>
      </w:r>
      <w:r w:rsidRPr="00A54953">
        <w:rPr>
          <w:rFonts w:ascii="Times New Roman" w:hAnsi="Times New Roman" w:cs="Times New Roman"/>
        </w:rPr>
        <w:t>. These conditions are often the result of cumulative, low-dose exposure over extended periods, highlighting the importance of understanding long-term risk even at exposure levels below those causing acute toxicity</w:t>
      </w:r>
      <w:r w:rsidR="000B33FA"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{"citationID":"IZtog3FL","properties":{"formattedCitation":"[40]","plainCitation":"[40]","noteIndex":0},"citationItems":[{"id":17889,"uris":["http://zotero.org/users/16652950/items/M6JWUEG7"],"itemData":{"id":17889,"type":"article-journal","container-title":"EMBO Reports","DOI":"10.1002/embr.201438564","ISSN":"1469-221X","issue":"4","journalAbbreviation":"EMBO Rep","note":"PMID: 24623404\nPMCID: PMC3989664","page":"338-341","source":"PubMed Central","title":"Exposure, effects, and public health challenges: An interview with Linda Birnbaum, Director of the US National Institute of Environmental Health Services","title-short":"Exposure, effects, and public health challenges","volume":"15","author":[{"family":"Breithaupt","given":"Holger"}],"issued":{"date-parts":[["2014",4]]}}}],"schema":"https://github.com/citation-style-language/schema/raw/master/csl-citation.json"} </w:instrText>
      </w:r>
      <w:r w:rsidR="000B33FA" w:rsidRPr="00A54953">
        <w:rPr>
          <w:rFonts w:ascii="Times New Roman" w:hAnsi="Times New Roman" w:cs="Times New Roman"/>
        </w:rPr>
        <w:fldChar w:fldCharType="separate"/>
      </w:r>
      <w:r w:rsidR="00301F7B" w:rsidRPr="00A54953">
        <w:rPr>
          <w:rFonts w:ascii="Times New Roman" w:hAnsi="Times New Roman" w:cs="Times New Roman"/>
        </w:rPr>
        <w:t>[40]</w:t>
      </w:r>
      <w:r w:rsidR="000B33FA" w:rsidRPr="00A54953">
        <w:rPr>
          <w:rFonts w:ascii="Times New Roman" w:hAnsi="Times New Roman" w:cs="Times New Roman"/>
        </w:rPr>
        <w:fldChar w:fldCharType="end"/>
      </w:r>
      <w:r w:rsidRPr="00A54953">
        <w:rPr>
          <w:rFonts w:ascii="Times New Roman" w:hAnsi="Times New Roman" w:cs="Times New Roman"/>
        </w:rPr>
        <w:t>.</w:t>
      </w:r>
    </w:p>
    <w:p w14:paraId="03F0EE70"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6.3 Neurological Effects </w:t>
      </w:r>
    </w:p>
    <w:p w14:paraId="4CF7FE3A"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Neurotoxicity is a major concern associated with agrochemical exposure. Chronic exposure to certain pesticides has been linked to neurodegenerative conditions, including Parkinsonian syndromes, as well as cognitive impairment and memory deficits. Developmental exposure during critical periods of brain maturation may result in lasting neurobehavioral changes in children, including reduced cognitive function and attention disorders. Mechanistically, these effects are associated with disruption of neurotransmitter systems, oxidative stress, and neuronal damage. The persistence of neurological deficits underscores the importance of minimizing exposure, particularly among vulnerable populations</w:t>
      </w:r>
      <w:r w:rsidR="00AB541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{"citationID":"073wQ4PT","properties":{"formattedCitation":"[41]","plainCitation":"[41]","noteIndex":0},"citationItems":[{"id":17892,"uris":["http://zotero.org/users/16652950/items/28VUG9K4"],"itemData":{"id":17892,"type":"article-journal","abstract":"The dependence on the use of pesticides in agribusiness leads to an increase in human exposure to these chemical compounds through occupational activity, contamination of the environment, food and water. The nervous system is the target of most insecticidal pesticides and when these are poorly selective, they can harm non-target species, including humans. This work aimed to investigate the effects of pesticide exposure on memory and learning. Articles published in PubMed database between 2015 and 2024 were reviewed. One hundred and sixty-one articles were included in this review, of which one hundred and thirty two were preclinical studies and twenty-nine were human studies. Among preclinical studies, exposure to organophosphates, pyrethroids, neonicotinoids, carbamates, in addition to herbicides, fungicides and mixed exposures was associated with learning and memory deficits in animals such as bees, mosquitoes, fishes, mice, rats, and bats. Olfactory, associative and aversive learning, as well as memory capacity were affected by the exposure to pesticides. Most human studies evaluated the environmental and occupational exposure to organophosphate pesticides, pyrethroids and carbamates associated with the outcomes of interest. Living close to pesticide application areas and having parents working in agriculture were associated with worse learning and memory scores in childhood and adolescence. Prenatal exposure to insecticides has already been associated with poorer attention skills and attention-deficit/hyperactivity disorder (ADHD) symptoms, intellectual disability, autism spectrum disorder, motor delays, and attention problems. In adults, exposure during occupational activity was also associated with poorer memory and learning performance. The evidence found in this review suggests that pesticides with different mechanisms of action were able to cause some cognitive impairment. Developmental exposure, as well as chronic environmental and occupational exposure, can contribute to poorer cognitive performance, especially in learning and memory.","container-title":"Discover Toxicology","DOI":"10.1007/s44339-024-00011-9","ISSN":"3004-8893","issue":"1","journalAbbreviation":"Discov Toxicol","language":"en","page":"11","source":"Springer Link","title":"An update of the impact of pesticide exposure on memory and learning","volume":"1","author":[{"family":"Honatel","given":"K. F."},{"family":"Arbo","given":"B. D."},{"family":"Leal","given":"M. B."},{"family":"Silva Júnior","given":"F. M. R.","non-dropping-particle":"da"},{"family":"Garcia","given":"S. C."},{"family":"Arbo","given":"M. D."}],"issued":{"date-parts":[["2024",11,11]]}}}],"schema":"https://github.com/citation-style-language/schema/raw/master/csl-citation.json"} </w:instrText>
      </w:r>
      <w:r w:rsidR="00AB541C" w:rsidRPr="00A54953">
        <w:rPr>
          <w:rFonts w:ascii="Times New Roman" w:hAnsi="Times New Roman" w:cs="Times New Roman"/>
        </w:rPr>
        <w:fldChar w:fldCharType="separate"/>
      </w:r>
      <w:r w:rsidR="00301F7B" w:rsidRPr="00A54953">
        <w:rPr>
          <w:rFonts w:ascii="Times New Roman" w:hAnsi="Times New Roman" w:cs="Times New Roman"/>
        </w:rPr>
        <w:t>[41]</w:t>
      </w:r>
      <w:r w:rsidR="00AB541C" w:rsidRPr="00A54953">
        <w:rPr>
          <w:rFonts w:ascii="Times New Roman" w:hAnsi="Times New Roman" w:cs="Times New Roman"/>
        </w:rPr>
        <w:fldChar w:fldCharType="end"/>
      </w:r>
      <w:r w:rsidRPr="00A54953">
        <w:rPr>
          <w:rFonts w:ascii="Times New Roman" w:hAnsi="Times New Roman" w:cs="Times New Roman"/>
        </w:rPr>
        <w:t>.</w:t>
      </w:r>
    </w:p>
    <w:p w14:paraId="60E0D21B"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6.4 Endocrine and Reproductive Effects</w:t>
      </w:r>
    </w:p>
    <w:p w14:paraId="2BE94A40"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Some agrochemicals act as endocrine-disrupting chemicals, interfering with hormonal regulation and reproductive function. Exposure has been associated with altered levels of sex hormones, reduced fertility, menstrual irregularities, and adverse pregnancy outcomes. In males, effects may include reduced sperm quality and hormonal imbalances, while in females, disruptions may affect ovulation and fetal development. Prenatal exposure is of particular concern, as it may lead to developmental abnormalities and long-term health consequences</w:t>
      </w:r>
      <w:r w:rsidR="0024330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{"citationID":"mmwhjL8X","properties":{"formattedCitation":"[42,43]","plainCitation":"[42,43]","noteIndex":0},"citationItems":[{"id":17896,"uris":["http://zotero.org/users/16652950/items/7MJ5CKMN"],"itemData":{"id":17896,"type":"article-journal","abstract":"Reproductive system diseases pose prominent threats to human physical and mental wellbeing. Besides being influenced by genetic material regulation and changes in lifestyle, the occurrence of these diseases is closely connected to exposure to harmful substances in the environment. Endocrine disrupting chemicals (EDCs), characterized by hormone-like effects, have a wide range of influences on the reproductive system. EDCs are ubiquitous in the natural environment and are present in a wide range of industrial and everyday products. Currently, thousands of chemicals have been reported to exhibit endocrine effects, and this number is likely to increase as the testing for potential EDCs has not been consistently required, and obtaining data has been limited, partly due to the long latency of many diseases. The ability to avoid exposure to EDCs, especially those of artificially synthesized origin, is increasingly challenging. While EDCs can be divided into persistent and non-persistent depending on their degree of degradation (Lee Y M et al., 2018), due to the recent uptick in research studies in this area, we have chosen to focus on the research pertaining to the detrimental effects on reproductive health of exposure to several EDCs that are widely encountered in daily life over the past six years, specifically bisphenol A (BPA), phthalates (PAEs), polychlorinated biphenyls (PCBs), parabens, pesticides, heavy metals, and so on. By focusing on the impact of EDCs on the hypothalamic-pituitary-gonadal (HPG) axis, which leads to the occurrence and development of reproductive system diseases, this review aims to provide new insights into the molecular mechanisms of EDCs' damage to human health and to encourage further in-depth research to clarify the potentially harmful effects of EDC exposure through various other mechanisms. Ultimately, it offers a scientific basis to enhance EDCs risk management, an endeavor of significant scientific and societal importance for safeguarding reproductive health.","container-title":"Frontiers in Endocrinology","DOI":"10.3389/fendo.2023.1324993","ISSN":"1664-2392","journalAbbreviation":"Front. Endocrinol.","language":"English","note":"publisher: Frontiers","source":"Frontiers","title":"The adverse role of endocrine disrupting chemicals in the reproductive system","URL":"https://www.frontiersin.org/journals/endocrinology/articles/10.3389/fendo.2023.1324993/full","volume":"14","author":[{"family":"Pan","given":"Jing"},{"family":"Liu","given":"Pengfei"},{"family":"Yu","given":"Xiao"},{"family":"Zhang","given":"Zhongming"},{"family":"Liu","given":"Jinxing"}],"accessed":{"date-parts":[["2026",4,24]]},"issued":{"date-parts":[["2024",1,17]]}}},{"id":17898,"uris":["http://zotero.org/users/16652950/items/KM7IJ86G"],"itemData":{"id":17898,"type":"article-journal","abstract":"Endocrine-disrupting chemicals (EDCs) are exogenous compounds that interfere with the endocrine system by mimicking or blocking the action of endogeno...","container-title":"Life","DOI":"10.3390/life15070993","ISSN":"2075-1729","issue":"7","language":"en","license":"http://creativecommons.org/licenses/by/3.0/","note":"publisher: Multidisciplinary Digital Publishing Institute","source":"www.mdpi.com","title":"Associations Between Endocrine-Disrupting Chemical Exposure and Fertility Outcomes: A Decade of Human Epidemiological Evidence","title-short":"Associations Between Endocrine-Disrupting Chemical Exposure and Fertility Outcomes","URL":"https://www.mdpi.com/2075-1729/15/7/993","volume":"15","author":[{"family":"Tzouma","given":"Zoe"},{"family":"Dourou","given":"Panagiota"},{"family":"Diamanti","given":"Athina"},{"family":"Harizopoulou","given":"Vikentia"},{"family":"Papalexis","given":"Petros"},{"family":"Karampas","given":"Grigorios"},{"family":"Liepinaitienė","given":"Alina"},{"family":"Dėdelė","given":"Audrius"},{"family":"Sarantaki","given":"Antigoni"}],"accessed":{"date-parts":[["2026",4,24]]},"issued":{"date-parts":[["2025",6,20]]}}}],"schema":"https://github.com/citation-style-language/schema/raw/master/csl-citation.json"} </w:instrText>
      </w:r>
      <w:r w:rsidR="0024330C" w:rsidRPr="00A54953">
        <w:rPr>
          <w:rFonts w:ascii="Times New Roman" w:hAnsi="Times New Roman" w:cs="Times New Roman"/>
        </w:rPr>
        <w:fldChar w:fldCharType="separate"/>
      </w:r>
      <w:r w:rsidR="00301F7B" w:rsidRPr="00A54953">
        <w:rPr>
          <w:rFonts w:ascii="Times New Roman" w:hAnsi="Times New Roman" w:cs="Times New Roman"/>
        </w:rPr>
        <w:t>[42,43]</w:t>
      </w:r>
      <w:r w:rsidR="0024330C" w:rsidRPr="00A54953">
        <w:rPr>
          <w:rFonts w:ascii="Times New Roman" w:hAnsi="Times New Roman" w:cs="Times New Roman"/>
        </w:rPr>
        <w:fldChar w:fldCharType="end"/>
      </w:r>
      <w:r w:rsidRPr="00A54953">
        <w:rPr>
          <w:rFonts w:ascii="Times New Roman" w:hAnsi="Times New Roman" w:cs="Times New Roman"/>
        </w:rPr>
        <w:t xml:space="preserve">. These effects are </w:t>
      </w:r>
      <w:r w:rsidRPr="00A54953">
        <w:rPr>
          <w:rFonts w:ascii="Times New Roman" w:hAnsi="Times New Roman" w:cs="Times New Roman"/>
        </w:rPr>
        <w:lastRenderedPageBreak/>
        <w:t>often subtle and may manifest over extended periods, complicating detection and risk assessment.</w:t>
      </w:r>
    </w:p>
    <w:p w14:paraId="2FD2371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6.5 Immunological Effects </w:t>
      </w:r>
    </w:p>
    <w:p w14:paraId="2E975B66"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Agrochemical exposure can influence immune system function, leading to either suppression or dysregulation. Some compounds impair immune responses, increasing susceptibility to infections, while others may trigger hypersensitivity or inflammatory reactions. Alterations in immune cell function and cytokine production have been observed in exposed populations. Chronic immune dysregulation may contribute to the development of autoimmune conditions or exacerbate existing diseases. The </w:t>
      </w:r>
      <w:proofErr w:type="spellStart"/>
      <w:r w:rsidRPr="00A54953">
        <w:rPr>
          <w:rFonts w:ascii="Times New Roman" w:hAnsi="Times New Roman" w:cs="Times New Roman"/>
        </w:rPr>
        <w:t>immunotoxic</w:t>
      </w:r>
      <w:proofErr w:type="spellEnd"/>
      <w:r w:rsidRPr="00A54953">
        <w:rPr>
          <w:rFonts w:ascii="Times New Roman" w:hAnsi="Times New Roman" w:cs="Times New Roman"/>
        </w:rPr>
        <w:t xml:space="preserve"> effects of agrochemicals are an emerging area of research, with growing evidence highlighting their relevance to public health</w:t>
      </w:r>
      <w:r w:rsidR="00C40487"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{"citationID":"iLjNCUW4","properties":{"formattedCitation":"[44]","plainCitation":"[44]","noteIndex":0},"citationItems":[{"id":17900,"uris":["http://zotero.org/users/16652950/items/ZN95HQBJ"],"itemData":{"id":17900,"type":"chapter","abstract":"Pesticides are chemicals used extensively throughout the agricultural sector to control pests, such as insects, that commonly attack and destroy crops. In recent years, their use has increased considerably, in which humans are exposed to pesticides in their...","container-title":"Handbook of Cancer and Immunology","ISBN":"978-3-030-80962-1","language":"en","note":"DOI: 10.1007/978-3-030-80962-1_122-1","page":"1-30","publisher":"Springer, Cham","source":"link.springer.com","title":"Impact of Pesticides on Immune-Endocrine Disorders and Its Relationship to Cancer Development","URL":"https://link.springer.com/rwe/10.1007/978-3-030-80962-1_122-1","author":[{"family":"Fagundes","given":"Tatiane Renata"},{"family":"Kawassaki","given":"Aedra Carla Bufalo"},{"family":"Concato","given":"Virginia Marcia"},{"family":"Assolini","given":"João Paulo"},{"family":"Silva","given":"Taylon Felipe"},{"family":"Gonçalves","given":"Manoela Daiele"},{"family":"Silva Siqueira","given":"Elaine","non-dropping-particle":"da"},{"family":"Sahd","given":"Claudia Stoeglehner"},{"family":"Inoue","given":"Fabrício Seidy Ribeiro"},{"family":"Silva","given":"Thais Peron","non-dropping-particle":"da"},{"family":"Lima","given":"Debora Messagi","non-dropping-particle":"de"},{"family":"Ferreira","given":"Mariane Okamoto"},{"family":"Conchon-Costa","given":"Ivete"},{"family":"Pavanelli","given":"Wander Rogério"},{"family":"Panis","given":"Carolina"}],"accessed":{"date-parts":[["2026",4,24]]},"issued":{"date-parts":[["2023"]]}}}],"schema":"https://github.com/citation-style-language/schema/raw/master/csl-citation.json"} </w:instrText>
      </w:r>
      <w:r w:rsidR="00C40487" w:rsidRPr="00A54953">
        <w:rPr>
          <w:rFonts w:ascii="Times New Roman" w:hAnsi="Times New Roman" w:cs="Times New Roman"/>
        </w:rPr>
        <w:fldChar w:fldCharType="separate"/>
      </w:r>
      <w:r w:rsidR="00301F7B" w:rsidRPr="00A54953">
        <w:rPr>
          <w:rFonts w:ascii="Times New Roman" w:hAnsi="Times New Roman" w:cs="Times New Roman"/>
        </w:rPr>
        <w:t>[44]</w:t>
      </w:r>
      <w:r w:rsidR="00C40487" w:rsidRPr="00A54953">
        <w:rPr>
          <w:rFonts w:ascii="Times New Roman" w:hAnsi="Times New Roman" w:cs="Times New Roman"/>
        </w:rPr>
        <w:fldChar w:fldCharType="end"/>
      </w:r>
      <w:r w:rsidRPr="00A54953">
        <w:rPr>
          <w:rFonts w:ascii="Times New Roman" w:hAnsi="Times New Roman" w:cs="Times New Roman"/>
        </w:rPr>
        <w:t>.</w:t>
      </w:r>
    </w:p>
    <w:p w14:paraId="7F9A11D2"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7. Evidence from Epidemiological and Experimental Studies </w:t>
      </w:r>
    </w:p>
    <w:p w14:paraId="54AAA73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Epidemiological Studies</w:t>
      </w:r>
    </w:p>
    <w:p w14:paraId="31DDC19F"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Epidemiological research provides critical insights into the associations between agrochemical exposure and human health outcomes. Cohort and case–control studies among agricultural workers have reported elevated risks of certain cancers, including hematologic malignancies, as well as neurological and reproductive disorders</w:t>
      </w:r>
      <w:r w:rsidR="006079EA"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{"citationID":"p7KQcc6y","properties":{"formattedCitation":"[45]","plainCitation":"[45]","noteIndex":0},"citationItems":[{"id":13293,"uris":["http://zotero.org/users/16652950/items/EWAJ2Q55"],"itemData":{"id":13293,"type":"article-journal","abstract":"Pesticides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6079EA" w:rsidRPr="00A54953">
        <w:rPr>
          <w:rFonts w:ascii="Times New Roman" w:hAnsi="Times New Roman" w:cs="Times New Roman"/>
        </w:rPr>
        <w:fldChar w:fldCharType="separate"/>
      </w:r>
      <w:r w:rsidR="00301F7B" w:rsidRPr="00A54953">
        <w:rPr>
          <w:rFonts w:ascii="Times New Roman" w:hAnsi="Times New Roman" w:cs="Times New Roman"/>
        </w:rPr>
        <w:t>[45]</w:t>
      </w:r>
      <w:r w:rsidR="006079EA" w:rsidRPr="00A54953">
        <w:rPr>
          <w:rFonts w:ascii="Times New Roman" w:hAnsi="Times New Roman" w:cs="Times New Roman"/>
        </w:rPr>
        <w:fldChar w:fldCharType="end"/>
      </w:r>
      <w:r w:rsidRPr="00A54953">
        <w:rPr>
          <w:rFonts w:ascii="Times New Roman" w:hAnsi="Times New Roman" w:cs="Times New Roman"/>
        </w:rPr>
        <w:t>. Large-scale investigations, such as agricultural health cohorts, have linked long-term pesticide exposure with neurodegenerative conditions and respiratory effects. Biomonitoring studies measuring pesticide metabolites in blood or urine further support evidence of widespread human exposure, even among non-occupational populations</w:t>
      </w:r>
      <w:r w:rsidR="006079EA"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{"citationID":"ue9c3sep","properties":{"formattedCitation":"[46]","plainCitation":"[46]","noteIndex":0},"citationItems":[{"id":17901,"uris":["http://zotero.org/users/16652950/items/EIRGQ2LE"],"itemData":{"id":17901,"type":"article-journal","abstract":"OBJECTIVE: The purpose of this study was to assess cancer risk among agricultural workers compared to the general population.\nMETHODS: The study utilized data from Farmers' Health Insurance (FHI) in Taiwan, which enrolled agricultural workers (N=1 175 149). The enrolled workers were matched to a general population (N=1 175 149) of the same age, gender, township, and enrollment year. The study population was linked to the National Cancer Registry to identify new cancer cases between 2000 and 2018. The Cox proportional hazards model was used to estimate the hazard ratio and 95% confidence interval for outcomes.\nRESULTS: During the study period, 136 913 new cancers among agricultural workers were identified. The study found that male farmers had an increased cancer risk, including lymphocytic leukemia, chronic myelogenous leukemia, non-Hodgkin's lymphoma (NHL), oral cancer, lip cancer, esophagus cancer, rectum and rectosigmoid junction cancer, liver and intrahepatic bile duct cancer, lung cancer, trachea and bronchi cancer, and other non-melanoma skin cancer, even when considering the latency period. Female farmers had an elevated risk of multiple myeloma and other non-melanoma skin cancer. Moreover, only lymphoma, NHL, other lymphoid, and multiple myeloma, were both found to occur at different insurance periods.\nCONCLUSIONS: This study provides farmer cancer patterns and risk, adding to the evidence that farmers are at increased risk of certain types of cancer, especially for hematological cancers. As exposure varies by farm operation type, individual farmer exposure may vary widely. Further understanding of the complex relationship between occupational exposure, environmental factors, and lifestyle factors is needed.","container-title":"Scandinavian Journal of Work, Environment &amp; Health","DOI":"10.5271/sjweh.4106","ISSN":"1795-990X","issue":"6","journalAbbreviation":"Scand J Work Environ Health","language":"eng","note":"PMID: 37449304\nPMCID: PMC10821750","page":"419-427","source":"PubMed","title":"Cancer risks in a population-based study of agricultural workers: results from the Taiwan's Farmers and Health Cohort study","title-short":"Cancer risks in a population-based study of agricultural workers","volume":"49","author":[{"family":"Chen","given":"Wei-Liang"},{"family":"Lin","given":"Gwan-Ling"},{"family":"Lin","given":"Yu-Jen"},{"family":"Su","given":"Ting-Yao"},{"family":"Wang","given":"Chung-Ching"},{"family":"Wu","given":"Wei-Te"}],"issued":{"date-parts":[["2023",9,1]]}}}],"schema":"https://github.com/citation-style-language/schema/raw/master/csl-citation.json"} </w:instrText>
      </w:r>
      <w:r w:rsidR="006079EA" w:rsidRPr="00A54953">
        <w:rPr>
          <w:rFonts w:ascii="Times New Roman" w:hAnsi="Times New Roman" w:cs="Times New Roman"/>
        </w:rPr>
        <w:fldChar w:fldCharType="separate"/>
      </w:r>
      <w:r w:rsidR="00301F7B" w:rsidRPr="00A54953">
        <w:rPr>
          <w:rFonts w:ascii="Times New Roman" w:hAnsi="Times New Roman" w:cs="Times New Roman"/>
        </w:rPr>
        <w:t>[46]</w:t>
      </w:r>
      <w:r w:rsidR="006079EA" w:rsidRPr="00A54953">
        <w:rPr>
          <w:rFonts w:ascii="Times New Roman" w:hAnsi="Times New Roman" w:cs="Times New Roman"/>
        </w:rPr>
        <w:fldChar w:fldCharType="end"/>
      </w:r>
      <w:r w:rsidRPr="00A54953">
        <w:rPr>
          <w:rFonts w:ascii="Times New Roman" w:hAnsi="Times New Roman" w:cs="Times New Roman"/>
        </w:rPr>
        <w:t>. However, variability in exposure assessment methods, reliance on self-reported data, and confounding environmental and lifestyle factors complicate causal inference</w:t>
      </w:r>
      <w:r w:rsidR="003E7BE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{"citationID":"ylMH3HrB","properties":{"formattedCitation":"[47]","plainCitation":"[47]","noteIndex":0},"citationItems":[{"id":17757,"uris":["http://zotero.org/users/16652950/items/T62SGJIH"],"itemData":{"id":17757,"type":"article-journal","container-title":"Journal of Advances in Medicine and Medical Research","DOI":"10.9734/jammr/2026/v38i36090","ISSN":"2456-8899","issue":"3","language":"en","page":"52-68","source":"journaljammr.com","title":"Modeling Agrochemical Contamination in Drinking Water and Chronic Disease Risk in U.S. Farmers","volume":"38","author":[{"family":"Egbuchiem","given":"Alex Nnanyelugo"},{"family":"Donkor","given":"Felix"},{"family":"Dudzilah","given":"Gifty"},{"family":"Owusu","given":"Antwi Edmond"},{"family":"Balogun","given":"Azeez"}],"issued":{"date-parts":[["2026",3,9]]}}}],"schema":"https://github.com/citation-style-language/schema/raw/master/csl-citation.json"} </w:instrText>
      </w:r>
      <w:r w:rsidR="003E7BE0" w:rsidRPr="00A54953">
        <w:rPr>
          <w:rFonts w:ascii="Times New Roman" w:hAnsi="Times New Roman" w:cs="Times New Roman"/>
        </w:rPr>
        <w:fldChar w:fldCharType="separate"/>
      </w:r>
      <w:r w:rsidR="00301F7B" w:rsidRPr="00A54953">
        <w:rPr>
          <w:rFonts w:ascii="Times New Roman" w:hAnsi="Times New Roman" w:cs="Times New Roman"/>
        </w:rPr>
        <w:t>[47]</w:t>
      </w:r>
      <w:r w:rsidR="003E7BE0" w:rsidRPr="00A54953">
        <w:rPr>
          <w:rFonts w:ascii="Times New Roman" w:hAnsi="Times New Roman" w:cs="Times New Roman"/>
        </w:rPr>
        <w:fldChar w:fldCharType="end"/>
      </w:r>
      <w:r w:rsidRPr="00A54953">
        <w:rPr>
          <w:rFonts w:ascii="Times New Roman" w:hAnsi="Times New Roman" w:cs="Times New Roman"/>
        </w:rPr>
        <w:t>. Despite these challenges, consistent patterns across diverse populations strengthen the overall evidence base.</w:t>
      </w:r>
    </w:p>
    <w:p w14:paraId="2359C60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Experimental/Toxicological Evidence </w:t>
      </w:r>
    </w:p>
    <w:p w14:paraId="460EEF8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Experimental studies, including in vivo animal models and in vitro cellular systems, provide mechanistic evidence supporting observed epidemiological associations. These studies have demonstrated that many agrochemicals can induce oxidative stress, disrupt endocrine signaling, and cause neurotoxicity and genotoxic effects under controlled conditions</w:t>
      </w:r>
      <w:r w:rsidR="00DB19DE"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{"citationID":"KGWuN0KY","properties":{"formattedCitation":"[48]","plainCitation":"[48]","noteIndex":0},"citationItems":[{"id":17904,"uris":["http://zotero.org/users/16652950/items/ZTATMJJH"],"itemData":{"id":17904,"type":"article-journal","abstract":"Pesticides are important chemicals or biological agents that deter or kill pests. The use of pesticides has continued to increase as it is still considered the most effective method to reduce pests and increase crop growth. However, pesticides have other consequences, including potential toxicity to humans and wildlife. Pesticides have been associated with increased risk of cardiovascular disease, cancer, and birth defects. Labels on pesticides also suggest limiting exposure to these hazardous chemicals. Based on experimental evidence, various types of pesticides all seem to have a common effect, the induction of oxidative stress in different cell types and animal models. Pesticide-induced oxidative stress is caused by both reactive oxygen species (ROS) and reactive nitrogen species (RNS), which are associated with several diseases including cancer, inflammation, and cardiovascular and neurodegenerative diseases. ROS and RNS can activate at least five independent signaling pathways including mitochondrial-induced apoptosis. Limited in vitro studies also suggest that exogenous antioxidants can reduce or prevent the deleterious effects of pesticides.","container-title":"Oxidative Medicine and Cellular Longevity","DOI":"10.1155/2022/5563759","ISSN":"1942-0900","journalAbbreviation":"Oxid Med Cell Longev","note":"PMID: 35096268\nPMCID: PMC8791758","page":"5563759","source":"PubMed Central","title":"A Common Feature of Pesticides: Oxidative Stress—The Role of Oxidative Stress in Pesticide-Induced Toxicity","title-short":"A Common Feature of Pesticides","volume":"2022","author":[{"family":"Sule","given":"Rasheed O."},{"family":"Condon","given":"Liam"},{"family":"Gomes","given":"Aldrin V."}],"issued":{"date-parts":[["2022",1,19]]}}}],"schema":"https://github.com/citation-style-language/schema/raw/master/csl-citation.json"} </w:instrText>
      </w:r>
      <w:r w:rsidR="00DB19DE" w:rsidRPr="00A54953">
        <w:rPr>
          <w:rFonts w:ascii="Times New Roman" w:hAnsi="Times New Roman" w:cs="Times New Roman"/>
        </w:rPr>
        <w:fldChar w:fldCharType="separate"/>
      </w:r>
      <w:r w:rsidR="00301F7B" w:rsidRPr="00A54953">
        <w:rPr>
          <w:rFonts w:ascii="Times New Roman" w:hAnsi="Times New Roman" w:cs="Times New Roman"/>
        </w:rPr>
        <w:t>[48]</w:t>
      </w:r>
      <w:r w:rsidR="00DB19DE" w:rsidRPr="00A54953">
        <w:rPr>
          <w:rFonts w:ascii="Times New Roman" w:hAnsi="Times New Roman" w:cs="Times New Roman"/>
        </w:rPr>
        <w:fldChar w:fldCharType="end"/>
      </w:r>
      <w:r w:rsidRPr="00A54953">
        <w:rPr>
          <w:rFonts w:ascii="Times New Roman" w:hAnsi="Times New Roman" w:cs="Times New Roman"/>
        </w:rPr>
        <w:t>. Dose–response relationships observed in laboratory settings help establish toxicity thresholds and biological plausibility. However, extrapolation to human populations requires caution due to differences in exposure levels, metabolic pathways, and species-specific response</w:t>
      </w:r>
      <w:r w:rsidR="000B3E7C" w:rsidRPr="00A54953">
        <w:rPr>
          <w:rFonts w:ascii="Times New Roman" w:hAnsi="Times New Roman" w:cs="Times New Roman"/>
        </w:rPr>
        <w:fldChar w:fldCharType="begin"/>
      </w:r>
      <w:r w:rsidR="008E21FC" w:rsidRPr="00A54953">
        <w:rPr>
          <w:rFonts w:ascii="Times New Roman" w:hAnsi="Times New Roman" w:cs="Times New Roman"/>
        </w:rPr>
        <w:instrText xml:space="preserve"> ADDIN ZOTERO_ITEM CSL_CITATION {"citationID":"BB9ZQYWd","properties":{"formattedCitation":"[49]","plainCitation":"[49]","noteIndex":0},"citationItems":[{"id":17924,"uris":["http://zotero.org/users/16652950/items/SMV2NKNB"],"itemData":{"id":17924,"type":"article-journal","abstract":"The Reference Dose (RfD) and Reference Concentration (RfC) are human health reference values (RfVs) representing exposure concentrations at or below which there is presumed to be little risk of adverse effects in the general human population. The 2009 National Research Council report Science and Decisions recommended redefining RfVs as “a risk-specific dose (for example, the dose associated with a 1 in 100,000 risk of a particular end point).” Distributions representing variability in human response to environmental contaminant exposures are critical for deriving risk-specific doses. Existing distributions estimating the extent of human toxicokinetic and toxicodynamic variability are based largely on controlled human exposure studies of pharmaceuticals. New data and methods have been developed that are designed to improve estimation of the quantitative variability in human response to environmental chemical exposures. Categories of research with potential to provide new database useful for developing updated human variability distributions include controlled human experiments, human epidemiology, animal models of genetic variability, in vitro estimates of toxicodynamic variability, and in vitro-based models of toxicokinetic variability. In vitro approaches, with further development including studies of different cell types and endpoints, and approaches to incorporate non-genetic sources of variability, appear to provide the greatest opportunity for substantial near-term advances.","container-title":"Human and ecological risk assessment : HERA","DOI":"10.1080/10807039.2019.1615828","ISSN":"1080-7039","journalAbbreviation":"Hum Ecol Risk Assess","note":"PMID: 31404325\nPMCID: PMC6688638","page":"1-24","source":"PubMed Central","title":"Methods for evaluating variability in human health dose-response characterization","volume":"25","author":[{"family":"Axelrad","given":"Daniel A."},{"family":"Setzer","given":"R. Woodrow"},{"family":"Bateson","given":"Thomas F."},{"family":"DeVito","given":"Michael"},{"family":"Dzubow","given":"Rebecca C."},{"family":"Fitzpatrick","given":"Julie W."},{"family":"Frame","given":"Alicia M."},{"family":"Hogan","given":"Karen A."},{"family":"Houck","given":"Keith"},{"family":"Stewart","given":"Michael"}],"issued":{"date-parts":[["2019",11,6]]}}}],"schema":"https://github.com/citation-style-language/schema/raw/master/csl-citation.json"} </w:instrText>
      </w:r>
      <w:r w:rsidR="000B3E7C" w:rsidRPr="00A54953">
        <w:rPr>
          <w:rFonts w:ascii="Times New Roman" w:hAnsi="Times New Roman" w:cs="Times New Roman"/>
        </w:rPr>
        <w:fldChar w:fldCharType="separate"/>
      </w:r>
      <w:r w:rsidR="008E21FC" w:rsidRPr="00A54953">
        <w:rPr>
          <w:rFonts w:ascii="Times New Roman" w:hAnsi="Times New Roman" w:cs="Times New Roman"/>
        </w:rPr>
        <w:t>[49]</w:t>
      </w:r>
      <w:r w:rsidR="000B3E7C" w:rsidRPr="00A54953">
        <w:rPr>
          <w:rFonts w:ascii="Times New Roman" w:hAnsi="Times New Roman" w:cs="Times New Roman"/>
        </w:rPr>
        <w:fldChar w:fldCharType="end"/>
      </w:r>
    </w:p>
    <w:p w14:paraId="46071675"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Limitations of Evidence </w:t>
      </w:r>
    </w:p>
    <w:p w14:paraId="18F5643E"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The current evidence base is limited by heterogeneity in study design, exposure misclassification, and insufficient longitudinal data in many regions. Data gaps are particularly pronounced in low- and middle-income countries, where monitoring systems are less developed. </w:t>
      </w:r>
      <w:r w:rsidRPr="00A54953">
        <w:rPr>
          <w:rFonts w:ascii="Times New Roman" w:hAnsi="Times New Roman" w:cs="Times New Roman"/>
        </w:rPr>
        <w:lastRenderedPageBreak/>
        <w:t>These limitations highlight the need for standardized methodologies and more robust, long-term studies.</w:t>
      </w:r>
    </w:p>
    <w:p w14:paraId="19135AEB"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8. Environmental and Public Health Implications</w:t>
      </w:r>
    </w:p>
    <w:p w14:paraId="1693AC49"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Disease Burden and Food Safety </w:t>
      </w:r>
    </w:p>
    <w:p w14:paraId="3A4527DD"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 contamination contributes to a growing burden of disease through both acute poisoning and chronic exposure-related conditions. While precise global burden estimates remain uncertain due to data limitations, evidence indicates that pesticide poisoning alone accounts for a substantial number of morbidity and mortality cases annually, particularly in agricultural communities. In addition to direct health effects, contamination of food products raises significant food safety concerns. Residues exceeding recommended limits can enter local and global food systems, undermining consumer confidence and posing risks to public health. Ensuring compliance with safety standards is therefore critical for protecting both individual and population health</w:t>
      </w:r>
      <w:r w:rsidR="00CB7D63"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{"citationID":"f0LJ7qhm","properties":{"formattedCitation":"[45,50]","plainCitation":"[45,50]","noteIndex":0},"citationItems":[{"id":13293,"uris":["http://zotero.org/users/16652950/items/EWAJ2Q55"],"itemData":{"id":13293,"type":"article-journal","abstract":"Pesticides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Kumar"}],"issued":{"date-parts":[["2024",12,1]]}}},{"id":17907,"uris":["http://zotero.org/users/16652950/items/U2MDLLGA"],"itemData":{"id":17907,"type":"article-journal","abstract":"This study analyzes global data on human exposure to pesticides, focusing on glyphosate, POPs, carbamates, and organophosphates, which are among the m...","container-title":"Journal of Xenobiotics","DOI":"10.3390/jox15060187","ISSN":"2039-4713","issue":"6","language":"en","license":"http://creativecommons.org/licenses/by/3.0/","note":"publisher: Multidisciplinary Digital Publishing Institute","source":"www.mdpi.com","title":"Global Evidence on Monitoring Human Pesticide Exposure","URL":"https://www.mdpi.com/2039-4713/15/6/187","volume":"15","author":[{"family":"Fagundes","given":"Tatiane Renata"},{"family":"Coradi","given":"Carolina"},{"family":"Vacario","given":"Beatriz Geovana Leite"},{"family":"Valentim","given":"Juliana Maria Bitencourt de Morais"},{"family":"Panis","given":"Carolina"}],"accessed":{"date-parts":[["2026",4,24]]},"issued":{"date-parts":[["2025",11,6]]}}}],"schema":"https://github.com/citation-style-language/schema/raw/master/csl-citation.json"} </w:instrText>
      </w:r>
      <w:r w:rsidR="00CB7D63" w:rsidRPr="00A54953">
        <w:rPr>
          <w:rFonts w:ascii="Times New Roman" w:hAnsi="Times New Roman" w:cs="Times New Roman"/>
        </w:rPr>
        <w:fldChar w:fldCharType="separate"/>
      </w:r>
      <w:r w:rsidR="00301F7B" w:rsidRPr="00A54953">
        <w:rPr>
          <w:rFonts w:ascii="Times New Roman" w:hAnsi="Times New Roman" w:cs="Times New Roman"/>
        </w:rPr>
        <w:t>[45,50]</w:t>
      </w:r>
      <w:r w:rsidR="00CB7D63" w:rsidRPr="00A54953">
        <w:rPr>
          <w:rFonts w:ascii="Times New Roman" w:hAnsi="Times New Roman" w:cs="Times New Roman"/>
        </w:rPr>
        <w:fldChar w:fldCharType="end"/>
      </w:r>
      <w:r w:rsidRPr="00A54953">
        <w:rPr>
          <w:rFonts w:ascii="Times New Roman" w:hAnsi="Times New Roman" w:cs="Times New Roman"/>
        </w:rPr>
        <w:t>.</w:t>
      </w:r>
    </w:p>
    <w:p w14:paraId="0A171DBC"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Health Inequities (LMIC Focus) </w:t>
      </w:r>
    </w:p>
    <w:p w14:paraId="33DC5D9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Health impacts of agrochemical exposure are disproportionately borne by populations in low- and middle-income countries. Factors such as weak regulatory enforcement, limited access to protective equipment, and reliance on informal agricultural practices increase exposure risks. Rural communities often depend on untreated water sources and locally grown food, heightening vulnerability. Additionally, limited healthcare infrastructure can delay diagnosis and management of exposure-related conditions. These inequities reflect broader structural challenges and underscore the need for context-specific interventions that address both environmental and social determinants of health</w:t>
      </w:r>
      <w:r w:rsidR="009409AB"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{"citationID":"IWeQT0nj","properties":{"formattedCitation":"[51]","plainCitation":"[51]","noteIndex":0},"citationItems":[{"id":17909,"uris":["http://zotero.org/users/16652950/items/LGEDP4LV"],"itemData":{"id":17909,"type":"article-journal","abstract":"In recent years, public discourse on pesticide impacts has increasingly recognized institutional and structural racism as key drivers of health disparities in Black, Indigenous, and People of Color (BIPOC) communities. While pesticides are vital for crop protection from causing yield losses, extensive research highlights their adverse effects on environmental quality and human health. These impacts disproportionately burden BIPOC populations, making pesticides a major environmental justice (EJ) concern like many other environmental pollutants. Despite progress in understanding these effects and advancing EJ, significant technical, social, and policy gaps remain. The objective of this review is to systematically examine critical gaps in technical, social, and policy dimensions, as well as the environmental and human health impacts of pesticide exposure on BIPOC communities in the United States, through the lens of environmental justice. This review synthesizes 128 sources peer-reviewed articles, books, reports on pesticides, EJ, and BIPOC communities in the U.S. Key findings reveal uneven distribution of pesticide-related health and environmental burdens along racial, ethnic, and socioeconomic lines. Non-Hispanic Blacks and Mexican Americans exhibit higher pesticide biomarkers and greater exposure risks than non-Hispanic Whites. Structural racism and classism, rooted in historical systems, perpetuate these inequities, compounded by regulatory failures and power imbalances. In addition, the EPA has flagged 31 pesticide manufacturing facilities for “Significant Violations” of key environmental laws, including the Clean Air Act, Clean Water Act, and Resource Conservation and Recovery Act. These systemic issues underscore urgent needs for transparency, accountability, and equitable policy reform. An EJ framework exposes critical knowledge gaps and calls for structural changes to ensure equal protection and responsive policies for the most affected communities.","container-title":"International Journal of Environmental Research and Public Health","DOI":"10.3390/ijerph22111683","ISSN":"1661-7827","issue":"11","journalAbbreviation":"Int J Environ Res Public Health","note":"PMID: 41302630\nPMCID: PMC12652544","page":"1683","source":"PubMed Central","title":"Environmental and Human Health Impacts of Agricultural Pesticides on BIPOC Communities in the United States: A Review from an Environmental Justice Perspective","title-short":"Environmental and Human Health Impacts of Agricultural Pesticides on BIPOC Communities in the United States","volume":"22","author":[{"family":"Mengistie","given":"Belay Tizazu"},{"family":"Ray","given":"Ram L."},{"family":"Iyanda","given":"Ayodeji"}],"issued":{"date-parts":[["2025",11,6]]}}}],"schema":"https://github.com/citation-style-language/schema/raw/master/csl-citation.json"} </w:instrText>
      </w:r>
      <w:r w:rsidR="009409AB" w:rsidRPr="00A54953">
        <w:rPr>
          <w:rFonts w:ascii="Times New Roman" w:hAnsi="Times New Roman" w:cs="Times New Roman"/>
        </w:rPr>
        <w:fldChar w:fldCharType="separate"/>
      </w:r>
      <w:r w:rsidR="00301F7B" w:rsidRPr="00A54953">
        <w:rPr>
          <w:rFonts w:ascii="Times New Roman" w:hAnsi="Times New Roman" w:cs="Times New Roman"/>
        </w:rPr>
        <w:t>[51]</w:t>
      </w:r>
      <w:r w:rsidR="009409AB" w:rsidRPr="00A54953">
        <w:rPr>
          <w:rFonts w:ascii="Times New Roman" w:hAnsi="Times New Roman" w:cs="Times New Roman"/>
        </w:rPr>
        <w:fldChar w:fldCharType="end"/>
      </w:r>
      <w:r w:rsidRPr="00A54953">
        <w:rPr>
          <w:rFonts w:ascii="Times New Roman" w:hAnsi="Times New Roman" w:cs="Times New Roman"/>
        </w:rPr>
        <w:t>.</w:t>
      </w:r>
    </w:p>
    <w:p w14:paraId="27FFF8DF"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9. Risk Assessment and Exposure Mitigation</w:t>
      </w:r>
    </w:p>
    <w:p w14:paraId="21FB5CA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Risk Assessment Framework </w:t>
      </w:r>
    </w:p>
    <w:p w14:paraId="431D4941"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Risk assessment for agrochemicals follows a structured framework involving hazard identification, dose–response assessment, exposure assessment, and risk characterization. Hazard identification determines the intrinsic toxicity of a substance, while dose–response analysis evaluates the relationship between exposure level and adverse effects. Exposure assessment estimates the magnitude, frequency, and duration of human contact with the chemical</w:t>
      </w:r>
      <w:r w:rsidR="000B3E7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{"citationID":"CSwEzJIY","properties":{"formattedCitation":"[52]","plainCitation":"[52]","noteIndex":0},"citationItems":[{"id":17769,"uris":["http://zotero.org/users/16652950/items/JKW2NM4N"],"itemData":{"id":17769,"type":"article-journal","abstract":"Agrochemical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C."}],"issued":{"date-parts":[["2026",1,27]]}}}],"schema":"https://github.com/citation-style-language/schema/raw/master/csl-citation.json"} </w:instrText>
      </w:r>
      <w:r w:rsidR="000B3E7C" w:rsidRPr="00A54953">
        <w:rPr>
          <w:rFonts w:ascii="Times New Roman" w:hAnsi="Times New Roman" w:cs="Times New Roman"/>
        </w:rPr>
        <w:fldChar w:fldCharType="separate"/>
      </w:r>
      <w:r w:rsidR="00301F7B" w:rsidRPr="00A54953">
        <w:rPr>
          <w:rFonts w:ascii="Times New Roman" w:hAnsi="Times New Roman" w:cs="Times New Roman"/>
        </w:rPr>
        <w:t>[52]</w:t>
      </w:r>
      <w:r w:rsidR="000B3E7C" w:rsidRPr="00A54953">
        <w:rPr>
          <w:rFonts w:ascii="Times New Roman" w:hAnsi="Times New Roman" w:cs="Times New Roman"/>
        </w:rPr>
        <w:fldChar w:fldCharType="end"/>
      </w:r>
      <w:r w:rsidRPr="00A54953">
        <w:rPr>
          <w:rFonts w:ascii="Times New Roman" w:hAnsi="Times New Roman" w:cs="Times New Roman"/>
        </w:rPr>
        <w:t>. These components are integrated to characterize overall risk and inform regulatory decisions. International guidance from bodies such as the World Health Organization and the Food and Agriculture Organization supports standardized approaches</w:t>
      </w:r>
      <w:r w:rsidR="00FB63F1"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{"citationID":"HBkeGHdt","properties":{"formattedCitation":"[53]","plainCitation":"[53]","noteIndex":0},"citationItems":[{"id":17912,"uris":["http://zotero.org/users/16652950/items/87GIG4TV"],"itemData":{"id":17912,"type":"article-journal","abstract":"Foodborne chemical exposure is a significant public health concern. Various chemical agents found in foods, including pesticide residues, heavy metals, natural toxins, compounds formed during food processing, and food additives, may result in carcinogenic or noncarcinogenic health effects in the long term. Along with discussing the main sources of dietary chemical exposure and its health impacts, this review article also covers the theoretical foundations and four main steps of chemical risk assessment. Furthermore, risk assessment approaches are investigated in the light of international organizations and guidelines, and the current debates and challenges within the field are underscored. Lastly, suggestions for safer food supply and potential future developments are presented. This comprehensive review may provide a current literature-based viewpoint on comprehending and addressing dietary chemical-associated public health issues.","container-title":"Foods","DOI":"10.3390/foods14234133","ISSN":"2304-8158","issue":"23","journalAbbreviation":"Foods","note":"PMID: 41376069\nPMCID: PMC12692521","page":"4133","source":"PubMed Central","title":"Health Risk Assessment of Dietary Chemical Exposures: A Comprehensive Review","title-short":"Health Risk Assessment of Dietary Chemical Exposures","volume":"14","author":[{"family":"Pekmezci","given":"Hilal"},{"family":"Sipahi","given":"Simge"},{"family":"Başaran","given":"Burhan"}],"issued":{"date-parts":[["2025",12,2]]}}}],"schema":"https://github.com/citation-style-language/schema/raw/master/csl-citation.json"} </w:instrText>
      </w:r>
      <w:r w:rsidR="00FB63F1" w:rsidRPr="00A54953">
        <w:rPr>
          <w:rFonts w:ascii="Times New Roman" w:hAnsi="Times New Roman" w:cs="Times New Roman"/>
        </w:rPr>
        <w:fldChar w:fldCharType="separate"/>
      </w:r>
      <w:r w:rsidR="00301F7B" w:rsidRPr="00A54953">
        <w:rPr>
          <w:rFonts w:ascii="Times New Roman" w:hAnsi="Times New Roman" w:cs="Times New Roman"/>
        </w:rPr>
        <w:t>[53]</w:t>
      </w:r>
      <w:r w:rsidR="00FB63F1" w:rsidRPr="00A54953">
        <w:rPr>
          <w:rFonts w:ascii="Times New Roman" w:hAnsi="Times New Roman" w:cs="Times New Roman"/>
        </w:rPr>
        <w:fldChar w:fldCharType="end"/>
      </w:r>
      <w:r w:rsidRPr="00A54953">
        <w:rPr>
          <w:rFonts w:ascii="Times New Roman" w:hAnsi="Times New Roman" w:cs="Times New Roman"/>
        </w:rPr>
        <w:t>.</w:t>
      </w:r>
    </w:p>
    <w:p w14:paraId="5590285D"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Mitigation Strategies</w:t>
      </w:r>
    </w:p>
    <w:p w14:paraId="16696B41"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Reducing agrochemical exposure requires a combination of technical, behavioral, and policy interventions. Integrated Pest Management (IPM) promotes the use of biological controls and </w:t>
      </w:r>
      <w:r w:rsidRPr="00A54953">
        <w:rPr>
          <w:rFonts w:ascii="Times New Roman" w:hAnsi="Times New Roman" w:cs="Times New Roman"/>
        </w:rPr>
        <w:lastRenderedPageBreak/>
        <w:t>targeted chemical application to minimize reliance on pesticides. Adoption of safer application techniques and proper use of personal protective equipment can significantly reduce occupational exposure. Regulatory measures, including stricter enforcement of pesticide registration, labeling, and residue limits, are essential for controlling environmental contamination. Public education and farmer training programs play a critical role in improving safe handling practices. Additionally, investment in sustainable agricultural practices and alternative pest control methods can reduce long-term dependence on hazardous chemicals while maintaining productivity</w:t>
      </w:r>
      <w:r w:rsidR="0035139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{"citationID":"0rMoCDLv","properties":{"formattedCitation":"[54]","plainCitation":"[54]","noteIndex":0},"citationItems":[{"id":17915,"uris":["http://zotero.org/users/16652950/items/WT3WKFUX"],"itemData":{"id":17915,"type":"article-journal","abstract":"With the increasing awareness of the harmful consequences of pesticides on the environment and human health, shifting farmers' behaviors to minimize pesticide usage has become a prominent agricultural policy intervention. An essential intervention designed to diminish farmers' reliance on chemical inputs in Mazandaran province, the key rice-growing region in Iran, is the implementation of the Integrated Crop Management Program (ICMP). This study, based on a questionnaire survey of 307 rice farmers, explores farmers' attitudes towards the ICMP, evaluates its impact on behavioral changes regarding pesticide reduction, and identifies key factors influencing loyalty to the program. Results indicate that only 32.2% of respondents began reducing pesticide use post-implementation of the ICMP, while 44.6% maintained their previous pesticide usage trends. The results of the Multinomial Logit model (MNL) revealed that factors such as education, self-consumption percentage of rice produced, perceptions of pesticide hazards on human health, severity of health injuries caused by pesticides, satisfaction with ICMP, and perception of ICMP effectiveness had a positive impact on the probability of a reduction in pesticide usage. Conversely, variables such as rice yield, farm income, and concerns about farm performance had a negative influence on the likelihood of declining pesticide use. The results of Binary Logistic Regression (BLR) model revealed that factors including perceptions of pesticide hazards on human health, perceptions of the severity of health injuries caused by pesticides, ICMP cognition, satisfaction with the ICMP, and perception of the effectiveness of ICMP measures displayed significant positive effects on loyalty towards the ICMP. The findings of this study can provide valuable insights for Iran and other regions seeking to enhance and advance pro-environmental interventions aimed at reducing reliance on chemical inputs.","container-title":"Journal of the Saudi Society of Agricultural Sciences","DOI":"10.1007/s44447-025-00003-0","ISSN":"1658-077X","issue":"6","journalAbbreviation":"J. Saudi Soc. Agric. Sci.","language":"en","page":"41","source":"Springer Link","title":"Transforming farmers behavior: embracing reduced pesticide use under the integrated crop management program","title-short":"Transforming farmers behavior","volume":"24","author":[{"family":"Abdollahzadeh","given":"Gholamhossein"},{"family":"Sharifzadeh","given":"Mohammad Sharif"},{"family":"Ahmadi-Gorgi","given":"Hossein"},{"family":"Jahantigh","given":"Mohammad Sharifi"}],"issued":{"date-parts":[["2025",10,16]]}}}],"schema":"https://github.com/citation-style-language/schema/raw/master/csl-citation.json"} </w:instrText>
      </w:r>
      <w:r w:rsidR="00351390" w:rsidRPr="00A54953">
        <w:rPr>
          <w:rFonts w:ascii="Times New Roman" w:hAnsi="Times New Roman" w:cs="Times New Roman"/>
        </w:rPr>
        <w:fldChar w:fldCharType="separate"/>
      </w:r>
      <w:r w:rsidR="00301F7B" w:rsidRPr="00A54953">
        <w:rPr>
          <w:rFonts w:ascii="Times New Roman" w:hAnsi="Times New Roman" w:cs="Times New Roman"/>
        </w:rPr>
        <w:t>[54]</w:t>
      </w:r>
      <w:r w:rsidR="00351390" w:rsidRPr="00A54953">
        <w:rPr>
          <w:rFonts w:ascii="Times New Roman" w:hAnsi="Times New Roman" w:cs="Times New Roman"/>
        </w:rPr>
        <w:fldChar w:fldCharType="end"/>
      </w:r>
      <w:r w:rsidRPr="00A54953">
        <w:rPr>
          <w:rFonts w:ascii="Times New Roman" w:hAnsi="Times New Roman" w:cs="Times New Roman"/>
        </w:rPr>
        <w:t>.</w:t>
      </w:r>
    </w:p>
    <w:p w14:paraId="65444C9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10. Emerging Issues and Future Directions</w:t>
      </w:r>
    </w:p>
    <w:p w14:paraId="083A3A1C"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Climate Change Interactions </w:t>
      </w:r>
    </w:p>
    <w:p w14:paraId="3CD3F91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Climate change is expected to influence the environmental behavior and toxicity of agrochemicals. Rising temperatures, altered precipitation patterns, and extreme weather events can modify chemical degradation rates, increase runoff, and enhance volatilization. These changes may alter exposure patterns and intensify contamination of water and soil systems</w:t>
      </w:r>
      <w:r w:rsidR="005475DD"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{"citationID":"waZ5x85S","properties":{"formattedCitation":"[55]","plainCitation":"[55]","noteIndex":0},"citationItems":[{"id":17917,"uris":["http://zotero.org/users/16652950/items/FG2EW2ZC"],"itemData":{"id":17917,"type":"article-journal","abstract":"The export of agrochemicals and their transformation products (TPs) following their application in the agricultural fields poses a threat to water quality. Future changes in climatic conditions (e.g. extreme weather events such as heavy rainfall or extended dry periods) could alter the degradation and mobility of agrochemicals. In this research, we use an integrated modelling framework to understand the impact of extreme climate events on the fate and transport of the agrochemical S-Metolachlor and two of its TPs (M-OXA, Metolachlor Oxanilic Acid and M-ESA, Metolachlor Ethyl Sulfonic Acid). This is done by coupling climate model outputs to the Zin-AgriTra agrochemical reactive transport model in four simulation scenarios. 1) Reference (2015–2018), 2) Very dry (2038–2041), 3) Very wet (2054–2057) and 4) High temperature (2096–2099) conditions of a selected RCP8.5 based regional climate scenario. The modelling framework is tested on an agricultural catchment, Wulka, in Burgenland, Austria. The model results indicate that 13–14 % of applied S-Metolachlor is retained in the soil, and around 85 % is degraded into TPs in the different scenarios. In very dry and high-temperature scenarios, degradation is higher, and hence, there is less S-Metolachlor in the soil. However, a large share of formed M-OXA and M-ESA are retained in the soil, which is transported via overland and groundwater flow, leading to a build-up effect in M-OXA and M-ESA river concentrations over the years. Though a small share of S-Metolachlor and TPs are transported to rivers, their river export is affected by the intensity and amount of rainfall. The very wet and high-temperature scenarios show higher S-Metolachlor and TP concentrations at the catchment outlet due to higher river discharge. The reference scenario shows higher river peak concentrations associated with higher overland flow caused by measured hourly rainfall compared to disaggregated daily precipitation data in the other scenarios., •Fate and transport of agrochemicals and TPs under extreme climate events is studied.•Climate model outputs are coupled to Zin-AgriTra model in four simulation scenarios.•Very wet scenario shows higher S-metolachlor river concentrations.•High-temperature scenarios show higher agrochemical degradation.•Intense hourly rainfall causes peaks in agrochemical river concentrations.","container-title":"Heliyon","DOI":"10.1016/j.heliyon.2024.e35669","ISSN":"2405-8440","issue":"15","journalAbbreviation":"Heliyon","note":"PMID: 39170220\nPMCID: PMC11336872","page":"e35669","source":"PubMed Central","title":"Modelling the impacts of climate change on agrochemical fate and transport by water on a catchment scale","volume":"10","author":[{"family":"Nagesh","given":"Poornima"},{"family":"Gassmann","given":"Matthias"},{"family":"Eitzinger","given":"Josef"},{"family":"Boer","given":"Hugo J.","non-dropping-particle":"de"},{"family":"Edelenbosch","given":"Oreane Y."},{"family":"Vuuren","given":"Detlef P.","non-dropping-particle":"van"},{"family":"Dekker","given":"Stefan C."}],"issued":{"date-parts":[["2024",8,3]]}}}],"schema":"https://github.com/citation-style-language/schema/raw/master/csl-citation.json"} </w:instrText>
      </w:r>
      <w:r w:rsidR="005475DD" w:rsidRPr="00A54953">
        <w:rPr>
          <w:rFonts w:ascii="Times New Roman" w:hAnsi="Times New Roman" w:cs="Times New Roman"/>
        </w:rPr>
        <w:fldChar w:fldCharType="separate"/>
      </w:r>
      <w:r w:rsidR="00301F7B" w:rsidRPr="00A54953">
        <w:rPr>
          <w:rFonts w:ascii="Times New Roman" w:hAnsi="Times New Roman" w:cs="Times New Roman"/>
        </w:rPr>
        <w:t>[55]</w:t>
      </w:r>
      <w:r w:rsidR="005475DD" w:rsidRPr="00A54953">
        <w:rPr>
          <w:rFonts w:ascii="Times New Roman" w:hAnsi="Times New Roman" w:cs="Times New Roman"/>
        </w:rPr>
        <w:fldChar w:fldCharType="end"/>
      </w:r>
      <w:r w:rsidRPr="00A54953">
        <w:rPr>
          <w:rFonts w:ascii="Times New Roman" w:hAnsi="Times New Roman" w:cs="Times New Roman"/>
        </w:rPr>
        <w:t>.</w:t>
      </w:r>
    </w:p>
    <w:p w14:paraId="2B070A85"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Novel Agrochemicals &amp; Technologies </w:t>
      </w:r>
    </w:p>
    <w:p w14:paraId="482B682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development of new agrochemical formulations, including nano-enabled pesticides and controlled-release systems, aims to improve efficiency and reduce environmental impact. Precision agriculture technologies, such as sensor-based application and data-driven decision tools, offer potential to minimize excessive use. However, their long-term environmental and health effects remain insufficiently characterized</w:t>
      </w:r>
      <w:r w:rsidR="003E7BE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{"citationID":"jRve0M90","properties":{"formattedCitation":"[56]","plainCitation":"[56]","noteIndex":0},"citationItems":[{"id":17755,"uris":["http://zotero.org/users/16652950/items/48RIII9W"],"itemData":{"id":17755,"type":"article-journal","container-title":"Journal of Advances in Medicine and Medical Research","DOI":"10.9734/jammr/2026/v38i36096","ISSN":"2456-8899","issue":"3","language":"en","page":"111-124","source":"journaljammr.com","title":"Integrative Exposome Modeling of Agrochemical Risks in U.S. Farmers","volume":"38","author":[{"family":"Egbuchiem","given":"Alex Nnanyelugo"},{"family":"Donkor","given":"Felix"},{"family":"Dudzilah","given":"Gifty"},{"family":"Markus","given":"Saerimam Nzunde"}],"issued":{"date-parts":[["2026",3,14]]}}}],"schema":"https://github.com/citation-style-language/schema/raw/master/csl-citation.json"} </w:instrText>
      </w:r>
      <w:r w:rsidR="003E7BE0" w:rsidRPr="00A54953">
        <w:rPr>
          <w:rFonts w:ascii="Times New Roman" w:hAnsi="Times New Roman" w:cs="Times New Roman"/>
        </w:rPr>
        <w:fldChar w:fldCharType="separate"/>
      </w:r>
      <w:r w:rsidR="00301F7B" w:rsidRPr="00A54953">
        <w:rPr>
          <w:rFonts w:ascii="Times New Roman" w:hAnsi="Times New Roman" w:cs="Times New Roman"/>
        </w:rPr>
        <w:t>[56]</w:t>
      </w:r>
      <w:r w:rsidR="003E7BE0" w:rsidRPr="00A54953">
        <w:rPr>
          <w:rFonts w:ascii="Times New Roman" w:hAnsi="Times New Roman" w:cs="Times New Roman"/>
        </w:rPr>
        <w:fldChar w:fldCharType="end"/>
      </w:r>
      <w:r w:rsidRPr="00A54953">
        <w:rPr>
          <w:rFonts w:ascii="Times New Roman" w:hAnsi="Times New Roman" w:cs="Times New Roman"/>
        </w:rPr>
        <w:t>.</w:t>
      </w:r>
    </w:p>
    <w:p w14:paraId="4446B5B2"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Research Gaps (Especially LMICs) </w:t>
      </w:r>
    </w:p>
    <w:p w14:paraId="67B5433B"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Significant research gaps persist, particularly in low- and middle-income countries where exposure levels may be highest. Limited biomonitoring data, inadequate surveillance systems, and underrepresentation in epidemiological studies constrain risk assessment. Strengthening local research capacity and standardized data collection is essential for evidence-based policy development</w:t>
      </w:r>
      <w:r w:rsidR="00F83EB4"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{"citationID":"Qrs9dBtx","properties":{"formattedCitation":"[57]","plainCitation":"[57]","noteIndex":0},"citationItems":[{"id":8523,"uris":["http://zotero.org/users/16652950/items/2ULZQL7X"],"itemData":{"id":8523,"type":"article-journal","abstract":"Purpose of Review\nSurveillance of communicable diseases is essential in all countries to prevent and control infections, to detect outbreaks and also to see the effects of interventions. The data should be reliable, and collection, analysis and feedback as well as the action based on this data should be fast. In this article, author discusses the limitations the Low Middle income Countries (LMICs) have in implementing disease surveillance and some suggestions for improvement.\n\nRecent Findings\nIntegrated Disease Surveillance and Response (IDSR) has been implemented successfully through most of the countries in Africa though they belong to low or LMIC. Major barriers for surveillance of Healthcare Associated Infections in LMICs are non-availability of adequate number of healthcare personnel such as infection control personnel as well as not having an integrated healthcare system with an effective data flow. For some infections, not having proper diagnostic facilities is a major obstacle. An important capacity limitation in clinical laboratories of LMICs is identification of antimicrobial resistant organisms as well as other pathogens to species level. This affects the surveillance of infections and antimicrobial resistance.\n\nSummary\nUse of modern technology, capacity building including the human resources as well as the laboratory capacity in healthcare setting, improving data communication methods, are the main recommendations made. Education and training of healthcare staff as well as educating the general public to change the attitudes of people is another aspect that we need to concentrate.","container-title":"Current Treatment Options in Infectious Diseases","DOI":"10.1007/s40506-020-00229-2","ISSN":"1523-3820","issue":"3","journalAbbreviation":"Curr Treat Options Infect Dis","note":"PMID: 32874140\nPMCID: PMC7453076","page":"191-201","source":"PubMed Central","title":"Challenges in Implementing Surveillance Tools of High-Income Countries (HICs) in Low Middle Income Countries (LMICs)","volume":"12","author":[{"family":"Jayatilleke","given":"Kushlani"}],"issued":{"date-parts":[["2020"]]}}}],"schema":"https://github.com/citation-style-language/schema/raw/master/csl-citation.json"} </w:instrText>
      </w:r>
      <w:r w:rsidR="00F83EB4" w:rsidRPr="00A54953">
        <w:rPr>
          <w:rFonts w:ascii="Times New Roman" w:hAnsi="Times New Roman" w:cs="Times New Roman"/>
        </w:rPr>
        <w:fldChar w:fldCharType="separate"/>
      </w:r>
      <w:r w:rsidR="00301F7B" w:rsidRPr="00A54953">
        <w:rPr>
          <w:rFonts w:ascii="Times New Roman" w:hAnsi="Times New Roman" w:cs="Times New Roman"/>
        </w:rPr>
        <w:t>[57]</w:t>
      </w:r>
      <w:r w:rsidR="00F83EB4" w:rsidRPr="00A54953">
        <w:rPr>
          <w:rFonts w:ascii="Times New Roman" w:hAnsi="Times New Roman" w:cs="Times New Roman"/>
        </w:rPr>
        <w:fldChar w:fldCharType="end"/>
      </w:r>
      <w:r w:rsidRPr="00A54953">
        <w:rPr>
          <w:rFonts w:ascii="Times New Roman" w:hAnsi="Times New Roman" w:cs="Times New Roman"/>
        </w:rPr>
        <w:t>.</w:t>
      </w:r>
    </w:p>
    <w:p w14:paraId="2FE118E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11. Limitations of the Revie</w:t>
      </w:r>
      <w:r w:rsidR="00D0467B" w:rsidRPr="00A54953">
        <w:rPr>
          <w:rFonts w:ascii="Times New Roman" w:hAnsi="Times New Roman" w:cs="Times New Roman"/>
          <w:b/>
          <w:bCs/>
        </w:rPr>
        <w:t>w</w:t>
      </w:r>
    </w:p>
    <w:p w14:paraId="69855A64"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This narrative review is subject to several limitations. As a non-systematic synthesis, it may be influenced by selection bias and does not provide a comprehensive quantitative assessment of all available evidence. Variability in study design, exposure assessment methods, and outcome measures across included studies limits direct comparability. Additionally, the reliance on existing literature means that regions with limited data, particularly low-resource settings, may be underrepresented. These constraints should be considered when interpreting the conclusions.</w:t>
      </w:r>
    </w:p>
    <w:p w14:paraId="3BE98D90"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12. Conclusion </w:t>
      </w:r>
    </w:p>
    <w:p w14:paraId="09E8A1F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lastRenderedPageBreak/>
        <w:t>Agrochemical use remains integral to modern agriculture but poses significant risks through multiple environmental pathways that facilitate human exposure. Soil, water, air, and food systems act as interconnected routes linking agricultural practices to a range of adverse health outcomes. Evidence from epidemiological and experimental studies underscores the potential for both acute and chronic effects, particularly among vulnerable populations. Addressing these challenges requires strengthened regulatory frameworks, improved risk assessment, and the adoption of sustainable agricultural practices. Greater investment in research, especially in underrepresented regions, is essential to close existing knowledge gaps. A coordinated approach integrating environmental management, public health policy, and agricultural innovation will be critical to reducing exposure and safeguarding human health.</w:t>
      </w:r>
    </w:p>
    <w:p w14:paraId="3C9AFDC4" w14:textId="77777777" w:rsidR="00B946C2" w:rsidRPr="00A54953" w:rsidRDefault="00B946C2" w:rsidP="005849CD">
      <w:pPr>
        <w:rPr>
          <w:rFonts w:ascii="Times New Roman" w:hAnsi="Times New Roman" w:cs="Times New Roman"/>
          <w:b/>
          <w:bCs/>
        </w:rPr>
      </w:pPr>
    </w:p>
    <w:p w14:paraId="21060B0B" w14:textId="77777777" w:rsidR="00B946C2" w:rsidRPr="00A54953" w:rsidRDefault="006F11A8" w:rsidP="005849CD">
      <w:pPr>
        <w:rPr>
          <w:rFonts w:ascii="Times New Roman" w:hAnsi="Times New Roman" w:cs="Times New Roman"/>
          <w:b/>
          <w:bCs/>
        </w:rPr>
      </w:pPr>
      <w:r w:rsidRPr="00A54953">
        <w:rPr>
          <w:rFonts w:ascii="Times New Roman" w:hAnsi="Times New Roman" w:cs="Times New Roman"/>
          <w:b/>
          <w:bCs/>
        </w:rPr>
        <w:t>REFRENCES</w:t>
      </w:r>
    </w:p>
    <w:p w14:paraId="7FE2595E"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Sharma A, Kumar V, Shahzad B, Tanveer M, Sidhu GPS, Handa N, et al. Worldwide pesticide usage and its impacts on ecosystem. </w:t>
      </w:r>
      <w:r w:rsidRPr="00A54953">
        <w:rPr>
          <w:rFonts w:ascii="Times New Roman" w:hAnsi="Times New Roman" w:cs="Times New Roman"/>
          <w:i/>
          <w:iCs/>
        </w:rPr>
        <w:t>SN Appl Sci.</w:t>
      </w:r>
      <w:r w:rsidRPr="00A54953">
        <w:rPr>
          <w:rFonts w:ascii="Times New Roman" w:hAnsi="Times New Roman" w:cs="Times New Roman"/>
        </w:rPr>
        <w:t xml:space="preserve"> 2019;1(11):1446. doi:10.1007/s42452-019-1485-1.</w:t>
      </w:r>
    </w:p>
    <w:p w14:paraId="298B6A14"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Ahmad A, Imran M, Ahsan H. Biomarkers as biomedical bioindicators: approaches and techniques for the detection, analysis, and validation of novel biomarkers of diseases. </w:t>
      </w:r>
      <w:r w:rsidRPr="00A54953">
        <w:rPr>
          <w:rFonts w:ascii="Times New Roman" w:hAnsi="Times New Roman" w:cs="Times New Roman"/>
          <w:i/>
          <w:iCs/>
        </w:rPr>
        <w:t>Pharmaceutics.</w:t>
      </w:r>
      <w:r w:rsidRPr="00A54953">
        <w:rPr>
          <w:rFonts w:ascii="Times New Roman" w:hAnsi="Times New Roman" w:cs="Times New Roman"/>
        </w:rPr>
        <w:t xml:space="preserve"> 2023;15(6):1630. doi:10.3390/pharmaceutics15061630.</w:t>
      </w:r>
    </w:p>
    <w:p w14:paraId="64714FB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Yasir M, Hossain A, Pratap-Singh A. Pesticide degradation: impacts on soil fertility and nutrient cycling. </w:t>
      </w:r>
      <w:r w:rsidRPr="00A54953">
        <w:rPr>
          <w:rFonts w:ascii="Times New Roman" w:hAnsi="Times New Roman" w:cs="Times New Roman"/>
          <w:i/>
          <w:iCs/>
        </w:rPr>
        <w:t>Environments.</w:t>
      </w:r>
      <w:r w:rsidRPr="00A54953">
        <w:rPr>
          <w:rFonts w:ascii="Times New Roman" w:hAnsi="Times New Roman" w:cs="Times New Roman"/>
        </w:rPr>
        <w:t xml:space="preserve"> 2025;12(8). doi:10.3390/environments12080272.</w:t>
      </w:r>
    </w:p>
    <w:p w14:paraId="6A0C002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Quandahor</w:t>
      </w:r>
      <w:proofErr w:type="spellEnd"/>
      <w:r w:rsidRPr="00A54953">
        <w:rPr>
          <w:rFonts w:ascii="Times New Roman" w:hAnsi="Times New Roman" w:cs="Times New Roman"/>
        </w:rPr>
        <w:t xml:space="preserve"> P, Kim L, Kim M, Lee K, Kusi F, Jeong IH. Effects of agricultural pesticides on decline in insect species and individual numbers. </w:t>
      </w:r>
      <w:r w:rsidRPr="00A54953">
        <w:rPr>
          <w:rFonts w:ascii="Times New Roman" w:hAnsi="Times New Roman" w:cs="Times New Roman"/>
          <w:i/>
          <w:iCs/>
        </w:rPr>
        <w:t>Environments.</w:t>
      </w:r>
      <w:r w:rsidRPr="00A54953">
        <w:rPr>
          <w:rFonts w:ascii="Times New Roman" w:hAnsi="Times New Roman" w:cs="Times New Roman"/>
        </w:rPr>
        <w:t xml:space="preserve"> 2024;11(8). doi:10.3390/environments11080182.</w:t>
      </w:r>
    </w:p>
    <w:p w14:paraId="696E24B1"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Zhou W, Li M, Achal V. A comprehensive review on environmental and human health impacts of chemical pesticide usage. </w:t>
      </w:r>
      <w:proofErr w:type="spellStart"/>
      <w:r w:rsidRPr="00A54953">
        <w:rPr>
          <w:rFonts w:ascii="Times New Roman" w:hAnsi="Times New Roman" w:cs="Times New Roman"/>
          <w:i/>
          <w:iCs/>
        </w:rPr>
        <w:t>Emerg</w:t>
      </w:r>
      <w:proofErr w:type="spellEnd"/>
      <w:r w:rsidRPr="00A54953">
        <w:rPr>
          <w:rFonts w:ascii="Times New Roman" w:hAnsi="Times New Roman" w:cs="Times New Roman"/>
          <w:i/>
          <w:iCs/>
        </w:rPr>
        <w:t xml:space="preserve"> </w:t>
      </w:r>
      <w:proofErr w:type="spellStart"/>
      <w:r w:rsidRPr="00A54953">
        <w:rPr>
          <w:rFonts w:ascii="Times New Roman" w:hAnsi="Times New Roman" w:cs="Times New Roman"/>
          <w:i/>
          <w:iCs/>
        </w:rPr>
        <w:t>Contam</w:t>
      </w:r>
      <w:proofErr w:type="spellEnd"/>
      <w:r w:rsidRPr="00A54953">
        <w:rPr>
          <w:rFonts w:ascii="Times New Roman" w:hAnsi="Times New Roman" w:cs="Times New Roman"/>
          <w:i/>
          <w:iCs/>
        </w:rPr>
        <w:t>.</w:t>
      </w:r>
      <w:r w:rsidRPr="00A54953">
        <w:rPr>
          <w:rFonts w:ascii="Times New Roman" w:hAnsi="Times New Roman" w:cs="Times New Roman"/>
        </w:rPr>
        <w:t xml:space="preserve"> 2025;11(1):100410. </w:t>
      </w:r>
      <w:proofErr w:type="gramStart"/>
      <w:r w:rsidRPr="00A54953">
        <w:rPr>
          <w:rFonts w:ascii="Times New Roman" w:hAnsi="Times New Roman" w:cs="Times New Roman"/>
        </w:rPr>
        <w:t>doi:10.1016/j.emcon</w:t>
      </w:r>
      <w:proofErr w:type="gramEnd"/>
      <w:r w:rsidRPr="00A54953">
        <w:rPr>
          <w:rFonts w:ascii="Times New Roman" w:hAnsi="Times New Roman" w:cs="Times New Roman"/>
        </w:rPr>
        <w:t>.2024.100410.</w:t>
      </w:r>
    </w:p>
    <w:p w14:paraId="41827C4F" w14:textId="77777777" w:rsidR="006F11A8" w:rsidRPr="00A54953" w:rsidRDefault="006F11A8" w:rsidP="00DD27A7">
      <w:pPr>
        <w:pStyle w:val="NormalWeb"/>
        <w:numPr>
          <w:ilvl w:val="0"/>
          <w:numId w:val="1"/>
        </w:numPr>
      </w:pPr>
      <w:proofErr w:type="spellStart"/>
      <w:r w:rsidRPr="00A54953">
        <w:t>Osinubi</w:t>
      </w:r>
      <w:proofErr w:type="spellEnd"/>
      <w:r w:rsidRPr="00A54953">
        <w:t xml:space="preserve"> OO, </w:t>
      </w:r>
      <w:proofErr w:type="spellStart"/>
      <w:r w:rsidRPr="00A54953">
        <w:t>Njemanze</w:t>
      </w:r>
      <w:proofErr w:type="spellEnd"/>
      <w:r w:rsidRPr="00A54953">
        <w:t xml:space="preserve"> EC, </w:t>
      </w:r>
      <w:proofErr w:type="spellStart"/>
      <w:r w:rsidRPr="00A54953">
        <w:t>Dudzilah</w:t>
      </w:r>
      <w:proofErr w:type="spellEnd"/>
      <w:r w:rsidRPr="00A54953">
        <w:t xml:space="preserve"> G, </w:t>
      </w:r>
      <w:proofErr w:type="spellStart"/>
      <w:r w:rsidRPr="00A54953">
        <w:t>Enobakhare</w:t>
      </w:r>
      <w:proofErr w:type="spellEnd"/>
      <w:r w:rsidRPr="00A54953">
        <w:t xml:space="preserve"> BO, Adeoba MI. A review of health-aware modeling and control strategies for battery energy storage systems. </w:t>
      </w:r>
      <w:proofErr w:type="spellStart"/>
      <w:r w:rsidRPr="00A54953">
        <w:rPr>
          <w:rStyle w:val="Emphasis"/>
          <w:rFonts w:eastAsiaTheme="majorEastAsia"/>
        </w:rPr>
        <w:t>Comput</w:t>
      </w:r>
      <w:proofErr w:type="spellEnd"/>
      <w:r w:rsidRPr="00A54953">
        <w:rPr>
          <w:rStyle w:val="Emphasis"/>
          <w:rFonts w:eastAsiaTheme="majorEastAsia"/>
        </w:rPr>
        <w:t xml:space="preserve"> </w:t>
      </w:r>
      <w:proofErr w:type="spellStart"/>
      <w:r w:rsidRPr="00A54953">
        <w:rPr>
          <w:rStyle w:val="Emphasis"/>
          <w:rFonts w:eastAsiaTheme="majorEastAsia"/>
        </w:rPr>
        <w:t>Intell</w:t>
      </w:r>
      <w:proofErr w:type="spellEnd"/>
      <w:r w:rsidRPr="00A54953">
        <w:rPr>
          <w:rStyle w:val="Emphasis"/>
          <w:rFonts w:eastAsiaTheme="majorEastAsia"/>
        </w:rPr>
        <w:t xml:space="preserve"> Mod Power Syst.</w:t>
      </w:r>
      <w:r w:rsidRPr="00A54953">
        <w:t xml:space="preserve"> 2026;1(1):24–34. doi:10.58613/cimps113. </w:t>
      </w:r>
    </w:p>
    <w:p w14:paraId="45E7ACA7" w14:textId="77777777" w:rsidR="00F028B0" w:rsidRPr="00A54953" w:rsidRDefault="00F028B0" w:rsidP="00F028B0">
      <w:pPr>
        <w:pStyle w:val="NormalWeb"/>
        <w:ind w:left="720"/>
      </w:pPr>
    </w:p>
    <w:p w14:paraId="63D7673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Aborode</w:t>
      </w:r>
      <w:proofErr w:type="spellEnd"/>
      <w:r w:rsidRPr="00A54953">
        <w:rPr>
          <w:rFonts w:ascii="Times New Roman" w:hAnsi="Times New Roman" w:cs="Times New Roman"/>
        </w:rPr>
        <w:t xml:space="preserve"> AT, Adesola RO, Onifade IA, </w:t>
      </w:r>
      <w:proofErr w:type="spellStart"/>
      <w:r w:rsidRPr="00A54953">
        <w:rPr>
          <w:rFonts w:ascii="Times New Roman" w:hAnsi="Times New Roman" w:cs="Times New Roman"/>
        </w:rPr>
        <w:t>Adesiyan</w:t>
      </w:r>
      <w:proofErr w:type="spellEnd"/>
      <w:r w:rsidRPr="00A54953">
        <w:rPr>
          <w:rFonts w:ascii="Times New Roman" w:hAnsi="Times New Roman" w:cs="Times New Roman"/>
        </w:rPr>
        <w:t xml:space="preserve"> R, </w:t>
      </w:r>
      <w:proofErr w:type="spellStart"/>
      <w:r w:rsidRPr="00A54953">
        <w:rPr>
          <w:rFonts w:ascii="Times New Roman" w:hAnsi="Times New Roman" w:cs="Times New Roman"/>
        </w:rPr>
        <w:t>Ibiam</w:t>
      </w:r>
      <w:proofErr w:type="spellEnd"/>
      <w:r w:rsidRPr="00A54953">
        <w:rPr>
          <w:rFonts w:ascii="Times New Roman" w:hAnsi="Times New Roman" w:cs="Times New Roman"/>
        </w:rPr>
        <w:t xml:space="preserve"> VA, </w:t>
      </w:r>
      <w:proofErr w:type="spellStart"/>
      <w:r w:rsidRPr="00A54953">
        <w:rPr>
          <w:rFonts w:ascii="Times New Roman" w:hAnsi="Times New Roman" w:cs="Times New Roman"/>
        </w:rPr>
        <w:t>Jinadu</w:t>
      </w:r>
      <w:proofErr w:type="spellEnd"/>
      <w:r w:rsidRPr="00A54953">
        <w:rPr>
          <w:rFonts w:ascii="Times New Roman" w:hAnsi="Times New Roman" w:cs="Times New Roman"/>
        </w:rPr>
        <w:t xml:space="preserve"> NA, et al. Outbreak of cholera in Nigeria: the role of One Health.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Public Health.</w:t>
      </w:r>
      <w:r w:rsidRPr="00A54953">
        <w:rPr>
          <w:rFonts w:ascii="Times New Roman" w:hAnsi="Times New Roman" w:cs="Times New Roman"/>
        </w:rPr>
        <w:t xml:space="preserve"> 2025;22(1):125. doi:10.1186/s12982-025-00526-5.</w:t>
      </w:r>
    </w:p>
    <w:p w14:paraId="599FC66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lastRenderedPageBreak/>
        <w:t xml:space="preserve">Ahmad MF, Ahmad FA, </w:t>
      </w:r>
      <w:proofErr w:type="spellStart"/>
      <w:r w:rsidRPr="00A54953">
        <w:rPr>
          <w:rFonts w:ascii="Times New Roman" w:hAnsi="Times New Roman" w:cs="Times New Roman"/>
        </w:rPr>
        <w:t>Alsayegh</w:t>
      </w:r>
      <w:proofErr w:type="spellEnd"/>
      <w:r w:rsidRPr="00A54953">
        <w:rPr>
          <w:rFonts w:ascii="Times New Roman" w:hAnsi="Times New Roman" w:cs="Times New Roman"/>
        </w:rPr>
        <w:t xml:space="preserve"> AA, </w:t>
      </w:r>
      <w:proofErr w:type="spellStart"/>
      <w:r w:rsidRPr="00A54953">
        <w:rPr>
          <w:rFonts w:ascii="Times New Roman" w:hAnsi="Times New Roman" w:cs="Times New Roman"/>
        </w:rPr>
        <w:t>Zeyaullah</w:t>
      </w:r>
      <w:proofErr w:type="spellEnd"/>
      <w:r w:rsidRPr="00A54953">
        <w:rPr>
          <w:rFonts w:ascii="Times New Roman" w:hAnsi="Times New Roman" w:cs="Times New Roman"/>
        </w:rPr>
        <w:t xml:space="preserve"> M, AlShahrani AM, Muzammil K, et al. Pesticides impacts on human health and the environment with their mechanisms of action and possible countermeasures. </w:t>
      </w:r>
      <w:proofErr w:type="spellStart"/>
      <w:r w:rsidRPr="00A54953">
        <w:rPr>
          <w:rFonts w:ascii="Times New Roman" w:hAnsi="Times New Roman" w:cs="Times New Roman"/>
          <w:i/>
          <w:iCs/>
        </w:rPr>
        <w:t>Heliyon</w:t>
      </w:r>
      <w:proofErr w:type="spellEnd"/>
      <w:r w:rsidRPr="00A54953">
        <w:rPr>
          <w:rFonts w:ascii="Times New Roman" w:hAnsi="Times New Roman" w:cs="Times New Roman"/>
          <w:i/>
          <w:iCs/>
        </w:rPr>
        <w:t>.</w:t>
      </w:r>
      <w:r w:rsidRPr="00A54953">
        <w:rPr>
          <w:rFonts w:ascii="Times New Roman" w:hAnsi="Times New Roman" w:cs="Times New Roman"/>
        </w:rPr>
        <w:t xml:space="preserve"> 2024;10(7</w:t>
      </w:r>
      <w:proofErr w:type="gramStart"/>
      <w:r w:rsidRPr="00A54953">
        <w:rPr>
          <w:rFonts w:ascii="Times New Roman" w:hAnsi="Times New Roman" w:cs="Times New Roman"/>
        </w:rPr>
        <w:t>):e</w:t>
      </w:r>
      <w:proofErr w:type="gramEnd"/>
      <w:r w:rsidRPr="00A54953">
        <w:rPr>
          <w:rFonts w:ascii="Times New Roman" w:hAnsi="Times New Roman" w:cs="Times New Roman"/>
        </w:rPr>
        <w:t xml:space="preserve">29128. </w:t>
      </w:r>
      <w:proofErr w:type="gramStart"/>
      <w:r w:rsidRPr="00A54953">
        <w:rPr>
          <w:rFonts w:ascii="Times New Roman" w:hAnsi="Times New Roman" w:cs="Times New Roman"/>
        </w:rPr>
        <w:t>doi:10.1016/j.heliyon</w:t>
      </w:r>
      <w:proofErr w:type="gramEnd"/>
      <w:r w:rsidRPr="00A54953">
        <w:rPr>
          <w:rFonts w:ascii="Times New Roman" w:hAnsi="Times New Roman" w:cs="Times New Roman"/>
        </w:rPr>
        <w:t>.2024.e29128.</w:t>
      </w:r>
    </w:p>
    <w:p w14:paraId="618B4F4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Vermelho AB, Moreira JV, Akamine IT, Cardoso VS, </w:t>
      </w:r>
      <w:proofErr w:type="spellStart"/>
      <w:r w:rsidRPr="00A54953">
        <w:rPr>
          <w:rFonts w:ascii="Times New Roman" w:hAnsi="Times New Roman" w:cs="Times New Roman"/>
        </w:rPr>
        <w:t>Mansoldo</w:t>
      </w:r>
      <w:proofErr w:type="spellEnd"/>
      <w:r w:rsidRPr="00A54953">
        <w:rPr>
          <w:rFonts w:ascii="Times New Roman" w:hAnsi="Times New Roman" w:cs="Times New Roman"/>
        </w:rPr>
        <w:t xml:space="preserve"> FRP. Agricultural pest management: the role of microorganisms in biopesticides and soil bioremediation. </w:t>
      </w:r>
      <w:r w:rsidRPr="00A54953">
        <w:rPr>
          <w:rFonts w:ascii="Times New Roman" w:hAnsi="Times New Roman" w:cs="Times New Roman"/>
          <w:i/>
          <w:iCs/>
        </w:rPr>
        <w:t>Plants (Basel).</w:t>
      </w:r>
      <w:r w:rsidRPr="00A54953">
        <w:rPr>
          <w:rFonts w:ascii="Times New Roman" w:hAnsi="Times New Roman" w:cs="Times New Roman"/>
        </w:rPr>
        <w:t xml:space="preserve"> 2024;13(19):2762. doi:10.3390/plants13192762.</w:t>
      </w:r>
    </w:p>
    <w:p w14:paraId="386E672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Tagkas</w:t>
      </w:r>
      <w:proofErr w:type="spellEnd"/>
      <w:r w:rsidRPr="00A54953">
        <w:rPr>
          <w:rFonts w:ascii="Times New Roman" w:hAnsi="Times New Roman" w:cs="Times New Roman"/>
        </w:rPr>
        <w:t xml:space="preserve"> CF, </w:t>
      </w:r>
      <w:proofErr w:type="spellStart"/>
      <w:r w:rsidRPr="00A54953">
        <w:rPr>
          <w:rFonts w:ascii="Times New Roman" w:hAnsi="Times New Roman" w:cs="Times New Roman"/>
        </w:rPr>
        <w:t>Rizos</w:t>
      </w:r>
      <w:proofErr w:type="spellEnd"/>
      <w:r w:rsidRPr="00A54953">
        <w:rPr>
          <w:rFonts w:ascii="Times New Roman" w:hAnsi="Times New Roman" w:cs="Times New Roman"/>
        </w:rPr>
        <w:t xml:space="preserve"> EC, </w:t>
      </w:r>
      <w:proofErr w:type="spellStart"/>
      <w:r w:rsidRPr="00A54953">
        <w:rPr>
          <w:rFonts w:ascii="Times New Roman" w:hAnsi="Times New Roman" w:cs="Times New Roman"/>
        </w:rPr>
        <w:t>Markozannes</w:t>
      </w:r>
      <w:proofErr w:type="spellEnd"/>
      <w:r w:rsidRPr="00A54953">
        <w:rPr>
          <w:rFonts w:ascii="Times New Roman" w:hAnsi="Times New Roman" w:cs="Times New Roman"/>
        </w:rPr>
        <w:t xml:space="preserve"> G, </w:t>
      </w:r>
      <w:proofErr w:type="spellStart"/>
      <w:r w:rsidRPr="00A54953">
        <w:rPr>
          <w:rFonts w:ascii="Times New Roman" w:hAnsi="Times New Roman" w:cs="Times New Roman"/>
        </w:rPr>
        <w:t>Karalexi</w:t>
      </w:r>
      <w:proofErr w:type="spellEnd"/>
      <w:r w:rsidRPr="00A54953">
        <w:rPr>
          <w:rFonts w:ascii="Times New Roman" w:hAnsi="Times New Roman" w:cs="Times New Roman"/>
        </w:rPr>
        <w:t xml:space="preserve"> MA, </w:t>
      </w:r>
      <w:proofErr w:type="spellStart"/>
      <w:r w:rsidRPr="00A54953">
        <w:rPr>
          <w:rFonts w:ascii="Times New Roman" w:hAnsi="Times New Roman" w:cs="Times New Roman"/>
        </w:rPr>
        <w:t>Wairegi</w:t>
      </w:r>
      <w:proofErr w:type="spellEnd"/>
      <w:r w:rsidRPr="00A54953">
        <w:rPr>
          <w:rFonts w:ascii="Times New Roman" w:hAnsi="Times New Roman" w:cs="Times New Roman"/>
        </w:rPr>
        <w:t xml:space="preserve"> L, </w:t>
      </w:r>
      <w:proofErr w:type="spellStart"/>
      <w:r w:rsidRPr="00A54953">
        <w:rPr>
          <w:rFonts w:ascii="Times New Roman" w:hAnsi="Times New Roman" w:cs="Times New Roman"/>
        </w:rPr>
        <w:t>Ntzani</w:t>
      </w:r>
      <w:proofErr w:type="spellEnd"/>
      <w:r w:rsidRPr="00A54953">
        <w:rPr>
          <w:rFonts w:ascii="Times New Roman" w:hAnsi="Times New Roman" w:cs="Times New Roman"/>
        </w:rPr>
        <w:t xml:space="preserve"> EE. Fertilizers and human health—a systematic review of the epidemiological evidence. </w:t>
      </w:r>
      <w:r w:rsidRPr="00A54953">
        <w:rPr>
          <w:rFonts w:ascii="Times New Roman" w:hAnsi="Times New Roman" w:cs="Times New Roman"/>
          <w:i/>
          <w:iCs/>
        </w:rPr>
        <w:t>Toxics.</w:t>
      </w:r>
      <w:r w:rsidRPr="00A54953">
        <w:rPr>
          <w:rFonts w:ascii="Times New Roman" w:hAnsi="Times New Roman" w:cs="Times New Roman"/>
        </w:rPr>
        <w:t xml:space="preserve"> 2024;12(10):694. doi:10.3390/toxics12100694.</w:t>
      </w:r>
    </w:p>
    <w:p w14:paraId="7E777098"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Ye K, Hu G, Tong Z, Xu Y, Zheng J. Key intelligent pesticide prescription spraying technologies for the control of pests, diseases, and weeds: a review. </w:t>
      </w:r>
      <w:r w:rsidRPr="00A54953">
        <w:rPr>
          <w:rFonts w:ascii="Times New Roman" w:hAnsi="Times New Roman" w:cs="Times New Roman"/>
          <w:i/>
          <w:iCs/>
        </w:rPr>
        <w:t>Agriculture.</w:t>
      </w:r>
      <w:r w:rsidRPr="00A54953">
        <w:rPr>
          <w:rFonts w:ascii="Times New Roman" w:hAnsi="Times New Roman" w:cs="Times New Roman"/>
        </w:rPr>
        <w:t xml:space="preserve"> 2024;15(1). doi:10.3390/agriculture15010081.</w:t>
      </w:r>
    </w:p>
    <w:p w14:paraId="472770FA"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Sapkota R, Stenger J, Ostlie M, Flores P. Towards reducing chemical usage for weed control in agriculture using UAS imagery analysis and computer vision techniques. </w:t>
      </w:r>
      <w:r w:rsidRPr="00A54953">
        <w:rPr>
          <w:rFonts w:ascii="Times New Roman" w:hAnsi="Times New Roman" w:cs="Times New Roman"/>
          <w:i/>
          <w:iCs/>
        </w:rPr>
        <w:t>Sci Rep.</w:t>
      </w:r>
      <w:r w:rsidRPr="00A54953">
        <w:rPr>
          <w:rFonts w:ascii="Times New Roman" w:hAnsi="Times New Roman" w:cs="Times New Roman"/>
        </w:rPr>
        <w:t xml:space="preserve"> </w:t>
      </w:r>
      <w:proofErr w:type="gramStart"/>
      <w:r w:rsidRPr="00A54953">
        <w:rPr>
          <w:rFonts w:ascii="Times New Roman" w:hAnsi="Times New Roman" w:cs="Times New Roman"/>
        </w:rPr>
        <w:t>2023;13:6548</w:t>
      </w:r>
      <w:proofErr w:type="gramEnd"/>
      <w:r w:rsidRPr="00A54953">
        <w:rPr>
          <w:rFonts w:ascii="Times New Roman" w:hAnsi="Times New Roman" w:cs="Times New Roman"/>
        </w:rPr>
        <w:t>. doi:10.1038/s41598-023-33042-0.</w:t>
      </w:r>
    </w:p>
    <w:p w14:paraId="4F26071A"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Pesticide regulations and their malpractice implications on food and environment safety. </w:t>
      </w:r>
      <w:r w:rsidRPr="00A54953">
        <w:rPr>
          <w:rFonts w:ascii="Times New Roman" w:hAnsi="Times New Roman" w:cs="Times New Roman"/>
          <w:i/>
          <w:iCs/>
        </w:rPr>
        <w:t>Cogent Food Agric.</w:t>
      </w:r>
      <w:r w:rsidRPr="00A54953">
        <w:rPr>
          <w:rFonts w:ascii="Times New Roman" w:hAnsi="Times New Roman" w:cs="Times New Roman"/>
        </w:rPr>
        <w:t xml:space="preserve"> 2019. Available from: </w:t>
      </w:r>
      <w:hyperlink r:id="rId8" w:history="1">
        <w:r w:rsidRPr="00A54953">
          <w:rPr>
            <w:rStyle w:val="Hyperlink"/>
            <w:rFonts w:ascii="Times New Roman" w:hAnsi="Times New Roman" w:cs="Times New Roman"/>
          </w:rPr>
          <w:t>https://www.tandfonline.com/doi/abs/10.1080/23311932.2019.1601544</w:t>
        </w:r>
      </w:hyperlink>
    </w:p>
    <w:p w14:paraId="00EB59F3"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Correia AAS, </w:t>
      </w:r>
      <w:proofErr w:type="spellStart"/>
      <w:r w:rsidRPr="00A54953">
        <w:rPr>
          <w:rFonts w:ascii="Times New Roman" w:hAnsi="Times New Roman" w:cs="Times New Roman"/>
        </w:rPr>
        <w:t>Rasteiro</w:t>
      </w:r>
      <w:proofErr w:type="spellEnd"/>
      <w:r w:rsidRPr="00A54953">
        <w:rPr>
          <w:rFonts w:ascii="Times New Roman" w:hAnsi="Times New Roman" w:cs="Times New Roman"/>
        </w:rPr>
        <w:t xml:space="preserve"> MG. A review of persistent soil contaminants: assessment and remediation strategies. </w:t>
      </w:r>
      <w:r w:rsidRPr="00A54953">
        <w:rPr>
          <w:rFonts w:ascii="Times New Roman" w:hAnsi="Times New Roman" w:cs="Times New Roman"/>
          <w:i/>
          <w:iCs/>
        </w:rPr>
        <w:t>Environments.</w:t>
      </w:r>
      <w:r w:rsidRPr="00A54953">
        <w:rPr>
          <w:rFonts w:ascii="Times New Roman" w:hAnsi="Times New Roman" w:cs="Times New Roman"/>
        </w:rPr>
        <w:t xml:space="preserve"> 2025;12(7). doi:10.3390/environments12070229.</w:t>
      </w:r>
    </w:p>
    <w:p w14:paraId="5FE66929"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Nuruzzaman M, Bahar MM, Naidu R. Diffuse soil pollution from agriculture: impacts and remediation. </w:t>
      </w:r>
      <w:r w:rsidRPr="00A54953">
        <w:rPr>
          <w:rFonts w:ascii="Times New Roman" w:hAnsi="Times New Roman" w:cs="Times New Roman"/>
          <w:i/>
          <w:iCs/>
        </w:rPr>
        <w:t>Sci Total Environ.</w:t>
      </w:r>
      <w:r w:rsidRPr="00A54953">
        <w:rPr>
          <w:rFonts w:ascii="Times New Roman" w:hAnsi="Times New Roman" w:cs="Times New Roman"/>
        </w:rPr>
        <w:t xml:space="preserve"> </w:t>
      </w:r>
      <w:proofErr w:type="gramStart"/>
      <w:r w:rsidRPr="00A54953">
        <w:rPr>
          <w:rFonts w:ascii="Times New Roman" w:hAnsi="Times New Roman" w:cs="Times New Roman"/>
        </w:rPr>
        <w:t>2025;962:178398</w:t>
      </w:r>
      <w:proofErr w:type="gramEnd"/>
      <w:r w:rsidRPr="00A54953">
        <w:rPr>
          <w:rFonts w:ascii="Times New Roman" w:hAnsi="Times New Roman" w:cs="Times New Roman"/>
        </w:rPr>
        <w:t xml:space="preserve">. </w:t>
      </w:r>
      <w:proofErr w:type="gramStart"/>
      <w:r w:rsidRPr="00A54953">
        <w:rPr>
          <w:rFonts w:ascii="Times New Roman" w:hAnsi="Times New Roman" w:cs="Times New Roman"/>
        </w:rPr>
        <w:t>doi:10.1016/j.scitotenv</w:t>
      </w:r>
      <w:proofErr w:type="gramEnd"/>
      <w:r w:rsidRPr="00A54953">
        <w:rPr>
          <w:rFonts w:ascii="Times New Roman" w:hAnsi="Times New Roman" w:cs="Times New Roman"/>
        </w:rPr>
        <w:t>.2025.178398.</w:t>
      </w:r>
    </w:p>
    <w:p w14:paraId="255D3858"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Acharya LK, </w:t>
      </w:r>
      <w:proofErr w:type="spellStart"/>
      <w:r w:rsidRPr="00A54953">
        <w:rPr>
          <w:rFonts w:ascii="Times New Roman" w:hAnsi="Times New Roman" w:cs="Times New Roman"/>
        </w:rPr>
        <w:t>Paramaguru</w:t>
      </w:r>
      <w:proofErr w:type="spellEnd"/>
      <w:r w:rsidRPr="00A54953">
        <w:rPr>
          <w:rFonts w:ascii="Times New Roman" w:hAnsi="Times New Roman" w:cs="Times New Roman"/>
        </w:rPr>
        <w:t xml:space="preserve"> PK, Tripathi K, Bhoi TK, Seth P, </w:t>
      </w:r>
      <w:proofErr w:type="spellStart"/>
      <w:r w:rsidRPr="00A54953">
        <w:rPr>
          <w:rFonts w:ascii="Times New Roman" w:hAnsi="Times New Roman" w:cs="Times New Roman"/>
        </w:rPr>
        <w:t>Birah</w:t>
      </w:r>
      <w:proofErr w:type="spellEnd"/>
      <w:r w:rsidRPr="00A54953">
        <w:rPr>
          <w:rFonts w:ascii="Times New Roman" w:hAnsi="Times New Roman" w:cs="Times New Roman"/>
        </w:rPr>
        <w:t xml:space="preserve"> A. Pesticide contamination in groundwater: processes, risks, and mitigation strategies.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Agric.</w:t>
      </w:r>
      <w:r w:rsidRPr="00A54953">
        <w:rPr>
          <w:rFonts w:ascii="Times New Roman" w:hAnsi="Times New Roman" w:cs="Times New Roman"/>
        </w:rPr>
        <w:t xml:space="preserve"> 2025;3(1):152. doi:10.1007/s44279-025-00337-x.</w:t>
      </w:r>
    </w:p>
    <w:p w14:paraId="04473CD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Hussain F, Ahmed S, Naqvi SMZA, Awais M, Zhang Y, Zhang H, et al. Agricultural non-point source pollution: comprehensive analysis of sources and assessment methods. </w:t>
      </w:r>
      <w:r w:rsidRPr="00A54953">
        <w:rPr>
          <w:rFonts w:ascii="Times New Roman" w:hAnsi="Times New Roman" w:cs="Times New Roman"/>
          <w:i/>
          <w:iCs/>
        </w:rPr>
        <w:t>Agriculture.</w:t>
      </w:r>
      <w:r w:rsidRPr="00A54953">
        <w:rPr>
          <w:rFonts w:ascii="Times New Roman" w:hAnsi="Times New Roman" w:cs="Times New Roman"/>
        </w:rPr>
        <w:t xml:space="preserve"> 2025;15(5). doi:10.3390/agriculture15050531.</w:t>
      </w:r>
    </w:p>
    <w:p w14:paraId="3BF6F3A1"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Boonupara</w:t>
      </w:r>
      <w:proofErr w:type="spellEnd"/>
      <w:r w:rsidRPr="00A54953">
        <w:rPr>
          <w:rFonts w:ascii="Times New Roman" w:hAnsi="Times New Roman" w:cs="Times New Roman"/>
        </w:rPr>
        <w:t xml:space="preserve"> T, </w:t>
      </w:r>
      <w:proofErr w:type="spellStart"/>
      <w:r w:rsidRPr="00A54953">
        <w:rPr>
          <w:rFonts w:ascii="Times New Roman" w:hAnsi="Times New Roman" w:cs="Times New Roman"/>
        </w:rPr>
        <w:t>Udomkun</w:t>
      </w:r>
      <w:proofErr w:type="spellEnd"/>
      <w:r w:rsidRPr="00A54953">
        <w:rPr>
          <w:rFonts w:ascii="Times New Roman" w:hAnsi="Times New Roman" w:cs="Times New Roman"/>
        </w:rPr>
        <w:t xml:space="preserve"> P, Khan E, </w:t>
      </w:r>
      <w:proofErr w:type="spellStart"/>
      <w:r w:rsidRPr="00A54953">
        <w:rPr>
          <w:rFonts w:ascii="Times New Roman" w:hAnsi="Times New Roman" w:cs="Times New Roman"/>
        </w:rPr>
        <w:t>Kajitvichyanukul</w:t>
      </w:r>
      <w:proofErr w:type="spellEnd"/>
      <w:r w:rsidRPr="00A54953">
        <w:rPr>
          <w:rFonts w:ascii="Times New Roman" w:hAnsi="Times New Roman" w:cs="Times New Roman"/>
        </w:rPr>
        <w:t xml:space="preserve"> P. Airborne pesticides from agricultural practices: a critical review of pathways, influencing factors, and human health implications. </w:t>
      </w:r>
      <w:r w:rsidRPr="00A54953">
        <w:rPr>
          <w:rFonts w:ascii="Times New Roman" w:hAnsi="Times New Roman" w:cs="Times New Roman"/>
          <w:i/>
          <w:iCs/>
        </w:rPr>
        <w:t>Toxics.</w:t>
      </w:r>
      <w:r w:rsidRPr="00A54953">
        <w:rPr>
          <w:rFonts w:ascii="Times New Roman" w:hAnsi="Times New Roman" w:cs="Times New Roman"/>
        </w:rPr>
        <w:t xml:space="preserve"> 2023;11(10):858. doi:10.3390/toxics11100858.</w:t>
      </w:r>
    </w:p>
    <w:p w14:paraId="0BED3F4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lastRenderedPageBreak/>
        <w:t xml:space="preserve">Afandi GE, Ismael H, Fall S. A hybrid modeling approach for estimating the exposure to organophosphate pesticide drift in Sangamon County, Illinois. </w:t>
      </w:r>
      <w:r w:rsidRPr="00A54953">
        <w:rPr>
          <w:rFonts w:ascii="Times New Roman" w:hAnsi="Times New Roman" w:cs="Times New Roman"/>
          <w:i/>
          <w:iCs/>
        </w:rPr>
        <w:t>Sustainability.</w:t>
      </w:r>
      <w:r w:rsidRPr="00A54953">
        <w:rPr>
          <w:rFonts w:ascii="Times New Roman" w:hAnsi="Times New Roman" w:cs="Times New Roman"/>
        </w:rPr>
        <w:t xml:space="preserve"> 2024;16(7). doi:10.3390/su16072908.</w:t>
      </w:r>
    </w:p>
    <w:p w14:paraId="27A268AE"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Ali S, </w:t>
      </w:r>
      <w:proofErr w:type="spellStart"/>
      <w:r w:rsidRPr="00A54953">
        <w:rPr>
          <w:rFonts w:ascii="Times New Roman" w:hAnsi="Times New Roman" w:cs="Times New Roman"/>
        </w:rPr>
        <w:t>Ahirwar</w:t>
      </w:r>
      <w:proofErr w:type="spellEnd"/>
      <w:r w:rsidRPr="00A54953">
        <w:rPr>
          <w:rFonts w:ascii="Times New Roman" w:hAnsi="Times New Roman" w:cs="Times New Roman"/>
        </w:rPr>
        <w:t xml:space="preserve"> R. Accumulation of toxic metals in vegetable crops and associated dietary exposure risks to human health.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Environ.</w:t>
      </w:r>
      <w:r w:rsidRPr="00A54953">
        <w:rPr>
          <w:rFonts w:ascii="Times New Roman" w:hAnsi="Times New Roman" w:cs="Times New Roman"/>
        </w:rPr>
        <w:t xml:space="preserve"> 2025;3(1):210. doi:10.1007/s44274-025-00373-w.</w:t>
      </w:r>
    </w:p>
    <w:p w14:paraId="1C96B0C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Sazali</w:t>
      </w:r>
      <w:proofErr w:type="spellEnd"/>
      <w:r w:rsidRPr="00A54953">
        <w:rPr>
          <w:rFonts w:ascii="Times New Roman" w:hAnsi="Times New Roman" w:cs="Times New Roman"/>
        </w:rPr>
        <w:t xml:space="preserve"> ASA. Dermal distributions of pesticide in agriculture occupational settings: a scoping review. </w:t>
      </w:r>
      <w:r w:rsidRPr="00A54953">
        <w:rPr>
          <w:rFonts w:ascii="Times New Roman" w:hAnsi="Times New Roman" w:cs="Times New Roman"/>
          <w:i/>
          <w:iCs/>
        </w:rPr>
        <w:t>J Chem Health Risks.</w:t>
      </w:r>
      <w:r w:rsidRPr="00A54953">
        <w:rPr>
          <w:rFonts w:ascii="Times New Roman" w:hAnsi="Times New Roman" w:cs="Times New Roman"/>
        </w:rPr>
        <w:t xml:space="preserve"> 2025;15(4):1835–50.</w:t>
      </w:r>
    </w:p>
    <w:p w14:paraId="5C08ACC4"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Tudi M, Li H, Li H, Wang L, Lyu J, Yang L, et al. Exposure routes and health risks associated with pesticide application. </w:t>
      </w:r>
      <w:r w:rsidRPr="00A54953">
        <w:rPr>
          <w:rFonts w:ascii="Times New Roman" w:hAnsi="Times New Roman" w:cs="Times New Roman"/>
          <w:i/>
          <w:iCs/>
        </w:rPr>
        <w:t>Toxics.</w:t>
      </w:r>
      <w:r w:rsidRPr="00A54953">
        <w:rPr>
          <w:rFonts w:ascii="Times New Roman" w:hAnsi="Times New Roman" w:cs="Times New Roman"/>
        </w:rPr>
        <w:t xml:space="preserve"> 2022;10(6):335. doi:10.3390/toxics10060335.</w:t>
      </w:r>
    </w:p>
    <w:p w14:paraId="53D8B950"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Sandoval-</w:t>
      </w:r>
      <w:proofErr w:type="spellStart"/>
      <w:r w:rsidRPr="00A54953">
        <w:rPr>
          <w:rFonts w:ascii="Times New Roman" w:hAnsi="Times New Roman" w:cs="Times New Roman"/>
        </w:rPr>
        <w:t>Insausti</w:t>
      </w:r>
      <w:proofErr w:type="spellEnd"/>
      <w:r w:rsidRPr="00A54953">
        <w:rPr>
          <w:rFonts w:ascii="Times New Roman" w:hAnsi="Times New Roman" w:cs="Times New Roman"/>
        </w:rPr>
        <w:t xml:space="preserve"> H, Chin YH, Wang YX, Hart JE, </w:t>
      </w:r>
      <w:proofErr w:type="spellStart"/>
      <w:r w:rsidRPr="00A54953">
        <w:rPr>
          <w:rFonts w:ascii="Times New Roman" w:hAnsi="Times New Roman" w:cs="Times New Roman"/>
        </w:rPr>
        <w:t>Bhupathiraju</w:t>
      </w:r>
      <w:proofErr w:type="spellEnd"/>
      <w:r w:rsidRPr="00A54953">
        <w:rPr>
          <w:rFonts w:ascii="Times New Roman" w:hAnsi="Times New Roman" w:cs="Times New Roman"/>
        </w:rPr>
        <w:t xml:space="preserve"> SN, </w:t>
      </w:r>
      <w:proofErr w:type="spellStart"/>
      <w:r w:rsidRPr="00A54953">
        <w:rPr>
          <w:rFonts w:ascii="Times New Roman" w:hAnsi="Times New Roman" w:cs="Times New Roman"/>
        </w:rPr>
        <w:t>Mínguez-Alarcón</w:t>
      </w:r>
      <w:proofErr w:type="spellEnd"/>
      <w:r w:rsidRPr="00A54953">
        <w:rPr>
          <w:rFonts w:ascii="Times New Roman" w:hAnsi="Times New Roman" w:cs="Times New Roman"/>
        </w:rPr>
        <w:t xml:space="preserve"> L, et al. Intake of fruits and vegetables according to pesticide residue status in relation to mortality. </w:t>
      </w:r>
      <w:r w:rsidRPr="00A54953">
        <w:rPr>
          <w:rFonts w:ascii="Times New Roman" w:hAnsi="Times New Roman" w:cs="Times New Roman"/>
          <w:i/>
          <w:iCs/>
        </w:rPr>
        <w:t>Environ Int.</w:t>
      </w:r>
      <w:r w:rsidRPr="00A54953">
        <w:rPr>
          <w:rFonts w:ascii="Times New Roman" w:hAnsi="Times New Roman" w:cs="Times New Roman"/>
        </w:rPr>
        <w:t xml:space="preserve"> </w:t>
      </w:r>
      <w:proofErr w:type="gramStart"/>
      <w:r w:rsidRPr="00A54953">
        <w:rPr>
          <w:rFonts w:ascii="Times New Roman" w:hAnsi="Times New Roman" w:cs="Times New Roman"/>
        </w:rPr>
        <w:t>2022;159:107024</w:t>
      </w:r>
      <w:proofErr w:type="gramEnd"/>
      <w:r w:rsidRPr="00A54953">
        <w:rPr>
          <w:rFonts w:ascii="Times New Roman" w:hAnsi="Times New Roman" w:cs="Times New Roman"/>
        </w:rPr>
        <w:t xml:space="preserve">. </w:t>
      </w:r>
      <w:proofErr w:type="gramStart"/>
      <w:r w:rsidRPr="00A54953">
        <w:rPr>
          <w:rFonts w:ascii="Times New Roman" w:hAnsi="Times New Roman" w:cs="Times New Roman"/>
        </w:rPr>
        <w:t>doi:10.1016/j.envint</w:t>
      </w:r>
      <w:proofErr w:type="gramEnd"/>
      <w:r w:rsidRPr="00A54953">
        <w:rPr>
          <w:rFonts w:ascii="Times New Roman" w:hAnsi="Times New Roman" w:cs="Times New Roman"/>
        </w:rPr>
        <w:t>.2021.107024.</w:t>
      </w:r>
    </w:p>
    <w:p w14:paraId="3C4A114C"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Lari S, </w:t>
      </w:r>
      <w:proofErr w:type="spellStart"/>
      <w:r w:rsidRPr="00A54953">
        <w:rPr>
          <w:rFonts w:ascii="Times New Roman" w:hAnsi="Times New Roman" w:cs="Times New Roman"/>
        </w:rPr>
        <w:t>Jonnalagadda</w:t>
      </w:r>
      <w:proofErr w:type="spellEnd"/>
      <w:r w:rsidRPr="00A54953">
        <w:rPr>
          <w:rFonts w:ascii="Times New Roman" w:hAnsi="Times New Roman" w:cs="Times New Roman"/>
        </w:rPr>
        <w:t xml:space="preserve"> PR, </w:t>
      </w:r>
      <w:proofErr w:type="spellStart"/>
      <w:r w:rsidRPr="00A54953">
        <w:rPr>
          <w:rFonts w:ascii="Times New Roman" w:hAnsi="Times New Roman" w:cs="Times New Roman"/>
        </w:rPr>
        <w:t>Yamagani</w:t>
      </w:r>
      <w:proofErr w:type="spellEnd"/>
      <w:r w:rsidRPr="00A54953">
        <w:rPr>
          <w:rFonts w:ascii="Times New Roman" w:hAnsi="Times New Roman" w:cs="Times New Roman"/>
        </w:rPr>
        <w:t xml:space="preserve"> P, </w:t>
      </w:r>
      <w:proofErr w:type="spellStart"/>
      <w:r w:rsidRPr="00A54953">
        <w:rPr>
          <w:rFonts w:ascii="Times New Roman" w:hAnsi="Times New Roman" w:cs="Times New Roman"/>
        </w:rPr>
        <w:t>Medithi</w:t>
      </w:r>
      <w:proofErr w:type="spellEnd"/>
      <w:r w:rsidRPr="00A54953">
        <w:rPr>
          <w:rFonts w:ascii="Times New Roman" w:hAnsi="Times New Roman" w:cs="Times New Roman"/>
        </w:rPr>
        <w:t xml:space="preserve"> S, Vanka J, Pandiyan A, et al. Assessment of dermal exposure to pesticides among farmers using dosimeter and hand washing methods. </w:t>
      </w:r>
      <w:r w:rsidRPr="00A54953">
        <w:rPr>
          <w:rFonts w:ascii="Times New Roman" w:hAnsi="Times New Roman" w:cs="Times New Roman"/>
          <w:i/>
          <w:iCs/>
        </w:rPr>
        <w:t>Front Public Health.</w:t>
      </w:r>
      <w:r w:rsidRPr="00A54953">
        <w:rPr>
          <w:rFonts w:ascii="Times New Roman" w:hAnsi="Times New Roman" w:cs="Times New Roman"/>
        </w:rPr>
        <w:t xml:space="preserve"> 2022;10. doi:10.3389/fpubh.2022.957774.</w:t>
      </w:r>
    </w:p>
    <w:p w14:paraId="00866548"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Lawal OP, </w:t>
      </w:r>
      <w:proofErr w:type="spellStart"/>
      <w:r w:rsidRPr="00A54953">
        <w:rPr>
          <w:rFonts w:ascii="Times New Roman" w:hAnsi="Times New Roman" w:cs="Times New Roman"/>
        </w:rPr>
        <w:t>Njoba</w:t>
      </w:r>
      <w:proofErr w:type="spellEnd"/>
      <w:r w:rsidRPr="00A54953">
        <w:rPr>
          <w:rFonts w:ascii="Times New Roman" w:hAnsi="Times New Roman" w:cs="Times New Roman"/>
        </w:rPr>
        <w:t xml:space="preserve"> CF, </w:t>
      </w:r>
      <w:proofErr w:type="spellStart"/>
      <w:r w:rsidRPr="00A54953">
        <w:rPr>
          <w:rFonts w:ascii="Times New Roman" w:hAnsi="Times New Roman" w:cs="Times New Roman"/>
        </w:rPr>
        <w:t>Olorunkosebi</w:t>
      </w:r>
      <w:proofErr w:type="spellEnd"/>
      <w:r w:rsidRPr="00A54953">
        <w:rPr>
          <w:rFonts w:ascii="Times New Roman" w:hAnsi="Times New Roman" w:cs="Times New Roman"/>
        </w:rPr>
        <w:t xml:space="preserve"> MT, Jacob H, </w:t>
      </w:r>
      <w:proofErr w:type="spellStart"/>
      <w:r w:rsidRPr="00A54953">
        <w:rPr>
          <w:rFonts w:ascii="Times New Roman" w:hAnsi="Times New Roman" w:cs="Times New Roman"/>
        </w:rPr>
        <w:t>Igweonu</w:t>
      </w:r>
      <w:proofErr w:type="spellEnd"/>
      <w:r w:rsidRPr="00A54953">
        <w:rPr>
          <w:rFonts w:ascii="Times New Roman" w:hAnsi="Times New Roman" w:cs="Times New Roman"/>
        </w:rPr>
        <w:t xml:space="preserve"> C, </w:t>
      </w:r>
      <w:proofErr w:type="spellStart"/>
      <w:r w:rsidRPr="00A54953">
        <w:rPr>
          <w:rFonts w:ascii="Times New Roman" w:hAnsi="Times New Roman" w:cs="Times New Roman"/>
        </w:rPr>
        <w:t>Dilioha</w:t>
      </w:r>
      <w:proofErr w:type="spellEnd"/>
      <w:r w:rsidRPr="00A54953">
        <w:rPr>
          <w:rFonts w:ascii="Times New Roman" w:hAnsi="Times New Roman" w:cs="Times New Roman"/>
        </w:rPr>
        <w:t xml:space="preserve"> JO, et al. Microplastics as emerging reservoirs of antimicrobial resistance. </w:t>
      </w:r>
      <w:r w:rsidRPr="00A54953">
        <w:rPr>
          <w:rFonts w:ascii="Times New Roman" w:hAnsi="Times New Roman" w:cs="Times New Roman"/>
          <w:i/>
          <w:iCs/>
        </w:rPr>
        <w:t>J Clin Exp Invest.</w:t>
      </w:r>
      <w:r w:rsidRPr="00A54953">
        <w:rPr>
          <w:rFonts w:ascii="Times New Roman" w:hAnsi="Times New Roman" w:cs="Times New Roman"/>
        </w:rPr>
        <w:t xml:space="preserve"> 2025;16(4</w:t>
      </w:r>
      <w:proofErr w:type="gramStart"/>
      <w:r w:rsidRPr="00A54953">
        <w:rPr>
          <w:rFonts w:ascii="Times New Roman" w:hAnsi="Times New Roman" w:cs="Times New Roman"/>
        </w:rPr>
        <w:t>):em</w:t>
      </w:r>
      <w:proofErr w:type="gramEnd"/>
      <w:r w:rsidRPr="00A54953">
        <w:rPr>
          <w:rFonts w:ascii="Times New Roman" w:hAnsi="Times New Roman" w:cs="Times New Roman"/>
        </w:rPr>
        <w:t>00852. doi:10.29333/</w:t>
      </w:r>
      <w:proofErr w:type="spellStart"/>
      <w:r w:rsidRPr="00A54953">
        <w:rPr>
          <w:rFonts w:ascii="Times New Roman" w:hAnsi="Times New Roman" w:cs="Times New Roman"/>
        </w:rPr>
        <w:t>jcei</w:t>
      </w:r>
      <w:proofErr w:type="spellEnd"/>
      <w:r w:rsidRPr="00A54953">
        <w:rPr>
          <w:rFonts w:ascii="Times New Roman" w:hAnsi="Times New Roman" w:cs="Times New Roman"/>
        </w:rPr>
        <w:t>/17401.</w:t>
      </w:r>
    </w:p>
    <w:p w14:paraId="3EE83860"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Ugorji</w:t>
      </w:r>
      <w:proofErr w:type="spellEnd"/>
      <w:r w:rsidRPr="00A54953">
        <w:rPr>
          <w:rFonts w:ascii="Times New Roman" w:hAnsi="Times New Roman" w:cs="Times New Roman"/>
        </w:rPr>
        <w:t xml:space="preserve"> HO, </w:t>
      </w: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w:t>
      </w: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w:t>
      </w:r>
      <w:proofErr w:type="spellStart"/>
      <w:r w:rsidRPr="00A54953">
        <w:rPr>
          <w:rFonts w:ascii="Times New Roman" w:hAnsi="Times New Roman" w:cs="Times New Roman"/>
        </w:rPr>
        <w:t>Oke</w:t>
      </w:r>
      <w:proofErr w:type="spellEnd"/>
      <w:r w:rsidRPr="00A54953">
        <w:rPr>
          <w:rFonts w:ascii="Times New Roman" w:hAnsi="Times New Roman" w:cs="Times New Roman"/>
        </w:rPr>
        <w:t xml:space="preserve"> RB, </w:t>
      </w:r>
      <w:proofErr w:type="spellStart"/>
      <w:r w:rsidRPr="00A54953">
        <w:rPr>
          <w:rFonts w:ascii="Times New Roman" w:hAnsi="Times New Roman" w:cs="Times New Roman"/>
        </w:rPr>
        <w:t>Aderanti</w:t>
      </w:r>
      <w:proofErr w:type="spellEnd"/>
      <w:r w:rsidRPr="00A54953">
        <w:rPr>
          <w:rFonts w:ascii="Times New Roman" w:hAnsi="Times New Roman" w:cs="Times New Roman"/>
        </w:rPr>
        <w:t xml:space="preserve"> TA. Predictive modeling of early-life agrochemical exposure and pediatric cancer risk among children of U.S. farmers: a narrative review. </w:t>
      </w:r>
      <w:r w:rsidRPr="00A54953">
        <w:rPr>
          <w:rFonts w:ascii="Times New Roman" w:hAnsi="Times New Roman" w:cs="Times New Roman"/>
          <w:i/>
          <w:iCs/>
        </w:rPr>
        <w:t>J Med Health Res.</w:t>
      </w:r>
      <w:r w:rsidRPr="00A54953">
        <w:rPr>
          <w:rFonts w:ascii="Times New Roman" w:hAnsi="Times New Roman" w:cs="Times New Roman"/>
        </w:rPr>
        <w:t xml:space="preserve"> 2026;11(1):82–99.</w:t>
      </w:r>
    </w:p>
    <w:p w14:paraId="6DC77DB6"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Moscato A, Longo MV, Ferrante M, Fiore M. Trifluoroacetic acid: a narrative review on </w:t>
      </w:r>
      <w:proofErr w:type="spellStart"/>
      <w:r w:rsidRPr="00A54953">
        <w:rPr>
          <w:rFonts w:ascii="Times New Roman" w:hAnsi="Times New Roman" w:cs="Times New Roman"/>
        </w:rPr>
        <w:t>physico</w:t>
      </w:r>
      <w:proofErr w:type="spellEnd"/>
      <w:r w:rsidRPr="00A54953">
        <w:rPr>
          <w:rFonts w:ascii="Times New Roman" w:hAnsi="Times New Roman" w:cs="Times New Roman"/>
        </w:rPr>
        <w:t xml:space="preserve">-chemical properties, exposure pathways, and toxicological concerns. </w:t>
      </w:r>
      <w:r w:rsidRPr="00A54953">
        <w:rPr>
          <w:rFonts w:ascii="Times New Roman" w:hAnsi="Times New Roman" w:cs="Times New Roman"/>
          <w:i/>
          <w:iCs/>
        </w:rPr>
        <w:t>Environments.</w:t>
      </w:r>
      <w:r w:rsidRPr="00A54953">
        <w:rPr>
          <w:rFonts w:ascii="Times New Roman" w:hAnsi="Times New Roman" w:cs="Times New Roman"/>
        </w:rPr>
        <w:t xml:space="preserve"> 2025;12(8). doi:10.3390/environments12080277.</w:t>
      </w:r>
    </w:p>
    <w:p w14:paraId="192E9552"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Wanat K. Biological barriers and the influence of protein binding on drug passage. </w:t>
      </w:r>
      <w:r w:rsidRPr="00A54953">
        <w:rPr>
          <w:rFonts w:ascii="Times New Roman" w:hAnsi="Times New Roman" w:cs="Times New Roman"/>
          <w:i/>
          <w:iCs/>
        </w:rPr>
        <w:t>Mol Biol Rep.</w:t>
      </w:r>
      <w:r w:rsidRPr="00A54953">
        <w:rPr>
          <w:rFonts w:ascii="Times New Roman" w:hAnsi="Times New Roman" w:cs="Times New Roman"/>
        </w:rPr>
        <w:t xml:space="preserve"> 2020;47(4):3221–31. doi:10.1007/s11033-020-05361-2.</w:t>
      </w:r>
    </w:p>
    <w:p w14:paraId="2B233B57"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Preeti</w:t>
      </w:r>
      <w:proofErr w:type="spellEnd"/>
      <w:r w:rsidRPr="00A54953">
        <w:rPr>
          <w:rFonts w:ascii="Times New Roman" w:hAnsi="Times New Roman" w:cs="Times New Roman"/>
        </w:rPr>
        <w:t xml:space="preserve">, </w:t>
      </w:r>
      <w:proofErr w:type="spellStart"/>
      <w:r w:rsidRPr="00A54953">
        <w:rPr>
          <w:rFonts w:ascii="Times New Roman" w:hAnsi="Times New Roman" w:cs="Times New Roman"/>
        </w:rPr>
        <w:t>Sambhakar</w:t>
      </w:r>
      <w:proofErr w:type="spellEnd"/>
      <w:r w:rsidRPr="00A54953">
        <w:rPr>
          <w:rFonts w:ascii="Times New Roman" w:hAnsi="Times New Roman" w:cs="Times New Roman"/>
        </w:rPr>
        <w:t xml:space="preserve"> S, Saharan R, Narwal S, Malik R, Gahlot V, et al. Exploring lipids for improving bioavailability of lipophilic drug candidates: a review. </w:t>
      </w:r>
      <w:r w:rsidRPr="00A54953">
        <w:rPr>
          <w:rFonts w:ascii="Times New Roman" w:hAnsi="Times New Roman" w:cs="Times New Roman"/>
          <w:i/>
          <w:iCs/>
        </w:rPr>
        <w:t>Saudi Pharm J.</w:t>
      </w:r>
      <w:r w:rsidRPr="00A54953">
        <w:rPr>
          <w:rFonts w:ascii="Times New Roman" w:hAnsi="Times New Roman" w:cs="Times New Roman"/>
        </w:rPr>
        <w:t xml:space="preserve"> 2023;31(12):101870. </w:t>
      </w:r>
      <w:proofErr w:type="gramStart"/>
      <w:r w:rsidRPr="00A54953">
        <w:rPr>
          <w:rFonts w:ascii="Times New Roman" w:hAnsi="Times New Roman" w:cs="Times New Roman"/>
        </w:rPr>
        <w:t>doi:10.1016/j.jsps</w:t>
      </w:r>
      <w:proofErr w:type="gramEnd"/>
      <w:r w:rsidRPr="00A54953">
        <w:rPr>
          <w:rFonts w:ascii="Times New Roman" w:hAnsi="Times New Roman" w:cs="Times New Roman"/>
        </w:rPr>
        <w:t>.2023.101870.</w:t>
      </w:r>
    </w:p>
    <w:p w14:paraId="01A83633"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Okafor C, </w:t>
      </w:r>
      <w:proofErr w:type="spellStart"/>
      <w:r w:rsidRPr="00A54953">
        <w:rPr>
          <w:rFonts w:ascii="Times New Roman" w:hAnsi="Times New Roman" w:cs="Times New Roman"/>
        </w:rPr>
        <w:t>Ibiam</w:t>
      </w:r>
      <w:proofErr w:type="spellEnd"/>
      <w:r w:rsidRPr="00A54953">
        <w:rPr>
          <w:rFonts w:ascii="Times New Roman" w:hAnsi="Times New Roman" w:cs="Times New Roman"/>
        </w:rPr>
        <w:t xml:space="preserve"> VA, </w:t>
      </w:r>
      <w:proofErr w:type="spellStart"/>
      <w:r w:rsidRPr="00A54953">
        <w:rPr>
          <w:rFonts w:ascii="Times New Roman" w:hAnsi="Times New Roman" w:cs="Times New Roman"/>
        </w:rPr>
        <w:t>Fagbemi</w:t>
      </w:r>
      <w:proofErr w:type="spellEnd"/>
      <w:r w:rsidRPr="00A54953">
        <w:rPr>
          <w:rFonts w:ascii="Times New Roman" w:hAnsi="Times New Roman" w:cs="Times New Roman"/>
        </w:rPr>
        <w:t xml:space="preserve"> BT, </w:t>
      </w:r>
      <w:proofErr w:type="spellStart"/>
      <w:r w:rsidRPr="00A54953">
        <w:rPr>
          <w:rFonts w:ascii="Times New Roman" w:hAnsi="Times New Roman" w:cs="Times New Roman"/>
        </w:rPr>
        <w:t>Ubani</w:t>
      </w:r>
      <w:proofErr w:type="spellEnd"/>
      <w:r w:rsidRPr="00A54953">
        <w:rPr>
          <w:rFonts w:ascii="Times New Roman" w:hAnsi="Times New Roman" w:cs="Times New Roman"/>
        </w:rPr>
        <w:t xml:space="preserve"> C, </w:t>
      </w:r>
      <w:proofErr w:type="spellStart"/>
      <w:r w:rsidRPr="00A54953">
        <w:rPr>
          <w:rFonts w:ascii="Times New Roman" w:hAnsi="Times New Roman" w:cs="Times New Roman"/>
        </w:rPr>
        <w:t>Olorunkosebi</w:t>
      </w:r>
      <w:proofErr w:type="spellEnd"/>
      <w:r w:rsidRPr="00A54953">
        <w:rPr>
          <w:rFonts w:ascii="Times New Roman" w:hAnsi="Times New Roman" w:cs="Times New Roman"/>
        </w:rPr>
        <w:t xml:space="preserve"> MT. Microbial dysbiosis and antibiotic resistance in cancer. </w:t>
      </w:r>
      <w:r w:rsidRPr="00A54953">
        <w:rPr>
          <w:rFonts w:ascii="Times New Roman" w:hAnsi="Times New Roman" w:cs="Times New Roman"/>
          <w:i/>
          <w:iCs/>
        </w:rPr>
        <w:t xml:space="preserve">Int J Mol Biol </w:t>
      </w:r>
      <w:proofErr w:type="spellStart"/>
      <w:r w:rsidRPr="00A54953">
        <w:rPr>
          <w:rFonts w:ascii="Times New Roman" w:hAnsi="Times New Roman" w:cs="Times New Roman"/>
          <w:i/>
          <w:iCs/>
        </w:rPr>
        <w:t>Biochem</w:t>
      </w:r>
      <w:proofErr w:type="spellEnd"/>
      <w:r w:rsidRPr="00A54953">
        <w:rPr>
          <w:rFonts w:ascii="Times New Roman" w:hAnsi="Times New Roman" w:cs="Times New Roman"/>
          <w:i/>
          <w:iCs/>
        </w:rPr>
        <w:t>.</w:t>
      </w:r>
      <w:r w:rsidRPr="00A54953">
        <w:rPr>
          <w:rFonts w:ascii="Times New Roman" w:hAnsi="Times New Roman" w:cs="Times New Roman"/>
        </w:rPr>
        <w:t xml:space="preserve"> 2024;6(1):68–77.</w:t>
      </w:r>
    </w:p>
    <w:p w14:paraId="2D3401D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lastRenderedPageBreak/>
        <w:t>Ibiam</w:t>
      </w:r>
      <w:proofErr w:type="spellEnd"/>
      <w:r w:rsidRPr="00A54953">
        <w:rPr>
          <w:rFonts w:ascii="Times New Roman" w:hAnsi="Times New Roman" w:cs="Times New Roman"/>
        </w:rPr>
        <w:t xml:space="preserve"> A, </w:t>
      </w:r>
      <w:proofErr w:type="spellStart"/>
      <w:r w:rsidRPr="00A54953">
        <w:rPr>
          <w:rFonts w:ascii="Times New Roman" w:hAnsi="Times New Roman" w:cs="Times New Roman"/>
        </w:rPr>
        <w:t>Ubani</w:t>
      </w:r>
      <w:proofErr w:type="spellEnd"/>
      <w:r w:rsidRPr="00A54953">
        <w:rPr>
          <w:rFonts w:ascii="Times New Roman" w:hAnsi="Times New Roman" w:cs="Times New Roman"/>
        </w:rPr>
        <w:t xml:space="preserve"> C, Okafor C, </w:t>
      </w:r>
      <w:proofErr w:type="spellStart"/>
      <w:r w:rsidRPr="00A54953">
        <w:rPr>
          <w:rFonts w:ascii="Times New Roman" w:hAnsi="Times New Roman" w:cs="Times New Roman"/>
        </w:rPr>
        <w:t>Olorunkosebi</w:t>
      </w:r>
      <w:proofErr w:type="spellEnd"/>
      <w:r w:rsidRPr="00A54953">
        <w:rPr>
          <w:rFonts w:ascii="Times New Roman" w:hAnsi="Times New Roman" w:cs="Times New Roman"/>
        </w:rPr>
        <w:t xml:space="preserve"> MT, </w:t>
      </w:r>
      <w:proofErr w:type="spellStart"/>
      <w:r w:rsidRPr="00A54953">
        <w:rPr>
          <w:rFonts w:ascii="Times New Roman" w:hAnsi="Times New Roman" w:cs="Times New Roman"/>
        </w:rPr>
        <w:t>Fagbemi</w:t>
      </w:r>
      <w:proofErr w:type="spellEnd"/>
      <w:r w:rsidRPr="00A54953">
        <w:rPr>
          <w:rFonts w:ascii="Times New Roman" w:hAnsi="Times New Roman" w:cs="Times New Roman"/>
        </w:rPr>
        <w:t xml:space="preserve"> BT. Epigenetic footprints of heavy metal exposure. </w:t>
      </w:r>
      <w:r w:rsidRPr="00A54953">
        <w:rPr>
          <w:rFonts w:ascii="Times New Roman" w:hAnsi="Times New Roman" w:cs="Times New Roman"/>
          <w:i/>
          <w:iCs/>
        </w:rPr>
        <w:t xml:space="preserve">Int J Clin Biol </w:t>
      </w:r>
      <w:proofErr w:type="spellStart"/>
      <w:r w:rsidRPr="00A54953">
        <w:rPr>
          <w:rFonts w:ascii="Times New Roman" w:hAnsi="Times New Roman" w:cs="Times New Roman"/>
          <w:i/>
          <w:iCs/>
        </w:rPr>
        <w:t>Biochem</w:t>
      </w:r>
      <w:proofErr w:type="spellEnd"/>
      <w:r w:rsidRPr="00A54953">
        <w:rPr>
          <w:rFonts w:ascii="Times New Roman" w:hAnsi="Times New Roman" w:cs="Times New Roman"/>
          <w:i/>
          <w:iCs/>
        </w:rPr>
        <w:t>.</w:t>
      </w:r>
      <w:r w:rsidRPr="00A54953">
        <w:rPr>
          <w:rFonts w:ascii="Times New Roman" w:hAnsi="Times New Roman" w:cs="Times New Roman"/>
        </w:rPr>
        <w:t xml:space="preserve"> 2023;5(2):53–61.</w:t>
      </w:r>
    </w:p>
    <w:p w14:paraId="3F37819A"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Adeleke OS, </w:t>
      </w:r>
      <w:proofErr w:type="spellStart"/>
      <w:r w:rsidRPr="00A54953">
        <w:rPr>
          <w:rFonts w:ascii="Times New Roman" w:hAnsi="Times New Roman" w:cs="Times New Roman"/>
        </w:rPr>
        <w:t>Oyewopo</w:t>
      </w:r>
      <w:proofErr w:type="spellEnd"/>
      <w:r w:rsidRPr="00A54953">
        <w:rPr>
          <w:rFonts w:ascii="Times New Roman" w:hAnsi="Times New Roman" w:cs="Times New Roman"/>
        </w:rPr>
        <w:t xml:space="preserve"> AO, </w:t>
      </w:r>
      <w:proofErr w:type="spellStart"/>
      <w:r w:rsidRPr="00A54953">
        <w:rPr>
          <w:rFonts w:ascii="Times New Roman" w:hAnsi="Times New Roman" w:cs="Times New Roman"/>
        </w:rPr>
        <w:t>Falana</w:t>
      </w:r>
      <w:proofErr w:type="spellEnd"/>
      <w:r w:rsidRPr="00A54953">
        <w:rPr>
          <w:rFonts w:ascii="Times New Roman" w:hAnsi="Times New Roman" w:cs="Times New Roman"/>
        </w:rPr>
        <w:t xml:space="preserve"> BA, Akinyemi BR, Dare BJ, Adegoke AA, et al. Immunohistochemical expression of Ki-67, cytokeratin-18 and BCL-2 in rats. </w:t>
      </w:r>
      <w:r w:rsidRPr="00A54953">
        <w:rPr>
          <w:rFonts w:ascii="Times New Roman" w:hAnsi="Times New Roman" w:cs="Times New Roman"/>
          <w:i/>
          <w:iCs/>
        </w:rPr>
        <w:t>Res J Health Sci.</w:t>
      </w:r>
      <w:r w:rsidRPr="00A54953">
        <w:rPr>
          <w:rFonts w:ascii="Times New Roman" w:hAnsi="Times New Roman" w:cs="Times New Roman"/>
        </w:rPr>
        <w:t xml:space="preserve"> 2022;10(3):177–89.</w:t>
      </w:r>
    </w:p>
    <w:p w14:paraId="4F73D6E2"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Edwards FL, </w:t>
      </w:r>
      <w:proofErr w:type="spellStart"/>
      <w:r w:rsidRPr="00A54953">
        <w:rPr>
          <w:rFonts w:ascii="Times New Roman" w:hAnsi="Times New Roman" w:cs="Times New Roman"/>
        </w:rPr>
        <w:t>Yedjou</w:t>
      </w:r>
      <w:proofErr w:type="spellEnd"/>
      <w:r w:rsidRPr="00A54953">
        <w:rPr>
          <w:rFonts w:ascii="Times New Roman" w:hAnsi="Times New Roman" w:cs="Times New Roman"/>
        </w:rPr>
        <w:t xml:space="preserve"> CG, </w:t>
      </w:r>
      <w:proofErr w:type="spellStart"/>
      <w:r w:rsidRPr="00A54953">
        <w:rPr>
          <w:rFonts w:ascii="Times New Roman" w:hAnsi="Times New Roman" w:cs="Times New Roman"/>
        </w:rPr>
        <w:t>Tchounwou</w:t>
      </w:r>
      <w:proofErr w:type="spellEnd"/>
      <w:r w:rsidRPr="00A54953">
        <w:rPr>
          <w:rFonts w:ascii="Times New Roman" w:hAnsi="Times New Roman" w:cs="Times New Roman"/>
        </w:rPr>
        <w:t xml:space="preserve"> PB. Oxidative stress in pesticide toxicity. </w:t>
      </w:r>
      <w:r w:rsidRPr="00A54953">
        <w:rPr>
          <w:rFonts w:ascii="Times New Roman" w:hAnsi="Times New Roman" w:cs="Times New Roman"/>
          <w:i/>
          <w:iCs/>
        </w:rPr>
        <w:t xml:space="preserve">Environ </w:t>
      </w:r>
      <w:proofErr w:type="spellStart"/>
      <w:r w:rsidRPr="00A54953">
        <w:rPr>
          <w:rFonts w:ascii="Times New Roman" w:hAnsi="Times New Roman" w:cs="Times New Roman"/>
          <w:i/>
          <w:iCs/>
        </w:rPr>
        <w:t>Toxicol</w:t>
      </w:r>
      <w:proofErr w:type="spellEnd"/>
      <w:r w:rsidRPr="00A54953">
        <w:rPr>
          <w:rFonts w:ascii="Times New Roman" w:hAnsi="Times New Roman" w:cs="Times New Roman"/>
          <w:i/>
          <w:iCs/>
        </w:rPr>
        <w:t>.</w:t>
      </w:r>
      <w:r w:rsidRPr="00A54953">
        <w:rPr>
          <w:rFonts w:ascii="Times New Roman" w:hAnsi="Times New Roman" w:cs="Times New Roman"/>
        </w:rPr>
        <w:t xml:space="preserve"> 2013;28(6):342–8. doi:10.1002/tox.20725.</w:t>
      </w:r>
    </w:p>
    <w:p w14:paraId="2A078DD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Donkor F, </w:t>
      </w: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Markus SN, </w:t>
      </w:r>
      <w:proofErr w:type="spellStart"/>
      <w:r w:rsidRPr="00A54953">
        <w:rPr>
          <w:rFonts w:ascii="Times New Roman" w:hAnsi="Times New Roman" w:cs="Times New Roman"/>
        </w:rPr>
        <w:t>Obeke</w:t>
      </w:r>
      <w:proofErr w:type="spellEnd"/>
      <w:r w:rsidRPr="00A54953">
        <w:rPr>
          <w:rFonts w:ascii="Times New Roman" w:hAnsi="Times New Roman" w:cs="Times New Roman"/>
        </w:rPr>
        <w:t xml:space="preserve"> O. Machine-learning prediction of oxidative stress and hormonal-immune effects. </w:t>
      </w:r>
      <w:r w:rsidRPr="00A54953">
        <w:rPr>
          <w:rFonts w:ascii="Times New Roman" w:hAnsi="Times New Roman" w:cs="Times New Roman"/>
          <w:i/>
          <w:iCs/>
        </w:rPr>
        <w:t>J Life Sci Public Health.</w:t>
      </w:r>
      <w:r w:rsidRPr="00A54953">
        <w:rPr>
          <w:rFonts w:ascii="Times New Roman" w:hAnsi="Times New Roman" w:cs="Times New Roman"/>
        </w:rPr>
        <w:t xml:space="preserve"> 2026;2(1):42–54.</w:t>
      </w:r>
    </w:p>
    <w:p w14:paraId="7ED966F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Mechanism of neurotoxicity. </w:t>
      </w:r>
      <w:r w:rsidRPr="00A54953">
        <w:rPr>
          <w:rFonts w:ascii="Times New Roman" w:hAnsi="Times New Roman" w:cs="Times New Roman"/>
          <w:i/>
          <w:iCs/>
        </w:rPr>
        <w:t>ScienceDirect Topics.</w:t>
      </w:r>
      <w:r w:rsidRPr="00A54953">
        <w:rPr>
          <w:rFonts w:ascii="Times New Roman" w:hAnsi="Times New Roman" w:cs="Times New Roman"/>
        </w:rPr>
        <w:t xml:space="preserve"> Available from: </w:t>
      </w:r>
      <w:hyperlink r:id="rId9" w:history="1">
        <w:r w:rsidRPr="00A54953">
          <w:rPr>
            <w:rStyle w:val="Hyperlink"/>
            <w:rFonts w:ascii="Times New Roman" w:hAnsi="Times New Roman" w:cs="Times New Roman"/>
          </w:rPr>
          <w:t>https://www.sciencedirect.com/topics/medicine-and-dentistry/mechanism-of-neurotoxicity</w:t>
        </w:r>
      </w:hyperlink>
    </w:p>
    <w:p w14:paraId="75500737"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Kapeleka</w:t>
      </w:r>
      <w:proofErr w:type="spellEnd"/>
      <w:r w:rsidRPr="00A54953">
        <w:rPr>
          <w:rFonts w:ascii="Times New Roman" w:hAnsi="Times New Roman" w:cs="Times New Roman"/>
        </w:rPr>
        <w:t xml:space="preserve"> JA, </w:t>
      </w:r>
      <w:proofErr w:type="spellStart"/>
      <w:r w:rsidRPr="00A54953">
        <w:rPr>
          <w:rFonts w:ascii="Times New Roman" w:hAnsi="Times New Roman" w:cs="Times New Roman"/>
        </w:rPr>
        <w:t>Ngowi</w:t>
      </w:r>
      <w:proofErr w:type="spellEnd"/>
      <w:r w:rsidRPr="00A54953">
        <w:rPr>
          <w:rFonts w:ascii="Times New Roman" w:hAnsi="Times New Roman" w:cs="Times New Roman"/>
        </w:rPr>
        <w:t xml:space="preserve"> AV, </w:t>
      </w:r>
      <w:proofErr w:type="spellStart"/>
      <w:r w:rsidRPr="00A54953">
        <w:rPr>
          <w:rFonts w:ascii="Times New Roman" w:hAnsi="Times New Roman" w:cs="Times New Roman"/>
        </w:rPr>
        <w:t>Mng’anya</w:t>
      </w:r>
      <w:proofErr w:type="spellEnd"/>
      <w:r w:rsidRPr="00A54953">
        <w:rPr>
          <w:rFonts w:ascii="Times New Roman" w:hAnsi="Times New Roman" w:cs="Times New Roman"/>
        </w:rPr>
        <w:t xml:space="preserve"> S, Willis SE, Salmon JP, Tyrell KF, et al. Assessment of unintentional acute pesticide poisoning among cotton farmers. </w:t>
      </w:r>
      <w:r w:rsidRPr="00A54953">
        <w:rPr>
          <w:rFonts w:ascii="Times New Roman" w:hAnsi="Times New Roman" w:cs="Times New Roman"/>
          <w:i/>
          <w:iCs/>
        </w:rPr>
        <w:t>Toxics.</w:t>
      </w:r>
      <w:r w:rsidRPr="00A54953">
        <w:rPr>
          <w:rFonts w:ascii="Times New Roman" w:hAnsi="Times New Roman" w:cs="Times New Roman"/>
        </w:rPr>
        <w:t xml:space="preserve"> 2025;13(4). doi:10.3390/toxics13040300.</w:t>
      </w:r>
    </w:p>
    <w:p w14:paraId="1A31C1FE"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Owusu AE, </w:t>
      </w:r>
      <w:proofErr w:type="spellStart"/>
      <w:r w:rsidRPr="00A54953">
        <w:rPr>
          <w:rFonts w:ascii="Times New Roman" w:hAnsi="Times New Roman" w:cs="Times New Roman"/>
        </w:rPr>
        <w:t>Fosua</w:t>
      </w:r>
      <w:proofErr w:type="spellEnd"/>
      <w:r w:rsidRPr="00A54953">
        <w:rPr>
          <w:rFonts w:ascii="Times New Roman" w:hAnsi="Times New Roman" w:cs="Times New Roman"/>
        </w:rPr>
        <w:t xml:space="preserve"> BV. Predictive modeling of agrochemical exposure and adult cancer risk. </w:t>
      </w:r>
      <w:r w:rsidRPr="00A54953">
        <w:rPr>
          <w:rFonts w:ascii="Times New Roman" w:hAnsi="Times New Roman" w:cs="Times New Roman"/>
          <w:i/>
          <w:iCs/>
        </w:rPr>
        <w:t>J Med Health Res.</w:t>
      </w:r>
      <w:r w:rsidRPr="00A54953">
        <w:rPr>
          <w:rFonts w:ascii="Times New Roman" w:hAnsi="Times New Roman" w:cs="Times New Roman"/>
        </w:rPr>
        <w:t xml:space="preserve"> 2026;11(1):100–13.</w:t>
      </w:r>
    </w:p>
    <w:p w14:paraId="01EBEE3E"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w:t>
      </w:r>
      <w:proofErr w:type="spellStart"/>
      <w:r w:rsidRPr="00A54953">
        <w:rPr>
          <w:rFonts w:ascii="Times New Roman" w:hAnsi="Times New Roman" w:cs="Times New Roman"/>
        </w:rPr>
        <w:t>Okobi</w:t>
      </w:r>
      <w:proofErr w:type="spellEnd"/>
      <w:r w:rsidRPr="00A54953">
        <w:rPr>
          <w:rFonts w:ascii="Times New Roman" w:hAnsi="Times New Roman" w:cs="Times New Roman"/>
        </w:rPr>
        <w:t xml:space="preserve"> OE, </w:t>
      </w:r>
      <w:proofErr w:type="spellStart"/>
      <w:r w:rsidRPr="00A54953">
        <w:rPr>
          <w:rFonts w:ascii="Times New Roman" w:hAnsi="Times New Roman" w:cs="Times New Roman"/>
        </w:rPr>
        <w:t>Odutola</w:t>
      </w:r>
      <w:proofErr w:type="spellEnd"/>
      <w:r w:rsidRPr="00A54953">
        <w:rPr>
          <w:rFonts w:ascii="Times New Roman" w:hAnsi="Times New Roman" w:cs="Times New Roman"/>
        </w:rPr>
        <w:t xml:space="preserve"> OD, </w:t>
      </w:r>
      <w:proofErr w:type="spellStart"/>
      <w:r w:rsidRPr="00A54953">
        <w:rPr>
          <w:rFonts w:ascii="Times New Roman" w:hAnsi="Times New Roman" w:cs="Times New Roman"/>
        </w:rPr>
        <w:t>Igbenabor</w:t>
      </w:r>
      <w:proofErr w:type="spellEnd"/>
      <w:r w:rsidRPr="00A54953">
        <w:rPr>
          <w:rFonts w:ascii="Times New Roman" w:hAnsi="Times New Roman" w:cs="Times New Roman"/>
        </w:rPr>
        <w:t xml:space="preserve"> CA, </w:t>
      </w:r>
      <w:proofErr w:type="spellStart"/>
      <w:r w:rsidRPr="00A54953">
        <w:rPr>
          <w:rFonts w:ascii="Times New Roman" w:hAnsi="Times New Roman" w:cs="Times New Roman"/>
        </w:rPr>
        <w:t>Okey-Ndeche</w:t>
      </w:r>
      <w:proofErr w:type="spellEnd"/>
      <w:r w:rsidRPr="00A54953">
        <w:rPr>
          <w:rFonts w:ascii="Times New Roman" w:hAnsi="Times New Roman" w:cs="Times New Roman"/>
        </w:rPr>
        <w:t xml:space="preserve"> UN, Omotunde O, et al. Nitrate use and colorectal cancer prevalence. </w:t>
      </w:r>
      <w:r w:rsidRPr="00A54953">
        <w:rPr>
          <w:rFonts w:ascii="Times New Roman" w:hAnsi="Times New Roman" w:cs="Times New Roman"/>
          <w:i/>
          <w:iCs/>
        </w:rPr>
        <w:t>Cureus.</w:t>
      </w:r>
      <w:r w:rsidRPr="00A54953">
        <w:rPr>
          <w:rFonts w:ascii="Times New Roman" w:hAnsi="Times New Roman" w:cs="Times New Roman"/>
        </w:rPr>
        <w:t xml:space="preserve"> 2025;17(5</w:t>
      </w:r>
      <w:proofErr w:type="gramStart"/>
      <w:r w:rsidRPr="00A54953">
        <w:rPr>
          <w:rFonts w:ascii="Times New Roman" w:hAnsi="Times New Roman" w:cs="Times New Roman"/>
        </w:rPr>
        <w:t>):e</w:t>
      </w:r>
      <w:proofErr w:type="gramEnd"/>
      <w:r w:rsidRPr="00A54953">
        <w:rPr>
          <w:rFonts w:ascii="Times New Roman" w:hAnsi="Times New Roman" w:cs="Times New Roman"/>
        </w:rPr>
        <w:t>84530. doi:10.7759/cureus.84530.</w:t>
      </w:r>
    </w:p>
    <w:p w14:paraId="531F6024"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Punia A, Dehal L, Chauhan NS. Evidence of toxic potentials of agrochemicals. In: </w:t>
      </w:r>
      <w:proofErr w:type="spellStart"/>
      <w:r w:rsidRPr="00A54953">
        <w:rPr>
          <w:rFonts w:ascii="Times New Roman" w:hAnsi="Times New Roman" w:cs="Times New Roman"/>
        </w:rPr>
        <w:t>Ogwu</w:t>
      </w:r>
      <w:proofErr w:type="spellEnd"/>
      <w:r w:rsidRPr="00A54953">
        <w:rPr>
          <w:rFonts w:ascii="Times New Roman" w:hAnsi="Times New Roman" w:cs="Times New Roman"/>
        </w:rPr>
        <w:t xml:space="preserve"> MC, </w:t>
      </w:r>
      <w:proofErr w:type="spellStart"/>
      <w:r w:rsidRPr="00A54953">
        <w:rPr>
          <w:rFonts w:ascii="Times New Roman" w:hAnsi="Times New Roman" w:cs="Times New Roman"/>
        </w:rPr>
        <w:t>Izah</w:t>
      </w:r>
      <w:proofErr w:type="spellEnd"/>
      <w:r w:rsidRPr="00A54953">
        <w:rPr>
          <w:rFonts w:ascii="Times New Roman" w:hAnsi="Times New Roman" w:cs="Times New Roman"/>
        </w:rPr>
        <w:t xml:space="preserve"> SC, editors. </w:t>
      </w:r>
      <w:r w:rsidRPr="00A54953">
        <w:rPr>
          <w:rFonts w:ascii="Times New Roman" w:hAnsi="Times New Roman" w:cs="Times New Roman"/>
          <w:i/>
          <w:iCs/>
        </w:rPr>
        <w:t>One health implications of agrochemicals.</w:t>
      </w:r>
      <w:r w:rsidRPr="00A54953">
        <w:rPr>
          <w:rFonts w:ascii="Times New Roman" w:hAnsi="Times New Roman" w:cs="Times New Roman"/>
        </w:rPr>
        <w:t xml:space="preserve"> Singapore: Springer; 2023. p. 105–35.</w:t>
      </w:r>
    </w:p>
    <w:p w14:paraId="75B837F1"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Breithaupt H. Exposure and public health challenges. </w:t>
      </w:r>
      <w:r w:rsidRPr="00A54953">
        <w:rPr>
          <w:rFonts w:ascii="Times New Roman" w:hAnsi="Times New Roman" w:cs="Times New Roman"/>
          <w:i/>
          <w:iCs/>
        </w:rPr>
        <w:t>EMBO Rep.</w:t>
      </w:r>
      <w:r w:rsidRPr="00A54953">
        <w:rPr>
          <w:rFonts w:ascii="Times New Roman" w:hAnsi="Times New Roman" w:cs="Times New Roman"/>
        </w:rPr>
        <w:t xml:space="preserve"> 2014;15(4):338–41. doi:10.1002/embr.201438564.</w:t>
      </w:r>
    </w:p>
    <w:p w14:paraId="37471ADA"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Honatel</w:t>
      </w:r>
      <w:proofErr w:type="spellEnd"/>
      <w:r w:rsidRPr="00A54953">
        <w:rPr>
          <w:rFonts w:ascii="Times New Roman" w:hAnsi="Times New Roman" w:cs="Times New Roman"/>
        </w:rPr>
        <w:t xml:space="preserve"> KF, </w:t>
      </w:r>
      <w:proofErr w:type="spellStart"/>
      <w:r w:rsidRPr="00A54953">
        <w:rPr>
          <w:rFonts w:ascii="Times New Roman" w:hAnsi="Times New Roman" w:cs="Times New Roman"/>
        </w:rPr>
        <w:t>Arbo</w:t>
      </w:r>
      <w:proofErr w:type="spellEnd"/>
      <w:r w:rsidRPr="00A54953">
        <w:rPr>
          <w:rFonts w:ascii="Times New Roman" w:hAnsi="Times New Roman" w:cs="Times New Roman"/>
        </w:rPr>
        <w:t xml:space="preserve"> BD, Leal MB, Silva Júnior FMR, Garcia SC, Arbo MD. Impact of pesticide exposure on memory and learning.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w:t>
      </w:r>
      <w:proofErr w:type="spellStart"/>
      <w:r w:rsidRPr="00A54953">
        <w:rPr>
          <w:rFonts w:ascii="Times New Roman" w:hAnsi="Times New Roman" w:cs="Times New Roman"/>
          <w:i/>
          <w:iCs/>
        </w:rPr>
        <w:t>Toxicol</w:t>
      </w:r>
      <w:proofErr w:type="spellEnd"/>
      <w:r w:rsidRPr="00A54953">
        <w:rPr>
          <w:rFonts w:ascii="Times New Roman" w:hAnsi="Times New Roman" w:cs="Times New Roman"/>
          <w:i/>
          <w:iCs/>
        </w:rPr>
        <w:t>.</w:t>
      </w:r>
      <w:r w:rsidRPr="00A54953">
        <w:rPr>
          <w:rFonts w:ascii="Times New Roman" w:hAnsi="Times New Roman" w:cs="Times New Roman"/>
        </w:rPr>
        <w:t xml:space="preserve"> 2024;1(1):11.</w:t>
      </w:r>
    </w:p>
    <w:p w14:paraId="3DDDF23D"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Pan J, Liu P, Yu X, Zhang Z, Liu J. Endocrine disrupting chemicals and reproductive system. </w:t>
      </w:r>
      <w:r w:rsidRPr="00A54953">
        <w:rPr>
          <w:rFonts w:ascii="Times New Roman" w:hAnsi="Times New Roman" w:cs="Times New Roman"/>
          <w:i/>
          <w:iCs/>
        </w:rPr>
        <w:t>Front Endocrinol.</w:t>
      </w:r>
      <w:r w:rsidRPr="00A54953">
        <w:rPr>
          <w:rFonts w:ascii="Times New Roman" w:hAnsi="Times New Roman" w:cs="Times New Roman"/>
        </w:rPr>
        <w:t xml:space="preserve"> 2024;14. doi:10.3389/fendo.2023.1324993.</w:t>
      </w:r>
    </w:p>
    <w:p w14:paraId="06A2EE39"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Tzouma</w:t>
      </w:r>
      <w:proofErr w:type="spellEnd"/>
      <w:r w:rsidRPr="00A54953">
        <w:rPr>
          <w:rFonts w:ascii="Times New Roman" w:hAnsi="Times New Roman" w:cs="Times New Roman"/>
        </w:rPr>
        <w:t xml:space="preserve"> Z, </w:t>
      </w:r>
      <w:proofErr w:type="spellStart"/>
      <w:r w:rsidRPr="00A54953">
        <w:rPr>
          <w:rFonts w:ascii="Times New Roman" w:hAnsi="Times New Roman" w:cs="Times New Roman"/>
        </w:rPr>
        <w:t>Dourou</w:t>
      </w:r>
      <w:proofErr w:type="spellEnd"/>
      <w:r w:rsidRPr="00A54953">
        <w:rPr>
          <w:rFonts w:ascii="Times New Roman" w:hAnsi="Times New Roman" w:cs="Times New Roman"/>
        </w:rPr>
        <w:t xml:space="preserve"> P, </w:t>
      </w:r>
      <w:proofErr w:type="spellStart"/>
      <w:r w:rsidRPr="00A54953">
        <w:rPr>
          <w:rFonts w:ascii="Times New Roman" w:hAnsi="Times New Roman" w:cs="Times New Roman"/>
        </w:rPr>
        <w:t>Diamanti</w:t>
      </w:r>
      <w:proofErr w:type="spellEnd"/>
      <w:r w:rsidRPr="00A54953">
        <w:rPr>
          <w:rFonts w:ascii="Times New Roman" w:hAnsi="Times New Roman" w:cs="Times New Roman"/>
        </w:rPr>
        <w:t xml:space="preserve"> A, </w:t>
      </w:r>
      <w:proofErr w:type="spellStart"/>
      <w:r w:rsidRPr="00A54953">
        <w:rPr>
          <w:rFonts w:ascii="Times New Roman" w:hAnsi="Times New Roman" w:cs="Times New Roman"/>
        </w:rPr>
        <w:t>Harizopoulou</w:t>
      </w:r>
      <w:proofErr w:type="spellEnd"/>
      <w:r w:rsidRPr="00A54953">
        <w:rPr>
          <w:rFonts w:ascii="Times New Roman" w:hAnsi="Times New Roman" w:cs="Times New Roman"/>
        </w:rPr>
        <w:t xml:space="preserve"> V, </w:t>
      </w:r>
      <w:proofErr w:type="spellStart"/>
      <w:r w:rsidRPr="00A54953">
        <w:rPr>
          <w:rFonts w:ascii="Times New Roman" w:hAnsi="Times New Roman" w:cs="Times New Roman"/>
        </w:rPr>
        <w:t>Papalexis</w:t>
      </w:r>
      <w:proofErr w:type="spellEnd"/>
      <w:r w:rsidRPr="00A54953">
        <w:rPr>
          <w:rFonts w:ascii="Times New Roman" w:hAnsi="Times New Roman" w:cs="Times New Roman"/>
        </w:rPr>
        <w:t xml:space="preserve"> P, </w:t>
      </w:r>
      <w:proofErr w:type="spellStart"/>
      <w:r w:rsidRPr="00A54953">
        <w:rPr>
          <w:rFonts w:ascii="Times New Roman" w:hAnsi="Times New Roman" w:cs="Times New Roman"/>
        </w:rPr>
        <w:t>Karampas</w:t>
      </w:r>
      <w:proofErr w:type="spellEnd"/>
      <w:r w:rsidRPr="00A54953">
        <w:rPr>
          <w:rFonts w:ascii="Times New Roman" w:hAnsi="Times New Roman" w:cs="Times New Roman"/>
        </w:rPr>
        <w:t xml:space="preserve"> G, et al. Endocrine-disrupting chemicals and fertility outcomes. </w:t>
      </w:r>
      <w:r w:rsidRPr="00A54953">
        <w:rPr>
          <w:rFonts w:ascii="Times New Roman" w:hAnsi="Times New Roman" w:cs="Times New Roman"/>
          <w:i/>
          <w:iCs/>
        </w:rPr>
        <w:t>Life.</w:t>
      </w:r>
      <w:r w:rsidRPr="00A54953">
        <w:rPr>
          <w:rFonts w:ascii="Times New Roman" w:hAnsi="Times New Roman" w:cs="Times New Roman"/>
        </w:rPr>
        <w:t xml:space="preserve"> 2025;15(7).</w:t>
      </w:r>
    </w:p>
    <w:p w14:paraId="3399AEF0"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lastRenderedPageBreak/>
        <w:t>Fagundes</w:t>
      </w:r>
      <w:proofErr w:type="spellEnd"/>
      <w:r w:rsidRPr="00A54953">
        <w:rPr>
          <w:rFonts w:ascii="Times New Roman" w:hAnsi="Times New Roman" w:cs="Times New Roman"/>
        </w:rPr>
        <w:t xml:space="preserve"> TR, </w:t>
      </w:r>
      <w:proofErr w:type="spellStart"/>
      <w:r w:rsidRPr="00A54953">
        <w:rPr>
          <w:rFonts w:ascii="Times New Roman" w:hAnsi="Times New Roman" w:cs="Times New Roman"/>
        </w:rPr>
        <w:t>Kawassaki</w:t>
      </w:r>
      <w:proofErr w:type="spellEnd"/>
      <w:r w:rsidRPr="00A54953">
        <w:rPr>
          <w:rFonts w:ascii="Times New Roman" w:hAnsi="Times New Roman" w:cs="Times New Roman"/>
        </w:rPr>
        <w:t xml:space="preserve"> ACB, </w:t>
      </w:r>
      <w:proofErr w:type="spellStart"/>
      <w:r w:rsidRPr="00A54953">
        <w:rPr>
          <w:rFonts w:ascii="Times New Roman" w:hAnsi="Times New Roman" w:cs="Times New Roman"/>
        </w:rPr>
        <w:t>Concato</w:t>
      </w:r>
      <w:proofErr w:type="spellEnd"/>
      <w:r w:rsidRPr="00A54953">
        <w:rPr>
          <w:rFonts w:ascii="Times New Roman" w:hAnsi="Times New Roman" w:cs="Times New Roman"/>
        </w:rPr>
        <w:t xml:space="preserve"> VM, </w:t>
      </w:r>
      <w:proofErr w:type="spellStart"/>
      <w:r w:rsidRPr="00A54953">
        <w:rPr>
          <w:rFonts w:ascii="Times New Roman" w:hAnsi="Times New Roman" w:cs="Times New Roman"/>
        </w:rPr>
        <w:t>Assolini</w:t>
      </w:r>
      <w:proofErr w:type="spellEnd"/>
      <w:r w:rsidRPr="00A54953">
        <w:rPr>
          <w:rFonts w:ascii="Times New Roman" w:hAnsi="Times New Roman" w:cs="Times New Roman"/>
        </w:rPr>
        <w:t xml:space="preserve"> JP, Silva TF, Gonçalves MD, et al. Pesticides and immune-endocrine disorders. In: </w:t>
      </w:r>
      <w:r w:rsidRPr="00A54953">
        <w:rPr>
          <w:rFonts w:ascii="Times New Roman" w:hAnsi="Times New Roman" w:cs="Times New Roman"/>
          <w:i/>
          <w:iCs/>
        </w:rPr>
        <w:t>Handbook of cancer and immunology.</w:t>
      </w:r>
      <w:r w:rsidRPr="00A54953">
        <w:rPr>
          <w:rFonts w:ascii="Times New Roman" w:hAnsi="Times New Roman" w:cs="Times New Roman"/>
        </w:rPr>
        <w:t xml:space="preserve"> Springer; 2023.</w:t>
      </w:r>
    </w:p>
    <w:p w14:paraId="29D909CD"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Shekhar C, </w:t>
      </w:r>
      <w:proofErr w:type="spellStart"/>
      <w:r w:rsidRPr="00A54953">
        <w:rPr>
          <w:rFonts w:ascii="Times New Roman" w:hAnsi="Times New Roman" w:cs="Times New Roman"/>
        </w:rPr>
        <w:t>Khosya</w:t>
      </w:r>
      <w:proofErr w:type="spellEnd"/>
      <w:r w:rsidRPr="00A54953">
        <w:rPr>
          <w:rFonts w:ascii="Times New Roman" w:hAnsi="Times New Roman" w:cs="Times New Roman"/>
        </w:rPr>
        <w:t xml:space="preserve"> R, Thakur K, Mahajan D, Kumar R, Kumar S, et al. Systematic review of pesticide exposure and health impacts. </w:t>
      </w:r>
      <w:proofErr w:type="spellStart"/>
      <w:r w:rsidRPr="00A54953">
        <w:rPr>
          <w:rFonts w:ascii="Times New Roman" w:hAnsi="Times New Roman" w:cs="Times New Roman"/>
          <w:i/>
          <w:iCs/>
        </w:rPr>
        <w:t>Toxicol</w:t>
      </w:r>
      <w:proofErr w:type="spellEnd"/>
      <w:r w:rsidRPr="00A54953">
        <w:rPr>
          <w:rFonts w:ascii="Times New Roman" w:hAnsi="Times New Roman" w:cs="Times New Roman"/>
          <w:i/>
          <w:iCs/>
        </w:rPr>
        <w:t xml:space="preserve"> Rep.</w:t>
      </w:r>
      <w:r w:rsidRPr="00A54953">
        <w:rPr>
          <w:rFonts w:ascii="Times New Roman" w:hAnsi="Times New Roman" w:cs="Times New Roman"/>
        </w:rPr>
        <w:t xml:space="preserve"> </w:t>
      </w:r>
      <w:proofErr w:type="gramStart"/>
      <w:r w:rsidRPr="00A54953">
        <w:rPr>
          <w:rFonts w:ascii="Times New Roman" w:hAnsi="Times New Roman" w:cs="Times New Roman"/>
        </w:rPr>
        <w:t>2024;13:101840</w:t>
      </w:r>
      <w:proofErr w:type="gramEnd"/>
      <w:r w:rsidRPr="00A54953">
        <w:rPr>
          <w:rFonts w:ascii="Times New Roman" w:hAnsi="Times New Roman" w:cs="Times New Roman"/>
        </w:rPr>
        <w:t>.</w:t>
      </w:r>
    </w:p>
    <w:p w14:paraId="0659C46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Chen WL, Lin GL, Lin YJ, Su TY, Wang CC, Wu WT. Cancer risks in agricultural workers. </w:t>
      </w:r>
      <w:r w:rsidRPr="00A54953">
        <w:rPr>
          <w:rFonts w:ascii="Times New Roman" w:hAnsi="Times New Roman" w:cs="Times New Roman"/>
          <w:i/>
          <w:iCs/>
        </w:rPr>
        <w:t>Scand J Work Environ Health.</w:t>
      </w:r>
      <w:r w:rsidRPr="00A54953">
        <w:rPr>
          <w:rFonts w:ascii="Times New Roman" w:hAnsi="Times New Roman" w:cs="Times New Roman"/>
        </w:rPr>
        <w:t xml:space="preserve"> 2023;49(6):419–27.</w:t>
      </w:r>
    </w:p>
    <w:p w14:paraId="3CD18A5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Donkor F, </w:t>
      </w: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Owusu AE, Balogun A. Modeling agrochemical contamination in drinking water. </w:t>
      </w:r>
      <w:r w:rsidRPr="00A54953">
        <w:rPr>
          <w:rFonts w:ascii="Times New Roman" w:hAnsi="Times New Roman" w:cs="Times New Roman"/>
          <w:i/>
          <w:iCs/>
        </w:rPr>
        <w:t xml:space="preserve">J Adv Med </w:t>
      </w:r>
      <w:proofErr w:type="spellStart"/>
      <w:r w:rsidRPr="00A54953">
        <w:rPr>
          <w:rFonts w:ascii="Times New Roman" w:hAnsi="Times New Roman" w:cs="Times New Roman"/>
          <w:i/>
          <w:iCs/>
        </w:rPr>
        <w:t>Med</w:t>
      </w:r>
      <w:proofErr w:type="spellEnd"/>
      <w:r w:rsidRPr="00A54953">
        <w:rPr>
          <w:rFonts w:ascii="Times New Roman" w:hAnsi="Times New Roman" w:cs="Times New Roman"/>
          <w:i/>
          <w:iCs/>
        </w:rPr>
        <w:t xml:space="preserve"> Res.</w:t>
      </w:r>
      <w:r w:rsidRPr="00A54953">
        <w:rPr>
          <w:rFonts w:ascii="Times New Roman" w:hAnsi="Times New Roman" w:cs="Times New Roman"/>
        </w:rPr>
        <w:t xml:space="preserve"> 2026;38(3):52–68.</w:t>
      </w:r>
    </w:p>
    <w:p w14:paraId="4DB46E3D"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Sule RO, Condon L, Gomes AV. Oxidative stress in pesticide-induced toxicity. </w:t>
      </w:r>
      <w:r w:rsidRPr="00A54953">
        <w:rPr>
          <w:rFonts w:ascii="Times New Roman" w:hAnsi="Times New Roman" w:cs="Times New Roman"/>
          <w:i/>
          <w:iCs/>
        </w:rPr>
        <w:t xml:space="preserve">Oxid Med Cell </w:t>
      </w:r>
      <w:proofErr w:type="spellStart"/>
      <w:r w:rsidRPr="00A54953">
        <w:rPr>
          <w:rFonts w:ascii="Times New Roman" w:hAnsi="Times New Roman" w:cs="Times New Roman"/>
          <w:i/>
          <w:iCs/>
        </w:rPr>
        <w:t>Longev</w:t>
      </w:r>
      <w:proofErr w:type="spellEnd"/>
      <w:r w:rsidRPr="00A54953">
        <w:rPr>
          <w:rFonts w:ascii="Times New Roman" w:hAnsi="Times New Roman" w:cs="Times New Roman"/>
          <w:i/>
          <w:iCs/>
        </w:rPr>
        <w:t>.</w:t>
      </w:r>
      <w:r w:rsidRPr="00A54953">
        <w:rPr>
          <w:rFonts w:ascii="Times New Roman" w:hAnsi="Times New Roman" w:cs="Times New Roman"/>
        </w:rPr>
        <w:t xml:space="preserve"> </w:t>
      </w:r>
      <w:proofErr w:type="gramStart"/>
      <w:r w:rsidRPr="00A54953">
        <w:rPr>
          <w:rFonts w:ascii="Times New Roman" w:hAnsi="Times New Roman" w:cs="Times New Roman"/>
        </w:rPr>
        <w:t>2022;2022:5563759</w:t>
      </w:r>
      <w:proofErr w:type="gramEnd"/>
      <w:r w:rsidRPr="00A54953">
        <w:rPr>
          <w:rFonts w:ascii="Times New Roman" w:hAnsi="Times New Roman" w:cs="Times New Roman"/>
        </w:rPr>
        <w:t>.</w:t>
      </w:r>
    </w:p>
    <w:p w14:paraId="1DF5FD11" w14:textId="77777777" w:rsidR="00B946C2" w:rsidRPr="00A54953" w:rsidRDefault="00B946C2" w:rsidP="00DD27A7">
      <w:pPr>
        <w:numPr>
          <w:ilvl w:val="0"/>
          <w:numId w:val="1"/>
        </w:numPr>
        <w:rPr>
          <w:rFonts w:ascii="Times New Roman" w:hAnsi="Times New Roman" w:cs="Times New Roman"/>
        </w:rPr>
      </w:pPr>
      <w:r w:rsidRPr="00A54953">
        <w:rPr>
          <w:rFonts w:ascii="Times New Roman" w:hAnsi="Times New Roman" w:cs="Times New Roman"/>
        </w:rPr>
        <w:t xml:space="preserve">Axelrad DA, Setzer RW, Bateson TF, DeVito M, </w:t>
      </w:r>
      <w:proofErr w:type="spellStart"/>
      <w:r w:rsidRPr="00A54953">
        <w:rPr>
          <w:rFonts w:ascii="Times New Roman" w:hAnsi="Times New Roman" w:cs="Times New Roman"/>
        </w:rPr>
        <w:t>Dzubow</w:t>
      </w:r>
      <w:proofErr w:type="spellEnd"/>
      <w:r w:rsidRPr="00A54953">
        <w:rPr>
          <w:rFonts w:ascii="Times New Roman" w:hAnsi="Times New Roman" w:cs="Times New Roman"/>
        </w:rPr>
        <w:t xml:space="preserve"> RC, Fitzpatrick JW, et al. Methods for evaluating variability in human health dose-response characterization. Hum </w:t>
      </w:r>
      <w:proofErr w:type="spellStart"/>
      <w:r w:rsidRPr="00A54953">
        <w:rPr>
          <w:rFonts w:ascii="Times New Roman" w:hAnsi="Times New Roman" w:cs="Times New Roman"/>
        </w:rPr>
        <w:t>Ecol</w:t>
      </w:r>
      <w:proofErr w:type="spellEnd"/>
      <w:r w:rsidRPr="00A54953">
        <w:rPr>
          <w:rFonts w:ascii="Times New Roman" w:hAnsi="Times New Roman" w:cs="Times New Roman"/>
        </w:rPr>
        <w:t xml:space="preserve"> Risk Assess. 2019 Nov </w:t>
      </w:r>
      <w:proofErr w:type="gramStart"/>
      <w:r w:rsidRPr="00A54953">
        <w:rPr>
          <w:rFonts w:ascii="Times New Roman" w:hAnsi="Times New Roman" w:cs="Times New Roman"/>
        </w:rPr>
        <w:t>6;25:1</w:t>
      </w:r>
      <w:proofErr w:type="gramEnd"/>
      <w:r w:rsidRPr="00A54953">
        <w:rPr>
          <w:rFonts w:ascii="Times New Roman" w:hAnsi="Times New Roman" w:cs="Times New Roman"/>
        </w:rPr>
        <w:t>–24. doi:10.1080/10807039.2019.1615828 PubMed PMID: 31404325; PubMed Central PMCID: PMC6688638.</w:t>
      </w:r>
    </w:p>
    <w:p w14:paraId="00FA460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Fagundes TR, </w:t>
      </w:r>
      <w:proofErr w:type="spellStart"/>
      <w:r w:rsidRPr="00A54953">
        <w:rPr>
          <w:rFonts w:ascii="Times New Roman" w:hAnsi="Times New Roman" w:cs="Times New Roman"/>
        </w:rPr>
        <w:t>Coradi</w:t>
      </w:r>
      <w:proofErr w:type="spellEnd"/>
      <w:r w:rsidRPr="00A54953">
        <w:rPr>
          <w:rFonts w:ascii="Times New Roman" w:hAnsi="Times New Roman" w:cs="Times New Roman"/>
        </w:rPr>
        <w:t xml:space="preserve"> C, </w:t>
      </w:r>
      <w:proofErr w:type="spellStart"/>
      <w:r w:rsidRPr="00A54953">
        <w:rPr>
          <w:rFonts w:ascii="Times New Roman" w:hAnsi="Times New Roman" w:cs="Times New Roman"/>
        </w:rPr>
        <w:t>Vacario</w:t>
      </w:r>
      <w:proofErr w:type="spellEnd"/>
      <w:r w:rsidRPr="00A54953">
        <w:rPr>
          <w:rFonts w:ascii="Times New Roman" w:hAnsi="Times New Roman" w:cs="Times New Roman"/>
        </w:rPr>
        <w:t xml:space="preserve"> BGL, </w:t>
      </w:r>
      <w:proofErr w:type="spellStart"/>
      <w:r w:rsidRPr="00A54953">
        <w:rPr>
          <w:rFonts w:ascii="Times New Roman" w:hAnsi="Times New Roman" w:cs="Times New Roman"/>
        </w:rPr>
        <w:t>Valentim</w:t>
      </w:r>
      <w:proofErr w:type="spellEnd"/>
      <w:r w:rsidRPr="00A54953">
        <w:rPr>
          <w:rFonts w:ascii="Times New Roman" w:hAnsi="Times New Roman" w:cs="Times New Roman"/>
        </w:rPr>
        <w:t xml:space="preserve"> JMB, Panis C. Monitoring human pesticide exposure. </w:t>
      </w:r>
      <w:r w:rsidRPr="00A54953">
        <w:rPr>
          <w:rFonts w:ascii="Times New Roman" w:hAnsi="Times New Roman" w:cs="Times New Roman"/>
          <w:i/>
          <w:iCs/>
        </w:rPr>
        <w:t>J Xenobiot.</w:t>
      </w:r>
      <w:r w:rsidRPr="00A54953">
        <w:rPr>
          <w:rFonts w:ascii="Times New Roman" w:hAnsi="Times New Roman" w:cs="Times New Roman"/>
        </w:rPr>
        <w:t xml:space="preserve"> 2025;15(6).</w:t>
      </w:r>
    </w:p>
    <w:p w14:paraId="1C5D2DA6"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Mengistie</w:t>
      </w:r>
      <w:proofErr w:type="spellEnd"/>
      <w:r w:rsidRPr="00A54953">
        <w:rPr>
          <w:rFonts w:ascii="Times New Roman" w:hAnsi="Times New Roman" w:cs="Times New Roman"/>
        </w:rPr>
        <w:t xml:space="preserve"> BT, Ray RL, Iyanda A. Environmental justice and pesticide impacts. </w:t>
      </w:r>
      <w:r w:rsidRPr="00A54953">
        <w:rPr>
          <w:rFonts w:ascii="Times New Roman" w:hAnsi="Times New Roman" w:cs="Times New Roman"/>
          <w:i/>
          <w:iCs/>
        </w:rPr>
        <w:t>Int J Environ Res Public Health.</w:t>
      </w:r>
      <w:r w:rsidRPr="00A54953">
        <w:rPr>
          <w:rFonts w:ascii="Times New Roman" w:hAnsi="Times New Roman" w:cs="Times New Roman"/>
        </w:rPr>
        <w:t xml:space="preserve"> 2025;22(11):1683.</w:t>
      </w:r>
    </w:p>
    <w:p w14:paraId="3DACE82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Nnanyelugo</w:t>
      </w:r>
      <w:proofErr w:type="spellEnd"/>
      <w:r w:rsidRPr="00A54953">
        <w:rPr>
          <w:rFonts w:ascii="Times New Roman" w:hAnsi="Times New Roman" w:cs="Times New Roman"/>
        </w:rPr>
        <w:t xml:space="preserve"> </w:t>
      </w: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 </w:t>
      </w:r>
      <w:proofErr w:type="spellStart"/>
      <w:r w:rsidRPr="00A54953">
        <w:rPr>
          <w:rFonts w:ascii="Times New Roman" w:hAnsi="Times New Roman" w:cs="Times New Roman"/>
        </w:rPr>
        <w:t>Egbubine</w:t>
      </w:r>
      <w:proofErr w:type="spellEnd"/>
      <w:r w:rsidRPr="00A54953">
        <w:rPr>
          <w:rFonts w:ascii="Times New Roman" w:hAnsi="Times New Roman" w:cs="Times New Roman"/>
        </w:rPr>
        <w:t xml:space="preserve"> L, </w:t>
      </w:r>
      <w:proofErr w:type="spellStart"/>
      <w:r w:rsidRPr="00A54953">
        <w:rPr>
          <w:rFonts w:ascii="Times New Roman" w:hAnsi="Times New Roman" w:cs="Times New Roman"/>
        </w:rPr>
        <w:t>Ugorji</w:t>
      </w:r>
      <w:proofErr w:type="spellEnd"/>
      <w:r w:rsidRPr="00A54953">
        <w:rPr>
          <w:rFonts w:ascii="Times New Roman" w:hAnsi="Times New Roman" w:cs="Times New Roman"/>
        </w:rPr>
        <w:t xml:space="preserve"> HO, </w:t>
      </w:r>
      <w:proofErr w:type="spellStart"/>
      <w:r w:rsidRPr="00A54953">
        <w:rPr>
          <w:rFonts w:ascii="Times New Roman" w:hAnsi="Times New Roman" w:cs="Times New Roman"/>
        </w:rPr>
        <w:t>Njemanze</w:t>
      </w:r>
      <w:proofErr w:type="spellEnd"/>
      <w:r w:rsidRPr="00A54953">
        <w:rPr>
          <w:rFonts w:ascii="Times New Roman" w:hAnsi="Times New Roman" w:cs="Times New Roman"/>
        </w:rPr>
        <w:t xml:space="preserve"> EC. Agrochemical exposure and chronic disease risk. </w:t>
      </w:r>
      <w:r w:rsidRPr="00A54953">
        <w:rPr>
          <w:rFonts w:ascii="Times New Roman" w:hAnsi="Times New Roman" w:cs="Times New Roman"/>
          <w:i/>
          <w:iCs/>
        </w:rPr>
        <w:t>J Dis Glob Health.</w:t>
      </w:r>
      <w:r w:rsidRPr="00A54953">
        <w:rPr>
          <w:rFonts w:ascii="Times New Roman" w:hAnsi="Times New Roman" w:cs="Times New Roman"/>
        </w:rPr>
        <w:t xml:space="preserve"> 2026;19(1):79–93.</w:t>
      </w:r>
    </w:p>
    <w:p w14:paraId="2D5259D9"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Pekmezci</w:t>
      </w:r>
      <w:proofErr w:type="spellEnd"/>
      <w:r w:rsidRPr="00A54953">
        <w:rPr>
          <w:rFonts w:ascii="Times New Roman" w:hAnsi="Times New Roman" w:cs="Times New Roman"/>
        </w:rPr>
        <w:t xml:space="preserve"> H, </w:t>
      </w:r>
      <w:proofErr w:type="spellStart"/>
      <w:r w:rsidRPr="00A54953">
        <w:rPr>
          <w:rFonts w:ascii="Times New Roman" w:hAnsi="Times New Roman" w:cs="Times New Roman"/>
        </w:rPr>
        <w:t>Sipahi</w:t>
      </w:r>
      <w:proofErr w:type="spellEnd"/>
      <w:r w:rsidRPr="00A54953">
        <w:rPr>
          <w:rFonts w:ascii="Times New Roman" w:hAnsi="Times New Roman" w:cs="Times New Roman"/>
        </w:rPr>
        <w:t xml:space="preserve"> S, Başaran B. Health risk assessment of dietary chemical exposures. </w:t>
      </w:r>
      <w:r w:rsidRPr="00A54953">
        <w:rPr>
          <w:rFonts w:ascii="Times New Roman" w:hAnsi="Times New Roman" w:cs="Times New Roman"/>
          <w:i/>
          <w:iCs/>
        </w:rPr>
        <w:t>Foods.</w:t>
      </w:r>
      <w:r w:rsidRPr="00A54953">
        <w:rPr>
          <w:rFonts w:ascii="Times New Roman" w:hAnsi="Times New Roman" w:cs="Times New Roman"/>
        </w:rPr>
        <w:t xml:space="preserve"> 2025;14(23):4133.</w:t>
      </w:r>
    </w:p>
    <w:p w14:paraId="4B4DB4CB"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Abdollahzadeh G, Sharifzadeh MS, Ahmadi-</w:t>
      </w:r>
      <w:proofErr w:type="spellStart"/>
      <w:r w:rsidRPr="00A54953">
        <w:rPr>
          <w:rFonts w:ascii="Times New Roman" w:hAnsi="Times New Roman" w:cs="Times New Roman"/>
        </w:rPr>
        <w:t>Gorgi</w:t>
      </w:r>
      <w:proofErr w:type="spellEnd"/>
      <w:r w:rsidRPr="00A54953">
        <w:rPr>
          <w:rFonts w:ascii="Times New Roman" w:hAnsi="Times New Roman" w:cs="Times New Roman"/>
        </w:rPr>
        <w:t xml:space="preserve"> H, </w:t>
      </w:r>
      <w:proofErr w:type="spellStart"/>
      <w:r w:rsidRPr="00A54953">
        <w:rPr>
          <w:rFonts w:ascii="Times New Roman" w:hAnsi="Times New Roman" w:cs="Times New Roman"/>
        </w:rPr>
        <w:t>Jahantigh</w:t>
      </w:r>
      <w:proofErr w:type="spellEnd"/>
      <w:r w:rsidRPr="00A54953">
        <w:rPr>
          <w:rFonts w:ascii="Times New Roman" w:hAnsi="Times New Roman" w:cs="Times New Roman"/>
        </w:rPr>
        <w:t xml:space="preserve"> MS. Transforming farmers behavior in pesticide use. </w:t>
      </w:r>
      <w:r w:rsidRPr="00A54953">
        <w:rPr>
          <w:rFonts w:ascii="Times New Roman" w:hAnsi="Times New Roman" w:cs="Times New Roman"/>
          <w:i/>
          <w:iCs/>
        </w:rPr>
        <w:t>J Saudi Soc Agric Sci.</w:t>
      </w:r>
      <w:r w:rsidRPr="00A54953">
        <w:rPr>
          <w:rFonts w:ascii="Times New Roman" w:hAnsi="Times New Roman" w:cs="Times New Roman"/>
        </w:rPr>
        <w:t xml:space="preserve"> 2025;24(6):41.</w:t>
      </w:r>
    </w:p>
    <w:p w14:paraId="7F1DBD36"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Nagesh P, Gassmann M, </w:t>
      </w:r>
      <w:proofErr w:type="spellStart"/>
      <w:r w:rsidRPr="00A54953">
        <w:rPr>
          <w:rFonts w:ascii="Times New Roman" w:hAnsi="Times New Roman" w:cs="Times New Roman"/>
        </w:rPr>
        <w:t>Eitzinger</w:t>
      </w:r>
      <w:proofErr w:type="spellEnd"/>
      <w:r w:rsidRPr="00A54953">
        <w:rPr>
          <w:rFonts w:ascii="Times New Roman" w:hAnsi="Times New Roman" w:cs="Times New Roman"/>
        </w:rPr>
        <w:t xml:space="preserve"> J, de Boer HJ, </w:t>
      </w:r>
      <w:proofErr w:type="spellStart"/>
      <w:r w:rsidRPr="00A54953">
        <w:rPr>
          <w:rFonts w:ascii="Times New Roman" w:hAnsi="Times New Roman" w:cs="Times New Roman"/>
        </w:rPr>
        <w:t>Edelenbosch</w:t>
      </w:r>
      <w:proofErr w:type="spellEnd"/>
      <w:r w:rsidRPr="00A54953">
        <w:rPr>
          <w:rFonts w:ascii="Times New Roman" w:hAnsi="Times New Roman" w:cs="Times New Roman"/>
        </w:rPr>
        <w:t xml:space="preserve"> OY, van Vuuren DP, et al. Climate change impacts on agrochemical fate. </w:t>
      </w:r>
      <w:proofErr w:type="spellStart"/>
      <w:r w:rsidRPr="00A54953">
        <w:rPr>
          <w:rFonts w:ascii="Times New Roman" w:hAnsi="Times New Roman" w:cs="Times New Roman"/>
          <w:i/>
          <w:iCs/>
        </w:rPr>
        <w:t>Heliyon</w:t>
      </w:r>
      <w:proofErr w:type="spellEnd"/>
      <w:r w:rsidRPr="00A54953">
        <w:rPr>
          <w:rFonts w:ascii="Times New Roman" w:hAnsi="Times New Roman" w:cs="Times New Roman"/>
          <w:i/>
          <w:iCs/>
        </w:rPr>
        <w:t>.</w:t>
      </w:r>
      <w:r w:rsidRPr="00A54953">
        <w:rPr>
          <w:rFonts w:ascii="Times New Roman" w:hAnsi="Times New Roman" w:cs="Times New Roman"/>
        </w:rPr>
        <w:t xml:space="preserve"> 2024;10(15</w:t>
      </w:r>
      <w:proofErr w:type="gramStart"/>
      <w:r w:rsidRPr="00A54953">
        <w:rPr>
          <w:rFonts w:ascii="Times New Roman" w:hAnsi="Times New Roman" w:cs="Times New Roman"/>
        </w:rPr>
        <w:t>):e</w:t>
      </w:r>
      <w:proofErr w:type="gramEnd"/>
      <w:r w:rsidRPr="00A54953">
        <w:rPr>
          <w:rFonts w:ascii="Times New Roman" w:hAnsi="Times New Roman" w:cs="Times New Roman"/>
        </w:rPr>
        <w:t>35669.</w:t>
      </w:r>
    </w:p>
    <w:p w14:paraId="32F0CF4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Donkor F, </w:t>
      </w: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Markus SN. Integrative exposome modeling of agrochemical risks. </w:t>
      </w:r>
      <w:r w:rsidRPr="00A54953">
        <w:rPr>
          <w:rFonts w:ascii="Times New Roman" w:hAnsi="Times New Roman" w:cs="Times New Roman"/>
          <w:i/>
          <w:iCs/>
        </w:rPr>
        <w:t xml:space="preserve">J Adv Med </w:t>
      </w:r>
      <w:proofErr w:type="spellStart"/>
      <w:r w:rsidRPr="00A54953">
        <w:rPr>
          <w:rFonts w:ascii="Times New Roman" w:hAnsi="Times New Roman" w:cs="Times New Roman"/>
          <w:i/>
          <w:iCs/>
        </w:rPr>
        <w:t>Med</w:t>
      </w:r>
      <w:proofErr w:type="spellEnd"/>
      <w:r w:rsidRPr="00A54953">
        <w:rPr>
          <w:rFonts w:ascii="Times New Roman" w:hAnsi="Times New Roman" w:cs="Times New Roman"/>
          <w:i/>
          <w:iCs/>
        </w:rPr>
        <w:t xml:space="preserve"> Res.</w:t>
      </w:r>
      <w:r w:rsidRPr="00A54953">
        <w:rPr>
          <w:rFonts w:ascii="Times New Roman" w:hAnsi="Times New Roman" w:cs="Times New Roman"/>
        </w:rPr>
        <w:t xml:space="preserve"> 2026;38(3):111–24.</w:t>
      </w:r>
    </w:p>
    <w:p w14:paraId="5B4CD100"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Jayatilleke K. Challenges in implementing surveillance tools in LMICs. </w:t>
      </w:r>
      <w:r w:rsidRPr="00A54953">
        <w:rPr>
          <w:rFonts w:ascii="Times New Roman" w:hAnsi="Times New Roman" w:cs="Times New Roman"/>
          <w:i/>
          <w:iCs/>
        </w:rPr>
        <w:t>Curr Treat Options Infect Dis.</w:t>
      </w:r>
      <w:r w:rsidRPr="00A54953">
        <w:rPr>
          <w:rFonts w:ascii="Times New Roman" w:hAnsi="Times New Roman" w:cs="Times New Roman"/>
        </w:rPr>
        <w:t xml:space="preserve"> 2020;12(3):191–201.</w:t>
      </w:r>
    </w:p>
    <w:p w14:paraId="2CFAD0A8" w14:textId="77777777" w:rsidR="002A4DAF" w:rsidRPr="00A54953" w:rsidRDefault="002A4DAF" w:rsidP="005849CD">
      <w:pPr>
        <w:rPr>
          <w:rFonts w:ascii="Times New Roman" w:hAnsi="Times New Roman" w:cs="Times New Roman"/>
        </w:rPr>
      </w:pPr>
    </w:p>
    <w:sectPr w:rsidR="002A4DAF" w:rsidRPr="00A5495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72E00" w14:textId="77777777" w:rsidR="00DD27A7" w:rsidRDefault="00DD27A7" w:rsidP="009E569D">
      <w:pPr>
        <w:spacing w:after="0" w:line="240" w:lineRule="auto"/>
      </w:pPr>
      <w:r>
        <w:separator/>
      </w:r>
    </w:p>
  </w:endnote>
  <w:endnote w:type="continuationSeparator" w:id="0">
    <w:p w14:paraId="3B066132" w14:textId="77777777" w:rsidR="00DD27A7" w:rsidRDefault="00DD27A7" w:rsidP="009E5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054FE" w14:textId="77777777" w:rsidR="009E569D" w:rsidRDefault="009E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BFD3" w14:textId="77777777" w:rsidR="009E569D" w:rsidRDefault="009E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CFA92" w14:textId="77777777" w:rsidR="009E569D" w:rsidRDefault="009E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CE02F" w14:textId="77777777" w:rsidR="00DD27A7" w:rsidRDefault="00DD27A7" w:rsidP="009E569D">
      <w:pPr>
        <w:spacing w:after="0" w:line="240" w:lineRule="auto"/>
      </w:pPr>
      <w:r>
        <w:separator/>
      </w:r>
    </w:p>
  </w:footnote>
  <w:footnote w:type="continuationSeparator" w:id="0">
    <w:p w14:paraId="4E96FD63" w14:textId="77777777" w:rsidR="00DD27A7" w:rsidRDefault="00DD27A7" w:rsidP="009E5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272B" w14:textId="46385ECF" w:rsidR="009E569D" w:rsidRDefault="009E569D">
    <w:pPr>
      <w:pStyle w:val="Header"/>
    </w:pPr>
    <w:r>
      <w:rPr>
        <w:noProof/>
      </w:rPr>
      <w:pict w14:anchorId="6FE88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594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A8D27" w14:textId="3CC3A932" w:rsidR="009E569D" w:rsidRDefault="009E569D">
    <w:pPr>
      <w:pStyle w:val="Header"/>
    </w:pPr>
    <w:r>
      <w:rPr>
        <w:noProof/>
      </w:rPr>
      <w:pict w14:anchorId="0FC96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594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EFAC7" w14:textId="685A32BC" w:rsidR="009E569D" w:rsidRDefault="009E569D">
    <w:pPr>
      <w:pStyle w:val="Header"/>
    </w:pPr>
    <w:r>
      <w:rPr>
        <w:noProof/>
      </w:rPr>
      <w:pict w14:anchorId="358C7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594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22BA1"/>
    <w:multiLevelType w:val="multilevel"/>
    <w:tmpl w:val="D218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D61"/>
    <w:rsid w:val="0004444D"/>
    <w:rsid w:val="00047425"/>
    <w:rsid w:val="0006662B"/>
    <w:rsid w:val="000B33FA"/>
    <w:rsid w:val="000B3E7C"/>
    <w:rsid w:val="000F6D61"/>
    <w:rsid w:val="001A1DD8"/>
    <w:rsid w:val="001A6509"/>
    <w:rsid w:val="001E1A99"/>
    <w:rsid w:val="002033D6"/>
    <w:rsid w:val="0024330C"/>
    <w:rsid w:val="002635A7"/>
    <w:rsid w:val="0026663F"/>
    <w:rsid w:val="002A4DAF"/>
    <w:rsid w:val="002F6694"/>
    <w:rsid w:val="00301F7B"/>
    <w:rsid w:val="00310024"/>
    <w:rsid w:val="00315705"/>
    <w:rsid w:val="00332E93"/>
    <w:rsid w:val="00351390"/>
    <w:rsid w:val="003A39AF"/>
    <w:rsid w:val="003E7BE0"/>
    <w:rsid w:val="003F7636"/>
    <w:rsid w:val="00423EFE"/>
    <w:rsid w:val="00456883"/>
    <w:rsid w:val="004B3F3D"/>
    <w:rsid w:val="005475DD"/>
    <w:rsid w:val="00572EF6"/>
    <w:rsid w:val="005849CD"/>
    <w:rsid w:val="006079EA"/>
    <w:rsid w:val="00692B96"/>
    <w:rsid w:val="006C0490"/>
    <w:rsid w:val="006F11A8"/>
    <w:rsid w:val="00730188"/>
    <w:rsid w:val="00753E24"/>
    <w:rsid w:val="007F6BCC"/>
    <w:rsid w:val="00822ADD"/>
    <w:rsid w:val="008467DF"/>
    <w:rsid w:val="00875D13"/>
    <w:rsid w:val="00896D37"/>
    <w:rsid w:val="008E21FC"/>
    <w:rsid w:val="009409AB"/>
    <w:rsid w:val="00974F95"/>
    <w:rsid w:val="009C5C78"/>
    <w:rsid w:val="009D2534"/>
    <w:rsid w:val="009E569D"/>
    <w:rsid w:val="00A13505"/>
    <w:rsid w:val="00A54953"/>
    <w:rsid w:val="00AB541C"/>
    <w:rsid w:val="00AD780F"/>
    <w:rsid w:val="00B018AE"/>
    <w:rsid w:val="00B553E5"/>
    <w:rsid w:val="00B87AC2"/>
    <w:rsid w:val="00B946C2"/>
    <w:rsid w:val="00BE10AC"/>
    <w:rsid w:val="00BF0B16"/>
    <w:rsid w:val="00BF0B2F"/>
    <w:rsid w:val="00C40487"/>
    <w:rsid w:val="00C619F5"/>
    <w:rsid w:val="00C73535"/>
    <w:rsid w:val="00C93D6E"/>
    <w:rsid w:val="00CA6BA7"/>
    <w:rsid w:val="00CB7D63"/>
    <w:rsid w:val="00CE7E75"/>
    <w:rsid w:val="00CF1721"/>
    <w:rsid w:val="00D004D7"/>
    <w:rsid w:val="00D0467B"/>
    <w:rsid w:val="00D11CA8"/>
    <w:rsid w:val="00D6215E"/>
    <w:rsid w:val="00DB19DE"/>
    <w:rsid w:val="00DB1FBE"/>
    <w:rsid w:val="00DC5A28"/>
    <w:rsid w:val="00DD27A7"/>
    <w:rsid w:val="00E33B41"/>
    <w:rsid w:val="00E52483"/>
    <w:rsid w:val="00E63698"/>
    <w:rsid w:val="00E8412C"/>
    <w:rsid w:val="00EB6052"/>
    <w:rsid w:val="00EE3F1D"/>
    <w:rsid w:val="00EE4476"/>
    <w:rsid w:val="00F028B0"/>
    <w:rsid w:val="00F051E0"/>
    <w:rsid w:val="00F44157"/>
    <w:rsid w:val="00F50E35"/>
    <w:rsid w:val="00F54DEA"/>
    <w:rsid w:val="00F711F4"/>
    <w:rsid w:val="00F83EB4"/>
    <w:rsid w:val="00FB58A9"/>
    <w:rsid w:val="00FB63F1"/>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307779"/>
  <w15:chartTrackingRefBased/>
  <w15:docId w15:val="{C52D6C15-134C-4868-BCD8-AFA3C2E7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D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6D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6D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6D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6D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6D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D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D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D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6D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6D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6D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6D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6D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D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D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D61"/>
    <w:rPr>
      <w:rFonts w:eastAsiaTheme="majorEastAsia" w:cstheme="majorBidi"/>
      <w:color w:val="272727" w:themeColor="text1" w:themeTint="D8"/>
    </w:rPr>
  </w:style>
  <w:style w:type="paragraph" w:styleId="Title">
    <w:name w:val="Title"/>
    <w:basedOn w:val="Normal"/>
    <w:next w:val="Normal"/>
    <w:link w:val="TitleChar"/>
    <w:uiPriority w:val="10"/>
    <w:qFormat/>
    <w:rsid w:val="000F6D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D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D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D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D61"/>
    <w:pPr>
      <w:spacing w:before="160"/>
      <w:jc w:val="center"/>
    </w:pPr>
    <w:rPr>
      <w:i/>
      <w:iCs/>
      <w:color w:val="404040" w:themeColor="text1" w:themeTint="BF"/>
    </w:rPr>
  </w:style>
  <w:style w:type="character" w:customStyle="1" w:styleId="QuoteChar">
    <w:name w:val="Quote Char"/>
    <w:basedOn w:val="DefaultParagraphFont"/>
    <w:link w:val="Quote"/>
    <w:uiPriority w:val="29"/>
    <w:rsid w:val="000F6D61"/>
    <w:rPr>
      <w:i/>
      <w:iCs/>
      <w:color w:val="404040" w:themeColor="text1" w:themeTint="BF"/>
    </w:rPr>
  </w:style>
  <w:style w:type="paragraph" w:styleId="ListParagraph">
    <w:name w:val="List Paragraph"/>
    <w:basedOn w:val="Normal"/>
    <w:uiPriority w:val="34"/>
    <w:qFormat/>
    <w:rsid w:val="000F6D61"/>
    <w:pPr>
      <w:ind w:left="720"/>
      <w:contextualSpacing/>
    </w:pPr>
  </w:style>
  <w:style w:type="character" w:styleId="IntenseEmphasis">
    <w:name w:val="Intense Emphasis"/>
    <w:basedOn w:val="DefaultParagraphFont"/>
    <w:uiPriority w:val="21"/>
    <w:qFormat/>
    <w:rsid w:val="000F6D61"/>
    <w:rPr>
      <w:i/>
      <w:iCs/>
      <w:color w:val="2F5496" w:themeColor="accent1" w:themeShade="BF"/>
    </w:rPr>
  </w:style>
  <w:style w:type="paragraph" w:styleId="IntenseQuote">
    <w:name w:val="Intense Quote"/>
    <w:basedOn w:val="Normal"/>
    <w:next w:val="Normal"/>
    <w:link w:val="IntenseQuoteChar"/>
    <w:uiPriority w:val="30"/>
    <w:qFormat/>
    <w:rsid w:val="000F6D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6D61"/>
    <w:rPr>
      <w:i/>
      <w:iCs/>
      <w:color w:val="2F5496" w:themeColor="accent1" w:themeShade="BF"/>
    </w:rPr>
  </w:style>
  <w:style w:type="character" w:styleId="IntenseReference">
    <w:name w:val="Intense Reference"/>
    <w:basedOn w:val="DefaultParagraphFont"/>
    <w:uiPriority w:val="32"/>
    <w:qFormat/>
    <w:rsid w:val="000F6D61"/>
    <w:rPr>
      <w:b/>
      <w:bCs/>
      <w:smallCaps/>
      <w:color w:val="2F5496" w:themeColor="accent1" w:themeShade="BF"/>
      <w:spacing w:val="5"/>
    </w:rPr>
  </w:style>
  <w:style w:type="paragraph" w:styleId="Bibliography">
    <w:name w:val="Bibliography"/>
    <w:basedOn w:val="Normal"/>
    <w:next w:val="Normal"/>
    <w:uiPriority w:val="37"/>
    <w:unhideWhenUsed/>
    <w:rsid w:val="002A4DAF"/>
    <w:pPr>
      <w:tabs>
        <w:tab w:val="left" w:pos="384"/>
      </w:tabs>
      <w:spacing w:after="240" w:line="240" w:lineRule="auto"/>
      <w:ind w:left="384" w:hanging="384"/>
    </w:pPr>
  </w:style>
  <w:style w:type="character" w:styleId="Hyperlink">
    <w:name w:val="Hyperlink"/>
    <w:basedOn w:val="DefaultParagraphFont"/>
    <w:uiPriority w:val="99"/>
    <w:unhideWhenUsed/>
    <w:rsid w:val="006F11A8"/>
    <w:rPr>
      <w:color w:val="0563C1" w:themeColor="hyperlink"/>
      <w:u w:val="single"/>
    </w:rPr>
  </w:style>
  <w:style w:type="character" w:styleId="UnresolvedMention">
    <w:name w:val="Unresolved Mention"/>
    <w:basedOn w:val="DefaultParagraphFont"/>
    <w:uiPriority w:val="99"/>
    <w:semiHidden/>
    <w:unhideWhenUsed/>
    <w:rsid w:val="006F11A8"/>
    <w:rPr>
      <w:color w:val="605E5C"/>
      <w:shd w:val="clear" w:color="auto" w:fill="E1DFDD"/>
    </w:rPr>
  </w:style>
  <w:style w:type="paragraph" w:styleId="NormalWeb">
    <w:name w:val="Normal (Web)"/>
    <w:basedOn w:val="Normal"/>
    <w:uiPriority w:val="99"/>
    <w:semiHidden/>
    <w:unhideWhenUsed/>
    <w:rsid w:val="006F11A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F11A8"/>
    <w:rPr>
      <w:i/>
      <w:iCs/>
    </w:rPr>
  </w:style>
  <w:style w:type="paragraph" w:styleId="Header">
    <w:name w:val="header"/>
    <w:basedOn w:val="Normal"/>
    <w:link w:val="HeaderChar"/>
    <w:uiPriority w:val="99"/>
    <w:unhideWhenUsed/>
    <w:rsid w:val="009E5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69D"/>
  </w:style>
  <w:style w:type="paragraph" w:styleId="Footer">
    <w:name w:val="footer"/>
    <w:basedOn w:val="Normal"/>
    <w:link w:val="FooterChar"/>
    <w:uiPriority w:val="99"/>
    <w:unhideWhenUsed/>
    <w:rsid w:val="009E5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abs/10.1080/23311932.2019.160154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iencedirect.com/topics/medicine-and-dentistry/mechanism-of-neurotoxicity"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26328</Words>
  <Characters>150073</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84</cp:revision>
  <dcterms:created xsi:type="dcterms:W3CDTF">2026-04-22T14:38:00Z</dcterms:created>
  <dcterms:modified xsi:type="dcterms:W3CDTF">2026-04-28T07:58:00Z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id="ezy8rpbK"/&gt;&lt;style id="http://www.zotero.org/styles/nlm-citation-sequence-brackets" locale="en-US" hasBibliography="1" bibliographyStyleHasBeenSet="1"/&gt;&lt;prefs&gt;&lt;pref name="fieldType" value="Field"/</vt:lpwstr>
  </property>
  <property fmtid="{D5CDD505-2E9C-101B-9397-08002B2CF9AE}" pid="3" name="ZOTERO_PREF_2">
    <vt:lpwstr>&gt;&lt;/prefs&gt;&lt;/data&gt;</vt:lpwstr>
  </property>
</Properties>
</file>