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2D0F8" w14:textId="210D216D" w:rsidR="00B45379" w:rsidRDefault="00817279" w:rsidP="007A2F6C">
      <w:pPr>
        <w:spacing w:beforeAutospacing="1" w:after="100" w:afterAutospacing="1"/>
        <w:jc w:val="both"/>
        <w:rPr>
          <w:b/>
          <w:bCs/>
        </w:rPr>
      </w:pPr>
      <w:bookmarkStart w:id="0" w:name="_Hlk220419769"/>
      <w:r w:rsidRPr="00817279">
        <w:rPr>
          <w:b/>
          <w:bCs/>
        </w:rPr>
        <w:t xml:space="preserve">Inhibition of NADPH Oxidase and Restoration of Antioxidant Enzyme Networks by </w:t>
      </w:r>
      <w:r w:rsidR="00F131EE" w:rsidRPr="009D0FC1">
        <w:rPr>
          <w:b/>
          <w:bCs/>
        </w:rPr>
        <w:t xml:space="preserve">Combined extract of </w:t>
      </w:r>
      <w:r w:rsidRPr="00817279">
        <w:rPr>
          <w:b/>
          <w:bCs/>
          <w:i/>
          <w:iCs/>
        </w:rPr>
        <w:t xml:space="preserve">Piper </w:t>
      </w:r>
      <w:proofErr w:type="spellStart"/>
      <w:r w:rsidRPr="00817279">
        <w:rPr>
          <w:b/>
          <w:bCs/>
          <w:i/>
          <w:iCs/>
        </w:rPr>
        <w:t>guineense</w:t>
      </w:r>
      <w:proofErr w:type="spellEnd"/>
      <w:r w:rsidRPr="00817279">
        <w:rPr>
          <w:b/>
          <w:bCs/>
        </w:rPr>
        <w:t xml:space="preserve"> and </w:t>
      </w:r>
      <w:proofErr w:type="spellStart"/>
      <w:r w:rsidRPr="00817279">
        <w:rPr>
          <w:b/>
          <w:bCs/>
          <w:i/>
          <w:iCs/>
        </w:rPr>
        <w:t>Zingiber</w:t>
      </w:r>
      <w:proofErr w:type="spellEnd"/>
      <w:r w:rsidRPr="00817279">
        <w:rPr>
          <w:b/>
          <w:bCs/>
          <w:i/>
          <w:iCs/>
        </w:rPr>
        <w:t xml:space="preserve"> </w:t>
      </w:r>
      <w:proofErr w:type="spellStart"/>
      <w:r w:rsidRPr="00817279">
        <w:rPr>
          <w:b/>
          <w:bCs/>
          <w:i/>
          <w:iCs/>
        </w:rPr>
        <w:t>officinale</w:t>
      </w:r>
      <w:proofErr w:type="spellEnd"/>
      <w:r w:rsidRPr="00817279">
        <w:rPr>
          <w:b/>
          <w:bCs/>
        </w:rPr>
        <w:t xml:space="preserve"> in </w:t>
      </w:r>
      <w:proofErr w:type="spellStart"/>
      <w:r w:rsidR="00E96928" w:rsidRPr="00E96928">
        <w:rPr>
          <w:b/>
          <w:bCs/>
        </w:rPr>
        <w:t>Aluminium</w:t>
      </w:r>
      <w:proofErr w:type="spellEnd"/>
      <w:r w:rsidRPr="00817279">
        <w:rPr>
          <w:b/>
          <w:bCs/>
        </w:rPr>
        <w:t>-Induced Neurotoxicity</w:t>
      </w:r>
    </w:p>
    <w:p w14:paraId="1D34A0A8" w14:textId="18602E39" w:rsidR="00FD7B2E" w:rsidRDefault="00FD7B2E" w:rsidP="007A2F6C">
      <w:bookmarkStart w:id="1" w:name="_Hlk221603304"/>
      <w:bookmarkStart w:id="2" w:name="_Hlk131089992"/>
    </w:p>
    <w:p w14:paraId="3CDA0857" w14:textId="77777777" w:rsidR="007C4B73" w:rsidRPr="00731F50" w:rsidRDefault="007C4B73" w:rsidP="007A2F6C"/>
    <w:bookmarkEnd w:id="1"/>
    <w:bookmarkEnd w:id="2"/>
    <w:p w14:paraId="06C30328" w14:textId="77B78EC3" w:rsidR="00944C8F" w:rsidRPr="009D0FC1" w:rsidRDefault="007A2F6C" w:rsidP="007A2F6C">
      <w:pPr>
        <w:spacing w:beforeAutospacing="1" w:after="100" w:afterAutospacing="1"/>
      </w:pPr>
      <w:r>
        <w:rPr>
          <w:rFonts w:eastAsia="Calibri"/>
          <w:b/>
          <w:bCs/>
        </w:rPr>
        <w:t>Abstract</w:t>
      </w:r>
    </w:p>
    <w:p w14:paraId="12DADEAE" w14:textId="7B191BBE" w:rsidR="00854D1F" w:rsidRPr="009D0FC1" w:rsidRDefault="007A2F6C" w:rsidP="00854D1F">
      <w:pPr>
        <w:spacing w:before="100" w:beforeAutospacing="1" w:after="100" w:afterAutospacing="1"/>
        <w:jc w:val="both"/>
      </w:pPr>
      <w:r w:rsidRPr="007A2F6C">
        <w:rPr>
          <w:b/>
          <w:bCs/>
        </w:rPr>
        <w:t>Background:</w:t>
      </w:r>
      <w:r>
        <w:t xml:space="preserve"> </w:t>
      </w:r>
      <w:r w:rsidR="00223B5A" w:rsidRPr="009D0FC1">
        <w:t xml:space="preserve">Neurodegenerative disorders such as Alzheimer’s disease are increasingly linked to enzymatic dysregulation of oxidative and inflammatory pathways. Among these, </w:t>
      </w:r>
      <w:r w:rsidR="00223B5A" w:rsidRPr="00B13AF4">
        <w:rPr>
          <w:rStyle w:val="Strong"/>
          <w:b w:val="0"/>
          <w:bCs w:val="0"/>
        </w:rPr>
        <w:t>NADPH oxidase</w:t>
      </w:r>
      <w:r w:rsidR="00223B5A" w:rsidRPr="009D0FC1">
        <w:t xml:space="preserve"> serves as a major upstream generator of reactive oxygen species that initiates antioxidant enzyme collapse, nitrosative imbalance, and neuroinflammation. This study investigated the capacity </w:t>
      </w:r>
      <w:r w:rsidR="000478C5" w:rsidRPr="009D0FC1">
        <w:t>of combined</w:t>
      </w:r>
      <w:r w:rsidR="00223B5A" w:rsidRPr="009D0FC1">
        <w:t xml:space="preserve"> ethanol extract of </w:t>
      </w:r>
      <w:r w:rsidR="00223B5A" w:rsidRPr="009D0FC1">
        <w:rPr>
          <w:rStyle w:val="Emphasis"/>
        </w:rPr>
        <w:t xml:space="preserve">Piper </w:t>
      </w:r>
      <w:proofErr w:type="spellStart"/>
      <w:r w:rsidR="00223B5A" w:rsidRPr="009D0FC1">
        <w:rPr>
          <w:rStyle w:val="Emphasis"/>
        </w:rPr>
        <w:t>guineense</w:t>
      </w:r>
      <w:proofErr w:type="spellEnd"/>
      <w:r w:rsidR="00223B5A" w:rsidRPr="009D0FC1">
        <w:t xml:space="preserve"> leaves and </w:t>
      </w:r>
      <w:proofErr w:type="spellStart"/>
      <w:r w:rsidR="00223B5A" w:rsidRPr="009D0FC1">
        <w:rPr>
          <w:rStyle w:val="Emphasis"/>
        </w:rPr>
        <w:t>Zingiber</w:t>
      </w:r>
      <w:proofErr w:type="spellEnd"/>
      <w:r w:rsidR="00223B5A" w:rsidRPr="009D0FC1">
        <w:rPr>
          <w:rStyle w:val="Emphasis"/>
        </w:rPr>
        <w:t xml:space="preserve"> officinale</w:t>
      </w:r>
      <w:r w:rsidR="00223B5A" w:rsidRPr="009D0FC1">
        <w:t xml:space="preserve"> rhizomes to modulate N</w:t>
      </w:r>
      <w:r w:rsidR="002455BB" w:rsidRPr="009D0FC1">
        <w:t>ADPH oxidase</w:t>
      </w:r>
      <w:r w:rsidR="00223B5A" w:rsidRPr="009D0FC1">
        <w:t xml:space="preserve"> activity and restore antioxidant enzyme systems in an aluminum chloride (</w:t>
      </w:r>
      <w:proofErr w:type="spellStart"/>
      <w:r w:rsidR="00223B5A" w:rsidRPr="009D0FC1">
        <w:t>AlCl</w:t>
      </w:r>
      <w:proofErr w:type="spellEnd"/>
      <w:r w:rsidR="00223B5A" w:rsidRPr="009D0FC1">
        <w:rPr>
          <w:rFonts w:ascii="Cambria Math" w:hAnsi="Cambria Math" w:cs="Cambria Math"/>
        </w:rPr>
        <w:t>₃</w:t>
      </w:r>
      <w:r w:rsidR="00223B5A" w:rsidRPr="009D0FC1">
        <w:t>)-induced rat model of neurotoxicity</w:t>
      </w:r>
      <w:r w:rsidR="002750EB" w:rsidRPr="009D0FC1">
        <w:t xml:space="preserve">, </w:t>
      </w:r>
      <w:r w:rsidR="002D3CDB" w:rsidRPr="009D0FC1">
        <w:t xml:space="preserve">with preliminary evaluation of its acute oral toxicity. </w:t>
      </w:r>
      <w:r w:rsidRPr="007A2F6C">
        <w:rPr>
          <w:b/>
          <w:bCs/>
        </w:rPr>
        <w:t>Methods:</w:t>
      </w:r>
      <w:r>
        <w:t xml:space="preserve"> </w:t>
      </w:r>
      <w:r w:rsidR="002D3CDB" w:rsidRPr="009D0FC1">
        <w:t xml:space="preserve">Acute toxicity was assessed using a modified </w:t>
      </w:r>
      <w:proofErr w:type="spellStart"/>
      <w:r w:rsidR="002D3CDB" w:rsidRPr="009D0FC1">
        <w:t>Lorke’s</w:t>
      </w:r>
      <w:proofErr w:type="spellEnd"/>
      <w:r w:rsidR="002D3CDB" w:rsidRPr="009D0FC1">
        <w:t xml:space="preserve"> method in Wistar rats, revealing no mortality up to 6000 mg/kg, partial mortality (33.3%) at 7000 mg/kg, and 100% mortality at 10,000 mg/kg, yielding an LD</w:t>
      </w:r>
      <w:r w:rsidR="002D3CDB" w:rsidRPr="009D0FC1">
        <w:rPr>
          <w:rFonts w:ascii="Cambria Math" w:hAnsi="Cambria Math" w:cs="Cambria Math"/>
        </w:rPr>
        <w:t>₅₀</w:t>
      </w:r>
      <w:r w:rsidR="002D3CDB" w:rsidRPr="009D0FC1">
        <w:t xml:space="preserve"> of </w:t>
      </w:r>
      <w:r w:rsidR="002D3CDB" w:rsidRPr="009D0FC1">
        <w:rPr>
          <w:rStyle w:val="Strong"/>
          <w:b w:val="0"/>
          <w:bCs w:val="0"/>
        </w:rPr>
        <w:t>7745.97 mg/kg</w:t>
      </w:r>
      <w:r w:rsidR="002D3CDB" w:rsidRPr="009D0FC1">
        <w:t>, indicating a wide safety margin.</w:t>
      </w:r>
      <w:bookmarkStart w:id="3" w:name="_Hlk219379521"/>
      <w:r w:rsidR="004869D4" w:rsidRPr="009D0FC1">
        <w:t xml:space="preserve"> </w:t>
      </w:r>
      <w:r w:rsidR="00980F90" w:rsidRPr="009D0FC1">
        <w:t>Thirty</w:t>
      </w:r>
      <w:r w:rsidR="00980F90" w:rsidRPr="009D0FC1">
        <w:rPr>
          <w:b/>
          <w:bCs/>
        </w:rPr>
        <w:t xml:space="preserve"> </w:t>
      </w:r>
      <w:r w:rsidR="00980F90" w:rsidRPr="009D0FC1">
        <w:t>m</w:t>
      </w:r>
      <w:r w:rsidR="00854D1F" w:rsidRPr="009D0FC1">
        <w:t xml:space="preserve">ale </w:t>
      </w:r>
      <w:r>
        <w:t xml:space="preserve">(30) </w:t>
      </w:r>
      <w:r w:rsidR="00854D1F" w:rsidRPr="009D0FC1">
        <w:t>Wistar rats were divided into six groups (n=</w:t>
      </w:r>
      <w:r w:rsidR="00980F90" w:rsidRPr="009D0FC1">
        <w:t>5</w:t>
      </w:r>
      <w:r w:rsidR="00854D1F" w:rsidRPr="009D0FC1">
        <w:t>). Dementia was induced via oral administration of AlCl</w:t>
      </w:r>
      <w:r w:rsidR="00854D1F" w:rsidRPr="009D0FC1">
        <w:rPr>
          <w:vertAlign w:val="subscript"/>
        </w:rPr>
        <w:t>3</w:t>
      </w:r>
      <w:r w:rsidR="00854D1F" w:rsidRPr="009D0FC1">
        <w:t>​ (120 mg/kg). Treatment groups received combined extracts (400 and 800 mg/kg) or the standard drug Donepezil (5 mg/kg). Brain homogenates were analyzed for N</w:t>
      </w:r>
      <w:r w:rsidR="00BC5FFE" w:rsidRPr="009D0FC1">
        <w:t>ADPH oxidase</w:t>
      </w:r>
      <w:r w:rsidR="00854D1F" w:rsidRPr="009D0FC1">
        <w:t xml:space="preserve"> activity, nitric oxide metabolites (N</w:t>
      </w:r>
      <w:r w:rsidR="00CB0244" w:rsidRPr="009D0FC1">
        <w:t>Ox</w:t>
      </w:r>
      <w:r w:rsidR="00854D1F" w:rsidRPr="009D0FC1">
        <w:t xml:space="preserve">), nitrate levels, lipid peroxidation (MDA), endogenous antioxidants (GSH, </w:t>
      </w:r>
      <w:proofErr w:type="spellStart"/>
      <w:r w:rsidR="00854D1F" w:rsidRPr="009D0FC1">
        <w:t>GPx</w:t>
      </w:r>
      <w:proofErr w:type="spellEnd"/>
      <w:r w:rsidR="00854D1F" w:rsidRPr="009D0FC1">
        <w:t>, SOD, CAT), and pro-inflammatory cytokines (TNF-α, IL-6, IL-1beta).</w:t>
      </w:r>
      <w:r w:rsidR="0057097D" w:rsidRPr="009D0FC1">
        <w:t xml:space="preserve"> </w:t>
      </w:r>
      <w:r w:rsidRPr="007A2F6C">
        <w:rPr>
          <w:b/>
          <w:bCs/>
        </w:rPr>
        <w:t>Results:</w:t>
      </w:r>
      <w:r>
        <w:t xml:space="preserve"> </w:t>
      </w:r>
      <w:r w:rsidR="00854D1F" w:rsidRPr="009D0FC1">
        <w:t>AlCl</w:t>
      </w:r>
      <w:r w:rsidR="00854D1F" w:rsidRPr="007A2F6C">
        <w:rPr>
          <w:vertAlign w:val="subscript"/>
        </w:rPr>
        <w:t>3</w:t>
      </w:r>
      <w:r w:rsidR="00854D1F" w:rsidRPr="009D0FC1">
        <w:t xml:space="preserve">​ administration induced significant enzymatic disruption, characterized by a pathological upregulation of </w:t>
      </w:r>
      <w:r w:rsidR="00464E4F" w:rsidRPr="009D0FC1">
        <w:t>NADPH Oxidase</w:t>
      </w:r>
      <w:r w:rsidR="00854D1F" w:rsidRPr="009D0FC1">
        <w:t xml:space="preserve"> activity (73.66±1.17 </w:t>
      </w:r>
      <w:proofErr w:type="spellStart"/>
      <w:r w:rsidR="00854D1F" w:rsidRPr="009D0FC1">
        <w:t>pg</w:t>
      </w:r>
      <w:proofErr w:type="spellEnd"/>
      <w:r w:rsidR="00854D1F" w:rsidRPr="009D0FC1">
        <w:t xml:space="preserve">/mg) and total NOx​, alongside a significant depletion of physiological nitrates and antioxidant enzymes (SOD, CAT, </w:t>
      </w:r>
      <w:proofErr w:type="spellStart"/>
      <w:r w:rsidR="00854D1F" w:rsidRPr="009D0FC1">
        <w:t>GPx</w:t>
      </w:r>
      <w:proofErr w:type="spellEnd"/>
      <w:r w:rsidR="00854D1F" w:rsidRPr="009D0FC1">
        <w:t>). This imbalance facilitated a three-fold increase in Malondialdehyde (MDA) levels (0.60±0.03 mmol/g) and a robust surge in pro-inflammatory cytokines. Conversely, treatment with the combined extract, particularly at 800 mg/kg, significantly inhibited N</w:t>
      </w:r>
      <w:r w:rsidR="00951BC5" w:rsidRPr="009D0FC1">
        <w:t>ADPH oxidase</w:t>
      </w:r>
      <w:r w:rsidR="00854D1F" w:rsidRPr="009D0FC1">
        <w:t xml:space="preserve"> activity (50.00±0.26 </w:t>
      </w:r>
      <w:proofErr w:type="spellStart"/>
      <w:r w:rsidR="00854D1F" w:rsidRPr="009D0FC1">
        <w:t>pg</w:t>
      </w:r>
      <w:proofErr w:type="spellEnd"/>
      <w:r w:rsidR="00854D1F" w:rsidRPr="009D0FC1">
        <w:t xml:space="preserve">/mg) and restored nitrate bioavailability. </w:t>
      </w:r>
      <w:r w:rsidRPr="007A2F6C">
        <w:rPr>
          <w:b/>
          <w:bCs/>
        </w:rPr>
        <w:t>Conclusion:</w:t>
      </w:r>
      <w:r>
        <w:t xml:space="preserve"> </w:t>
      </w:r>
      <w:r w:rsidR="00854D1F" w:rsidRPr="009D0FC1">
        <w:t xml:space="preserve">The extract effectively </w:t>
      </w:r>
      <w:r w:rsidR="00951BC5" w:rsidRPr="009D0FC1">
        <w:t>boosted</w:t>
      </w:r>
      <w:r w:rsidR="00854D1F" w:rsidRPr="009D0FC1">
        <w:t xml:space="preserve"> the brain’s antioxidant buffering capacity and dose-dependently suppressed the neuroinflammatory markers TNF-α, IL-6, and IL-1beta, showing therapeutic efficacy statistically comparable to Donepezil.</w:t>
      </w:r>
      <w:r w:rsidR="0057097D" w:rsidRPr="009D0FC1">
        <w:t xml:space="preserve"> </w:t>
      </w:r>
      <w:r w:rsidR="00854D1F" w:rsidRPr="009D0FC1">
        <w:t xml:space="preserve">The findings demonstrate that the </w:t>
      </w:r>
      <w:r w:rsidR="00854D1F" w:rsidRPr="009D0FC1">
        <w:rPr>
          <w:i/>
          <w:iCs/>
        </w:rPr>
        <w:t xml:space="preserve">P. </w:t>
      </w:r>
      <w:proofErr w:type="spellStart"/>
      <w:r w:rsidR="00854D1F" w:rsidRPr="009D0FC1">
        <w:rPr>
          <w:i/>
          <w:iCs/>
        </w:rPr>
        <w:t>guineense</w:t>
      </w:r>
      <w:proofErr w:type="spellEnd"/>
      <w:r w:rsidR="00854D1F" w:rsidRPr="009D0FC1">
        <w:t xml:space="preserve"> and </w:t>
      </w:r>
      <w:r w:rsidR="00854D1F" w:rsidRPr="009D0FC1">
        <w:rPr>
          <w:i/>
          <w:iCs/>
        </w:rPr>
        <w:t>Z. officinale</w:t>
      </w:r>
      <w:r w:rsidR="00854D1F" w:rsidRPr="009D0FC1">
        <w:t xml:space="preserve"> combination mitigates aluminum-induced dementia by inhibiting the </w:t>
      </w:r>
      <w:r w:rsidR="007820E5" w:rsidRPr="009D0FC1">
        <w:t>NADPH Oxidase</w:t>
      </w:r>
      <w:r w:rsidR="00854D1F" w:rsidRPr="009D0FC1">
        <w:t>-mediated oxidative burst and restoring the brain's catalytic balance. This polyherbal approach offers a promising strategy for the management of neurodegenerative disorders.</w:t>
      </w:r>
      <w:r w:rsidR="005359FD" w:rsidRPr="009D0FC1">
        <w:t xml:space="preserve"> </w:t>
      </w:r>
    </w:p>
    <w:bookmarkEnd w:id="3"/>
    <w:p w14:paraId="7BD5433B" w14:textId="7BE5E054" w:rsidR="00854D1F" w:rsidRDefault="00854D1F" w:rsidP="007A2F6C">
      <w:pPr>
        <w:spacing w:before="100" w:beforeAutospacing="1" w:after="100" w:afterAutospacing="1"/>
        <w:jc w:val="both"/>
        <w:rPr>
          <w:i/>
          <w:iCs/>
        </w:rPr>
      </w:pPr>
      <w:r w:rsidRPr="009D0FC1">
        <w:rPr>
          <w:b/>
          <w:bCs/>
        </w:rPr>
        <w:t>Keywords:</w:t>
      </w:r>
      <w:r w:rsidRPr="009D0FC1">
        <w:t xml:space="preserve"> </w:t>
      </w:r>
      <w:r w:rsidRPr="007A2F6C">
        <w:rPr>
          <w:i/>
          <w:iCs/>
        </w:rPr>
        <w:t xml:space="preserve">NADPH Oxidase, Aluminum Toxicity, Piper </w:t>
      </w:r>
      <w:proofErr w:type="spellStart"/>
      <w:r w:rsidRPr="007A2F6C">
        <w:rPr>
          <w:i/>
          <w:iCs/>
        </w:rPr>
        <w:t>guine</w:t>
      </w:r>
      <w:r w:rsidR="005359FD" w:rsidRPr="007A2F6C">
        <w:rPr>
          <w:i/>
          <w:iCs/>
        </w:rPr>
        <w:t>e</w:t>
      </w:r>
      <w:r w:rsidRPr="007A2F6C">
        <w:rPr>
          <w:i/>
          <w:iCs/>
        </w:rPr>
        <w:t>nse</w:t>
      </w:r>
      <w:proofErr w:type="spellEnd"/>
      <w:r w:rsidRPr="007A2F6C">
        <w:rPr>
          <w:i/>
          <w:iCs/>
        </w:rPr>
        <w:t xml:space="preserve">, </w:t>
      </w:r>
      <w:proofErr w:type="spellStart"/>
      <w:r w:rsidRPr="007A2F6C">
        <w:rPr>
          <w:i/>
          <w:iCs/>
        </w:rPr>
        <w:t>Zingiber</w:t>
      </w:r>
      <w:proofErr w:type="spellEnd"/>
      <w:r w:rsidRPr="007A2F6C">
        <w:rPr>
          <w:i/>
          <w:iCs/>
        </w:rPr>
        <w:t xml:space="preserve"> </w:t>
      </w:r>
      <w:proofErr w:type="spellStart"/>
      <w:r w:rsidRPr="007A2F6C">
        <w:rPr>
          <w:i/>
          <w:iCs/>
        </w:rPr>
        <w:t>officinale</w:t>
      </w:r>
      <w:proofErr w:type="spellEnd"/>
      <w:r w:rsidRPr="007A2F6C">
        <w:rPr>
          <w:i/>
          <w:iCs/>
        </w:rPr>
        <w:t xml:space="preserve">, Neuroinflammation, </w:t>
      </w:r>
      <w:proofErr w:type="spellStart"/>
      <w:r w:rsidRPr="007A2F6C">
        <w:rPr>
          <w:i/>
          <w:iCs/>
        </w:rPr>
        <w:t>Nitrosative</w:t>
      </w:r>
      <w:proofErr w:type="spellEnd"/>
      <w:r w:rsidRPr="007A2F6C">
        <w:rPr>
          <w:i/>
          <w:iCs/>
        </w:rPr>
        <w:t xml:space="preserve"> Stress.</w:t>
      </w:r>
      <w:bookmarkEnd w:id="0"/>
    </w:p>
    <w:p w14:paraId="3CDBE4BC" w14:textId="2F9C066C" w:rsidR="007C4B73" w:rsidRDefault="007C4B73" w:rsidP="007A2F6C">
      <w:pPr>
        <w:spacing w:before="100" w:beforeAutospacing="1" w:after="100" w:afterAutospacing="1"/>
        <w:jc w:val="both"/>
        <w:rPr>
          <w:i/>
          <w:iCs/>
        </w:rPr>
      </w:pPr>
    </w:p>
    <w:p w14:paraId="0FAF2A90" w14:textId="4E009B2C" w:rsidR="007C4B73" w:rsidRDefault="007C4B73" w:rsidP="007A2F6C">
      <w:pPr>
        <w:spacing w:before="100" w:beforeAutospacing="1" w:after="100" w:afterAutospacing="1"/>
        <w:jc w:val="both"/>
        <w:rPr>
          <w:i/>
          <w:iCs/>
        </w:rPr>
      </w:pPr>
    </w:p>
    <w:p w14:paraId="084DBE0E" w14:textId="77777777" w:rsidR="007C4B73" w:rsidRPr="007A2F6C" w:rsidRDefault="007C4B73" w:rsidP="007A2F6C">
      <w:pPr>
        <w:spacing w:before="100" w:beforeAutospacing="1" w:after="100" w:afterAutospacing="1"/>
        <w:jc w:val="both"/>
        <w:rPr>
          <w:i/>
          <w:iCs/>
        </w:rPr>
      </w:pPr>
      <w:bookmarkStart w:id="4" w:name="_GoBack"/>
      <w:bookmarkEnd w:id="4"/>
    </w:p>
    <w:p w14:paraId="2EC8F34A" w14:textId="77777777" w:rsidR="007A2F6C" w:rsidRDefault="007A2F6C" w:rsidP="00D660A8">
      <w:pPr>
        <w:pStyle w:val="Heading3"/>
        <w:jc w:val="both"/>
        <w:rPr>
          <w:sz w:val="24"/>
          <w:szCs w:val="24"/>
        </w:rPr>
      </w:pPr>
    </w:p>
    <w:p w14:paraId="787B0D78" w14:textId="29BA438B" w:rsidR="00932C4D" w:rsidRPr="00275445" w:rsidRDefault="007A2F6C" w:rsidP="00D660A8">
      <w:pPr>
        <w:pStyle w:val="Heading3"/>
        <w:jc w:val="both"/>
        <w:rPr>
          <w:sz w:val="24"/>
          <w:szCs w:val="24"/>
        </w:rPr>
      </w:pPr>
      <w:r w:rsidRPr="00275445">
        <w:rPr>
          <w:sz w:val="24"/>
          <w:szCs w:val="24"/>
        </w:rPr>
        <w:t>INTRODUCTION</w:t>
      </w:r>
    </w:p>
    <w:p w14:paraId="23C0BC97" w14:textId="0EE03164" w:rsidR="00932C4D" w:rsidRPr="00D660A8" w:rsidRDefault="00932C4D" w:rsidP="00D660A8">
      <w:pPr>
        <w:spacing w:before="100" w:beforeAutospacing="1" w:after="100" w:afterAutospacing="1"/>
        <w:jc w:val="both"/>
      </w:pPr>
      <w:r w:rsidRPr="00D660A8">
        <w:t>Neurodegenerative diseases, including Alzheimer’s disease, are characterized by progressive neuronal loss driven by complex biochemical disturbances involving oxidative stress, mitochondrial dysfunction, neuroinflammation, and synaptic failure (Zhang et al., 2016; Liaquat et al., 2022). Among the earliest and most critical molecular events in this cascade is the dysregulation of redox-controlling enzymes, particularly NADPH oxidase, a membrane-bound enzyme complex that catalyzes the production of superoxide radicals from molecular oxygen (Zou et al., 2020). Unlike mitochondrial reactive oxygen species that arise as metabolic by-products, N</w:t>
      </w:r>
      <w:r w:rsidR="00FC0FF6" w:rsidRPr="00D660A8">
        <w:t>ADPH oxidase</w:t>
      </w:r>
      <w:r w:rsidRPr="00D660A8">
        <w:t xml:space="preserve"> generates reactive oxygen species as signaling molecules; however, pathological overactivation of this enzyme transforms it into a primary driver of neurodegeneration (Sadek et al., 2019).</w:t>
      </w:r>
    </w:p>
    <w:p w14:paraId="340FBA68" w14:textId="1C435A1C" w:rsidR="00932C4D" w:rsidRPr="00D660A8" w:rsidRDefault="00932C4D" w:rsidP="00D660A8">
      <w:pPr>
        <w:spacing w:before="100" w:beforeAutospacing="1" w:after="100" w:afterAutospacing="1"/>
        <w:jc w:val="both"/>
      </w:pPr>
      <w:r w:rsidRPr="00D660A8">
        <w:t>Sustained N</w:t>
      </w:r>
      <w:r w:rsidR="00FC0FF6" w:rsidRPr="00D660A8">
        <w:t>ADPH oxidase</w:t>
      </w:r>
      <w:r w:rsidRPr="00D660A8">
        <w:t xml:space="preserve"> activation overwhelms endogenous antioxidant defenses, including superoxide dismutase (SOD), catalase (CAT), and glutathione peroxidase (</w:t>
      </w:r>
      <w:proofErr w:type="spellStart"/>
      <w:r w:rsidRPr="00D660A8">
        <w:t>GPx</w:t>
      </w:r>
      <w:proofErr w:type="spellEnd"/>
      <w:r w:rsidRPr="00D660A8">
        <w:t>), resulting in lipid peroxidation, protein oxidation, DNA damage, and disruption of nitric oxide signaling (Ahmed et al., 2024; Singh et al., 2023</w:t>
      </w:r>
      <w:r w:rsidR="008C66AD">
        <w:t xml:space="preserve">; </w:t>
      </w:r>
      <w:proofErr w:type="spellStart"/>
      <w:r w:rsidR="008C66AD">
        <w:t>Okwakpam</w:t>
      </w:r>
      <w:proofErr w:type="spellEnd"/>
      <w:r w:rsidR="008C66AD">
        <w:t xml:space="preserve"> et al., 2023</w:t>
      </w:r>
      <w:r w:rsidRPr="00D660A8">
        <w:t>). These redox disturbances activate inflammatory cascades through redox-sensitive transcription factors such as NF-</w:t>
      </w:r>
      <w:proofErr w:type="spellStart"/>
      <w:r w:rsidRPr="00D660A8">
        <w:t>κB</w:t>
      </w:r>
      <w:proofErr w:type="spellEnd"/>
      <w:r w:rsidRPr="00D660A8">
        <w:t>, culminating in excessive production of pro-inflammatory cytokines including TNF-α, IL-6, and IL-1β (Abdel Maksoud et al., 2020; Ahmad et al., 2022). Together, these enzyme-mediated events establish a self-amplifying cycle of oxidative stress and neuroinflammation that underlies aluminum-induced cognitive impairment and Alzheimer-like pathology (Rosiridin, 2024).</w:t>
      </w:r>
    </w:p>
    <w:p w14:paraId="5A6F018B" w14:textId="5F9ABB72" w:rsidR="00932C4D" w:rsidRPr="00D660A8" w:rsidRDefault="00932C4D" w:rsidP="00D660A8">
      <w:pPr>
        <w:spacing w:before="100" w:beforeAutospacing="1" w:after="100" w:afterAutospacing="1"/>
        <w:jc w:val="both"/>
      </w:pPr>
      <w:r w:rsidRPr="00D660A8">
        <w:t>Aluminum chloride (</w:t>
      </w:r>
      <w:proofErr w:type="spellStart"/>
      <w:r w:rsidRPr="00D660A8">
        <w:t>AlCl</w:t>
      </w:r>
      <w:proofErr w:type="spellEnd"/>
      <w:r w:rsidRPr="00D660A8">
        <w:rPr>
          <w:rFonts w:ascii="Cambria Math" w:hAnsi="Cambria Math" w:cs="Cambria Math"/>
        </w:rPr>
        <w:t>₃</w:t>
      </w:r>
      <w:r w:rsidRPr="00D660A8">
        <w:t>) is widely employed to model dementia in rodents because it reproducibly induces N</w:t>
      </w:r>
      <w:r w:rsidR="00E435F3" w:rsidRPr="00D660A8">
        <w:t>ADPH oxidase</w:t>
      </w:r>
      <w:r w:rsidRPr="00D660A8">
        <w:t xml:space="preserve"> activation, antioxidant enzyme depletion, nitrosative stress, and neuroinflammatory responses that closely resemble human neurodegenerative pathology (Zaki et al., 2023; Stevanović et al., 2020). Targeting the enzymatic core of this pathological network therefore represents a rational therapeutic strategy.</w:t>
      </w:r>
    </w:p>
    <w:p w14:paraId="6A72252E" w14:textId="54C81681" w:rsidR="00C05062" w:rsidRPr="00D660A8" w:rsidRDefault="00C05062" w:rsidP="00D660A8">
      <w:pPr>
        <w:pStyle w:val="NormalWeb"/>
        <w:jc w:val="both"/>
      </w:pPr>
      <w:r w:rsidRPr="00D660A8">
        <w:t xml:space="preserve">Given the multi-target nature of these disruptions, recent research has focused on the synergistic potential of polyherbal interventions. </w:t>
      </w:r>
      <w:r w:rsidRPr="00D660A8">
        <w:rPr>
          <w:i/>
          <w:iCs/>
        </w:rPr>
        <w:t xml:space="preserve">Piper </w:t>
      </w:r>
      <w:proofErr w:type="spellStart"/>
      <w:r w:rsidRPr="00D660A8">
        <w:rPr>
          <w:i/>
          <w:iCs/>
        </w:rPr>
        <w:t>guineense</w:t>
      </w:r>
      <w:proofErr w:type="spellEnd"/>
      <w:r w:rsidRPr="00D660A8">
        <w:t xml:space="preserve"> (African Black Pepper) and </w:t>
      </w:r>
      <w:r w:rsidRPr="00D660A8">
        <w:rPr>
          <w:i/>
          <w:iCs/>
        </w:rPr>
        <w:t>Zingiber officinale</w:t>
      </w:r>
      <w:r w:rsidRPr="00D660A8">
        <w:t xml:space="preserve"> (Ginger) contain bioactive ligands such as piperine and gingerols, which have demonstrated the ability to act as non-competitive inhibitors of pro-oxidant enzymes (Bibi et al., 2023).</w:t>
      </w:r>
    </w:p>
    <w:p w14:paraId="6466900A" w14:textId="64B3CC9A" w:rsidR="00847B30" w:rsidRPr="00D660A8" w:rsidRDefault="00847B30" w:rsidP="00D660A8">
      <w:pPr>
        <w:spacing w:before="100" w:beforeAutospacing="1" w:after="100" w:afterAutospacing="1"/>
        <w:jc w:val="both"/>
      </w:pPr>
      <w:r w:rsidRPr="00D660A8">
        <w:t xml:space="preserve">Furthermore, establishing the </w:t>
      </w:r>
      <w:r w:rsidRPr="00D660A8">
        <w:rPr>
          <w:rStyle w:val="Strong"/>
          <w:b w:val="0"/>
          <w:bCs w:val="0"/>
        </w:rPr>
        <w:t>toxicological safety</w:t>
      </w:r>
      <w:r w:rsidRPr="00D660A8">
        <w:t xml:space="preserve"> of any therapeutic candidate is a critical prerequisite for translational relevance. Acute toxicity evaluation therefore represents an essential component of neuroprotective drug development. </w:t>
      </w:r>
    </w:p>
    <w:p w14:paraId="0A938DC2" w14:textId="5BD27CAF" w:rsidR="00485EB6" w:rsidRPr="00ED7551" w:rsidRDefault="00072C60" w:rsidP="00ED7551">
      <w:pPr>
        <w:spacing w:before="100" w:beforeAutospacing="1" w:after="100" w:afterAutospacing="1"/>
        <w:jc w:val="both"/>
      </w:pPr>
      <w:r w:rsidRPr="00D660A8">
        <w:t>Th</w:t>
      </w:r>
      <w:r w:rsidR="00E27694" w:rsidRPr="00D660A8">
        <w:t>is</w:t>
      </w:r>
      <w:r w:rsidRPr="00D660A8">
        <w:t xml:space="preserve"> study, aims to provide </w:t>
      </w:r>
      <w:r w:rsidR="00A9558A" w:rsidRPr="00D660A8">
        <w:t>basis</w:t>
      </w:r>
      <w:r w:rsidRPr="00D660A8">
        <w:t xml:space="preserve"> for this therapeutic combination. By evaluating</w:t>
      </w:r>
      <w:r w:rsidR="00276246" w:rsidRPr="00D660A8">
        <w:t xml:space="preserve"> the acute oral toxicity and safety profile of the combined ethanol extract of </w:t>
      </w:r>
      <w:r w:rsidR="00276246" w:rsidRPr="00D660A8">
        <w:rPr>
          <w:rStyle w:val="Emphasis"/>
        </w:rPr>
        <w:t xml:space="preserve">Piper </w:t>
      </w:r>
      <w:proofErr w:type="spellStart"/>
      <w:r w:rsidR="00276246" w:rsidRPr="00D660A8">
        <w:rPr>
          <w:rStyle w:val="Emphasis"/>
        </w:rPr>
        <w:t>guineense</w:t>
      </w:r>
      <w:proofErr w:type="spellEnd"/>
      <w:r w:rsidR="00276246" w:rsidRPr="00D660A8">
        <w:t xml:space="preserve"> and </w:t>
      </w:r>
      <w:proofErr w:type="spellStart"/>
      <w:r w:rsidR="00276246" w:rsidRPr="00D660A8">
        <w:rPr>
          <w:rStyle w:val="Emphasis"/>
        </w:rPr>
        <w:t>Zingiber</w:t>
      </w:r>
      <w:proofErr w:type="spellEnd"/>
      <w:r w:rsidR="00276246" w:rsidRPr="00D660A8">
        <w:rPr>
          <w:rStyle w:val="Emphasis"/>
        </w:rPr>
        <w:t xml:space="preserve"> </w:t>
      </w:r>
      <w:proofErr w:type="spellStart"/>
      <w:r w:rsidR="00276246" w:rsidRPr="00D660A8">
        <w:rPr>
          <w:rStyle w:val="Emphasis"/>
        </w:rPr>
        <w:t>officinale</w:t>
      </w:r>
      <w:proofErr w:type="spellEnd"/>
      <w:r w:rsidR="00276246" w:rsidRPr="00D660A8">
        <w:t>, and investigat</w:t>
      </w:r>
      <w:r w:rsidR="00E27694" w:rsidRPr="00D660A8">
        <w:t>ing</w:t>
      </w:r>
      <w:r w:rsidR="00276246" w:rsidRPr="00D660A8">
        <w:t xml:space="preserve"> whether </w:t>
      </w:r>
      <w:r w:rsidR="00046053" w:rsidRPr="00D660A8">
        <w:t>the</w:t>
      </w:r>
      <w:r w:rsidR="00276246" w:rsidRPr="00D660A8">
        <w:t xml:space="preserve"> combined ethanol extract can inhibit NADPH oxidase activity, stabilize antioxidant enzyme networks, and suppress neuroinflammatory signaling in an </w:t>
      </w:r>
      <w:proofErr w:type="spellStart"/>
      <w:r w:rsidR="00276246" w:rsidRPr="00D660A8">
        <w:lastRenderedPageBreak/>
        <w:t>AlCl</w:t>
      </w:r>
      <w:proofErr w:type="spellEnd"/>
      <w:r w:rsidR="00276246" w:rsidRPr="00D660A8">
        <w:rPr>
          <w:rFonts w:ascii="Cambria Math" w:hAnsi="Cambria Math" w:cs="Cambria Math"/>
        </w:rPr>
        <w:t>₃</w:t>
      </w:r>
      <w:r w:rsidR="00276246" w:rsidRPr="00D660A8">
        <w:t>-induced model of neurotoxicity, providing an enzyme-based therapeutic framework for neurodegenerative disease management.</w:t>
      </w:r>
    </w:p>
    <w:p w14:paraId="78DC607E" w14:textId="367B7879" w:rsidR="00632609" w:rsidRDefault="007A2F6C" w:rsidP="00076376">
      <w:pPr>
        <w:spacing w:before="100" w:beforeAutospacing="1" w:after="100" w:afterAutospacing="1"/>
        <w:jc w:val="both"/>
        <w:outlineLvl w:val="2"/>
        <w:rPr>
          <w:b/>
          <w:bCs/>
        </w:rPr>
      </w:pPr>
      <w:r w:rsidRPr="00076376">
        <w:rPr>
          <w:b/>
          <w:bCs/>
        </w:rPr>
        <w:t>MATERIAL AND METHOD</w:t>
      </w:r>
    </w:p>
    <w:p w14:paraId="3DB7873B" w14:textId="13CE1AEB" w:rsidR="00054AF6" w:rsidRPr="007A2F6C" w:rsidRDefault="00054AF6" w:rsidP="00054AF6">
      <w:pPr>
        <w:spacing w:before="100" w:beforeAutospacing="1" w:after="100" w:afterAutospacing="1"/>
        <w:outlineLvl w:val="2"/>
        <w:rPr>
          <w:b/>
          <w:bCs/>
        </w:rPr>
      </w:pPr>
      <w:r w:rsidRPr="007A2F6C">
        <w:rPr>
          <w:b/>
          <w:bCs/>
        </w:rPr>
        <w:t xml:space="preserve">Drugs and </w:t>
      </w:r>
      <w:r w:rsidR="007A2F6C" w:rsidRPr="007A2F6C">
        <w:rPr>
          <w:b/>
          <w:bCs/>
        </w:rPr>
        <w:t>reagents</w:t>
      </w:r>
    </w:p>
    <w:p w14:paraId="44CBC5F0" w14:textId="07E1BE27" w:rsidR="00054AF6" w:rsidRPr="007A2F6C" w:rsidRDefault="00BC14FB" w:rsidP="00353EE6">
      <w:pPr>
        <w:spacing w:before="100" w:beforeAutospacing="1" w:after="100" w:afterAutospacing="1"/>
        <w:jc w:val="both"/>
      </w:pPr>
      <w:r w:rsidRPr="007A2F6C">
        <w:t>Aluminum chloride (AlCl3, St. Louis MO, USA) and Donepezil hydrochloride (5 mg, Bafna Pharmaceuticals LTD, India) were utilized in this study</w:t>
      </w:r>
      <w:r w:rsidRPr="007A2F6C">
        <w:rPr>
          <w:vertAlign w:val="superscript"/>
        </w:rPr>
        <w:t>1</w:t>
      </w:r>
      <w:r w:rsidRPr="007A2F6C">
        <w:t xml:space="preserve">. The Donepezil was marketed by </w:t>
      </w:r>
      <w:proofErr w:type="spellStart"/>
      <w:r w:rsidRPr="007A2F6C">
        <w:t>Sunmed</w:t>
      </w:r>
      <w:proofErr w:type="spellEnd"/>
      <w:r w:rsidRPr="007A2F6C">
        <w:t xml:space="preserve"> Pharmacy Australia (Batch No: T7640; NAFDAC Reg No: A4–0035HP/DRUGS/MIS/04/87) and purchased in Port Harcourt, Rivers State. All other chemicals and reagents were of analytical grade and sourced from commercial suppliers.</w:t>
      </w:r>
      <w:r w:rsidR="006E2DD9" w:rsidRPr="007A2F6C">
        <w:t xml:space="preserve">                     </w:t>
      </w:r>
    </w:p>
    <w:p w14:paraId="29402A03" w14:textId="77777777" w:rsidR="0036118B" w:rsidRPr="007A2F6C" w:rsidRDefault="00054AF6" w:rsidP="0036118B">
      <w:pPr>
        <w:spacing w:after="160" w:line="256" w:lineRule="auto"/>
        <w:rPr>
          <w:rFonts w:ascii="Calibri" w:eastAsia="Calibri" w:hAnsi="Calibri"/>
        </w:rPr>
      </w:pPr>
      <w:r w:rsidRPr="007A2F6C">
        <w:rPr>
          <w:b/>
          <w:bCs/>
        </w:rPr>
        <w:t>Plant Collection and Authentication</w:t>
      </w:r>
    </w:p>
    <w:p w14:paraId="7865031F" w14:textId="2655972A" w:rsidR="00054AF6" w:rsidRPr="007A2F6C" w:rsidRDefault="00054AF6" w:rsidP="007A2F6C">
      <w:pPr>
        <w:spacing w:after="160" w:line="256" w:lineRule="auto"/>
        <w:jc w:val="both"/>
        <w:rPr>
          <w:rFonts w:ascii="Calibri" w:eastAsia="Calibri" w:hAnsi="Calibri"/>
        </w:rPr>
      </w:pPr>
      <w:r w:rsidRPr="007A2F6C">
        <w:t xml:space="preserve">Fresh </w:t>
      </w:r>
      <w:r w:rsidR="00AF5B63" w:rsidRPr="007A2F6C">
        <w:t>leaves</w:t>
      </w:r>
      <w:r w:rsidRPr="007A2F6C">
        <w:t xml:space="preserve"> of </w:t>
      </w:r>
      <w:r w:rsidRPr="007A2F6C">
        <w:rPr>
          <w:i/>
          <w:iCs/>
        </w:rPr>
        <w:t xml:space="preserve">Piper </w:t>
      </w:r>
      <w:proofErr w:type="spellStart"/>
      <w:r w:rsidRPr="007A2F6C">
        <w:rPr>
          <w:i/>
          <w:iCs/>
        </w:rPr>
        <w:t>guineense</w:t>
      </w:r>
      <w:proofErr w:type="spellEnd"/>
      <w:r w:rsidRPr="007A2F6C">
        <w:t xml:space="preserve"> (Voucher No: RSUpb0115) and rhizomes of </w:t>
      </w:r>
      <w:r w:rsidRPr="007A2F6C">
        <w:rPr>
          <w:i/>
          <w:iCs/>
        </w:rPr>
        <w:t>Zingiber officinale</w:t>
      </w:r>
      <w:r w:rsidRPr="007A2F6C">
        <w:t xml:space="preserve"> (Voucher No: RSUpb0116) were obtained from the Oil Mill and Mile 3 markets in Rivers State, Nigeria, respectively. Authentication was performed by </w:t>
      </w:r>
      <w:r w:rsidR="0036118B" w:rsidRPr="007A2F6C">
        <w:t>Prof</w:t>
      </w:r>
      <w:r w:rsidRPr="007A2F6C">
        <w:t xml:space="preserve">. M. G. </w:t>
      </w:r>
      <w:proofErr w:type="spellStart"/>
      <w:r w:rsidRPr="007A2F6C">
        <w:t>Ajuru</w:t>
      </w:r>
      <w:proofErr w:type="spellEnd"/>
      <w:r w:rsidRPr="007A2F6C">
        <w:t>, a senior taxonomist at the Department of Plant Science and Biotechnology, Rivers State University.</w:t>
      </w:r>
    </w:p>
    <w:p w14:paraId="30E8A798" w14:textId="64EB7186" w:rsidR="004C1E77" w:rsidRPr="007A2F6C" w:rsidRDefault="004C1E77" w:rsidP="004C1E77">
      <w:pPr>
        <w:pStyle w:val="Heading3"/>
        <w:rPr>
          <w:sz w:val="24"/>
          <w:szCs w:val="24"/>
        </w:rPr>
      </w:pPr>
      <w:r w:rsidRPr="007A2F6C">
        <w:rPr>
          <w:sz w:val="24"/>
          <w:szCs w:val="24"/>
        </w:rPr>
        <w:t>Preparation of Plant Materials and Extraction</w:t>
      </w:r>
    </w:p>
    <w:p w14:paraId="68724516" w14:textId="77777777" w:rsidR="004C1E77" w:rsidRPr="007A2F6C" w:rsidRDefault="004C1E77" w:rsidP="004C1E77">
      <w:pPr>
        <w:pStyle w:val="NormalWeb"/>
        <w:jc w:val="both"/>
      </w:pPr>
      <w:r w:rsidRPr="007A2F6C">
        <w:t xml:space="preserve">Fresh leaves of </w:t>
      </w:r>
      <w:r w:rsidRPr="007A2F6C">
        <w:rPr>
          <w:i/>
          <w:iCs/>
        </w:rPr>
        <w:t xml:space="preserve">P. </w:t>
      </w:r>
      <w:proofErr w:type="spellStart"/>
      <w:r w:rsidRPr="007A2F6C">
        <w:rPr>
          <w:i/>
          <w:iCs/>
        </w:rPr>
        <w:t>guineense</w:t>
      </w:r>
      <w:proofErr w:type="spellEnd"/>
      <w:r w:rsidRPr="007A2F6C">
        <w:t xml:space="preserve"> and rhizomes of </w:t>
      </w:r>
      <w:r w:rsidRPr="007A2F6C">
        <w:rPr>
          <w:i/>
          <w:iCs/>
        </w:rPr>
        <w:t>Z. officinale</w:t>
      </w:r>
      <w:r w:rsidRPr="007A2F6C">
        <w:t xml:space="preserve"> were thoroughly washed with distilled water to remove debris and air-dried at room temperature for fourteen (14) days. The dried </w:t>
      </w:r>
      <w:r w:rsidRPr="007A2F6C">
        <w:rPr>
          <w:i/>
          <w:iCs/>
        </w:rPr>
        <w:t xml:space="preserve">P. </w:t>
      </w:r>
      <w:proofErr w:type="spellStart"/>
      <w:r w:rsidRPr="007A2F6C">
        <w:rPr>
          <w:i/>
          <w:iCs/>
        </w:rPr>
        <w:t>guineense</w:t>
      </w:r>
      <w:proofErr w:type="spellEnd"/>
      <w:r w:rsidRPr="007A2F6C">
        <w:t xml:space="preserve"> leaves were pulverized into a fine powder using an electronic blender, while the </w:t>
      </w:r>
      <w:r w:rsidRPr="007A2F6C">
        <w:rPr>
          <w:i/>
          <w:iCs/>
        </w:rPr>
        <w:t>Z. officinale</w:t>
      </w:r>
      <w:r w:rsidRPr="007A2F6C">
        <w:t xml:space="preserve"> rhizomes were chopped into smaller pieces and similarly processed into powdery form using a mechanical grinder.</w:t>
      </w:r>
    </w:p>
    <w:p w14:paraId="02D15927" w14:textId="77777777" w:rsidR="004C1E77" w:rsidRPr="007A2F6C" w:rsidRDefault="004C1E77" w:rsidP="004C1E77">
      <w:pPr>
        <w:pStyle w:val="NormalWeb"/>
        <w:jc w:val="both"/>
      </w:pPr>
      <w:r w:rsidRPr="007A2F6C">
        <w:t xml:space="preserve">For the extraction process, 200 g of the finely powdered </w:t>
      </w:r>
      <w:r w:rsidRPr="007A2F6C">
        <w:rPr>
          <w:i/>
          <w:iCs/>
        </w:rPr>
        <w:t xml:space="preserve">P. </w:t>
      </w:r>
      <w:proofErr w:type="spellStart"/>
      <w:r w:rsidRPr="007A2F6C">
        <w:rPr>
          <w:i/>
          <w:iCs/>
        </w:rPr>
        <w:t>guineense</w:t>
      </w:r>
      <w:proofErr w:type="spellEnd"/>
      <w:r w:rsidRPr="007A2F6C">
        <w:t xml:space="preserve"> leaf was macerated in 1.5 liters of ethanol for 48 hours with periodic agitation. The resulting mixture was filtered through a clean muslin cloth followed by Whatman No. 1 filter paper. The filtrate was concentrated to dryness in a hot air oven at 40ºC, yielding a pasty dark green extract weighing 13.92 g.</w:t>
      </w:r>
    </w:p>
    <w:p w14:paraId="3455DFD2" w14:textId="77777777" w:rsidR="004C1E77" w:rsidRPr="007A2F6C" w:rsidRDefault="004C1E77" w:rsidP="004C1E77">
      <w:pPr>
        <w:pStyle w:val="NormalWeb"/>
        <w:jc w:val="both"/>
      </w:pPr>
      <w:r w:rsidRPr="007A2F6C">
        <w:t xml:space="preserve">The same standardized procedure was applied to the </w:t>
      </w:r>
      <w:r w:rsidRPr="007A2F6C">
        <w:rPr>
          <w:i/>
          <w:iCs/>
        </w:rPr>
        <w:t>Z. officinale</w:t>
      </w:r>
      <w:r w:rsidRPr="007A2F6C">
        <w:t xml:space="preserve"> powder, resulting in an oily dark brown extract weighing 8.72 g. Both extracts were stored in sterile, airtight reagent bottles and preserved in a refrigerator at 4ºC until further use. For the experimental treatments, the two extracts were combined in a 1:1 (w/w) ratio to form the combined ethanol leaf extract.</w:t>
      </w:r>
    </w:p>
    <w:p w14:paraId="4E2D085E" w14:textId="376F1ED0" w:rsidR="00054AF6" w:rsidRPr="007A2F6C" w:rsidRDefault="00054AF6" w:rsidP="00054AF6">
      <w:pPr>
        <w:spacing w:before="100" w:beforeAutospacing="1" w:after="100" w:afterAutospacing="1"/>
        <w:outlineLvl w:val="2"/>
        <w:rPr>
          <w:b/>
          <w:bCs/>
        </w:rPr>
      </w:pPr>
      <w:r w:rsidRPr="007A2F6C">
        <w:rPr>
          <w:b/>
          <w:bCs/>
        </w:rPr>
        <w:t>Acute Toxicity Study</w:t>
      </w:r>
    </w:p>
    <w:p w14:paraId="4E9F9F0E" w14:textId="188A0507" w:rsidR="00054AF6" w:rsidRPr="007A2F6C" w:rsidRDefault="00054AF6" w:rsidP="00054AF6">
      <w:pPr>
        <w:spacing w:before="100" w:beforeAutospacing="1" w:after="100" w:afterAutospacing="1"/>
        <w:jc w:val="both"/>
        <w:outlineLvl w:val="2"/>
        <w:rPr>
          <w:b/>
          <w:bCs/>
        </w:rPr>
      </w:pPr>
      <w:r w:rsidRPr="007A2F6C">
        <w:rPr>
          <w:rFonts w:eastAsia="Calibri"/>
        </w:rPr>
        <w:t xml:space="preserve">Acute toxicity was assessed using a modified </w:t>
      </w:r>
      <w:proofErr w:type="spellStart"/>
      <w:r w:rsidRPr="007A2F6C">
        <w:rPr>
          <w:rFonts w:eastAsia="Calibri"/>
        </w:rPr>
        <w:t>Lorke’s</w:t>
      </w:r>
      <w:proofErr w:type="spellEnd"/>
      <w:r w:rsidRPr="007A2F6C">
        <w:rPr>
          <w:rFonts w:eastAsia="Calibri"/>
        </w:rPr>
        <w:t xml:space="preserve"> method. Twenty-one </w:t>
      </w:r>
      <w:r w:rsidR="00BA5379" w:rsidRPr="007A2F6C">
        <w:rPr>
          <w:rFonts w:eastAsia="Calibri"/>
        </w:rPr>
        <w:t>Wistar</w:t>
      </w:r>
      <w:r w:rsidRPr="007A2F6C">
        <w:rPr>
          <w:rFonts w:eastAsia="Calibri"/>
        </w:rPr>
        <w:t xml:space="preserve"> rats (120–150 g) were utilized in a t</w:t>
      </w:r>
      <w:r w:rsidR="00907808" w:rsidRPr="007A2F6C">
        <w:rPr>
          <w:rFonts w:eastAsia="Calibri"/>
        </w:rPr>
        <w:t>hree</w:t>
      </w:r>
      <w:r w:rsidRPr="007A2F6C">
        <w:rPr>
          <w:rFonts w:eastAsia="Calibri"/>
        </w:rPr>
        <w:t xml:space="preserve">-phase study. In the first phase, nine rats were divided into three groups receiving 10, 100, and 1000 mg/kg of the extract, respectively. Following 24 hours of observation with no mortality, a second phase was conducted using doses of 1600, 2900, and 5000 mg/kg. A final confirmation was performed by administering 5000 mg/kg to three rats, which were </w:t>
      </w:r>
      <w:r w:rsidRPr="007A2F6C">
        <w:rPr>
          <w:rFonts w:eastAsia="Calibri"/>
        </w:rPr>
        <w:lastRenderedPageBreak/>
        <w:t>monitored for 7 days. No clinical signs of toxicity or mortality were observed, leading to the conclusion that the LD</w:t>
      </w:r>
      <w:r w:rsidR="00AD45E3" w:rsidRPr="007A2F6C">
        <w:rPr>
          <w:rFonts w:eastAsia="Calibri"/>
          <w:vertAlign w:val="subscript"/>
        </w:rPr>
        <w:t>50</w:t>
      </w:r>
      <w:r w:rsidRPr="007A2F6C">
        <w:rPr>
          <w:rFonts w:eastAsia="Calibri"/>
        </w:rPr>
        <w:t xml:space="preserve"> exceeds 5000 mg/kg</w:t>
      </w:r>
    </w:p>
    <w:p w14:paraId="4173F98B" w14:textId="77777777" w:rsidR="002B0E17" w:rsidRPr="007A2F6C" w:rsidRDefault="002B0E17" w:rsidP="002B0E17">
      <w:pPr>
        <w:pStyle w:val="NormalWeb"/>
        <w:rPr>
          <w:b/>
          <w:bCs/>
        </w:rPr>
      </w:pPr>
      <w:r w:rsidRPr="007A2F6C">
        <w:rPr>
          <w:b/>
          <w:bCs/>
        </w:rPr>
        <w:t>Experimental Animals and Ethical Considerations</w:t>
      </w:r>
    </w:p>
    <w:p w14:paraId="1939243D" w14:textId="460BB947" w:rsidR="002B0E17" w:rsidRPr="007A2F6C" w:rsidRDefault="002B0E17" w:rsidP="005C63EB">
      <w:pPr>
        <w:pStyle w:val="NormalWeb"/>
        <w:jc w:val="both"/>
      </w:pPr>
      <w:r w:rsidRPr="007A2F6C">
        <w:t>Thirty (30) adult male Wistar rats (1</w:t>
      </w:r>
      <w:r w:rsidR="008E7B18" w:rsidRPr="007A2F6C">
        <w:t>2</w:t>
      </w:r>
      <w:r w:rsidRPr="007A2F6C">
        <w:t>0</w:t>
      </w:r>
      <w:r w:rsidR="00FD7299" w:rsidRPr="007A2F6C">
        <w:t>-1</w:t>
      </w:r>
      <w:r w:rsidR="008E7B18" w:rsidRPr="007A2F6C">
        <w:t>5</w:t>
      </w:r>
      <w:r w:rsidR="00FD7299" w:rsidRPr="007A2F6C">
        <w:t>0</w:t>
      </w:r>
      <w:r w:rsidR="00F53D6B" w:rsidRPr="007A2F6C">
        <w:t xml:space="preserve"> </w:t>
      </w:r>
      <w:r w:rsidRPr="007A2F6C">
        <w:t>g) were sourced from the Animal House Facility of the Faculty of Basic Clinical Sciences, Rivers State University. The animals were housed in well-ventilated cages and subjected to a 14-day acclimatization period under standardized environmental conditions, including a room temperature of 25</w:t>
      </w:r>
      <w:r w:rsidR="0043580D" w:rsidRPr="007A2F6C">
        <w:rPr>
          <w:vertAlign w:val="superscript"/>
        </w:rPr>
        <w:t>o</w:t>
      </w:r>
      <w:r w:rsidRPr="007A2F6C">
        <w:t>C</w:t>
      </w:r>
      <w:r w:rsidR="005C63EB" w:rsidRPr="007A2F6C">
        <w:t xml:space="preserve"> </w:t>
      </w:r>
      <w:r w:rsidR="003F6DD6" w:rsidRPr="007A2F6C">
        <w:t>± 5</w:t>
      </w:r>
      <w:r w:rsidR="003F6DD6" w:rsidRPr="007A2F6C">
        <w:rPr>
          <w:vertAlign w:val="superscript"/>
        </w:rPr>
        <w:t>o</w:t>
      </w:r>
      <w:r w:rsidR="003F6DD6" w:rsidRPr="007A2F6C">
        <w:t>C</w:t>
      </w:r>
      <w:r w:rsidRPr="007A2F6C">
        <w:t xml:space="preserve"> relative humidity of 46% </w:t>
      </w:r>
      <w:r w:rsidR="003F6DD6" w:rsidRPr="007A2F6C">
        <w:t xml:space="preserve">± </w:t>
      </w:r>
      <w:r w:rsidRPr="007A2F6C">
        <w:t xml:space="preserve">%, and a natural 12-hour light-dark cycle. During this period and throughout the study, the rats were provided with a standard pelletized diet and water </w:t>
      </w:r>
      <w:r w:rsidRPr="007A2F6C">
        <w:rPr>
          <w:i/>
          <w:iCs/>
        </w:rPr>
        <w:t>ad libitum</w:t>
      </w:r>
      <w:r w:rsidRPr="007A2F6C">
        <w:t>.</w:t>
      </w:r>
    </w:p>
    <w:p w14:paraId="402FEA5D" w14:textId="205AA2ED" w:rsidR="002B0E17" w:rsidRPr="007A2F6C" w:rsidRDefault="002B0E17" w:rsidP="005C63EB">
      <w:pPr>
        <w:pStyle w:val="NormalWeb"/>
        <w:jc w:val="both"/>
      </w:pPr>
      <w:r w:rsidRPr="007A2F6C">
        <w:t>Following acclimatization, the rats were randomly assigned to six (6) experimental groups (n=5 per group). All experimental procedures were conducted in strict accordance with the internationally accepted principles for laboratory animal use and care, as outlined in the Guide for the Care and Use of Laboratory Animals (NIH Publications No. 85-23, revised 1985). The study protocol was reviewed and approved by the Institutional Animal Ethics Committee of Rivers State University (Protocol No. 17100668; 2019) and complied with the Animal Research: Reporting of In Vivo Experiments (ARRIVE) guidelines.</w:t>
      </w:r>
    </w:p>
    <w:p w14:paraId="3C96FEFF" w14:textId="77777777" w:rsidR="002478F5" w:rsidRPr="007A2F6C" w:rsidRDefault="00632609" w:rsidP="002478F5">
      <w:pPr>
        <w:pStyle w:val="Heading4"/>
        <w:jc w:val="both"/>
      </w:pPr>
      <w:r w:rsidRPr="007A2F6C">
        <w:t>Experimental Design and Induction of Dementia</w:t>
      </w:r>
    </w:p>
    <w:p w14:paraId="7C0E63DE" w14:textId="64A8D8EE" w:rsidR="00B668D8" w:rsidRDefault="00B668D8" w:rsidP="002478F5">
      <w:pPr>
        <w:pStyle w:val="Heading4"/>
        <w:jc w:val="both"/>
        <w:rPr>
          <w:b w:val="0"/>
          <w:bCs w:val="0"/>
        </w:rPr>
      </w:pPr>
      <w:r w:rsidRPr="007A2F6C">
        <w:rPr>
          <w:b w:val="0"/>
          <w:bCs w:val="0"/>
        </w:rPr>
        <w:t>Adult male Wistar rats were randomly allocated into six experimental groups (n = 5 per group) as follows:</w:t>
      </w:r>
    </w:p>
    <w:p w14:paraId="1EBAE3FC" w14:textId="77777777" w:rsidR="007A2F6C" w:rsidRPr="00984C6B" w:rsidRDefault="007A2F6C" w:rsidP="00984C6B">
      <w:pPr>
        <w:spacing w:after="240"/>
        <w:rPr>
          <w:b/>
          <w:bCs/>
        </w:rPr>
      </w:pPr>
      <w:r w:rsidRPr="00984C6B">
        <w:rPr>
          <w:b/>
          <w:bCs/>
        </w:rPr>
        <w:t>Table 1. Experimental Design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792"/>
        <w:gridCol w:w="1710"/>
        <w:gridCol w:w="4961"/>
      </w:tblGrid>
      <w:tr w:rsidR="007A2F6C" w:rsidRPr="007A2F6C" w14:paraId="7AD2266A" w14:textId="77777777" w:rsidTr="00984C6B">
        <w:tc>
          <w:tcPr>
            <w:tcW w:w="0" w:type="auto"/>
            <w:tcBorders>
              <w:top w:val="single" w:sz="4" w:space="0" w:color="auto"/>
              <w:bottom w:val="single" w:sz="4" w:space="0" w:color="auto"/>
            </w:tcBorders>
            <w:hideMark/>
          </w:tcPr>
          <w:p w14:paraId="02C8EDBA" w14:textId="77777777" w:rsidR="007A2F6C" w:rsidRPr="007A2F6C" w:rsidRDefault="007A2F6C" w:rsidP="007A2F6C">
            <w:pPr>
              <w:pStyle w:val="Heading4"/>
              <w:jc w:val="both"/>
              <w:outlineLvl w:val="3"/>
            </w:pPr>
            <w:r w:rsidRPr="007A2F6C">
              <w:t>Group</w:t>
            </w:r>
          </w:p>
        </w:tc>
        <w:tc>
          <w:tcPr>
            <w:tcW w:w="1792" w:type="dxa"/>
            <w:tcBorders>
              <w:top w:val="single" w:sz="4" w:space="0" w:color="auto"/>
              <w:bottom w:val="single" w:sz="4" w:space="0" w:color="auto"/>
            </w:tcBorders>
            <w:hideMark/>
          </w:tcPr>
          <w:p w14:paraId="7154AE5E" w14:textId="77777777" w:rsidR="007A2F6C" w:rsidRPr="007A2F6C" w:rsidRDefault="007A2F6C" w:rsidP="007A2F6C">
            <w:pPr>
              <w:pStyle w:val="Heading4"/>
              <w:jc w:val="both"/>
              <w:outlineLvl w:val="3"/>
            </w:pPr>
            <w:r w:rsidRPr="007A2F6C">
              <w:t>Identification</w:t>
            </w:r>
          </w:p>
        </w:tc>
        <w:tc>
          <w:tcPr>
            <w:tcW w:w="1710" w:type="dxa"/>
            <w:tcBorders>
              <w:top w:val="single" w:sz="4" w:space="0" w:color="auto"/>
              <w:bottom w:val="single" w:sz="4" w:space="0" w:color="auto"/>
            </w:tcBorders>
            <w:hideMark/>
          </w:tcPr>
          <w:p w14:paraId="58B23606" w14:textId="4E30A5CC" w:rsidR="007A2F6C" w:rsidRPr="007A2F6C" w:rsidRDefault="007A2F6C" w:rsidP="007A2F6C">
            <w:pPr>
              <w:pStyle w:val="Heading4"/>
              <w:jc w:val="both"/>
              <w:outlineLvl w:val="3"/>
            </w:pPr>
            <w:r w:rsidRPr="007A2F6C">
              <w:t>N</w:t>
            </w:r>
            <w:r w:rsidR="00984C6B">
              <w:t>o.</w:t>
            </w:r>
            <w:r w:rsidRPr="007A2F6C">
              <w:t xml:space="preserve"> of Rats (n)</w:t>
            </w:r>
          </w:p>
        </w:tc>
        <w:tc>
          <w:tcPr>
            <w:tcW w:w="0" w:type="auto"/>
            <w:tcBorders>
              <w:top w:val="single" w:sz="4" w:space="0" w:color="auto"/>
              <w:bottom w:val="single" w:sz="4" w:space="0" w:color="auto"/>
            </w:tcBorders>
            <w:hideMark/>
          </w:tcPr>
          <w:p w14:paraId="47CF67E9" w14:textId="77777777" w:rsidR="007A2F6C" w:rsidRPr="007A2F6C" w:rsidRDefault="007A2F6C" w:rsidP="007A2F6C">
            <w:pPr>
              <w:pStyle w:val="Heading4"/>
              <w:jc w:val="both"/>
              <w:outlineLvl w:val="3"/>
            </w:pPr>
            <w:r w:rsidRPr="007A2F6C">
              <w:t>Treatment/Exposure</w:t>
            </w:r>
          </w:p>
        </w:tc>
      </w:tr>
      <w:tr w:rsidR="007A2F6C" w:rsidRPr="007A2F6C" w14:paraId="68561537" w14:textId="77777777" w:rsidTr="00984C6B">
        <w:tc>
          <w:tcPr>
            <w:tcW w:w="0" w:type="auto"/>
            <w:tcBorders>
              <w:top w:val="single" w:sz="4" w:space="0" w:color="auto"/>
            </w:tcBorders>
            <w:hideMark/>
          </w:tcPr>
          <w:p w14:paraId="6B18A95D" w14:textId="54734C3A" w:rsidR="007A2F6C" w:rsidRPr="007A2F6C" w:rsidRDefault="00984C6B" w:rsidP="007A2F6C">
            <w:pPr>
              <w:pStyle w:val="Heading4"/>
              <w:jc w:val="both"/>
              <w:outlineLvl w:val="3"/>
              <w:rPr>
                <w:b w:val="0"/>
                <w:bCs w:val="0"/>
              </w:rPr>
            </w:pPr>
            <w:r>
              <w:rPr>
                <w:b w:val="0"/>
                <w:bCs w:val="0"/>
              </w:rPr>
              <w:t>1</w:t>
            </w:r>
          </w:p>
        </w:tc>
        <w:tc>
          <w:tcPr>
            <w:tcW w:w="1792" w:type="dxa"/>
            <w:tcBorders>
              <w:top w:val="single" w:sz="4" w:space="0" w:color="auto"/>
            </w:tcBorders>
            <w:hideMark/>
          </w:tcPr>
          <w:p w14:paraId="2C26548A" w14:textId="77777777" w:rsidR="007A2F6C" w:rsidRPr="007A2F6C" w:rsidRDefault="007A2F6C" w:rsidP="007A2F6C">
            <w:pPr>
              <w:pStyle w:val="Heading4"/>
              <w:jc w:val="both"/>
              <w:outlineLvl w:val="3"/>
              <w:rPr>
                <w:b w:val="0"/>
                <w:bCs w:val="0"/>
              </w:rPr>
            </w:pPr>
            <w:r w:rsidRPr="007A2F6C">
              <w:rPr>
                <w:b w:val="0"/>
                <w:bCs w:val="0"/>
              </w:rPr>
              <w:t>Normal Control</w:t>
            </w:r>
          </w:p>
        </w:tc>
        <w:tc>
          <w:tcPr>
            <w:tcW w:w="1710" w:type="dxa"/>
            <w:tcBorders>
              <w:top w:val="single" w:sz="4" w:space="0" w:color="auto"/>
            </w:tcBorders>
            <w:hideMark/>
          </w:tcPr>
          <w:p w14:paraId="5586006F" w14:textId="77777777" w:rsidR="007A2F6C" w:rsidRPr="007A2F6C" w:rsidRDefault="007A2F6C" w:rsidP="00984C6B">
            <w:pPr>
              <w:pStyle w:val="Heading4"/>
              <w:jc w:val="center"/>
              <w:outlineLvl w:val="3"/>
              <w:rPr>
                <w:b w:val="0"/>
                <w:bCs w:val="0"/>
              </w:rPr>
            </w:pPr>
            <w:r w:rsidRPr="007A2F6C">
              <w:rPr>
                <w:b w:val="0"/>
                <w:bCs w:val="0"/>
              </w:rPr>
              <w:t>5</w:t>
            </w:r>
          </w:p>
        </w:tc>
        <w:tc>
          <w:tcPr>
            <w:tcW w:w="0" w:type="auto"/>
            <w:tcBorders>
              <w:top w:val="single" w:sz="4" w:space="0" w:color="auto"/>
            </w:tcBorders>
            <w:hideMark/>
          </w:tcPr>
          <w:p w14:paraId="10CB750C" w14:textId="77777777" w:rsidR="007A2F6C" w:rsidRPr="007A2F6C" w:rsidRDefault="007A2F6C" w:rsidP="007A2F6C">
            <w:pPr>
              <w:pStyle w:val="Heading4"/>
              <w:jc w:val="both"/>
              <w:outlineLvl w:val="3"/>
              <w:rPr>
                <w:b w:val="0"/>
                <w:bCs w:val="0"/>
              </w:rPr>
            </w:pPr>
            <w:r w:rsidRPr="007A2F6C">
              <w:rPr>
                <w:b w:val="0"/>
                <w:bCs w:val="0"/>
              </w:rPr>
              <w:t>Distilled water only</w:t>
            </w:r>
          </w:p>
        </w:tc>
      </w:tr>
      <w:tr w:rsidR="007A2F6C" w:rsidRPr="007A2F6C" w14:paraId="71B2F9AC" w14:textId="77777777" w:rsidTr="00984C6B">
        <w:tc>
          <w:tcPr>
            <w:tcW w:w="0" w:type="auto"/>
            <w:hideMark/>
          </w:tcPr>
          <w:p w14:paraId="4978C03D" w14:textId="2F6982E8" w:rsidR="007A2F6C" w:rsidRPr="007A2F6C" w:rsidRDefault="00984C6B" w:rsidP="007A2F6C">
            <w:pPr>
              <w:pStyle w:val="Heading4"/>
              <w:jc w:val="both"/>
              <w:outlineLvl w:val="3"/>
              <w:rPr>
                <w:b w:val="0"/>
                <w:bCs w:val="0"/>
              </w:rPr>
            </w:pPr>
            <w:r>
              <w:rPr>
                <w:b w:val="0"/>
                <w:bCs w:val="0"/>
              </w:rPr>
              <w:t>2</w:t>
            </w:r>
          </w:p>
        </w:tc>
        <w:tc>
          <w:tcPr>
            <w:tcW w:w="1792" w:type="dxa"/>
            <w:hideMark/>
          </w:tcPr>
          <w:p w14:paraId="3873B529" w14:textId="77777777" w:rsidR="007A2F6C" w:rsidRPr="007A2F6C" w:rsidRDefault="007A2F6C" w:rsidP="007A2F6C">
            <w:pPr>
              <w:pStyle w:val="Heading4"/>
              <w:jc w:val="both"/>
              <w:outlineLvl w:val="3"/>
              <w:rPr>
                <w:b w:val="0"/>
                <w:bCs w:val="0"/>
              </w:rPr>
            </w:pPr>
            <w:r w:rsidRPr="007A2F6C">
              <w:rPr>
                <w:b w:val="0"/>
                <w:bCs w:val="0"/>
              </w:rPr>
              <w:t>AlCl₃ Control</w:t>
            </w:r>
          </w:p>
        </w:tc>
        <w:tc>
          <w:tcPr>
            <w:tcW w:w="1710" w:type="dxa"/>
            <w:hideMark/>
          </w:tcPr>
          <w:p w14:paraId="49F9A6EF" w14:textId="77777777" w:rsidR="007A2F6C" w:rsidRPr="007A2F6C" w:rsidRDefault="007A2F6C" w:rsidP="00984C6B">
            <w:pPr>
              <w:pStyle w:val="Heading4"/>
              <w:jc w:val="center"/>
              <w:outlineLvl w:val="3"/>
              <w:rPr>
                <w:b w:val="0"/>
                <w:bCs w:val="0"/>
              </w:rPr>
            </w:pPr>
            <w:r w:rsidRPr="007A2F6C">
              <w:rPr>
                <w:b w:val="0"/>
                <w:bCs w:val="0"/>
              </w:rPr>
              <w:t>5</w:t>
            </w:r>
          </w:p>
        </w:tc>
        <w:tc>
          <w:tcPr>
            <w:tcW w:w="0" w:type="auto"/>
            <w:hideMark/>
          </w:tcPr>
          <w:p w14:paraId="0985EBC7" w14:textId="77777777" w:rsidR="007A2F6C" w:rsidRPr="007A2F6C" w:rsidRDefault="007A2F6C" w:rsidP="007A2F6C">
            <w:pPr>
              <w:pStyle w:val="Heading4"/>
              <w:jc w:val="both"/>
              <w:outlineLvl w:val="3"/>
              <w:rPr>
                <w:b w:val="0"/>
                <w:bCs w:val="0"/>
              </w:rPr>
            </w:pPr>
            <w:r w:rsidRPr="007A2F6C">
              <w:rPr>
                <w:b w:val="0"/>
                <w:bCs w:val="0"/>
              </w:rPr>
              <w:t>Aluminium chloride (120 mg/kg bwt)</w:t>
            </w:r>
          </w:p>
        </w:tc>
      </w:tr>
      <w:tr w:rsidR="007A2F6C" w:rsidRPr="007A2F6C" w14:paraId="5BE6105F" w14:textId="77777777" w:rsidTr="00984C6B">
        <w:tc>
          <w:tcPr>
            <w:tcW w:w="0" w:type="auto"/>
            <w:hideMark/>
          </w:tcPr>
          <w:p w14:paraId="7A212727" w14:textId="16C47971" w:rsidR="007A2F6C" w:rsidRPr="007A2F6C" w:rsidRDefault="00984C6B" w:rsidP="007A2F6C">
            <w:pPr>
              <w:pStyle w:val="Heading4"/>
              <w:jc w:val="both"/>
              <w:outlineLvl w:val="3"/>
              <w:rPr>
                <w:b w:val="0"/>
                <w:bCs w:val="0"/>
              </w:rPr>
            </w:pPr>
            <w:r>
              <w:rPr>
                <w:b w:val="0"/>
                <w:bCs w:val="0"/>
              </w:rPr>
              <w:t>3</w:t>
            </w:r>
          </w:p>
        </w:tc>
        <w:tc>
          <w:tcPr>
            <w:tcW w:w="1792" w:type="dxa"/>
            <w:hideMark/>
          </w:tcPr>
          <w:p w14:paraId="64E8041E" w14:textId="77777777" w:rsidR="007A2F6C" w:rsidRPr="007A2F6C" w:rsidRDefault="007A2F6C" w:rsidP="007A2F6C">
            <w:pPr>
              <w:pStyle w:val="Heading4"/>
              <w:jc w:val="both"/>
              <w:outlineLvl w:val="3"/>
              <w:rPr>
                <w:b w:val="0"/>
                <w:bCs w:val="0"/>
              </w:rPr>
            </w:pPr>
            <w:r w:rsidRPr="007A2F6C">
              <w:rPr>
                <w:b w:val="0"/>
                <w:bCs w:val="0"/>
              </w:rPr>
              <w:t>Extract Control</w:t>
            </w:r>
          </w:p>
        </w:tc>
        <w:tc>
          <w:tcPr>
            <w:tcW w:w="1710" w:type="dxa"/>
            <w:hideMark/>
          </w:tcPr>
          <w:p w14:paraId="33F2E3F7" w14:textId="77777777" w:rsidR="007A2F6C" w:rsidRPr="007A2F6C" w:rsidRDefault="007A2F6C" w:rsidP="00984C6B">
            <w:pPr>
              <w:pStyle w:val="Heading4"/>
              <w:jc w:val="center"/>
              <w:outlineLvl w:val="3"/>
              <w:rPr>
                <w:b w:val="0"/>
                <w:bCs w:val="0"/>
              </w:rPr>
            </w:pPr>
            <w:r w:rsidRPr="007A2F6C">
              <w:rPr>
                <w:b w:val="0"/>
                <w:bCs w:val="0"/>
              </w:rPr>
              <w:t>5</w:t>
            </w:r>
          </w:p>
        </w:tc>
        <w:tc>
          <w:tcPr>
            <w:tcW w:w="0" w:type="auto"/>
            <w:hideMark/>
          </w:tcPr>
          <w:p w14:paraId="0820583F" w14:textId="77777777" w:rsidR="007A2F6C" w:rsidRPr="007A2F6C" w:rsidRDefault="007A2F6C" w:rsidP="007A2F6C">
            <w:pPr>
              <w:pStyle w:val="Heading4"/>
              <w:jc w:val="both"/>
              <w:outlineLvl w:val="3"/>
              <w:rPr>
                <w:b w:val="0"/>
                <w:bCs w:val="0"/>
              </w:rPr>
            </w:pPr>
            <w:r w:rsidRPr="007A2F6C">
              <w:rPr>
                <w:b w:val="0"/>
                <w:bCs w:val="0"/>
              </w:rPr>
              <w:t>Combined extract (800 mg/kg bwt)</w:t>
            </w:r>
          </w:p>
        </w:tc>
      </w:tr>
      <w:tr w:rsidR="007A2F6C" w:rsidRPr="007A2F6C" w14:paraId="1284B213" w14:textId="77777777" w:rsidTr="00984C6B">
        <w:tc>
          <w:tcPr>
            <w:tcW w:w="0" w:type="auto"/>
            <w:hideMark/>
          </w:tcPr>
          <w:p w14:paraId="240F0227" w14:textId="176668A3" w:rsidR="007A2F6C" w:rsidRPr="007A2F6C" w:rsidRDefault="00984C6B" w:rsidP="007A2F6C">
            <w:pPr>
              <w:pStyle w:val="Heading4"/>
              <w:jc w:val="both"/>
              <w:outlineLvl w:val="3"/>
              <w:rPr>
                <w:b w:val="0"/>
                <w:bCs w:val="0"/>
              </w:rPr>
            </w:pPr>
            <w:r>
              <w:rPr>
                <w:b w:val="0"/>
                <w:bCs w:val="0"/>
              </w:rPr>
              <w:t>4</w:t>
            </w:r>
          </w:p>
        </w:tc>
        <w:tc>
          <w:tcPr>
            <w:tcW w:w="1792" w:type="dxa"/>
            <w:hideMark/>
          </w:tcPr>
          <w:p w14:paraId="6ED24C62" w14:textId="77777777" w:rsidR="007A2F6C" w:rsidRPr="007A2F6C" w:rsidRDefault="007A2F6C" w:rsidP="007A2F6C">
            <w:pPr>
              <w:pStyle w:val="Heading4"/>
              <w:jc w:val="both"/>
              <w:outlineLvl w:val="3"/>
              <w:rPr>
                <w:b w:val="0"/>
                <w:bCs w:val="0"/>
              </w:rPr>
            </w:pPr>
            <w:r w:rsidRPr="007A2F6C">
              <w:rPr>
                <w:b w:val="0"/>
                <w:bCs w:val="0"/>
              </w:rPr>
              <w:t>Low-Dose Treatment</w:t>
            </w:r>
          </w:p>
        </w:tc>
        <w:tc>
          <w:tcPr>
            <w:tcW w:w="1710" w:type="dxa"/>
            <w:hideMark/>
          </w:tcPr>
          <w:p w14:paraId="14C950FA" w14:textId="77777777" w:rsidR="007A2F6C" w:rsidRPr="007A2F6C" w:rsidRDefault="007A2F6C" w:rsidP="00984C6B">
            <w:pPr>
              <w:pStyle w:val="Heading4"/>
              <w:jc w:val="center"/>
              <w:outlineLvl w:val="3"/>
              <w:rPr>
                <w:b w:val="0"/>
                <w:bCs w:val="0"/>
              </w:rPr>
            </w:pPr>
            <w:r w:rsidRPr="007A2F6C">
              <w:rPr>
                <w:b w:val="0"/>
                <w:bCs w:val="0"/>
              </w:rPr>
              <w:t>5</w:t>
            </w:r>
          </w:p>
        </w:tc>
        <w:tc>
          <w:tcPr>
            <w:tcW w:w="0" w:type="auto"/>
            <w:hideMark/>
          </w:tcPr>
          <w:p w14:paraId="0A344697" w14:textId="77777777" w:rsidR="007A2F6C" w:rsidRPr="007A2F6C" w:rsidRDefault="007A2F6C" w:rsidP="007A2F6C">
            <w:pPr>
              <w:pStyle w:val="Heading4"/>
              <w:jc w:val="both"/>
              <w:outlineLvl w:val="3"/>
              <w:rPr>
                <w:b w:val="0"/>
                <w:bCs w:val="0"/>
              </w:rPr>
            </w:pPr>
            <w:r w:rsidRPr="007A2F6C">
              <w:rPr>
                <w:b w:val="0"/>
                <w:bCs w:val="0"/>
              </w:rPr>
              <w:t>Combined extract (400 mg/kg bwt) + AlCl₃ (120 mg/kg bwt)</w:t>
            </w:r>
          </w:p>
        </w:tc>
      </w:tr>
      <w:tr w:rsidR="007A2F6C" w:rsidRPr="007A2F6C" w14:paraId="4D1192FF" w14:textId="77777777" w:rsidTr="00984C6B">
        <w:tc>
          <w:tcPr>
            <w:tcW w:w="0" w:type="auto"/>
            <w:hideMark/>
          </w:tcPr>
          <w:p w14:paraId="07B0449E" w14:textId="0E3FECB5" w:rsidR="007A2F6C" w:rsidRPr="007A2F6C" w:rsidRDefault="00984C6B" w:rsidP="007A2F6C">
            <w:pPr>
              <w:pStyle w:val="Heading4"/>
              <w:jc w:val="both"/>
              <w:outlineLvl w:val="3"/>
              <w:rPr>
                <w:b w:val="0"/>
                <w:bCs w:val="0"/>
              </w:rPr>
            </w:pPr>
            <w:r>
              <w:rPr>
                <w:b w:val="0"/>
                <w:bCs w:val="0"/>
              </w:rPr>
              <w:t>5</w:t>
            </w:r>
          </w:p>
        </w:tc>
        <w:tc>
          <w:tcPr>
            <w:tcW w:w="1792" w:type="dxa"/>
            <w:hideMark/>
          </w:tcPr>
          <w:p w14:paraId="10452057" w14:textId="77777777" w:rsidR="007A2F6C" w:rsidRPr="007A2F6C" w:rsidRDefault="007A2F6C" w:rsidP="007A2F6C">
            <w:pPr>
              <w:pStyle w:val="Heading4"/>
              <w:jc w:val="both"/>
              <w:outlineLvl w:val="3"/>
              <w:rPr>
                <w:b w:val="0"/>
                <w:bCs w:val="0"/>
              </w:rPr>
            </w:pPr>
            <w:r w:rsidRPr="007A2F6C">
              <w:rPr>
                <w:b w:val="0"/>
                <w:bCs w:val="0"/>
              </w:rPr>
              <w:t>High-Dose Treatment</w:t>
            </w:r>
          </w:p>
        </w:tc>
        <w:tc>
          <w:tcPr>
            <w:tcW w:w="1710" w:type="dxa"/>
            <w:hideMark/>
          </w:tcPr>
          <w:p w14:paraId="46F67343" w14:textId="77777777" w:rsidR="007A2F6C" w:rsidRPr="007A2F6C" w:rsidRDefault="007A2F6C" w:rsidP="00984C6B">
            <w:pPr>
              <w:pStyle w:val="Heading4"/>
              <w:jc w:val="center"/>
              <w:outlineLvl w:val="3"/>
              <w:rPr>
                <w:b w:val="0"/>
                <w:bCs w:val="0"/>
              </w:rPr>
            </w:pPr>
            <w:r w:rsidRPr="007A2F6C">
              <w:rPr>
                <w:b w:val="0"/>
                <w:bCs w:val="0"/>
              </w:rPr>
              <w:t>5</w:t>
            </w:r>
          </w:p>
        </w:tc>
        <w:tc>
          <w:tcPr>
            <w:tcW w:w="0" w:type="auto"/>
            <w:hideMark/>
          </w:tcPr>
          <w:p w14:paraId="77B09A04" w14:textId="77777777" w:rsidR="007A2F6C" w:rsidRPr="007A2F6C" w:rsidRDefault="007A2F6C" w:rsidP="007A2F6C">
            <w:pPr>
              <w:pStyle w:val="Heading4"/>
              <w:jc w:val="both"/>
              <w:outlineLvl w:val="3"/>
              <w:rPr>
                <w:b w:val="0"/>
                <w:bCs w:val="0"/>
              </w:rPr>
            </w:pPr>
            <w:r w:rsidRPr="007A2F6C">
              <w:rPr>
                <w:b w:val="0"/>
                <w:bCs w:val="0"/>
              </w:rPr>
              <w:t>Combined extract (800 mg/kg bwt) + AlCl₃ (120 mg/kg bwt)</w:t>
            </w:r>
          </w:p>
        </w:tc>
      </w:tr>
      <w:tr w:rsidR="007A2F6C" w:rsidRPr="007A2F6C" w14:paraId="6B22F39B" w14:textId="77777777" w:rsidTr="00984C6B">
        <w:tc>
          <w:tcPr>
            <w:tcW w:w="0" w:type="auto"/>
            <w:hideMark/>
          </w:tcPr>
          <w:p w14:paraId="3641311B" w14:textId="2A36D82F" w:rsidR="007A2F6C" w:rsidRPr="007A2F6C" w:rsidRDefault="00984C6B" w:rsidP="007A2F6C">
            <w:pPr>
              <w:pStyle w:val="Heading4"/>
              <w:jc w:val="both"/>
              <w:outlineLvl w:val="3"/>
              <w:rPr>
                <w:b w:val="0"/>
                <w:bCs w:val="0"/>
              </w:rPr>
            </w:pPr>
            <w:r>
              <w:rPr>
                <w:b w:val="0"/>
                <w:bCs w:val="0"/>
              </w:rPr>
              <w:t>6</w:t>
            </w:r>
          </w:p>
        </w:tc>
        <w:tc>
          <w:tcPr>
            <w:tcW w:w="1792" w:type="dxa"/>
            <w:hideMark/>
          </w:tcPr>
          <w:p w14:paraId="7E05A4EF" w14:textId="77777777" w:rsidR="007A2F6C" w:rsidRPr="007A2F6C" w:rsidRDefault="007A2F6C" w:rsidP="007A2F6C">
            <w:pPr>
              <w:pStyle w:val="Heading4"/>
              <w:jc w:val="both"/>
              <w:outlineLvl w:val="3"/>
              <w:rPr>
                <w:b w:val="0"/>
                <w:bCs w:val="0"/>
              </w:rPr>
            </w:pPr>
            <w:r w:rsidRPr="007A2F6C">
              <w:rPr>
                <w:b w:val="0"/>
                <w:bCs w:val="0"/>
              </w:rPr>
              <w:t>Standard Drug</w:t>
            </w:r>
          </w:p>
        </w:tc>
        <w:tc>
          <w:tcPr>
            <w:tcW w:w="1710" w:type="dxa"/>
            <w:hideMark/>
          </w:tcPr>
          <w:p w14:paraId="399553A5" w14:textId="77777777" w:rsidR="007A2F6C" w:rsidRPr="007A2F6C" w:rsidRDefault="007A2F6C" w:rsidP="00984C6B">
            <w:pPr>
              <w:pStyle w:val="Heading4"/>
              <w:jc w:val="center"/>
              <w:outlineLvl w:val="3"/>
              <w:rPr>
                <w:b w:val="0"/>
                <w:bCs w:val="0"/>
              </w:rPr>
            </w:pPr>
            <w:r w:rsidRPr="007A2F6C">
              <w:rPr>
                <w:b w:val="0"/>
                <w:bCs w:val="0"/>
              </w:rPr>
              <w:t>5</w:t>
            </w:r>
          </w:p>
        </w:tc>
        <w:tc>
          <w:tcPr>
            <w:tcW w:w="0" w:type="auto"/>
            <w:hideMark/>
          </w:tcPr>
          <w:p w14:paraId="30B6AD4B" w14:textId="77777777" w:rsidR="007A2F6C" w:rsidRPr="007A2F6C" w:rsidRDefault="007A2F6C" w:rsidP="007A2F6C">
            <w:pPr>
              <w:pStyle w:val="Heading4"/>
              <w:jc w:val="both"/>
              <w:outlineLvl w:val="3"/>
              <w:rPr>
                <w:b w:val="0"/>
                <w:bCs w:val="0"/>
              </w:rPr>
            </w:pPr>
            <w:r w:rsidRPr="007A2F6C">
              <w:rPr>
                <w:b w:val="0"/>
                <w:bCs w:val="0"/>
              </w:rPr>
              <w:t>Donepezil (5 mg/kg bwt) + AlCl₃ (120 mg/kg bwt)</w:t>
            </w:r>
          </w:p>
        </w:tc>
      </w:tr>
    </w:tbl>
    <w:p w14:paraId="609F3CEE" w14:textId="2CA5B278" w:rsidR="00B668D8" w:rsidRPr="007A2F6C" w:rsidRDefault="00B668D8" w:rsidP="00B668D8">
      <w:pPr>
        <w:spacing w:before="100" w:beforeAutospacing="1" w:after="100" w:afterAutospacing="1"/>
        <w:jc w:val="both"/>
      </w:pPr>
      <w:r w:rsidRPr="007A2F6C">
        <w:t xml:space="preserve">Neurotoxicity was induced using </w:t>
      </w:r>
      <w:proofErr w:type="spellStart"/>
      <w:r w:rsidRPr="007A2F6C">
        <w:t>AlCl</w:t>
      </w:r>
      <w:proofErr w:type="spellEnd"/>
      <w:r w:rsidRPr="007A2F6C">
        <w:rPr>
          <w:rFonts w:ascii="Cambria Math" w:hAnsi="Cambria Math" w:cs="Cambria Math"/>
        </w:rPr>
        <w:t>₃</w:t>
      </w:r>
      <w:r w:rsidRPr="007A2F6C">
        <w:t>, administered orally at a dose of 120 mg/kg body weight once daily for 21 consecutive days.</w:t>
      </w:r>
      <w:r w:rsidR="003B40F7" w:rsidRPr="007A2F6C">
        <w:t xml:space="preserve"> </w:t>
      </w:r>
      <w:r w:rsidRPr="007A2F6C">
        <w:t xml:space="preserve">The selected </w:t>
      </w:r>
      <w:proofErr w:type="spellStart"/>
      <w:r w:rsidRPr="007A2F6C">
        <w:t>AlCl</w:t>
      </w:r>
      <w:proofErr w:type="spellEnd"/>
      <w:r w:rsidRPr="007A2F6C">
        <w:rPr>
          <w:rFonts w:ascii="Cambria Math" w:hAnsi="Cambria Math" w:cs="Cambria Math"/>
        </w:rPr>
        <w:t>₃</w:t>
      </w:r>
      <w:r w:rsidRPr="007A2F6C">
        <w:t xml:space="preserve"> dose and duration fall within the neurotoxic range reported to induce reproducible neuronal dysfunction and biochemical disturbances following repeated exposure in Wistar rats. This exposure protocol was therefore considered suitable for mechanistic evaluation of oxidative stress and neuroinflammatory pathways.</w:t>
      </w:r>
    </w:p>
    <w:p w14:paraId="73EE7ADF" w14:textId="1447FCB6" w:rsidR="00B668D8" w:rsidRPr="007A2F6C" w:rsidRDefault="00B668D8" w:rsidP="00B668D8">
      <w:pPr>
        <w:spacing w:before="100" w:beforeAutospacing="1" w:after="100" w:afterAutospacing="1"/>
        <w:jc w:val="both"/>
      </w:pPr>
      <w:r w:rsidRPr="007A2F6C">
        <w:t>Based on the high LD</w:t>
      </w:r>
      <w:r w:rsidRPr="007A2F6C">
        <w:rPr>
          <w:rFonts w:ascii="Cambria Math" w:hAnsi="Cambria Math" w:cs="Cambria Math"/>
        </w:rPr>
        <w:t>₅₀</w:t>
      </w:r>
      <w:r w:rsidRPr="007A2F6C">
        <w:t xml:space="preserve"> value obtained, experimental doses of </w:t>
      </w:r>
      <w:r w:rsidRPr="007A2F6C">
        <w:rPr>
          <w:rStyle w:val="Strong"/>
        </w:rPr>
        <w:t>400 and 800 mg/kg</w:t>
      </w:r>
      <w:r w:rsidRPr="007A2F6C">
        <w:t xml:space="preserve"> were selected to ensure pharmacological efficacy while remaining well within the safety margin. </w:t>
      </w:r>
    </w:p>
    <w:p w14:paraId="347BF330" w14:textId="77777777" w:rsidR="00632609" w:rsidRPr="007A2F6C" w:rsidRDefault="00632609" w:rsidP="00076376">
      <w:pPr>
        <w:pStyle w:val="Heading4"/>
        <w:jc w:val="both"/>
      </w:pPr>
      <w:r w:rsidRPr="007A2F6C">
        <w:lastRenderedPageBreak/>
        <w:t>Tissue Preparation and Homogenization</w:t>
      </w:r>
    </w:p>
    <w:p w14:paraId="122D3D00" w14:textId="0CB1DDF6" w:rsidR="00632609" w:rsidRPr="007A2F6C" w:rsidRDefault="00632609" w:rsidP="00076376">
      <w:pPr>
        <w:pStyle w:val="NormalWeb"/>
        <w:jc w:val="both"/>
      </w:pPr>
      <w:r w:rsidRPr="007A2F6C">
        <w:t xml:space="preserve">Following the treatment period, rats were euthanized, and the whole brain was rapidly excised. Brain tissues were rinsed in ice-cold phosphate-buffered saline (PBS, pH 7.4) and homogenized (10% w/v) in a cold 0.1 M phosphate buffer. The homogenates were centrifuged at </w:t>
      </w:r>
      <w:r w:rsidRPr="007A2F6C">
        <w:rPr>
          <w:rStyle w:val="math-inline"/>
        </w:rPr>
        <w:t>10,000 rpm</w:t>
      </w:r>
      <w:r w:rsidRPr="007A2F6C">
        <w:t xml:space="preserve"> for 15 minutes at </w:t>
      </w:r>
      <w:r w:rsidRPr="007A2F6C">
        <w:rPr>
          <w:rStyle w:val="math-inline"/>
        </w:rPr>
        <w:t>4</w:t>
      </w:r>
      <w:r w:rsidR="00F173EE" w:rsidRPr="007A2F6C">
        <w:rPr>
          <w:rStyle w:val="math-inline"/>
          <w:vertAlign w:val="superscript"/>
        </w:rPr>
        <w:t>o</w:t>
      </w:r>
      <w:r w:rsidRPr="007A2F6C">
        <w:rPr>
          <w:rStyle w:val="math-inline"/>
        </w:rPr>
        <w:t>C</w:t>
      </w:r>
      <w:r w:rsidRPr="007A2F6C">
        <w:t>, and the resulting supernatants were collected for enzymatic and biochemical evaluations.</w:t>
      </w:r>
    </w:p>
    <w:p w14:paraId="6C89E431" w14:textId="502F50E7" w:rsidR="00632609" w:rsidRPr="007A2F6C" w:rsidRDefault="00632609" w:rsidP="00076376">
      <w:pPr>
        <w:pStyle w:val="Heading4"/>
        <w:jc w:val="both"/>
      </w:pPr>
      <w:r w:rsidRPr="007A2F6C">
        <w:t>Biochemical Assays</w:t>
      </w:r>
    </w:p>
    <w:p w14:paraId="010418AD" w14:textId="1C834485" w:rsidR="00632609" w:rsidRPr="007A2F6C" w:rsidRDefault="001376E6" w:rsidP="00076376">
      <w:pPr>
        <w:pStyle w:val="NormalWeb"/>
        <w:jc w:val="both"/>
      </w:pPr>
      <w:r w:rsidRPr="007A2F6C">
        <w:rPr>
          <w:b/>
          <w:bCs/>
        </w:rPr>
        <w:t xml:space="preserve">Assay of </w:t>
      </w:r>
      <w:r w:rsidR="00180D51" w:rsidRPr="007A2F6C">
        <w:rPr>
          <w:b/>
          <w:bCs/>
        </w:rPr>
        <w:t xml:space="preserve">Nicotinamide Adenine Dinucleotide Phosphate Oxidase </w:t>
      </w:r>
      <w:r w:rsidR="00E05569" w:rsidRPr="007A2F6C">
        <w:rPr>
          <w:b/>
          <w:bCs/>
        </w:rPr>
        <w:t>(</w:t>
      </w:r>
      <w:r w:rsidR="00632609" w:rsidRPr="007A2F6C">
        <w:rPr>
          <w:b/>
          <w:bCs/>
        </w:rPr>
        <w:t>NADPH Oxidase</w:t>
      </w:r>
      <w:r w:rsidR="00E05569" w:rsidRPr="007A2F6C">
        <w:rPr>
          <w:b/>
          <w:bCs/>
        </w:rPr>
        <w:t>)</w:t>
      </w:r>
      <w:r w:rsidR="00DF357B" w:rsidRPr="007A2F6C">
        <w:rPr>
          <w:b/>
          <w:bCs/>
        </w:rPr>
        <w:t xml:space="preserve"> Activity</w:t>
      </w:r>
      <w:r w:rsidR="00632609" w:rsidRPr="007A2F6C">
        <w:rPr>
          <w:b/>
          <w:bCs/>
        </w:rPr>
        <w:t>:</w:t>
      </w:r>
      <w:r w:rsidR="00632609" w:rsidRPr="007A2F6C">
        <w:t xml:space="preserve"> </w:t>
      </w:r>
      <w:r w:rsidR="00421BA0" w:rsidRPr="007A2F6C">
        <w:t xml:space="preserve">The activity of NADPH oxidase in brain homogenates was </w:t>
      </w:r>
      <w:r w:rsidRPr="007A2F6C">
        <w:t>q</w:t>
      </w:r>
      <w:r w:rsidR="00632609" w:rsidRPr="007A2F6C">
        <w:t xml:space="preserve">uantified using a rat-specific </w:t>
      </w:r>
      <w:r w:rsidR="001B599C" w:rsidRPr="007A2F6C">
        <w:t xml:space="preserve">Enzyme-Linked Immunosorbent Assay </w:t>
      </w:r>
      <w:r w:rsidR="00661DB1" w:rsidRPr="007A2F6C">
        <w:t>(</w:t>
      </w:r>
      <w:r w:rsidR="00632609" w:rsidRPr="007A2F6C">
        <w:t>ELISA</w:t>
      </w:r>
      <w:r w:rsidR="00661DB1" w:rsidRPr="007A2F6C">
        <w:t>)</w:t>
      </w:r>
      <w:r w:rsidR="00632609" w:rsidRPr="007A2F6C">
        <w:t xml:space="preserve"> kit focused on the Nox2/Nox4 enzyme complex, with results expressed in </w:t>
      </w:r>
      <w:proofErr w:type="spellStart"/>
      <w:r w:rsidR="00632609" w:rsidRPr="007A2F6C">
        <w:rPr>
          <w:rStyle w:val="math-inline"/>
        </w:rPr>
        <w:t>pg</w:t>
      </w:r>
      <w:proofErr w:type="spellEnd"/>
      <w:r w:rsidR="00632609" w:rsidRPr="007A2F6C">
        <w:rPr>
          <w:rStyle w:val="math-inline"/>
        </w:rPr>
        <w:t>/mg</w:t>
      </w:r>
      <w:r w:rsidR="00632609" w:rsidRPr="007A2F6C">
        <w:t xml:space="preserve"> protein (Zou et al., 2020).</w:t>
      </w:r>
    </w:p>
    <w:p w14:paraId="6D62FEBD" w14:textId="1271A277" w:rsidR="00632609" w:rsidRPr="007A2F6C" w:rsidRDefault="0040487B" w:rsidP="00076376">
      <w:pPr>
        <w:pStyle w:val="NormalWeb"/>
        <w:jc w:val="both"/>
      </w:pPr>
      <w:r w:rsidRPr="007A2F6C">
        <w:rPr>
          <w:b/>
          <w:bCs/>
        </w:rPr>
        <w:t xml:space="preserve">Determination of </w:t>
      </w:r>
      <w:r w:rsidR="00632609" w:rsidRPr="007A2F6C">
        <w:rPr>
          <w:b/>
          <w:bCs/>
        </w:rPr>
        <w:t>Nitrosative Stress Markers:</w:t>
      </w:r>
      <w:r w:rsidR="00632609" w:rsidRPr="007A2F6C">
        <w:t xml:space="preserve"> Total Nitric Oxide Metabolites (</w:t>
      </w:r>
      <w:r w:rsidR="00632609" w:rsidRPr="007A2F6C">
        <w:rPr>
          <w:rStyle w:val="math-inline"/>
        </w:rPr>
        <w:t>NOx</w:t>
      </w:r>
      <w:r w:rsidR="00632609" w:rsidRPr="007A2F6C">
        <w:t>) and specific Nitrate levels were determined using the Griess reagent system after the enzymatic reduction of nitrate to nitrite via nitrate reductase (Abdel-Salam et al., 2022).</w:t>
      </w:r>
    </w:p>
    <w:p w14:paraId="0A14C8A6" w14:textId="03EFEC9A" w:rsidR="00877564" w:rsidRPr="007A2F6C" w:rsidRDefault="007252B3" w:rsidP="009E1BD1">
      <w:pPr>
        <w:pStyle w:val="NormalWeb"/>
        <w:jc w:val="both"/>
      </w:pPr>
      <w:r w:rsidRPr="007A2F6C">
        <w:rPr>
          <w:b/>
          <w:bCs/>
        </w:rPr>
        <w:t>Assessment of Oxidative Stress Markers</w:t>
      </w:r>
      <w:r w:rsidR="00254E5C" w:rsidRPr="007A2F6C">
        <w:rPr>
          <w:b/>
          <w:bCs/>
        </w:rPr>
        <w:t>:</w:t>
      </w:r>
      <w:r w:rsidR="00254E5C" w:rsidRPr="007A2F6C">
        <w:t xml:space="preserve"> </w:t>
      </w:r>
      <w:r w:rsidR="008F51A2" w:rsidRPr="007A2F6C">
        <w:t>The markers of oxidative damage and the enzymatic antioxidant defense system were assayed using established protocols</w:t>
      </w:r>
      <w:r w:rsidR="00745120" w:rsidRPr="007A2F6C">
        <w:t xml:space="preserve">. </w:t>
      </w:r>
      <w:r w:rsidR="00254E5C" w:rsidRPr="007A2F6C">
        <w:t>The activities of Superoxide Dismutase (SOD), Catalase (CAT), and Glutathione Peroxidase (</w:t>
      </w:r>
      <w:proofErr w:type="spellStart"/>
      <w:r w:rsidR="00254E5C" w:rsidRPr="007A2F6C">
        <w:t>GPx</w:t>
      </w:r>
      <w:proofErr w:type="spellEnd"/>
      <w:r w:rsidR="00254E5C" w:rsidRPr="007A2F6C">
        <w:t>) were determined using standard kinetic spectrophotometric methods (</w:t>
      </w:r>
      <w:proofErr w:type="spellStart"/>
      <w:r w:rsidR="00254E5C" w:rsidRPr="007A2F6C">
        <w:t>Misra</w:t>
      </w:r>
      <w:proofErr w:type="spellEnd"/>
      <w:r w:rsidR="00254E5C" w:rsidRPr="007A2F6C">
        <w:t xml:space="preserve"> &amp; </w:t>
      </w:r>
      <w:proofErr w:type="spellStart"/>
      <w:r w:rsidR="00254E5C" w:rsidRPr="007A2F6C">
        <w:t>Fridovich</w:t>
      </w:r>
      <w:proofErr w:type="spellEnd"/>
      <w:r w:rsidR="00254E5C" w:rsidRPr="007A2F6C">
        <w:t xml:space="preserve">, 1972; </w:t>
      </w:r>
      <w:proofErr w:type="spellStart"/>
      <w:r w:rsidR="00254E5C" w:rsidRPr="007A2F6C">
        <w:t>Aebi</w:t>
      </w:r>
      <w:proofErr w:type="spellEnd"/>
      <w:r w:rsidR="00254E5C" w:rsidRPr="007A2F6C">
        <w:t>, 1984).</w:t>
      </w:r>
      <w:r w:rsidR="00877564" w:rsidRPr="007A2F6C">
        <w:t xml:space="preserve"> As a marker of lipid peroxidation, MDA levels were estimated using the </w:t>
      </w:r>
      <w:proofErr w:type="spellStart"/>
      <w:r w:rsidR="00877564" w:rsidRPr="007A2F6C">
        <w:t>Thiobarbituric</w:t>
      </w:r>
      <w:proofErr w:type="spellEnd"/>
      <w:r w:rsidR="00877564" w:rsidRPr="007A2F6C">
        <w:t xml:space="preserve"> Acid Reactive Substances (TBARS) assay. The reaction between MDA and </w:t>
      </w:r>
      <w:proofErr w:type="spellStart"/>
      <w:r w:rsidR="00877564" w:rsidRPr="007A2F6C">
        <w:t>thiobarbituric</w:t>
      </w:r>
      <w:proofErr w:type="spellEnd"/>
      <w:r w:rsidR="00877564" w:rsidRPr="007A2F6C">
        <w:t xml:space="preserve"> acid (TBA) produced a pink-colored complex measured at 532 nm.</w:t>
      </w:r>
    </w:p>
    <w:p w14:paraId="18A514D5" w14:textId="77777777" w:rsidR="00D837B1" w:rsidRPr="007A2F6C" w:rsidRDefault="003C64FA" w:rsidP="00D837B1">
      <w:pPr>
        <w:pStyle w:val="NormalWeb"/>
        <w:jc w:val="both"/>
      </w:pPr>
      <w:r w:rsidRPr="007A2F6C">
        <w:rPr>
          <w:b/>
          <w:bCs/>
        </w:rPr>
        <w:t>Determination of Inflammatory Markers</w:t>
      </w:r>
      <w:r w:rsidR="00632609" w:rsidRPr="007A2F6C">
        <w:rPr>
          <w:b/>
          <w:bCs/>
        </w:rPr>
        <w:t>:</w:t>
      </w:r>
      <w:r w:rsidR="00632609" w:rsidRPr="007A2F6C">
        <w:t xml:space="preserve"> </w:t>
      </w:r>
      <w:r w:rsidR="00576817" w:rsidRPr="007A2F6C">
        <w:t>The concentrations of pro-inflammatory cytokines</w:t>
      </w:r>
      <w:r w:rsidR="00625BEB" w:rsidRPr="007A2F6C">
        <w:t xml:space="preserve"> (</w:t>
      </w:r>
      <w:r w:rsidR="00576817" w:rsidRPr="007A2F6C">
        <w:t>Tumor Necrosis Factor-alpha (TNF-</w:t>
      </w:r>
      <w:r w:rsidR="00576817" w:rsidRPr="007A2F6C">
        <w:rPr>
          <w:rStyle w:val="math-inline"/>
        </w:rPr>
        <w:t>alpha</w:t>
      </w:r>
      <w:r w:rsidR="00576817" w:rsidRPr="007A2F6C">
        <w:t>)</w:t>
      </w:r>
      <w:r w:rsidR="00C977A7" w:rsidRPr="007A2F6C">
        <w:t>,</w:t>
      </w:r>
      <w:r w:rsidR="00324F4A" w:rsidRPr="007A2F6C">
        <w:t xml:space="preserve"> </w:t>
      </w:r>
      <w:r w:rsidR="00576817" w:rsidRPr="007A2F6C">
        <w:t>Interleukin-6 (IL-6)</w:t>
      </w:r>
      <w:r w:rsidR="00C977A7" w:rsidRPr="007A2F6C">
        <w:t xml:space="preserve"> and</w:t>
      </w:r>
      <w:r w:rsidR="00947CDC" w:rsidRPr="007A2F6C">
        <w:t xml:space="preserve"> </w:t>
      </w:r>
      <w:r w:rsidR="00146EFC" w:rsidRPr="007A2F6C">
        <w:t>Interleukin</w:t>
      </w:r>
      <w:r w:rsidR="00947CDC" w:rsidRPr="007A2F6C">
        <w:t>-1</w:t>
      </w:r>
      <w:r w:rsidR="00A27A36" w:rsidRPr="007A2F6C">
        <w:t>beta</w:t>
      </w:r>
      <w:r w:rsidR="00C977A7" w:rsidRPr="007A2F6C">
        <w:t xml:space="preserve"> </w:t>
      </w:r>
      <w:r w:rsidR="00146EFC" w:rsidRPr="007A2F6C">
        <w:t>(</w:t>
      </w:r>
      <w:r w:rsidR="00C977A7" w:rsidRPr="007A2F6C">
        <w:t>IL-1</w:t>
      </w:r>
      <w:r w:rsidR="00A27A36" w:rsidRPr="007A2F6C">
        <w:t>β</w:t>
      </w:r>
      <w:r w:rsidR="00146EFC" w:rsidRPr="007A2F6C">
        <w:t>)</w:t>
      </w:r>
      <w:r w:rsidR="00576817" w:rsidRPr="007A2F6C">
        <w:t xml:space="preserve">, were quantified using </w:t>
      </w:r>
      <w:r w:rsidR="00394CA5" w:rsidRPr="007A2F6C">
        <w:t>high-sensitivity</w:t>
      </w:r>
      <w:r w:rsidR="00576817" w:rsidRPr="007A2F6C">
        <w:t xml:space="preserve"> </w:t>
      </w:r>
      <w:bookmarkStart w:id="5" w:name="_Hlk219167233"/>
      <w:r w:rsidR="00576817" w:rsidRPr="007A2F6C">
        <w:t xml:space="preserve">Enzyme-Linked Immunosorbent Assay </w:t>
      </w:r>
      <w:bookmarkEnd w:id="5"/>
      <w:r w:rsidR="00576817" w:rsidRPr="007A2F6C">
        <w:t>(ELISA) kits. The assays were performed in accordance with the manufacturer's instructions</w:t>
      </w:r>
      <w:r w:rsidR="00E81675" w:rsidRPr="007A2F6C">
        <w:t xml:space="preserve"> </w:t>
      </w:r>
      <w:r w:rsidR="00632609" w:rsidRPr="007A2F6C">
        <w:t>(Bibi et al., 2023).</w:t>
      </w:r>
    </w:p>
    <w:p w14:paraId="459CB739" w14:textId="6BBC68A7" w:rsidR="00AB7379" w:rsidRPr="007A2F6C" w:rsidRDefault="00AB7379" w:rsidP="00D837B1">
      <w:pPr>
        <w:pStyle w:val="NormalWeb"/>
        <w:jc w:val="both"/>
        <w:rPr>
          <w:b/>
          <w:bCs/>
        </w:rPr>
      </w:pPr>
      <w:r w:rsidRPr="007A2F6C">
        <w:rPr>
          <w:b/>
          <w:bCs/>
        </w:rPr>
        <w:t>Protein Determination</w:t>
      </w:r>
      <w:r w:rsidR="00D837B1" w:rsidRPr="007A2F6C">
        <w:rPr>
          <w:b/>
          <w:bCs/>
        </w:rPr>
        <w:t>:</w:t>
      </w:r>
      <w:r w:rsidR="00984C6B">
        <w:rPr>
          <w:b/>
          <w:bCs/>
        </w:rPr>
        <w:t xml:space="preserve"> </w:t>
      </w:r>
      <w:r w:rsidRPr="007A2F6C">
        <w:t>Total protein concentration in the brain homogenates was determined using the Biuret method or Lowry’s assay, using bovine serum albumin (BSA) as the standard, to normalize all biochemical parameters.</w:t>
      </w:r>
    </w:p>
    <w:p w14:paraId="4EA08B63" w14:textId="238FAAA0" w:rsidR="001544E7" w:rsidRPr="007A2F6C" w:rsidRDefault="001544E7" w:rsidP="001544E7">
      <w:pPr>
        <w:pStyle w:val="Heading4"/>
        <w:jc w:val="both"/>
      </w:pPr>
      <w:r w:rsidRPr="007A2F6C">
        <w:t>Statistical Analysis</w:t>
      </w:r>
    </w:p>
    <w:p w14:paraId="356AD6E0" w14:textId="3607BE50" w:rsidR="009B20CE" w:rsidRPr="00984C6B" w:rsidRDefault="001544E7" w:rsidP="00984C6B">
      <w:pPr>
        <w:pStyle w:val="NormalWeb"/>
        <w:jc w:val="both"/>
      </w:pPr>
      <w:r w:rsidRPr="007A2F6C">
        <w:t>All data obtained from the biochemical assays and memory assessments were expressed as Mean ± Standard Error of the Mean (SEM). Statistical evaluations were performed using GraphPad Prism (version 9.0</w:t>
      </w:r>
      <w:r w:rsidR="001E5E71" w:rsidRPr="007A2F6C">
        <w:t>).</w:t>
      </w:r>
      <w:r w:rsidR="0020738C" w:rsidRPr="007A2F6C">
        <w:t xml:space="preserve"> </w:t>
      </w:r>
      <w:r w:rsidRPr="007A2F6C">
        <w:rPr>
          <w:rStyle w:val="citation-664"/>
        </w:rPr>
        <w:t>To determine the significance of differences between the six experimental groups</w:t>
      </w:r>
      <w:r w:rsidRPr="007A2F6C">
        <w:t xml:space="preserve">, a one-way Analysis of Variance (ANOVA) was employed. </w:t>
      </w:r>
      <w:r w:rsidRPr="007A2F6C">
        <w:rPr>
          <w:rStyle w:val="citation-663"/>
        </w:rPr>
        <w:t>This was followed by Tukey’s Multiple Comparison Tes</w:t>
      </w:r>
      <w:r w:rsidR="003C7999" w:rsidRPr="007A2F6C">
        <w:rPr>
          <w:rStyle w:val="citation-663"/>
        </w:rPr>
        <w:t>t</w:t>
      </w:r>
      <w:r w:rsidRPr="007A2F6C">
        <w:rPr>
          <w:rStyle w:val="citation-663"/>
        </w:rPr>
        <w:t xml:space="preserve"> to identify specific differences between the contro</w:t>
      </w:r>
      <w:r w:rsidR="006A15A5" w:rsidRPr="007A2F6C">
        <w:rPr>
          <w:rStyle w:val="citation-663"/>
        </w:rPr>
        <w:t>l</w:t>
      </w:r>
      <w:r w:rsidRPr="007A2F6C">
        <w:rPr>
          <w:rStyle w:val="citation-662"/>
        </w:rPr>
        <w:t xml:space="preserve">, </w:t>
      </w:r>
      <w:r w:rsidRPr="007A2F6C">
        <w:rPr>
          <w:rStyle w:val="math-inline"/>
        </w:rPr>
        <w:t>AlCl</w:t>
      </w:r>
      <w:r w:rsidR="001E5E71" w:rsidRPr="007A2F6C">
        <w:rPr>
          <w:rStyle w:val="math-inline"/>
        </w:rPr>
        <w:t>3</w:t>
      </w:r>
      <w:r w:rsidRPr="007A2F6C">
        <w:rPr>
          <w:rStyle w:val="citation-662"/>
        </w:rPr>
        <w:t>-</w:t>
      </w:r>
      <w:r w:rsidR="00C5527C" w:rsidRPr="007A2F6C">
        <w:rPr>
          <w:rStyle w:val="citation-662"/>
        </w:rPr>
        <w:t>only</w:t>
      </w:r>
      <w:r w:rsidRPr="007A2F6C">
        <w:rPr>
          <w:rStyle w:val="citation-661"/>
        </w:rPr>
        <w:t>, extract-treated</w:t>
      </w:r>
      <w:r w:rsidRPr="007A2F6C">
        <w:rPr>
          <w:rStyle w:val="citation-660"/>
        </w:rPr>
        <w:t>, and standard drug (Donepezil) groups</w:t>
      </w:r>
      <w:r w:rsidRPr="007A2F6C">
        <w:t xml:space="preserve">. A value of </w:t>
      </w:r>
      <w:r w:rsidRPr="007A2F6C">
        <w:rPr>
          <w:rStyle w:val="math-inline"/>
        </w:rPr>
        <w:t>p &lt; 0.05</w:t>
      </w:r>
      <w:r w:rsidRPr="007A2F6C">
        <w:t xml:space="preserve"> was considered statistically significant. </w:t>
      </w:r>
      <w:r w:rsidRPr="007A2F6C">
        <w:rPr>
          <w:rStyle w:val="citation-659"/>
        </w:rPr>
        <w:t>All graphical representations were generated to highlight the variance between the diseased group (</w:t>
      </w:r>
      <w:r w:rsidR="002E2F05" w:rsidRPr="007A2F6C">
        <w:rPr>
          <w:rStyle w:val="math-inline"/>
        </w:rPr>
        <w:t>AlCl3</w:t>
      </w:r>
      <w:r w:rsidR="002E2F05" w:rsidRPr="007A2F6C">
        <w:rPr>
          <w:rStyle w:val="citation-662"/>
        </w:rPr>
        <w:t>-</w:t>
      </w:r>
      <w:r w:rsidR="00C5527C" w:rsidRPr="007A2F6C">
        <w:rPr>
          <w:rStyle w:val="citation-662"/>
        </w:rPr>
        <w:t>only</w:t>
      </w:r>
      <w:r w:rsidR="002E2F05" w:rsidRPr="007A2F6C">
        <w:rPr>
          <w:rStyle w:val="citation-662"/>
        </w:rPr>
        <w:t xml:space="preserve">, </w:t>
      </w:r>
      <w:r w:rsidRPr="007A2F6C">
        <w:rPr>
          <w:rStyle w:val="citation-659"/>
        </w:rPr>
        <w:t xml:space="preserve">Group </w:t>
      </w:r>
      <w:r w:rsidR="006A15A5" w:rsidRPr="007A2F6C">
        <w:rPr>
          <w:rStyle w:val="citation-659"/>
        </w:rPr>
        <w:t>2</w:t>
      </w:r>
      <w:r w:rsidRPr="007A2F6C">
        <w:rPr>
          <w:rStyle w:val="citation-659"/>
        </w:rPr>
        <w:t xml:space="preserve">) and the treated groups (Groups </w:t>
      </w:r>
      <w:r w:rsidR="006A15A5" w:rsidRPr="007A2F6C">
        <w:rPr>
          <w:rStyle w:val="citation-659"/>
        </w:rPr>
        <w:t>4</w:t>
      </w:r>
      <w:r w:rsidRPr="007A2F6C">
        <w:rPr>
          <w:rStyle w:val="citation-659"/>
        </w:rPr>
        <w:t xml:space="preserve">, </w:t>
      </w:r>
      <w:r w:rsidR="003C7999" w:rsidRPr="007A2F6C">
        <w:rPr>
          <w:rStyle w:val="citation-659"/>
        </w:rPr>
        <w:t>5</w:t>
      </w:r>
      <w:r w:rsidRPr="007A2F6C">
        <w:rPr>
          <w:rStyle w:val="citation-659"/>
        </w:rPr>
        <w:t xml:space="preserve">, and </w:t>
      </w:r>
      <w:r w:rsidR="003F134B" w:rsidRPr="007A2F6C">
        <w:rPr>
          <w:rStyle w:val="citation-659"/>
        </w:rPr>
        <w:t>6).</w:t>
      </w:r>
    </w:p>
    <w:p w14:paraId="7DF82DED" w14:textId="48690FB3" w:rsidR="002426A7" w:rsidRDefault="00984C6B" w:rsidP="00076376">
      <w:pPr>
        <w:spacing w:before="100" w:beforeAutospacing="1" w:after="100" w:afterAutospacing="1"/>
        <w:jc w:val="both"/>
        <w:outlineLvl w:val="2"/>
        <w:rPr>
          <w:b/>
          <w:bCs/>
        </w:rPr>
      </w:pPr>
      <w:r w:rsidRPr="00076376">
        <w:rPr>
          <w:b/>
          <w:bCs/>
        </w:rPr>
        <w:lastRenderedPageBreak/>
        <w:t>RESULTS</w:t>
      </w:r>
    </w:p>
    <w:p w14:paraId="38ACFD23" w14:textId="77777777" w:rsidR="00A85388" w:rsidRDefault="00A85388" w:rsidP="00984C6B">
      <w:pPr>
        <w:spacing w:line="276" w:lineRule="auto"/>
        <w:jc w:val="both"/>
        <w:rPr>
          <w:b/>
        </w:rPr>
      </w:pPr>
      <w:bookmarkStart w:id="6" w:name="_Hlk219195121"/>
      <w:r>
        <w:rPr>
          <w:b/>
        </w:rPr>
        <w:t xml:space="preserve">Result of acute toxicity evaluation of </w:t>
      </w:r>
      <w:r>
        <w:rPr>
          <w:b/>
          <w:i/>
        </w:rPr>
        <w:t xml:space="preserve">Piper </w:t>
      </w:r>
      <w:proofErr w:type="spellStart"/>
      <w:r>
        <w:rPr>
          <w:b/>
          <w:i/>
        </w:rPr>
        <w:t>guinenses</w:t>
      </w:r>
      <w:proofErr w:type="spellEnd"/>
      <w:r>
        <w:rPr>
          <w:b/>
        </w:rPr>
        <w:t xml:space="preserve"> leaves and </w:t>
      </w:r>
      <w:proofErr w:type="spellStart"/>
      <w:r>
        <w:rPr>
          <w:b/>
          <w:i/>
        </w:rPr>
        <w:t>Zingiber</w:t>
      </w:r>
      <w:proofErr w:type="spellEnd"/>
      <w:r>
        <w:rPr>
          <w:b/>
          <w:i/>
        </w:rPr>
        <w:t xml:space="preserve"> officinalis </w:t>
      </w:r>
      <w:r>
        <w:rPr>
          <w:b/>
        </w:rPr>
        <w:t>combined extract</w:t>
      </w:r>
    </w:p>
    <w:p w14:paraId="5F780021" w14:textId="2360CDF1" w:rsidR="00A85388" w:rsidRDefault="00A85388" w:rsidP="00265C09">
      <w:pPr>
        <w:spacing w:line="276" w:lineRule="auto"/>
        <w:jc w:val="both"/>
      </w:pPr>
      <w:r>
        <w:t xml:space="preserve">Graded doses up to 6000 mg/kg of the combined extract produced no mortality in rats. The rats administered up to this dose remained active and physically stable throughout the </w:t>
      </w:r>
      <w:r w:rsidR="004B348B">
        <w:t>24-hour</w:t>
      </w:r>
      <w:r>
        <w:t xml:space="preserve"> period of observation. However, 33.33percent mortality was observed in the third phase and group administered 7000 mg/kg body weight while all rats administered 10,000 mg/kg of the combined extract died. The application of </w:t>
      </w:r>
      <w:proofErr w:type="spellStart"/>
      <w:r>
        <w:t>Lorke’s</w:t>
      </w:r>
      <w:proofErr w:type="spellEnd"/>
      <w:r>
        <w:t xml:space="preserve"> </w:t>
      </w:r>
      <w:proofErr w:type="spellStart"/>
      <w:r>
        <w:t>formular</w:t>
      </w:r>
      <w:proofErr w:type="spellEnd"/>
      <w:r>
        <w:t xml:space="preserve"> therefore yielded an LD</w:t>
      </w:r>
      <w:r>
        <w:rPr>
          <w:vertAlign w:val="subscript"/>
        </w:rPr>
        <w:t>50</w:t>
      </w:r>
      <w:r>
        <w:t xml:space="preserve"> value of 7745.97 mg/kg body weight for the 50:50 combined extracts of </w:t>
      </w:r>
      <w:r>
        <w:rPr>
          <w:i/>
        </w:rPr>
        <w:t xml:space="preserve">Piper </w:t>
      </w:r>
      <w:proofErr w:type="spellStart"/>
      <w:r>
        <w:rPr>
          <w:i/>
        </w:rPr>
        <w:t>guinenses</w:t>
      </w:r>
      <w:proofErr w:type="spellEnd"/>
      <w:r>
        <w:t xml:space="preserve"> leaves and </w:t>
      </w:r>
      <w:proofErr w:type="spellStart"/>
      <w:r>
        <w:rPr>
          <w:i/>
        </w:rPr>
        <w:t>Zingiber</w:t>
      </w:r>
      <w:proofErr w:type="spellEnd"/>
      <w:r>
        <w:rPr>
          <w:i/>
        </w:rPr>
        <w:t xml:space="preserve"> officinalis</w:t>
      </w:r>
      <w:r>
        <w:t xml:space="preserve">.   </w:t>
      </w:r>
      <w:r w:rsidR="00DB6F65">
        <w:t>Summary of r</w:t>
      </w:r>
      <w:r>
        <w:t xml:space="preserve">esults are presented in </w:t>
      </w:r>
      <w:r w:rsidR="00984C6B">
        <w:t xml:space="preserve">Table </w:t>
      </w:r>
      <w:r w:rsidR="00644939">
        <w:t>2</w:t>
      </w:r>
      <w:r>
        <w:t>.</w:t>
      </w:r>
    </w:p>
    <w:p w14:paraId="399EDB6F" w14:textId="6C1B60DC" w:rsidR="00265C09" w:rsidRPr="00265C09" w:rsidRDefault="00265C09" w:rsidP="00265C09">
      <w:pPr>
        <w:spacing w:before="100" w:beforeAutospacing="1" w:after="100" w:afterAutospacing="1"/>
        <w:outlineLvl w:val="2"/>
        <w:rPr>
          <w:b/>
          <w:bCs/>
        </w:rPr>
      </w:pPr>
      <w:r w:rsidRPr="00265C09">
        <w:rPr>
          <w:b/>
          <w:bCs/>
        </w:rPr>
        <w:t xml:space="preserve">Table </w:t>
      </w:r>
      <w:r w:rsidR="00644939">
        <w:rPr>
          <w:b/>
          <w:bCs/>
        </w:rPr>
        <w:t>2</w:t>
      </w:r>
      <w:r w:rsidRPr="00265C09">
        <w:rPr>
          <w:b/>
          <w:bCs/>
        </w:rPr>
        <w:t>: Summary of Acute Toxicity Stages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2"/>
        <w:gridCol w:w="1701"/>
        <w:gridCol w:w="1559"/>
        <w:gridCol w:w="4252"/>
      </w:tblGrid>
      <w:tr w:rsidR="00265C09" w:rsidRPr="00265C09" w14:paraId="72F8CC46" w14:textId="77777777" w:rsidTr="00984C6B">
        <w:tc>
          <w:tcPr>
            <w:tcW w:w="846" w:type="dxa"/>
            <w:tcBorders>
              <w:top w:val="single" w:sz="4" w:space="0" w:color="auto"/>
              <w:bottom w:val="single" w:sz="4" w:space="0" w:color="auto"/>
            </w:tcBorders>
          </w:tcPr>
          <w:p w14:paraId="1E54F86F" w14:textId="77777777" w:rsidR="00265C09" w:rsidRPr="00265C09" w:rsidRDefault="00265C09" w:rsidP="00984C6B">
            <w:pPr>
              <w:spacing w:before="100" w:beforeAutospacing="1" w:after="100" w:afterAutospacing="1"/>
              <w:outlineLvl w:val="2"/>
              <w:rPr>
                <w:b/>
                <w:bCs/>
              </w:rPr>
            </w:pPr>
            <w:r w:rsidRPr="00265C09">
              <w:rPr>
                <w:b/>
                <w:bCs/>
              </w:rPr>
              <w:t>Stage</w:t>
            </w:r>
          </w:p>
        </w:tc>
        <w:tc>
          <w:tcPr>
            <w:tcW w:w="992" w:type="dxa"/>
            <w:tcBorders>
              <w:top w:val="single" w:sz="4" w:space="0" w:color="auto"/>
              <w:bottom w:val="single" w:sz="4" w:space="0" w:color="auto"/>
            </w:tcBorders>
          </w:tcPr>
          <w:p w14:paraId="3CCB7C43" w14:textId="77777777" w:rsidR="00265C09" w:rsidRPr="00265C09" w:rsidRDefault="00265C09" w:rsidP="00984C6B">
            <w:pPr>
              <w:spacing w:before="100" w:beforeAutospacing="1" w:after="100" w:afterAutospacing="1"/>
              <w:outlineLvl w:val="2"/>
              <w:rPr>
                <w:b/>
                <w:bCs/>
              </w:rPr>
            </w:pPr>
            <w:r w:rsidRPr="00265C09">
              <w:rPr>
                <w:b/>
                <w:bCs/>
              </w:rPr>
              <w:t>Group</w:t>
            </w:r>
          </w:p>
        </w:tc>
        <w:tc>
          <w:tcPr>
            <w:tcW w:w="1701" w:type="dxa"/>
            <w:tcBorders>
              <w:top w:val="single" w:sz="4" w:space="0" w:color="auto"/>
              <w:bottom w:val="single" w:sz="4" w:space="0" w:color="auto"/>
            </w:tcBorders>
          </w:tcPr>
          <w:p w14:paraId="656AEA2F" w14:textId="77777777" w:rsidR="00265C09" w:rsidRPr="00265C09" w:rsidRDefault="00265C09" w:rsidP="00984C6B">
            <w:pPr>
              <w:spacing w:before="100" w:beforeAutospacing="1" w:after="100" w:afterAutospacing="1"/>
              <w:outlineLvl w:val="2"/>
              <w:rPr>
                <w:b/>
                <w:bCs/>
              </w:rPr>
            </w:pPr>
            <w:r w:rsidRPr="00265C09">
              <w:rPr>
                <w:b/>
                <w:bCs/>
              </w:rPr>
              <w:t>Dose (mg/kg)</w:t>
            </w:r>
          </w:p>
        </w:tc>
        <w:tc>
          <w:tcPr>
            <w:tcW w:w="1559" w:type="dxa"/>
            <w:tcBorders>
              <w:top w:val="single" w:sz="4" w:space="0" w:color="auto"/>
              <w:bottom w:val="single" w:sz="4" w:space="0" w:color="auto"/>
            </w:tcBorders>
          </w:tcPr>
          <w:p w14:paraId="51A6F0BA" w14:textId="77777777" w:rsidR="00265C09" w:rsidRPr="00265C09" w:rsidRDefault="00265C09" w:rsidP="00984C6B">
            <w:pPr>
              <w:spacing w:before="100" w:beforeAutospacing="1" w:after="100" w:afterAutospacing="1"/>
              <w:outlineLvl w:val="2"/>
              <w:rPr>
                <w:b/>
                <w:bCs/>
              </w:rPr>
            </w:pPr>
            <w:r w:rsidRPr="00265C09">
              <w:rPr>
                <w:b/>
                <w:bCs/>
              </w:rPr>
              <w:t>Mortality</w:t>
            </w:r>
          </w:p>
        </w:tc>
        <w:tc>
          <w:tcPr>
            <w:tcW w:w="4252" w:type="dxa"/>
            <w:tcBorders>
              <w:top w:val="single" w:sz="4" w:space="0" w:color="auto"/>
              <w:bottom w:val="single" w:sz="4" w:space="0" w:color="auto"/>
            </w:tcBorders>
          </w:tcPr>
          <w:p w14:paraId="0C6DFFBE" w14:textId="77777777" w:rsidR="00265C09" w:rsidRPr="00265C09" w:rsidRDefault="00265C09" w:rsidP="00984C6B">
            <w:pPr>
              <w:spacing w:before="100" w:beforeAutospacing="1" w:after="100" w:afterAutospacing="1"/>
              <w:outlineLvl w:val="2"/>
              <w:rPr>
                <w:b/>
                <w:bCs/>
              </w:rPr>
            </w:pPr>
            <w:r w:rsidRPr="00265C09">
              <w:rPr>
                <w:b/>
                <w:bCs/>
              </w:rPr>
              <w:t>Observations</w:t>
            </w:r>
          </w:p>
        </w:tc>
      </w:tr>
      <w:tr w:rsidR="00265C09" w:rsidRPr="00265C09" w14:paraId="365EBC58" w14:textId="77777777" w:rsidTr="00984C6B">
        <w:tc>
          <w:tcPr>
            <w:tcW w:w="846" w:type="dxa"/>
            <w:tcBorders>
              <w:top w:val="single" w:sz="4" w:space="0" w:color="auto"/>
            </w:tcBorders>
          </w:tcPr>
          <w:p w14:paraId="4DC198BB" w14:textId="77777777" w:rsidR="00265C09" w:rsidRPr="00265C09" w:rsidRDefault="00265C09" w:rsidP="00265C09">
            <w:pPr>
              <w:spacing w:before="100" w:beforeAutospacing="1" w:after="100" w:afterAutospacing="1"/>
              <w:outlineLvl w:val="2"/>
            </w:pPr>
            <w:r w:rsidRPr="00265C09">
              <w:t>I</w:t>
            </w:r>
          </w:p>
        </w:tc>
        <w:tc>
          <w:tcPr>
            <w:tcW w:w="992" w:type="dxa"/>
            <w:tcBorders>
              <w:top w:val="single" w:sz="4" w:space="0" w:color="auto"/>
            </w:tcBorders>
          </w:tcPr>
          <w:p w14:paraId="170D2F27" w14:textId="77777777" w:rsidR="00265C09" w:rsidRPr="00265C09" w:rsidRDefault="00265C09" w:rsidP="00265C09">
            <w:pPr>
              <w:spacing w:before="100" w:beforeAutospacing="1" w:after="100" w:afterAutospacing="1"/>
              <w:outlineLvl w:val="2"/>
            </w:pPr>
            <w:r w:rsidRPr="00265C09">
              <w:t>1–3</w:t>
            </w:r>
          </w:p>
        </w:tc>
        <w:tc>
          <w:tcPr>
            <w:tcW w:w="1701" w:type="dxa"/>
            <w:tcBorders>
              <w:top w:val="single" w:sz="4" w:space="0" w:color="auto"/>
            </w:tcBorders>
          </w:tcPr>
          <w:p w14:paraId="6FD6B040" w14:textId="77777777" w:rsidR="00265C09" w:rsidRPr="00265C09" w:rsidRDefault="00265C09" w:rsidP="00265C09">
            <w:pPr>
              <w:spacing w:before="100" w:beforeAutospacing="1" w:after="100" w:afterAutospacing="1"/>
              <w:outlineLvl w:val="2"/>
            </w:pPr>
            <w:r w:rsidRPr="00265C09">
              <w:t>10, 100, 1000</w:t>
            </w:r>
          </w:p>
        </w:tc>
        <w:tc>
          <w:tcPr>
            <w:tcW w:w="1559" w:type="dxa"/>
            <w:tcBorders>
              <w:top w:val="single" w:sz="4" w:space="0" w:color="auto"/>
            </w:tcBorders>
          </w:tcPr>
          <w:p w14:paraId="1A347339" w14:textId="77777777" w:rsidR="00265C09" w:rsidRPr="00265C09" w:rsidRDefault="00265C09" w:rsidP="00265C09">
            <w:pPr>
              <w:spacing w:before="100" w:beforeAutospacing="1" w:after="100" w:afterAutospacing="1"/>
              <w:outlineLvl w:val="2"/>
            </w:pPr>
            <w:r w:rsidRPr="00265C09">
              <w:t>0/3 (0%)</w:t>
            </w:r>
          </w:p>
        </w:tc>
        <w:tc>
          <w:tcPr>
            <w:tcW w:w="4252" w:type="dxa"/>
            <w:tcBorders>
              <w:top w:val="single" w:sz="4" w:space="0" w:color="auto"/>
            </w:tcBorders>
          </w:tcPr>
          <w:p w14:paraId="693521CE" w14:textId="77777777" w:rsidR="00265C09" w:rsidRPr="00265C09" w:rsidRDefault="00265C09" w:rsidP="00265C09">
            <w:pPr>
              <w:spacing w:before="100" w:beforeAutospacing="1" w:after="100" w:afterAutospacing="1"/>
              <w:outlineLvl w:val="2"/>
            </w:pPr>
            <w:r w:rsidRPr="00265C09">
              <w:t>Active and physically stable.</w:t>
            </w:r>
          </w:p>
        </w:tc>
      </w:tr>
      <w:tr w:rsidR="00265C09" w:rsidRPr="00265C09" w14:paraId="7E5FC44A" w14:textId="77777777" w:rsidTr="00984C6B">
        <w:tc>
          <w:tcPr>
            <w:tcW w:w="846" w:type="dxa"/>
          </w:tcPr>
          <w:p w14:paraId="6B6C5402" w14:textId="77777777" w:rsidR="00265C09" w:rsidRPr="00265C09" w:rsidRDefault="00265C09" w:rsidP="00265C09">
            <w:pPr>
              <w:spacing w:before="100" w:beforeAutospacing="1" w:after="100" w:afterAutospacing="1"/>
              <w:outlineLvl w:val="2"/>
            </w:pPr>
            <w:r w:rsidRPr="00265C09">
              <w:t>II</w:t>
            </w:r>
          </w:p>
        </w:tc>
        <w:tc>
          <w:tcPr>
            <w:tcW w:w="992" w:type="dxa"/>
          </w:tcPr>
          <w:p w14:paraId="35DFBAFA" w14:textId="77777777" w:rsidR="00265C09" w:rsidRPr="00265C09" w:rsidRDefault="00265C09" w:rsidP="00265C09">
            <w:pPr>
              <w:spacing w:before="100" w:beforeAutospacing="1" w:after="100" w:afterAutospacing="1"/>
              <w:outlineLvl w:val="2"/>
            </w:pPr>
            <w:r w:rsidRPr="00265C09">
              <w:t>1–2</w:t>
            </w:r>
          </w:p>
        </w:tc>
        <w:tc>
          <w:tcPr>
            <w:tcW w:w="1701" w:type="dxa"/>
          </w:tcPr>
          <w:p w14:paraId="6314D22C" w14:textId="77777777" w:rsidR="00265C09" w:rsidRPr="00265C09" w:rsidRDefault="00265C09" w:rsidP="00265C09">
            <w:pPr>
              <w:spacing w:before="100" w:beforeAutospacing="1" w:after="100" w:afterAutospacing="1"/>
              <w:outlineLvl w:val="2"/>
            </w:pPr>
            <w:r w:rsidRPr="00265C09">
              <w:t>1600, 2900</w:t>
            </w:r>
          </w:p>
        </w:tc>
        <w:tc>
          <w:tcPr>
            <w:tcW w:w="1559" w:type="dxa"/>
          </w:tcPr>
          <w:p w14:paraId="30CFDB85" w14:textId="77777777" w:rsidR="00265C09" w:rsidRPr="00265C09" w:rsidRDefault="00265C09" w:rsidP="00265C09">
            <w:pPr>
              <w:spacing w:before="100" w:beforeAutospacing="1" w:after="100" w:afterAutospacing="1"/>
              <w:outlineLvl w:val="2"/>
            </w:pPr>
            <w:r w:rsidRPr="00265C09">
              <w:t>0/3 (0%)</w:t>
            </w:r>
          </w:p>
        </w:tc>
        <w:tc>
          <w:tcPr>
            <w:tcW w:w="4252" w:type="dxa"/>
          </w:tcPr>
          <w:p w14:paraId="3125489F" w14:textId="77777777" w:rsidR="00265C09" w:rsidRPr="00265C09" w:rsidRDefault="00265C09" w:rsidP="00265C09">
            <w:pPr>
              <w:spacing w:before="100" w:beforeAutospacing="1" w:after="100" w:afterAutospacing="1"/>
              <w:outlineLvl w:val="2"/>
            </w:pPr>
            <w:r w:rsidRPr="00265C09">
              <w:t>Active and physically stable.</w:t>
            </w:r>
          </w:p>
        </w:tc>
      </w:tr>
      <w:tr w:rsidR="00265C09" w:rsidRPr="00265C09" w14:paraId="08A857D9" w14:textId="77777777" w:rsidTr="00984C6B">
        <w:tc>
          <w:tcPr>
            <w:tcW w:w="846" w:type="dxa"/>
          </w:tcPr>
          <w:p w14:paraId="3AFA447E" w14:textId="77777777" w:rsidR="00265C09" w:rsidRPr="00265C09" w:rsidRDefault="00265C09" w:rsidP="00265C09">
            <w:pPr>
              <w:spacing w:before="100" w:beforeAutospacing="1" w:after="100" w:afterAutospacing="1"/>
              <w:outlineLvl w:val="2"/>
            </w:pPr>
            <w:r w:rsidRPr="00265C09">
              <w:t>II</w:t>
            </w:r>
          </w:p>
        </w:tc>
        <w:tc>
          <w:tcPr>
            <w:tcW w:w="992" w:type="dxa"/>
          </w:tcPr>
          <w:p w14:paraId="2E22681F" w14:textId="77777777" w:rsidR="00265C09" w:rsidRPr="00265C09" w:rsidRDefault="00265C09" w:rsidP="00265C09">
            <w:pPr>
              <w:spacing w:before="100" w:beforeAutospacing="1" w:after="100" w:afterAutospacing="1"/>
              <w:outlineLvl w:val="2"/>
            </w:pPr>
            <w:r w:rsidRPr="00265C09">
              <w:t>3</w:t>
            </w:r>
          </w:p>
        </w:tc>
        <w:tc>
          <w:tcPr>
            <w:tcW w:w="1701" w:type="dxa"/>
          </w:tcPr>
          <w:p w14:paraId="790138A3" w14:textId="77777777" w:rsidR="00265C09" w:rsidRPr="00265C09" w:rsidRDefault="00265C09" w:rsidP="00265C09">
            <w:pPr>
              <w:spacing w:before="100" w:beforeAutospacing="1" w:after="100" w:afterAutospacing="1"/>
              <w:outlineLvl w:val="2"/>
            </w:pPr>
            <w:r w:rsidRPr="00265C09">
              <w:t>5000</w:t>
            </w:r>
          </w:p>
        </w:tc>
        <w:tc>
          <w:tcPr>
            <w:tcW w:w="1559" w:type="dxa"/>
          </w:tcPr>
          <w:p w14:paraId="3EE6BB14" w14:textId="77777777" w:rsidR="00265C09" w:rsidRPr="00265C09" w:rsidRDefault="00265C09" w:rsidP="00265C09">
            <w:pPr>
              <w:spacing w:before="100" w:beforeAutospacing="1" w:after="100" w:afterAutospacing="1"/>
              <w:outlineLvl w:val="2"/>
            </w:pPr>
            <w:r w:rsidRPr="00265C09">
              <w:t>0/3 (0%)</w:t>
            </w:r>
          </w:p>
        </w:tc>
        <w:tc>
          <w:tcPr>
            <w:tcW w:w="4252" w:type="dxa"/>
          </w:tcPr>
          <w:p w14:paraId="34A3BD77" w14:textId="77777777" w:rsidR="00265C09" w:rsidRPr="00265C09" w:rsidRDefault="00265C09" w:rsidP="00265C09">
            <w:pPr>
              <w:spacing w:before="100" w:beforeAutospacing="1" w:after="100" w:afterAutospacing="1"/>
              <w:outlineLvl w:val="2"/>
            </w:pPr>
            <w:r w:rsidRPr="00265C09">
              <w:t>Initially calm; regained activity within 1 hr.</w:t>
            </w:r>
          </w:p>
        </w:tc>
      </w:tr>
      <w:tr w:rsidR="00265C09" w:rsidRPr="00265C09" w14:paraId="73EE018A" w14:textId="77777777" w:rsidTr="00984C6B">
        <w:tc>
          <w:tcPr>
            <w:tcW w:w="846" w:type="dxa"/>
          </w:tcPr>
          <w:p w14:paraId="3D3EDC99" w14:textId="77777777" w:rsidR="00265C09" w:rsidRPr="00265C09" w:rsidRDefault="00265C09" w:rsidP="00265C09">
            <w:pPr>
              <w:spacing w:before="100" w:beforeAutospacing="1" w:after="100" w:afterAutospacing="1"/>
              <w:outlineLvl w:val="2"/>
            </w:pPr>
            <w:r w:rsidRPr="00265C09">
              <w:t>III</w:t>
            </w:r>
          </w:p>
        </w:tc>
        <w:tc>
          <w:tcPr>
            <w:tcW w:w="992" w:type="dxa"/>
          </w:tcPr>
          <w:p w14:paraId="2FA1BF56" w14:textId="77777777" w:rsidR="00265C09" w:rsidRPr="00265C09" w:rsidRDefault="00265C09" w:rsidP="00265C09">
            <w:pPr>
              <w:spacing w:before="100" w:beforeAutospacing="1" w:after="100" w:afterAutospacing="1"/>
              <w:outlineLvl w:val="2"/>
            </w:pPr>
            <w:r w:rsidRPr="00265C09">
              <w:t>1</w:t>
            </w:r>
          </w:p>
        </w:tc>
        <w:tc>
          <w:tcPr>
            <w:tcW w:w="1701" w:type="dxa"/>
          </w:tcPr>
          <w:p w14:paraId="6B361357" w14:textId="77777777" w:rsidR="00265C09" w:rsidRPr="00265C09" w:rsidRDefault="00265C09" w:rsidP="00265C09">
            <w:pPr>
              <w:spacing w:before="100" w:beforeAutospacing="1" w:after="100" w:afterAutospacing="1"/>
              <w:outlineLvl w:val="2"/>
            </w:pPr>
            <w:r w:rsidRPr="00265C09">
              <w:t>6000</w:t>
            </w:r>
          </w:p>
        </w:tc>
        <w:tc>
          <w:tcPr>
            <w:tcW w:w="1559" w:type="dxa"/>
          </w:tcPr>
          <w:p w14:paraId="1490ED4A" w14:textId="77777777" w:rsidR="00265C09" w:rsidRPr="00265C09" w:rsidRDefault="00265C09" w:rsidP="00265C09">
            <w:pPr>
              <w:spacing w:before="100" w:beforeAutospacing="1" w:after="100" w:afterAutospacing="1"/>
              <w:outlineLvl w:val="2"/>
            </w:pPr>
            <w:r w:rsidRPr="00265C09">
              <w:t>0/3 (0%)</w:t>
            </w:r>
          </w:p>
        </w:tc>
        <w:tc>
          <w:tcPr>
            <w:tcW w:w="4252" w:type="dxa"/>
          </w:tcPr>
          <w:p w14:paraId="16EBECF4" w14:textId="77777777" w:rsidR="00265C09" w:rsidRPr="00265C09" w:rsidRDefault="00265C09" w:rsidP="00265C09">
            <w:pPr>
              <w:spacing w:before="100" w:beforeAutospacing="1" w:after="100" w:afterAutospacing="1"/>
              <w:outlineLvl w:val="2"/>
            </w:pPr>
            <w:r w:rsidRPr="00265C09">
              <w:t>Initially calm; regained activity within 24 hrs.</w:t>
            </w:r>
          </w:p>
        </w:tc>
      </w:tr>
      <w:tr w:rsidR="00265C09" w:rsidRPr="00265C09" w14:paraId="7EEA857A" w14:textId="77777777" w:rsidTr="00984C6B">
        <w:tc>
          <w:tcPr>
            <w:tcW w:w="846" w:type="dxa"/>
          </w:tcPr>
          <w:p w14:paraId="0CBDEE1E" w14:textId="77777777" w:rsidR="00265C09" w:rsidRPr="00265C09" w:rsidRDefault="00265C09" w:rsidP="00265C09">
            <w:pPr>
              <w:spacing w:before="100" w:beforeAutospacing="1" w:after="100" w:afterAutospacing="1"/>
              <w:outlineLvl w:val="2"/>
            </w:pPr>
            <w:r w:rsidRPr="00265C09">
              <w:t>III</w:t>
            </w:r>
          </w:p>
        </w:tc>
        <w:tc>
          <w:tcPr>
            <w:tcW w:w="992" w:type="dxa"/>
          </w:tcPr>
          <w:p w14:paraId="6D64A66C" w14:textId="77777777" w:rsidR="00265C09" w:rsidRPr="00265C09" w:rsidRDefault="00265C09" w:rsidP="00265C09">
            <w:pPr>
              <w:spacing w:before="100" w:beforeAutospacing="1" w:after="100" w:afterAutospacing="1"/>
              <w:outlineLvl w:val="2"/>
            </w:pPr>
            <w:r w:rsidRPr="00265C09">
              <w:t>2</w:t>
            </w:r>
          </w:p>
        </w:tc>
        <w:tc>
          <w:tcPr>
            <w:tcW w:w="1701" w:type="dxa"/>
          </w:tcPr>
          <w:p w14:paraId="49517FE9" w14:textId="77777777" w:rsidR="00265C09" w:rsidRPr="00265C09" w:rsidRDefault="00265C09" w:rsidP="00265C09">
            <w:pPr>
              <w:spacing w:before="100" w:beforeAutospacing="1" w:after="100" w:afterAutospacing="1"/>
              <w:outlineLvl w:val="2"/>
            </w:pPr>
            <w:r w:rsidRPr="00265C09">
              <w:t>7000</w:t>
            </w:r>
          </w:p>
        </w:tc>
        <w:tc>
          <w:tcPr>
            <w:tcW w:w="1559" w:type="dxa"/>
          </w:tcPr>
          <w:p w14:paraId="56A4DF17" w14:textId="77777777" w:rsidR="00265C09" w:rsidRPr="00265C09" w:rsidRDefault="00265C09" w:rsidP="00265C09">
            <w:pPr>
              <w:spacing w:before="100" w:beforeAutospacing="1" w:after="100" w:afterAutospacing="1"/>
              <w:outlineLvl w:val="2"/>
            </w:pPr>
            <w:r w:rsidRPr="00265C09">
              <w:t>1/3 (33.33%)</w:t>
            </w:r>
          </w:p>
        </w:tc>
        <w:tc>
          <w:tcPr>
            <w:tcW w:w="4252" w:type="dxa"/>
          </w:tcPr>
          <w:p w14:paraId="0E0F6035" w14:textId="77777777" w:rsidR="00265C09" w:rsidRPr="00265C09" w:rsidRDefault="00265C09" w:rsidP="00265C09">
            <w:pPr>
              <w:spacing w:before="100" w:beforeAutospacing="1" w:after="100" w:afterAutospacing="1"/>
              <w:outlineLvl w:val="2"/>
            </w:pPr>
            <w:r w:rsidRPr="00265C09">
              <w:t>Weak, depressed, and calm; partial recovery.</w:t>
            </w:r>
          </w:p>
        </w:tc>
      </w:tr>
      <w:tr w:rsidR="00265C09" w:rsidRPr="00265C09" w14:paraId="6488700D" w14:textId="77777777" w:rsidTr="00984C6B">
        <w:tc>
          <w:tcPr>
            <w:tcW w:w="846" w:type="dxa"/>
          </w:tcPr>
          <w:p w14:paraId="060F8A51" w14:textId="77777777" w:rsidR="00265C09" w:rsidRPr="00265C09" w:rsidRDefault="00265C09" w:rsidP="00265C09">
            <w:pPr>
              <w:spacing w:before="100" w:beforeAutospacing="1" w:after="100" w:afterAutospacing="1"/>
              <w:outlineLvl w:val="2"/>
            </w:pPr>
            <w:r w:rsidRPr="00265C09">
              <w:t>III</w:t>
            </w:r>
          </w:p>
        </w:tc>
        <w:tc>
          <w:tcPr>
            <w:tcW w:w="992" w:type="dxa"/>
          </w:tcPr>
          <w:p w14:paraId="1D39F59B" w14:textId="77777777" w:rsidR="00265C09" w:rsidRPr="00265C09" w:rsidRDefault="00265C09" w:rsidP="00265C09">
            <w:pPr>
              <w:spacing w:before="100" w:beforeAutospacing="1" w:after="100" w:afterAutospacing="1"/>
              <w:outlineLvl w:val="2"/>
            </w:pPr>
            <w:r w:rsidRPr="00265C09">
              <w:t>3</w:t>
            </w:r>
          </w:p>
        </w:tc>
        <w:tc>
          <w:tcPr>
            <w:tcW w:w="1701" w:type="dxa"/>
          </w:tcPr>
          <w:p w14:paraId="53900D47" w14:textId="77777777" w:rsidR="00265C09" w:rsidRPr="00265C09" w:rsidRDefault="00265C09" w:rsidP="00265C09">
            <w:pPr>
              <w:spacing w:before="100" w:beforeAutospacing="1" w:after="100" w:afterAutospacing="1"/>
              <w:outlineLvl w:val="2"/>
            </w:pPr>
            <w:r w:rsidRPr="00265C09">
              <w:t>10000</w:t>
            </w:r>
          </w:p>
        </w:tc>
        <w:tc>
          <w:tcPr>
            <w:tcW w:w="1559" w:type="dxa"/>
          </w:tcPr>
          <w:p w14:paraId="585A520E" w14:textId="77777777" w:rsidR="00265C09" w:rsidRPr="00265C09" w:rsidRDefault="00265C09" w:rsidP="00265C09">
            <w:pPr>
              <w:spacing w:before="100" w:beforeAutospacing="1" w:after="100" w:afterAutospacing="1"/>
              <w:outlineLvl w:val="2"/>
            </w:pPr>
            <w:r w:rsidRPr="00265C09">
              <w:t>3/3 (100%)</w:t>
            </w:r>
          </w:p>
        </w:tc>
        <w:tc>
          <w:tcPr>
            <w:tcW w:w="4252" w:type="dxa"/>
          </w:tcPr>
          <w:p w14:paraId="1C0AC731" w14:textId="77777777" w:rsidR="00265C09" w:rsidRPr="00265C09" w:rsidRDefault="00265C09" w:rsidP="00265C09">
            <w:pPr>
              <w:spacing w:before="100" w:beforeAutospacing="1" w:after="100" w:afterAutospacing="1"/>
              <w:outlineLvl w:val="2"/>
            </w:pPr>
            <w:r w:rsidRPr="00265C09">
              <w:t>Calm, depressed; 100% mortality within 24 hrs.</w:t>
            </w:r>
          </w:p>
        </w:tc>
      </w:tr>
    </w:tbl>
    <w:p w14:paraId="5BFF987A" w14:textId="77777777" w:rsidR="00A85388" w:rsidRDefault="00A85388" w:rsidP="0081330F">
      <w:pPr>
        <w:spacing w:line="276" w:lineRule="auto"/>
        <w:jc w:val="both"/>
      </w:pPr>
      <w:r>
        <w:t>LD</w:t>
      </w:r>
      <w:r>
        <w:rPr>
          <w:vertAlign w:val="subscript"/>
        </w:rPr>
        <w:t>50</w:t>
      </w:r>
      <w:r>
        <w:t xml:space="preserve"> = (D</w:t>
      </w:r>
      <w:r>
        <w:rPr>
          <w:vertAlign w:val="subscript"/>
        </w:rPr>
        <w:t>0</w:t>
      </w:r>
      <w:r>
        <w:t xml:space="preserve"> x D</w:t>
      </w:r>
      <w:r>
        <w:rPr>
          <w:vertAlign w:val="subscript"/>
        </w:rPr>
        <w:t>100</w:t>
      </w:r>
      <w:r>
        <w:t>)</w:t>
      </w:r>
      <w:r>
        <w:rPr>
          <w:vertAlign w:val="superscript"/>
        </w:rPr>
        <w:t>1/2</w:t>
      </w:r>
    </w:p>
    <w:p w14:paraId="778968B1" w14:textId="77777777" w:rsidR="00A85388" w:rsidRDefault="00A85388" w:rsidP="0081330F">
      <w:pPr>
        <w:spacing w:line="276" w:lineRule="auto"/>
        <w:jc w:val="both"/>
      </w:pPr>
      <w:r>
        <w:t>Where:</w:t>
      </w:r>
    </w:p>
    <w:p w14:paraId="6D824F7A" w14:textId="77777777" w:rsidR="00A85388" w:rsidRDefault="00A85388" w:rsidP="00984C6B">
      <w:pPr>
        <w:pStyle w:val="ListParagraph"/>
        <w:numPr>
          <w:ilvl w:val="0"/>
          <w:numId w:val="18"/>
        </w:numPr>
        <w:spacing w:line="276" w:lineRule="auto"/>
        <w:jc w:val="both"/>
      </w:pPr>
      <w:r>
        <w:t>D</w:t>
      </w:r>
      <w:r w:rsidRPr="00984C6B">
        <w:rPr>
          <w:vertAlign w:val="subscript"/>
        </w:rPr>
        <w:t>0</w:t>
      </w:r>
      <w:r>
        <w:t>: Highest dose that gave no mortality.</w:t>
      </w:r>
    </w:p>
    <w:p w14:paraId="3B2FDADB" w14:textId="77777777" w:rsidR="00A85388" w:rsidRDefault="00A85388" w:rsidP="00984C6B">
      <w:pPr>
        <w:pStyle w:val="ListParagraph"/>
        <w:numPr>
          <w:ilvl w:val="0"/>
          <w:numId w:val="18"/>
        </w:numPr>
        <w:spacing w:line="276" w:lineRule="auto"/>
        <w:jc w:val="both"/>
      </w:pPr>
      <w:r>
        <w:t>D</w:t>
      </w:r>
      <w:r w:rsidRPr="00984C6B">
        <w:rPr>
          <w:vertAlign w:val="subscript"/>
        </w:rPr>
        <w:t>100</w:t>
      </w:r>
      <w:r>
        <w:t>: Lowest dose that produced mortality</w:t>
      </w:r>
    </w:p>
    <w:p w14:paraId="35EBCDD0" w14:textId="77777777" w:rsidR="00A85388" w:rsidRPr="00984C6B" w:rsidRDefault="00A85388" w:rsidP="00984C6B">
      <w:pPr>
        <w:pStyle w:val="ListParagraph"/>
        <w:numPr>
          <w:ilvl w:val="0"/>
          <w:numId w:val="18"/>
        </w:numPr>
        <w:spacing w:line="276" w:lineRule="auto"/>
        <w:jc w:val="both"/>
        <w:rPr>
          <w:vertAlign w:val="superscript"/>
        </w:rPr>
      </w:pPr>
      <w:r>
        <w:t>LD</w:t>
      </w:r>
      <w:r w:rsidRPr="00984C6B">
        <w:rPr>
          <w:vertAlign w:val="subscript"/>
        </w:rPr>
        <w:t>50</w:t>
      </w:r>
      <w:r>
        <w:t xml:space="preserve"> = (6000 x 10000)</w:t>
      </w:r>
      <w:r w:rsidRPr="00984C6B">
        <w:rPr>
          <w:vertAlign w:val="superscript"/>
        </w:rPr>
        <w:t>1/2</w:t>
      </w:r>
    </w:p>
    <w:p w14:paraId="32437EA1" w14:textId="77777777" w:rsidR="00A85388" w:rsidRDefault="00A85388" w:rsidP="00984C6B">
      <w:pPr>
        <w:pStyle w:val="ListParagraph"/>
        <w:numPr>
          <w:ilvl w:val="0"/>
          <w:numId w:val="18"/>
        </w:numPr>
        <w:spacing w:line="276" w:lineRule="auto"/>
        <w:jc w:val="both"/>
      </w:pPr>
      <w:r>
        <w:t>LD</w:t>
      </w:r>
      <w:r w:rsidRPr="00984C6B">
        <w:rPr>
          <w:vertAlign w:val="subscript"/>
        </w:rPr>
        <w:t>50</w:t>
      </w:r>
      <w:r>
        <w:t xml:space="preserve"> = 7745.97 mg/kg body weight</w:t>
      </w:r>
    </w:p>
    <w:p w14:paraId="1F4517C1" w14:textId="625DA6B3" w:rsidR="00A85388" w:rsidRPr="00076376" w:rsidRDefault="00A85388" w:rsidP="00984C6B">
      <w:r>
        <w:t xml:space="preserve"> </w:t>
      </w:r>
    </w:p>
    <w:bookmarkEnd w:id="6"/>
    <w:p w14:paraId="53C011C1" w14:textId="1D19A076" w:rsidR="00B41CCF" w:rsidRPr="00076376" w:rsidRDefault="00B41CCF" w:rsidP="00984C6B">
      <w:pPr>
        <w:spacing w:after="240" w:line="276" w:lineRule="auto"/>
        <w:jc w:val="both"/>
        <w:rPr>
          <w:rFonts w:eastAsia="Calibri"/>
          <w:b/>
        </w:rPr>
      </w:pPr>
      <w:r w:rsidRPr="00076376">
        <w:rPr>
          <w:rFonts w:eastAsia="Calibri"/>
          <w:b/>
          <w:lang w:val="en-GB"/>
        </w:rPr>
        <w:t>Effect of combined ethanol leaf extract of</w:t>
      </w:r>
      <w:r w:rsidRPr="00076376">
        <w:rPr>
          <w:rFonts w:eastAsia="Calibri"/>
          <w:b/>
        </w:rPr>
        <w:t xml:space="preserve"> </w:t>
      </w:r>
      <w:r w:rsidRPr="00076376">
        <w:rPr>
          <w:rFonts w:eastAsia="Calibri"/>
          <w:b/>
          <w:i/>
          <w:iCs/>
        </w:rPr>
        <w:t>Piper</w:t>
      </w:r>
      <w:r w:rsidRPr="00076376">
        <w:rPr>
          <w:rFonts w:eastAsia="Calibri"/>
          <w:b/>
        </w:rPr>
        <w:t xml:space="preserve"> </w:t>
      </w:r>
      <w:proofErr w:type="spellStart"/>
      <w:r w:rsidRPr="00076376">
        <w:rPr>
          <w:rFonts w:eastAsia="Calibri"/>
          <w:b/>
          <w:i/>
          <w:iCs/>
        </w:rPr>
        <w:t>guineese</w:t>
      </w:r>
      <w:proofErr w:type="spellEnd"/>
      <w:r w:rsidRPr="00076376">
        <w:rPr>
          <w:rFonts w:eastAsia="Calibri"/>
          <w:b/>
          <w:i/>
          <w:iCs/>
        </w:rPr>
        <w:t xml:space="preserve"> and </w:t>
      </w:r>
      <w:proofErr w:type="spellStart"/>
      <w:r w:rsidRPr="00076376">
        <w:rPr>
          <w:rFonts w:eastAsia="Calibri"/>
          <w:b/>
          <w:i/>
          <w:iCs/>
        </w:rPr>
        <w:t>Zingiber</w:t>
      </w:r>
      <w:proofErr w:type="spellEnd"/>
      <w:r w:rsidRPr="00076376">
        <w:rPr>
          <w:rFonts w:eastAsia="Calibri"/>
          <w:b/>
          <w:i/>
          <w:iCs/>
        </w:rPr>
        <w:t xml:space="preserve"> </w:t>
      </w:r>
      <w:proofErr w:type="spellStart"/>
      <w:r w:rsidRPr="00076376">
        <w:rPr>
          <w:rFonts w:eastAsia="Calibri"/>
          <w:b/>
          <w:i/>
          <w:iCs/>
        </w:rPr>
        <w:t>officinale</w:t>
      </w:r>
      <w:proofErr w:type="spellEnd"/>
      <w:r w:rsidRPr="00076376">
        <w:rPr>
          <w:rFonts w:eastAsia="Calibri"/>
          <w:b/>
          <w:i/>
          <w:iCs/>
        </w:rPr>
        <w:t xml:space="preserve"> </w:t>
      </w:r>
      <w:r w:rsidRPr="00076376">
        <w:rPr>
          <w:rFonts w:eastAsia="Calibri"/>
          <w:b/>
        </w:rPr>
        <w:t xml:space="preserve">on </w:t>
      </w:r>
      <w:r w:rsidRPr="00076376">
        <w:rPr>
          <w:rFonts w:eastAsia="Calibri"/>
          <w:b/>
          <w:lang w:val="en-GB"/>
        </w:rPr>
        <w:t xml:space="preserve">brain </w:t>
      </w:r>
      <w:r w:rsidRPr="00076376">
        <w:rPr>
          <w:rFonts w:eastAsia="Calibri"/>
          <w:b/>
        </w:rPr>
        <w:t>NADPH Oxidase activi</w:t>
      </w:r>
      <w:r w:rsidR="00984C6B">
        <w:rPr>
          <w:rFonts w:eastAsia="Calibri"/>
          <w:b/>
        </w:rPr>
        <w:t>ties</w:t>
      </w:r>
    </w:p>
    <w:p w14:paraId="29387C1D" w14:textId="1AFCC130" w:rsidR="00B81AFB" w:rsidRDefault="00B41CCF" w:rsidP="00076376">
      <w:pPr>
        <w:spacing w:line="276" w:lineRule="auto"/>
        <w:jc w:val="both"/>
        <w:rPr>
          <w:rFonts w:eastAsia="Calibri"/>
        </w:rPr>
      </w:pPr>
      <w:r w:rsidRPr="00076376">
        <w:rPr>
          <w:rFonts w:eastAsia="Calibri"/>
        </w:rPr>
        <w:t xml:space="preserve">The effect of combined ethanol leaf extract </w:t>
      </w:r>
      <w:r w:rsidRPr="00076376">
        <w:rPr>
          <w:rFonts w:eastAsia="Calibri"/>
          <w:lang w:val="en-GB"/>
        </w:rPr>
        <w:t>of</w:t>
      </w:r>
      <w:r w:rsidRPr="00076376">
        <w:rPr>
          <w:rFonts w:eastAsia="Calibri"/>
        </w:rPr>
        <w:t xml:space="preserve"> </w:t>
      </w:r>
      <w:r w:rsidRPr="00076376">
        <w:rPr>
          <w:rFonts w:eastAsia="Calibri"/>
          <w:i/>
          <w:iCs/>
        </w:rPr>
        <w:t>Piper</w:t>
      </w:r>
      <w:r w:rsidRPr="00076376">
        <w:rPr>
          <w:rFonts w:eastAsia="Calibri"/>
        </w:rPr>
        <w:t xml:space="preserve"> </w:t>
      </w:r>
      <w:proofErr w:type="spellStart"/>
      <w:r w:rsidRPr="00076376">
        <w:rPr>
          <w:rFonts w:eastAsia="Calibri"/>
          <w:i/>
          <w:iCs/>
        </w:rPr>
        <w:t>guineese</w:t>
      </w:r>
      <w:proofErr w:type="spellEnd"/>
      <w:r w:rsidRPr="00076376">
        <w:rPr>
          <w:rFonts w:eastAsia="Calibri"/>
          <w:i/>
          <w:iCs/>
        </w:rPr>
        <w:t xml:space="preserve"> and </w:t>
      </w:r>
      <w:proofErr w:type="spellStart"/>
      <w:r w:rsidRPr="00076376">
        <w:rPr>
          <w:rFonts w:eastAsia="Calibri"/>
          <w:i/>
          <w:iCs/>
        </w:rPr>
        <w:t>Zingiber</w:t>
      </w:r>
      <w:proofErr w:type="spellEnd"/>
      <w:r w:rsidRPr="00076376">
        <w:rPr>
          <w:rFonts w:eastAsia="Calibri"/>
          <w:i/>
          <w:iCs/>
        </w:rPr>
        <w:t xml:space="preserve"> </w:t>
      </w:r>
      <w:proofErr w:type="spellStart"/>
      <w:r w:rsidRPr="00076376">
        <w:rPr>
          <w:rFonts w:eastAsia="Calibri"/>
          <w:i/>
          <w:iCs/>
        </w:rPr>
        <w:t>officinale</w:t>
      </w:r>
      <w:proofErr w:type="spellEnd"/>
      <w:r w:rsidRPr="00076376">
        <w:rPr>
          <w:rFonts w:eastAsia="Calibri"/>
          <w:i/>
          <w:iCs/>
        </w:rPr>
        <w:t xml:space="preserve"> </w:t>
      </w:r>
      <w:r w:rsidRPr="00076376">
        <w:rPr>
          <w:rFonts w:eastAsia="Calibri"/>
        </w:rPr>
        <w:t xml:space="preserve">on </w:t>
      </w:r>
      <w:r w:rsidRPr="00076376">
        <w:rPr>
          <w:rFonts w:eastAsia="Calibri"/>
          <w:lang w:val="en-GB"/>
        </w:rPr>
        <w:t xml:space="preserve">brain </w:t>
      </w:r>
      <w:r w:rsidRPr="00076376">
        <w:rPr>
          <w:rFonts w:eastAsia="Calibri"/>
        </w:rPr>
        <w:t xml:space="preserve">nicotinamide adenine dinucleotide phosphate (NADPH Oxidase) activity in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Pr="00076376">
        <w:rPr>
          <w:rFonts w:eastAsia="Calibri"/>
        </w:rPr>
        <w:t xml:space="preserve">-induced dementia in adult male Wistar rats was shown in table </w:t>
      </w:r>
      <w:proofErr w:type="gramStart"/>
      <w:r w:rsidRPr="00076376">
        <w:rPr>
          <w:rFonts w:eastAsia="Calibri"/>
        </w:rPr>
        <w:t>3..</w:t>
      </w:r>
      <w:proofErr w:type="gramEnd"/>
      <w:r w:rsidRPr="00076376">
        <w:rPr>
          <w:rFonts w:eastAsia="Calibri"/>
        </w:rPr>
        <w:t xml:space="preserve"> The result shows that control is 47.96 ± 0.99. Aluminum Chloride administered 120mg/kg </w:t>
      </w:r>
      <w:proofErr w:type="spellStart"/>
      <w:r w:rsidRPr="00076376">
        <w:rPr>
          <w:rFonts w:eastAsia="Calibri"/>
        </w:rPr>
        <w:t>bwt</w:t>
      </w:r>
      <w:proofErr w:type="spellEnd"/>
      <w:r w:rsidRPr="00076376">
        <w:rPr>
          <w:rFonts w:eastAsia="Calibri"/>
        </w:rPr>
        <w:t xml:space="preserve"> gave 73.66 ± 1.17</w:t>
      </w:r>
      <w:r w:rsidRPr="00076376">
        <w:rPr>
          <w:rFonts w:eastAsia="Calibri"/>
          <w:vertAlign w:val="superscript"/>
        </w:rPr>
        <w:t xml:space="preserve"> </w:t>
      </w:r>
      <w:r w:rsidRPr="00076376">
        <w:rPr>
          <w:rFonts w:eastAsia="Calibri"/>
        </w:rPr>
        <w:t xml:space="preserve">then Combined extract alone administered 800mg/kg </w:t>
      </w:r>
      <w:proofErr w:type="spellStart"/>
      <w:r w:rsidRPr="00076376">
        <w:rPr>
          <w:rFonts w:eastAsia="Calibri"/>
        </w:rPr>
        <w:t>bwt</w:t>
      </w:r>
      <w:proofErr w:type="spellEnd"/>
      <w:r w:rsidRPr="00076376">
        <w:rPr>
          <w:rFonts w:eastAsia="Calibri"/>
        </w:rPr>
        <w:t xml:space="preserve"> gave 47.96 ± 0.99</w:t>
      </w:r>
      <w:r w:rsidRPr="00076376">
        <w:rPr>
          <w:rFonts w:eastAsia="Calibri"/>
          <w:vertAlign w:val="superscript"/>
        </w:rPr>
        <w:t xml:space="preserve"> </w:t>
      </w:r>
      <w:r w:rsidRPr="00076376">
        <w:rPr>
          <w:rFonts w:eastAsia="Calibri"/>
        </w:rPr>
        <w:t xml:space="preserve">while combined extract 400 mg/kg + Aluminum Chloride 120mg/kg </w:t>
      </w:r>
      <w:proofErr w:type="spellStart"/>
      <w:r w:rsidRPr="00076376">
        <w:rPr>
          <w:rFonts w:eastAsia="Calibri"/>
        </w:rPr>
        <w:t>bwt</w:t>
      </w:r>
      <w:proofErr w:type="spellEnd"/>
      <w:r w:rsidRPr="00076376">
        <w:rPr>
          <w:rFonts w:eastAsia="Calibri"/>
        </w:rPr>
        <w:t xml:space="preserve"> administered gave 53.08 ± 0.12.  then combined extract 800mg/kg </w:t>
      </w:r>
      <w:proofErr w:type="spellStart"/>
      <w:r w:rsidRPr="00076376">
        <w:rPr>
          <w:rFonts w:eastAsia="Calibri"/>
        </w:rPr>
        <w:t>bwt</w:t>
      </w:r>
      <w:proofErr w:type="spellEnd"/>
      <w:r w:rsidRPr="00076376">
        <w:rPr>
          <w:rFonts w:eastAsia="Calibri"/>
        </w:rPr>
        <w:t xml:space="preserve"> + </w:t>
      </w:r>
      <w:r w:rsidR="00984C6B" w:rsidRPr="00E43339">
        <w:rPr>
          <w:rFonts w:eastAsia="Calibri"/>
          <w:bCs/>
        </w:rPr>
        <w:t>AlCl</w:t>
      </w:r>
      <w:r w:rsidR="00984C6B" w:rsidRPr="00E43339">
        <w:rPr>
          <w:rFonts w:ascii="Cambria Math" w:eastAsia="Calibri" w:hAnsi="Cambria Math" w:cs="Cambria Math"/>
          <w:bCs/>
        </w:rPr>
        <w:t>₃</w:t>
      </w:r>
      <w:r w:rsidRPr="00076376">
        <w:rPr>
          <w:rFonts w:eastAsia="Calibri"/>
        </w:rPr>
        <w:t xml:space="preserve">120 mg/kg </w:t>
      </w:r>
      <w:proofErr w:type="spellStart"/>
      <w:r w:rsidRPr="00076376">
        <w:rPr>
          <w:rFonts w:eastAsia="Calibri"/>
        </w:rPr>
        <w:t>bwt</w:t>
      </w:r>
      <w:proofErr w:type="spellEnd"/>
      <w:r w:rsidRPr="00076376">
        <w:rPr>
          <w:rFonts w:eastAsia="Calibri"/>
        </w:rPr>
        <w:t xml:space="preserve"> administered gave 50.00 ± 0.26</w:t>
      </w:r>
      <w:r w:rsidRPr="00076376">
        <w:rPr>
          <w:rFonts w:eastAsia="Calibri"/>
          <w:vertAlign w:val="superscript"/>
        </w:rPr>
        <w:t xml:space="preserve"> </w:t>
      </w:r>
      <w:r w:rsidRPr="00076376">
        <w:rPr>
          <w:rFonts w:eastAsia="Calibri"/>
        </w:rPr>
        <w:t xml:space="preserve">while Standard drug + </w:t>
      </w:r>
      <w:r w:rsidR="00984C6B" w:rsidRPr="00E43339">
        <w:rPr>
          <w:rFonts w:eastAsia="Calibri"/>
          <w:bCs/>
        </w:rPr>
        <w:t>AlCl</w:t>
      </w:r>
      <w:r w:rsidR="00984C6B" w:rsidRPr="00E43339">
        <w:rPr>
          <w:rFonts w:ascii="Cambria Math" w:eastAsia="Calibri" w:hAnsi="Cambria Math" w:cs="Cambria Math"/>
          <w:bCs/>
        </w:rPr>
        <w:t>₃</w:t>
      </w:r>
      <w:r w:rsidRPr="00076376">
        <w:rPr>
          <w:rFonts w:eastAsia="Calibri"/>
        </w:rPr>
        <w:t xml:space="preserve">120 mg/kg </w:t>
      </w:r>
      <w:proofErr w:type="spellStart"/>
      <w:r w:rsidRPr="00076376">
        <w:rPr>
          <w:rFonts w:eastAsia="Calibri"/>
        </w:rPr>
        <w:t>bwt</w:t>
      </w:r>
      <w:proofErr w:type="spellEnd"/>
      <w:r w:rsidRPr="00076376">
        <w:rPr>
          <w:rFonts w:eastAsia="Calibri"/>
        </w:rPr>
        <w:t xml:space="preserve"> administered gave 51.62 ± 0.65</w:t>
      </w:r>
    </w:p>
    <w:p w14:paraId="4295E5DF" w14:textId="0BA06FDC" w:rsidR="00B81AFB" w:rsidRDefault="00B81AFB" w:rsidP="00076376">
      <w:pPr>
        <w:spacing w:line="276" w:lineRule="auto"/>
        <w:jc w:val="both"/>
        <w:rPr>
          <w:rFonts w:eastAsia="Calibri"/>
        </w:rPr>
      </w:pPr>
    </w:p>
    <w:p w14:paraId="3F36C8A3" w14:textId="733585E2" w:rsidR="00B81AFB" w:rsidRDefault="00B81AFB" w:rsidP="00076376">
      <w:pPr>
        <w:spacing w:line="276" w:lineRule="auto"/>
        <w:jc w:val="both"/>
        <w:rPr>
          <w:rFonts w:eastAsia="Calibri"/>
        </w:rPr>
      </w:pPr>
      <w:r w:rsidRPr="00B81AFB">
        <w:rPr>
          <w:rFonts w:eastAsia="Calibri"/>
          <w:noProof/>
        </w:rPr>
        <w:drawing>
          <wp:inline distT="0" distB="0" distL="0" distR="0" wp14:anchorId="6BA57F40" wp14:editId="6B221164">
            <wp:extent cx="594360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4BAC3F4F" w14:textId="77777777" w:rsidR="00B81AFB" w:rsidRPr="00076376" w:rsidRDefault="00B81AFB" w:rsidP="00076376">
      <w:pPr>
        <w:spacing w:line="276" w:lineRule="auto"/>
        <w:jc w:val="both"/>
        <w:rPr>
          <w:rFonts w:eastAsia="Calibri"/>
        </w:rPr>
      </w:pPr>
    </w:p>
    <w:p w14:paraId="017A6101" w14:textId="0270AC17" w:rsidR="00B41CCF" w:rsidRPr="00076376" w:rsidRDefault="005008E5" w:rsidP="00076376">
      <w:pPr>
        <w:spacing w:line="276" w:lineRule="auto"/>
        <w:jc w:val="both"/>
        <w:rPr>
          <w:rFonts w:eastAsia="Calibri"/>
          <w:b/>
        </w:rPr>
      </w:pPr>
      <w:bookmarkStart w:id="7" w:name="_Hlk219261020"/>
      <w:r>
        <w:rPr>
          <w:rFonts w:eastAsia="Calibri"/>
          <w:b/>
        </w:rPr>
        <w:t>Figure</w:t>
      </w:r>
      <w:r w:rsidR="00B41CCF" w:rsidRPr="00076376">
        <w:rPr>
          <w:rFonts w:eastAsia="Calibri"/>
          <w:b/>
        </w:rPr>
        <w:t xml:space="preserve"> 1:</w:t>
      </w:r>
      <w:r w:rsidR="00B41CCF" w:rsidRPr="00076376">
        <w:rPr>
          <w:rFonts w:eastAsia="Calibri"/>
          <w:b/>
          <w:lang w:val="en-GB"/>
        </w:rPr>
        <w:t xml:space="preserve"> Effect of combined ethanol leaf extract of</w:t>
      </w:r>
      <w:r w:rsidR="00B41CCF" w:rsidRPr="00076376">
        <w:rPr>
          <w:rFonts w:eastAsia="Calibri"/>
          <w:b/>
        </w:rPr>
        <w:t xml:space="preserve"> </w:t>
      </w:r>
      <w:r w:rsidR="00B41CCF" w:rsidRPr="00076376">
        <w:rPr>
          <w:rFonts w:eastAsia="Calibri"/>
          <w:b/>
          <w:i/>
          <w:iCs/>
        </w:rPr>
        <w:t>Piper</w:t>
      </w:r>
      <w:r w:rsidR="00B41CCF" w:rsidRPr="00076376">
        <w:rPr>
          <w:rFonts w:eastAsia="Calibri"/>
          <w:b/>
        </w:rPr>
        <w:t xml:space="preserve"> </w:t>
      </w:r>
      <w:proofErr w:type="spellStart"/>
      <w:r w:rsidR="00B41CCF" w:rsidRPr="00076376">
        <w:rPr>
          <w:rFonts w:eastAsia="Calibri"/>
          <w:b/>
          <w:i/>
          <w:iCs/>
        </w:rPr>
        <w:t>guineese</w:t>
      </w:r>
      <w:proofErr w:type="spellEnd"/>
      <w:r w:rsidR="00B41CCF" w:rsidRPr="00076376">
        <w:rPr>
          <w:rFonts w:eastAsia="Calibri"/>
          <w:b/>
          <w:i/>
          <w:iCs/>
        </w:rPr>
        <w:t xml:space="preserve"> and </w:t>
      </w:r>
      <w:proofErr w:type="spellStart"/>
      <w:r w:rsidR="00B41CCF" w:rsidRPr="00076376">
        <w:rPr>
          <w:rFonts w:eastAsia="Calibri"/>
          <w:b/>
          <w:i/>
          <w:iCs/>
        </w:rPr>
        <w:t>Zingiber</w:t>
      </w:r>
      <w:proofErr w:type="spellEnd"/>
      <w:r w:rsidR="00B41CCF" w:rsidRPr="00076376">
        <w:rPr>
          <w:rFonts w:eastAsia="Calibri"/>
          <w:b/>
          <w:i/>
          <w:iCs/>
        </w:rPr>
        <w:t xml:space="preserve"> </w:t>
      </w:r>
      <w:proofErr w:type="spellStart"/>
      <w:r w:rsidR="00B41CCF" w:rsidRPr="00076376">
        <w:rPr>
          <w:rFonts w:eastAsia="Calibri"/>
          <w:b/>
          <w:i/>
          <w:iCs/>
        </w:rPr>
        <w:t>officinale</w:t>
      </w:r>
      <w:proofErr w:type="spellEnd"/>
      <w:r w:rsidR="00B41CCF" w:rsidRPr="00076376">
        <w:rPr>
          <w:rFonts w:eastAsia="Calibri"/>
          <w:b/>
          <w:i/>
          <w:iCs/>
        </w:rPr>
        <w:t xml:space="preserve"> </w:t>
      </w:r>
      <w:r w:rsidR="00B41CCF" w:rsidRPr="00076376">
        <w:rPr>
          <w:rFonts w:eastAsia="Calibri"/>
          <w:b/>
        </w:rPr>
        <w:t xml:space="preserve">on </w:t>
      </w:r>
      <w:r w:rsidR="00B41CCF" w:rsidRPr="00076376">
        <w:rPr>
          <w:rFonts w:eastAsia="Calibri"/>
          <w:b/>
          <w:lang w:val="en-GB"/>
        </w:rPr>
        <w:t xml:space="preserve">brain </w:t>
      </w:r>
      <w:r w:rsidR="00B41CCF" w:rsidRPr="00076376">
        <w:rPr>
          <w:rFonts w:eastAsia="Calibri"/>
          <w:b/>
        </w:rPr>
        <w:t xml:space="preserve">nicotinamide adenine dinucleotide phosphate (NADPH Oxidase) activity in </w:t>
      </w:r>
      <w:proofErr w:type="spellStart"/>
      <w:r w:rsidR="00984C6B" w:rsidRPr="00984C6B">
        <w:rPr>
          <w:rFonts w:eastAsia="Calibri"/>
          <w:b/>
        </w:rPr>
        <w:t>AlCl</w:t>
      </w:r>
      <w:proofErr w:type="spellEnd"/>
      <w:r w:rsidR="00984C6B" w:rsidRPr="00984C6B">
        <w:rPr>
          <w:rFonts w:ascii="Cambria Math" w:eastAsia="Calibri" w:hAnsi="Cambria Math" w:cs="Cambria Math"/>
          <w:b/>
        </w:rPr>
        <w:t>₃</w:t>
      </w:r>
      <w:r w:rsidR="00B41CCF" w:rsidRPr="00076376">
        <w:rPr>
          <w:rFonts w:eastAsia="Calibri"/>
          <w:b/>
        </w:rPr>
        <w:t>-induced dementia in adult male Wistar rats.</w:t>
      </w:r>
    </w:p>
    <w:p w14:paraId="27EDAC9D" w14:textId="47B46442" w:rsidR="00B41CCF" w:rsidRPr="00076376" w:rsidRDefault="00B41CCF" w:rsidP="00984C6B">
      <w:pPr>
        <w:jc w:val="both"/>
        <w:rPr>
          <w:rFonts w:eastAsia="Calibri"/>
          <w:bCs/>
          <w:lang w:val="en-GB"/>
        </w:rPr>
      </w:pPr>
      <w:r w:rsidRPr="00076376">
        <w:rPr>
          <w:rFonts w:eastAsia="Calibri"/>
          <w:bCs/>
          <w:lang w:val="en-GB"/>
        </w:rPr>
        <w:t>Data are represented as mean ± standard error (SEM).  of triplicate values, values in a column bearing different alphabetical superscript differ significantly from each other at 95% confidence level (p≤0.05).</w:t>
      </w:r>
      <w:r w:rsidR="00DC1A0B">
        <w:rPr>
          <w:rFonts w:eastAsia="Calibri"/>
          <w:bCs/>
          <w:lang w:val="en-GB"/>
        </w:rPr>
        <w:t xml:space="preserve"> </w:t>
      </w:r>
      <w:r w:rsidRPr="00076376">
        <w:rPr>
          <w:rFonts w:eastAsia="Calibri"/>
          <w:bCs/>
          <w:lang w:val="en-GB"/>
        </w:rPr>
        <w:t>Combined extract:</w:t>
      </w:r>
      <w:r w:rsidRPr="00076376">
        <w:rPr>
          <w:rFonts w:eastAsia="Calibri"/>
          <w:b/>
          <w:bCs/>
          <w:lang w:val="en-GB"/>
        </w:rPr>
        <w:t xml:space="preserve"> </w:t>
      </w:r>
      <w:r w:rsidRPr="00076376">
        <w:rPr>
          <w:rFonts w:eastAsia="Calibri"/>
          <w:lang w:val="en-GB"/>
        </w:rPr>
        <w:t>Combined ethanol leaf extract of</w:t>
      </w:r>
      <w:r w:rsidRPr="00076376">
        <w:rPr>
          <w:rFonts w:eastAsia="Calibri"/>
        </w:rPr>
        <w:t xml:space="preserve"> </w:t>
      </w:r>
      <w:r w:rsidRPr="00076376">
        <w:rPr>
          <w:rFonts w:eastAsia="Calibri"/>
          <w:i/>
          <w:iCs/>
        </w:rPr>
        <w:t>Piper</w:t>
      </w:r>
      <w:r w:rsidRPr="00076376">
        <w:rPr>
          <w:rFonts w:eastAsia="Calibri"/>
        </w:rPr>
        <w:t xml:space="preserve"> </w:t>
      </w:r>
      <w:proofErr w:type="spellStart"/>
      <w:r w:rsidRPr="00076376">
        <w:rPr>
          <w:rFonts w:eastAsia="Calibri"/>
          <w:i/>
          <w:iCs/>
        </w:rPr>
        <w:t>guineese</w:t>
      </w:r>
      <w:proofErr w:type="spellEnd"/>
      <w:r w:rsidRPr="00076376">
        <w:rPr>
          <w:rFonts w:eastAsia="Calibri"/>
          <w:i/>
          <w:iCs/>
        </w:rPr>
        <w:t xml:space="preserve"> and </w:t>
      </w:r>
      <w:proofErr w:type="spellStart"/>
      <w:r w:rsidRPr="00076376">
        <w:rPr>
          <w:rFonts w:eastAsia="Calibri"/>
          <w:i/>
          <w:iCs/>
        </w:rPr>
        <w:t>Zingiber</w:t>
      </w:r>
      <w:proofErr w:type="spellEnd"/>
      <w:r w:rsidRPr="00076376">
        <w:rPr>
          <w:rFonts w:eastAsia="Calibri"/>
          <w:i/>
          <w:iCs/>
        </w:rPr>
        <w:t xml:space="preserve"> </w:t>
      </w:r>
      <w:proofErr w:type="spellStart"/>
      <w:r w:rsidRPr="00076376">
        <w:rPr>
          <w:rFonts w:eastAsia="Calibri"/>
          <w:i/>
          <w:iCs/>
        </w:rPr>
        <w:t>officinale</w:t>
      </w:r>
      <w:proofErr w:type="spellEnd"/>
    </w:p>
    <w:bookmarkEnd w:id="7"/>
    <w:p w14:paraId="2934838F" w14:textId="77777777" w:rsidR="00450353" w:rsidRDefault="00450353" w:rsidP="00076376">
      <w:pPr>
        <w:spacing w:line="276" w:lineRule="auto"/>
        <w:jc w:val="both"/>
        <w:rPr>
          <w:rFonts w:eastAsia="Calibri"/>
          <w:b/>
          <w:lang w:val="en-GB"/>
        </w:rPr>
      </w:pPr>
    </w:p>
    <w:p w14:paraId="0D0C1FF2" w14:textId="32AF08D2" w:rsidR="00AB6C29" w:rsidRPr="00076376" w:rsidRDefault="00AF366C" w:rsidP="00076376">
      <w:pPr>
        <w:spacing w:line="276" w:lineRule="auto"/>
        <w:jc w:val="both"/>
        <w:rPr>
          <w:rFonts w:eastAsia="Calibri"/>
          <w:b/>
        </w:rPr>
      </w:pPr>
      <w:r w:rsidRPr="00076376">
        <w:rPr>
          <w:rFonts w:eastAsia="Calibri"/>
          <w:b/>
          <w:lang w:val="en-GB"/>
        </w:rPr>
        <w:t>Effect of combined ethanol leaf extract of</w:t>
      </w:r>
      <w:r w:rsidRPr="00076376">
        <w:rPr>
          <w:rFonts w:eastAsia="Calibri"/>
          <w:b/>
        </w:rPr>
        <w:t xml:space="preserve"> </w:t>
      </w:r>
      <w:r w:rsidRPr="00076376">
        <w:rPr>
          <w:rFonts w:eastAsia="Calibri"/>
          <w:b/>
          <w:i/>
          <w:iCs/>
        </w:rPr>
        <w:t>Piper</w:t>
      </w:r>
      <w:r w:rsidRPr="00076376">
        <w:rPr>
          <w:rFonts w:eastAsia="Calibri"/>
          <w:b/>
        </w:rPr>
        <w:t xml:space="preserve"> </w:t>
      </w:r>
      <w:proofErr w:type="spellStart"/>
      <w:r w:rsidRPr="00076376">
        <w:rPr>
          <w:rFonts w:eastAsia="Calibri"/>
          <w:b/>
          <w:i/>
          <w:iCs/>
        </w:rPr>
        <w:t>guineese</w:t>
      </w:r>
      <w:proofErr w:type="spellEnd"/>
      <w:r w:rsidRPr="00076376">
        <w:rPr>
          <w:rFonts w:eastAsia="Calibri"/>
          <w:b/>
          <w:i/>
          <w:iCs/>
        </w:rPr>
        <w:t xml:space="preserve"> and </w:t>
      </w:r>
      <w:proofErr w:type="spellStart"/>
      <w:r w:rsidRPr="00076376">
        <w:rPr>
          <w:rFonts w:eastAsia="Calibri"/>
          <w:b/>
          <w:i/>
          <w:iCs/>
        </w:rPr>
        <w:t>Zingiber</w:t>
      </w:r>
      <w:proofErr w:type="spellEnd"/>
      <w:r w:rsidRPr="00076376">
        <w:rPr>
          <w:rFonts w:eastAsia="Calibri"/>
          <w:b/>
          <w:i/>
          <w:iCs/>
        </w:rPr>
        <w:t xml:space="preserve"> </w:t>
      </w:r>
      <w:proofErr w:type="spellStart"/>
      <w:r w:rsidRPr="00076376">
        <w:rPr>
          <w:rFonts w:eastAsia="Calibri"/>
          <w:b/>
          <w:i/>
          <w:iCs/>
        </w:rPr>
        <w:t>officinale</w:t>
      </w:r>
      <w:proofErr w:type="spellEnd"/>
      <w:r w:rsidRPr="00076376">
        <w:rPr>
          <w:rFonts w:eastAsia="Calibri"/>
          <w:b/>
          <w:i/>
          <w:iCs/>
        </w:rPr>
        <w:t xml:space="preserve"> </w:t>
      </w:r>
      <w:r w:rsidRPr="00076376">
        <w:rPr>
          <w:rFonts w:eastAsia="Calibri"/>
          <w:b/>
        </w:rPr>
        <w:t xml:space="preserve">on </w:t>
      </w:r>
      <w:r w:rsidRPr="00076376">
        <w:rPr>
          <w:rFonts w:eastAsia="Calibri"/>
          <w:b/>
          <w:lang w:val="en-GB"/>
        </w:rPr>
        <w:t xml:space="preserve">brain </w:t>
      </w:r>
      <w:r w:rsidRPr="00076376">
        <w:rPr>
          <w:b/>
        </w:rPr>
        <w:t>Nitric Oxide Metabolites</w:t>
      </w:r>
      <w:r w:rsidR="007D25EF" w:rsidRPr="00076376">
        <w:rPr>
          <w:b/>
        </w:rPr>
        <w:t xml:space="preserve"> (NOx)</w:t>
      </w:r>
      <w:r w:rsidRPr="00076376">
        <w:rPr>
          <w:rFonts w:eastAsia="Calibri"/>
          <w:b/>
        </w:rPr>
        <w:t xml:space="preserve"> </w:t>
      </w:r>
    </w:p>
    <w:p w14:paraId="25324ACD" w14:textId="7FF2309C" w:rsidR="00AB6C29" w:rsidRPr="00076376" w:rsidRDefault="00AB6C29" w:rsidP="00076376">
      <w:pPr>
        <w:spacing w:before="100" w:beforeAutospacing="1" w:after="100" w:afterAutospacing="1"/>
        <w:jc w:val="both"/>
      </w:pPr>
      <w:r w:rsidRPr="00076376">
        <w:t>Significant differences were observed across groups (p&lt;0.001). AlCl3​ (G2) caused the most significant increase in Nox levels</w:t>
      </w:r>
      <w:r w:rsidR="00984C6B">
        <w:t xml:space="preserve"> </w:t>
      </w:r>
      <w:r w:rsidRPr="00076376">
        <w:t>(Nitric Oxide Metabolites). Treatment with the extract (G4 and G5) significantly reduced Nox levels compared to the AlCl3​ group, with the 800 mg/kg dose (G5) being more effective and similar to Donepezil (G6).</w:t>
      </w:r>
    </w:p>
    <w:p w14:paraId="156C63AE" w14:textId="77777777" w:rsidR="00AB6C29" w:rsidRPr="00076376" w:rsidRDefault="00AB6C29" w:rsidP="00076376">
      <w:pPr>
        <w:jc w:val="both"/>
        <w:rPr>
          <w:color w:val="444746"/>
        </w:rPr>
      </w:pPr>
    </w:p>
    <w:p w14:paraId="7A38CF71" w14:textId="77777777" w:rsidR="00AB6C29" w:rsidRPr="00076376" w:rsidRDefault="00AB6C29" w:rsidP="00076376">
      <w:pPr>
        <w:jc w:val="both"/>
        <w:rPr>
          <w:color w:val="444746"/>
        </w:rPr>
      </w:pPr>
      <w:r w:rsidRPr="00076376">
        <w:rPr>
          <w:noProof/>
          <w:color w:val="444746"/>
        </w:rPr>
        <w:lastRenderedPageBreak/>
        <w:drawing>
          <wp:inline distT="0" distB="0" distL="0" distR="0" wp14:anchorId="42DBD7F2" wp14:editId="06F837C8">
            <wp:extent cx="5943600" cy="3714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65AC3C5D" w14:textId="11B04577" w:rsidR="00984C6B" w:rsidRDefault="00AB6C29" w:rsidP="00076376">
      <w:pPr>
        <w:spacing w:after="200" w:line="276" w:lineRule="auto"/>
        <w:jc w:val="both"/>
        <w:rPr>
          <w:b/>
          <w:bCs/>
          <w:iCs/>
          <w:lang w:val="en-GB" w:bidi="en-US"/>
        </w:rPr>
      </w:pPr>
      <w:r w:rsidRPr="00076376">
        <w:rPr>
          <w:b/>
          <w:bCs/>
          <w:iCs/>
          <w:lang w:val="en-GB" w:bidi="en-US"/>
        </w:rPr>
        <w:t xml:space="preserve">Figure </w:t>
      </w:r>
      <w:r w:rsidR="00985485">
        <w:rPr>
          <w:b/>
          <w:bCs/>
          <w:iCs/>
          <w:lang w:val="en-GB" w:bidi="en-US"/>
        </w:rPr>
        <w:t>2</w:t>
      </w:r>
      <w:r w:rsidRPr="00076376">
        <w:rPr>
          <w:b/>
          <w:bCs/>
          <w:iCs/>
          <w:lang w:val="en-GB" w:bidi="en-US"/>
        </w:rPr>
        <w:t>: Effect of combined ethanol leaf extract of</w:t>
      </w:r>
      <w:r w:rsidRPr="00076376">
        <w:rPr>
          <w:b/>
          <w:bCs/>
          <w:iCs/>
          <w:lang w:val="en-IN" w:bidi="en-US"/>
        </w:rPr>
        <w:t xml:space="preserve"> </w:t>
      </w:r>
      <w:r w:rsidRPr="00076376">
        <w:rPr>
          <w:b/>
          <w:bCs/>
          <w:i/>
          <w:iCs/>
          <w:lang w:val="en-IN" w:bidi="en-US"/>
        </w:rPr>
        <w:t>Piper</w:t>
      </w:r>
      <w:r w:rsidRPr="00076376">
        <w:rPr>
          <w:b/>
          <w:bCs/>
          <w:iCs/>
          <w:lang w:val="en-IN" w:bidi="en-US"/>
        </w:rPr>
        <w:t xml:space="preserve"> </w:t>
      </w:r>
      <w:proofErr w:type="spellStart"/>
      <w:r w:rsidRPr="00076376">
        <w:rPr>
          <w:b/>
          <w:bCs/>
          <w:i/>
          <w:iCs/>
          <w:lang w:val="en-IN" w:bidi="en-US"/>
        </w:rPr>
        <w:t>guineese</w:t>
      </w:r>
      <w:proofErr w:type="spellEnd"/>
      <w:r w:rsidRPr="00076376">
        <w:rPr>
          <w:b/>
          <w:bCs/>
          <w:i/>
          <w:iCs/>
          <w:lang w:bidi="en-US"/>
        </w:rPr>
        <w:t xml:space="preserve"> and</w:t>
      </w:r>
      <w:r w:rsidRPr="00076376">
        <w:rPr>
          <w:b/>
          <w:bCs/>
          <w:i/>
          <w:iCs/>
          <w:lang w:val="en-IN" w:bidi="en-US"/>
        </w:rPr>
        <w:t xml:space="preserve"> </w:t>
      </w:r>
      <w:proofErr w:type="spellStart"/>
      <w:r w:rsidRPr="00076376">
        <w:rPr>
          <w:b/>
          <w:bCs/>
          <w:i/>
          <w:iCs/>
          <w:lang w:val="en-IN" w:bidi="en-US"/>
        </w:rPr>
        <w:t>Zingiber</w:t>
      </w:r>
      <w:proofErr w:type="spellEnd"/>
      <w:r w:rsidRPr="00076376">
        <w:rPr>
          <w:b/>
          <w:bCs/>
          <w:i/>
          <w:iCs/>
          <w:lang w:val="en-IN" w:bidi="en-US"/>
        </w:rPr>
        <w:t xml:space="preserve"> </w:t>
      </w:r>
      <w:proofErr w:type="spellStart"/>
      <w:r w:rsidRPr="00076376">
        <w:rPr>
          <w:b/>
          <w:bCs/>
          <w:i/>
          <w:iCs/>
          <w:lang w:val="en-IN" w:bidi="en-US"/>
        </w:rPr>
        <w:t>officinale</w:t>
      </w:r>
      <w:proofErr w:type="spellEnd"/>
      <w:r w:rsidRPr="00076376">
        <w:rPr>
          <w:b/>
          <w:bCs/>
          <w:i/>
          <w:iCs/>
          <w:lang w:val="en-IN" w:bidi="en-US"/>
        </w:rPr>
        <w:t xml:space="preserve"> </w:t>
      </w:r>
      <w:r w:rsidRPr="00076376">
        <w:rPr>
          <w:b/>
          <w:bCs/>
          <w:iCs/>
          <w:lang w:val="en-IN" w:bidi="en-US"/>
        </w:rPr>
        <w:t xml:space="preserve">on brain </w:t>
      </w:r>
      <w:r w:rsidR="0007264E" w:rsidRPr="00076376">
        <w:rPr>
          <w:b/>
        </w:rPr>
        <w:t>Nitric Oxide Metabolites (</w:t>
      </w:r>
      <w:r w:rsidRPr="00076376">
        <w:rPr>
          <w:b/>
          <w:bCs/>
          <w:iCs/>
          <w:lang w:val="en-IN" w:bidi="en-US"/>
        </w:rPr>
        <w:t>NOx</w:t>
      </w:r>
      <w:r w:rsidR="0007264E" w:rsidRPr="00076376">
        <w:rPr>
          <w:b/>
          <w:bCs/>
          <w:iCs/>
          <w:lang w:val="en-IN" w:bidi="en-US"/>
        </w:rPr>
        <w:t>)</w:t>
      </w:r>
      <w:r w:rsidRPr="00076376">
        <w:rPr>
          <w:b/>
          <w:bCs/>
          <w:iCs/>
          <w:lang w:val="en-IN" w:bidi="en-US"/>
        </w:rPr>
        <w:t xml:space="preserve"> </w:t>
      </w:r>
      <w:r w:rsidRPr="00076376">
        <w:rPr>
          <w:b/>
          <w:bCs/>
          <w:iCs/>
          <w:lang w:val="en-GB" w:bidi="en-US"/>
        </w:rPr>
        <w:t xml:space="preserve">content </w:t>
      </w:r>
      <w:r w:rsidRPr="00076376">
        <w:rPr>
          <w:b/>
          <w:bCs/>
          <w:iCs/>
          <w:lang w:val="en-IN" w:bidi="en-US"/>
        </w:rPr>
        <w:t xml:space="preserve">in </w:t>
      </w:r>
      <w:proofErr w:type="spellStart"/>
      <w:r w:rsidR="004D7579" w:rsidRPr="004D7579">
        <w:rPr>
          <w:rFonts w:eastAsia="Calibri"/>
          <w:b/>
        </w:rPr>
        <w:t>AlCl</w:t>
      </w:r>
      <w:proofErr w:type="spellEnd"/>
      <w:r w:rsidR="004D7579" w:rsidRPr="004D7579">
        <w:rPr>
          <w:rFonts w:ascii="Cambria Math" w:eastAsia="Calibri" w:hAnsi="Cambria Math" w:cs="Cambria Math"/>
          <w:b/>
        </w:rPr>
        <w:t>₃</w:t>
      </w:r>
      <w:r w:rsidRPr="00076376">
        <w:rPr>
          <w:b/>
          <w:bCs/>
          <w:iCs/>
          <w:lang w:val="en-IN" w:bidi="en-US"/>
        </w:rPr>
        <w:t>-induced dementia in Wistar rats</w:t>
      </w:r>
    </w:p>
    <w:p w14:paraId="7D09B650" w14:textId="6C0447DD" w:rsidR="008D74F8" w:rsidRDefault="00AB6C29" w:rsidP="00076376">
      <w:pPr>
        <w:spacing w:after="200" w:line="276" w:lineRule="auto"/>
        <w:jc w:val="both"/>
        <w:rPr>
          <w:b/>
          <w:bCs/>
          <w:iCs/>
          <w:lang w:val="en-GB" w:bidi="en-US"/>
        </w:rPr>
      </w:pPr>
      <w:r w:rsidRPr="00076376">
        <w:rPr>
          <w:iCs/>
          <w:lang w:val="en-GB" w:bidi="en-US"/>
        </w:rPr>
        <w:t>Data are represented as mean ± standard error of triplicate values, values in a column bearing different alphabetical superscript differ significantly from each other at 95% confidence level (p≤0.05). Group 1 (Normal), Group 2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Pr="00076376">
        <w:rPr>
          <w:iCs/>
          <w:lang w:val="en-GB" w:bidi="en-US"/>
        </w:rPr>
        <w:t>120 mg/kg), Group 3 (combined 800 mg/kg), Group 4 (</w:t>
      </w:r>
      <w:r w:rsidR="00984C6B" w:rsidRPr="00076376">
        <w:rPr>
          <w:iCs/>
          <w:lang w:val="en-GB" w:bidi="en-US"/>
        </w:rPr>
        <w:t>combined 400</w:t>
      </w:r>
      <w:r w:rsidRPr="00076376">
        <w:rPr>
          <w:iCs/>
          <w:lang w:val="en-GB" w:bidi="en-US"/>
        </w:rPr>
        <w:t xml:space="preserve"> mg/kg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Pr="00076376">
        <w:rPr>
          <w:iCs/>
          <w:lang w:val="en-GB" w:bidi="en-US"/>
        </w:rPr>
        <w:t>120 mg/kg), Group 5 (</w:t>
      </w:r>
      <w:r w:rsidR="00984C6B" w:rsidRPr="00076376">
        <w:rPr>
          <w:iCs/>
          <w:lang w:val="en-GB" w:bidi="en-US"/>
        </w:rPr>
        <w:t>Combined 800</w:t>
      </w:r>
      <w:r w:rsidRPr="00076376">
        <w:rPr>
          <w:iCs/>
          <w:lang w:val="en-GB" w:bidi="en-US"/>
        </w:rPr>
        <w:t xml:space="preserve"> mg/kg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Pr="00076376">
        <w:rPr>
          <w:iCs/>
          <w:lang w:val="en-GB" w:bidi="en-US"/>
        </w:rPr>
        <w:t xml:space="preserve">120 mg/kg) and Group 6 (Standard drug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Pr="00076376">
        <w:rPr>
          <w:iCs/>
          <w:lang w:val="en-GB" w:bidi="en-US"/>
        </w:rPr>
        <w:t xml:space="preserve"> 120 mg/kg).</w:t>
      </w:r>
    </w:p>
    <w:p w14:paraId="3FABC52B" w14:textId="77777777" w:rsidR="00984C6B" w:rsidRDefault="00984C6B" w:rsidP="00984C6B">
      <w:pPr>
        <w:spacing w:after="200"/>
        <w:jc w:val="both"/>
        <w:rPr>
          <w:b/>
          <w:bCs/>
          <w:iCs/>
          <w:lang w:val="en-GB" w:bidi="en-US"/>
        </w:rPr>
      </w:pPr>
    </w:p>
    <w:p w14:paraId="1865BB5D" w14:textId="6D2699BE" w:rsidR="00DE2C5B" w:rsidRPr="00076376" w:rsidRDefault="00DE2C5B" w:rsidP="00076376">
      <w:pPr>
        <w:spacing w:after="200" w:line="276" w:lineRule="auto"/>
        <w:jc w:val="both"/>
        <w:rPr>
          <w:b/>
          <w:bCs/>
          <w:iCs/>
          <w:lang w:val="en-GB" w:bidi="en-US"/>
        </w:rPr>
      </w:pPr>
      <w:r w:rsidRPr="00076376">
        <w:rPr>
          <w:b/>
          <w:bCs/>
          <w:iCs/>
          <w:lang w:val="en-GB" w:bidi="en-US"/>
        </w:rPr>
        <w:t>Effect of combined ethanol leaf extract of</w:t>
      </w:r>
      <w:r w:rsidRPr="00076376">
        <w:rPr>
          <w:b/>
          <w:bCs/>
          <w:iCs/>
          <w:lang w:val="en-IN" w:bidi="en-US"/>
        </w:rPr>
        <w:t xml:space="preserve"> </w:t>
      </w:r>
      <w:r w:rsidRPr="00076376">
        <w:rPr>
          <w:b/>
          <w:bCs/>
          <w:i/>
          <w:iCs/>
          <w:lang w:val="en-IN" w:bidi="en-US"/>
        </w:rPr>
        <w:t>Piper</w:t>
      </w:r>
      <w:r w:rsidRPr="00076376">
        <w:rPr>
          <w:b/>
          <w:bCs/>
          <w:iCs/>
          <w:lang w:val="en-IN" w:bidi="en-US"/>
        </w:rPr>
        <w:t xml:space="preserve"> </w:t>
      </w:r>
      <w:proofErr w:type="spellStart"/>
      <w:r w:rsidRPr="00076376">
        <w:rPr>
          <w:b/>
          <w:bCs/>
          <w:i/>
          <w:iCs/>
          <w:lang w:val="en-IN" w:bidi="en-US"/>
        </w:rPr>
        <w:t>guineese</w:t>
      </w:r>
      <w:proofErr w:type="spellEnd"/>
      <w:r w:rsidRPr="00076376">
        <w:rPr>
          <w:b/>
          <w:bCs/>
          <w:i/>
          <w:iCs/>
          <w:lang w:bidi="en-US"/>
        </w:rPr>
        <w:t xml:space="preserve"> and</w:t>
      </w:r>
      <w:r w:rsidRPr="00076376">
        <w:rPr>
          <w:b/>
          <w:bCs/>
          <w:i/>
          <w:iCs/>
          <w:lang w:val="en-IN" w:bidi="en-US"/>
        </w:rPr>
        <w:t xml:space="preserve"> </w:t>
      </w:r>
      <w:proofErr w:type="spellStart"/>
      <w:r w:rsidRPr="00076376">
        <w:rPr>
          <w:b/>
          <w:bCs/>
          <w:i/>
          <w:iCs/>
          <w:lang w:val="en-IN" w:bidi="en-US"/>
        </w:rPr>
        <w:t>Zingiber</w:t>
      </w:r>
      <w:proofErr w:type="spellEnd"/>
      <w:r w:rsidRPr="00076376">
        <w:rPr>
          <w:b/>
          <w:bCs/>
          <w:i/>
          <w:iCs/>
          <w:lang w:val="en-IN" w:bidi="en-US"/>
        </w:rPr>
        <w:t xml:space="preserve"> </w:t>
      </w:r>
      <w:proofErr w:type="spellStart"/>
      <w:r w:rsidRPr="00076376">
        <w:rPr>
          <w:b/>
          <w:bCs/>
          <w:i/>
          <w:iCs/>
          <w:lang w:val="en-IN" w:bidi="en-US"/>
        </w:rPr>
        <w:t>officinale</w:t>
      </w:r>
      <w:proofErr w:type="spellEnd"/>
      <w:r w:rsidRPr="00076376">
        <w:rPr>
          <w:b/>
          <w:bCs/>
          <w:i/>
          <w:iCs/>
          <w:lang w:val="en-IN" w:bidi="en-US"/>
        </w:rPr>
        <w:t xml:space="preserve"> </w:t>
      </w:r>
      <w:r w:rsidRPr="00076376">
        <w:rPr>
          <w:b/>
          <w:bCs/>
          <w:iCs/>
          <w:lang w:val="en-IN" w:bidi="en-US"/>
        </w:rPr>
        <w:t xml:space="preserve">on brain </w:t>
      </w:r>
      <w:r w:rsidRPr="00076376">
        <w:rPr>
          <w:b/>
        </w:rPr>
        <w:t>Nitrate</w:t>
      </w:r>
      <w:r w:rsidRPr="00076376">
        <w:rPr>
          <w:b/>
          <w:bCs/>
          <w:iCs/>
          <w:lang w:val="en-IN" w:bidi="en-US"/>
        </w:rPr>
        <w:t xml:space="preserve"> </w:t>
      </w:r>
      <w:r w:rsidRPr="00076376">
        <w:rPr>
          <w:b/>
          <w:bCs/>
          <w:iCs/>
          <w:lang w:val="en-GB" w:bidi="en-US"/>
        </w:rPr>
        <w:t xml:space="preserve">level </w:t>
      </w:r>
    </w:p>
    <w:p w14:paraId="37AB3DE5" w14:textId="1DEB8B37" w:rsidR="00AB6C29" w:rsidRPr="00076376" w:rsidRDefault="00AB6C29" w:rsidP="00076376">
      <w:pPr>
        <w:spacing w:after="200" w:line="276" w:lineRule="auto"/>
        <w:jc w:val="both"/>
        <w:rPr>
          <w:rStyle w:val="citation-53"/>
          <w:b/>
          <w:bCs/>
          <w:iCs/>
          <w:lang w:val="en-GB" w:bidi="en-US"/>
        </w:rPr>
      </w:pPr>
      <w:r w:rsidRPr="00076376">
        <w:t>There was a highly significant variation in Nitrate levels (p&lt;0.001). AlCl3</w:t>
      </w:r>
      <w:r w:rsidR="008D74F8">
        <w:t>-only</w:t>
      </w:r>
      <w:r w:rsidRPr="00076376">
        <w:t>​ (G</w:t>
      </w:r>
      <w:r w:rsidR="008D74F8">
        <w:t xml:space="preserve">roup </w:t>
      </w:r>
      <w:r w:rsidRPr="00076376">
        <w:t xml:space="preserve">2) reduced Nitrate levels compared to control. Interestingly, the low-dose treatment (G4) resulted in the highest levels of Nitrate, significantly exceeding the control and standard drug groups. However, </w:t>
      </w:r>
      <w:r w:rsidRPr="00076376">
        <w:rPr>
          <w:rStyle w:val="citation-53"/>
        </w:rPr>
        <w:t xml:space="preserve">both treatments significantly increased nitrate levels compared to the </w:t>
      </w:r>
      <w:r w:rsidRPr="00076376">
        <w:rPr>
          <w:rStyle w:val="math-inline"/>
        </w:rPr>
        <w:t>AlCl</w:t>
      </w:r>
      <w:r w:rsidRPr="00076376">
        <w:rPr>
          <w:rStyle w:val="math-inline"/>
          <w:vertAlign w:val="subscript"/>
        </w:rPr>
        <w:t>3</w:t>
      </w:r>
      <w:r w:rsidRPr="00076376">
        <w:rPr>
          <w:rStyle w:val="citation-53"/>
        </w:rPr>
        <w:t>-only group.</w:t>
      </w:r>
    </w:p>
    <w:p w14:paraId="3F725155" w14:textId="77777777" w:rsidR="00AB6C29" w:rsidRPr="00076376" w:rsidRDefault="00AB6C29" w:rsidP="00076376">
      <w:pPr>
        <w:spacing w:before="100" w:beforeAutospacing="1" w:after="100" w:afterAutospacing="1"/>
        <w:jc w:val="both"/>
        <w:rPr>
          <w:rStyle w:val="citation-53"/>
        </w:rPr>
      </w:pPr>
    </w:p>
    <w:p w14:paraId="1FA70D3C" w14:textId="77777777" w:rsidR="00AB6C29" w:rsidRPr="00076376" w:rsidRDefault="00AB6C29" w:rsidP="00076376">
      <w:pPr>
        <w:spacing w:before="100" w:beforeAutospacing="1" w:after="100" w:afterAutospacing="1"/>
        <w:jc w:val="both"/>
      </w:pPr>
      <w:r w:rsidRPr="00076376">
        <w:rPr>
          <w:noProof/>
        </w:rPr>
        <w:lastRenderedPageBreak/>
        <w:drawing>
          <wp:inline distT="0" distB="0" distL="0" distR="0" wp14:anchorId="7B80B777" wp14:editId="140B38D5">
            <wp:extent cx="5943600" cy="35661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66B38B17" w14:textId="0269DC87" w:rsidR="00AB6C29" w:rsidRPr="00076376" w:rsidRDefault="00AB6C29" w:rsidP="00822F5F">
      <w:pPr>
        <w:spacing w:after="200" w:line="276" w:lineRule="auto"/>
        <w:jc w:val="both"/>
        <w:rPr>
          <w:b/>
          <w:bCs/>
          <w:iCs/>
          <w:lang w:val="en-GB" w:bidi="en-US"/>
        </w:rPr>
      </w:pPr>
      <w:r w:rsidRPr="00076376">
        <w:rPr>
          <w:b/>
          <w:bCs/>
          <w:iCs/>
          <w:lang w:val="en-GB" w:bidi="en-US"/>
        </w:rPr>
        <w:t xml:space="preserve">Figure </w:t>
      </w:r>
      <w:r w:rsidR="00985485">
        <w:rPr>
          <w:b/>
          <w:bCs/>
          <w:iCs/>
          <w:lang w:val="en-GB" w:bidi="en-US"/>
        </w:rPr>
        <w:t>3</w:t>
      </w:r>
      <w:r w:rsidRPr="00076376">
        <w:rPr>
          <w:b/>
          <w:bCs/>
          <w:iCs/>
          <w:lang w:val="en-GB" w:bidi="en-US"/>
        </w:rPr>
        <w:t>: Effect of combined ethanol leaf extract of</w:t>
      </w:r>
      <w:r w:rsidRPr="00076376">
        <w:rPr>
          <w:b/>
          <w:bCs/>
          <w:iCs/>
          <w:lang w:val="en-IN" w:bidi="en-US"/>
        </w:rPr>
        <w:t xml:space="preserve"> </w:t>
      </w:r>
      <w:r w:rsidRPr="00076376">
        <w:rPr>
          <w:b/>
          <w:bCs/>
          <w:i/>
          <w:iCs/>
          <w:lang w:val="en-IN" w:bidi="en-US"/>
        </w:rPr>
        <w:t>Piper</w:t>
      </w:r>
      <w:r w:rsidRPr="00076376">
        <w:rPr>
          <w:b/>
          <w:bCs/>
          <w:iCs/>
          <w:lang w:val="en-IN" w:bidi="en-US"/>
        </w:rPr>
        <w:t xml:space="preserve"> </w:t>
      </w:r>
      <w:proofErr w:type="spellStart"/>
      <w:r w:rsidRPr="00076376">
        <w:rPr>
          <w:b/>
          <w:bCs/>
          <w:i/>
          <w:iCs/>
          <w:lang w:val="en-IN" w:bidi="en-US"/>
        </w:rPr>
        <w:t>guineese</w:t>
      </w:r>
      <w:proofErr w:type="spellEnd"/>
      <w:r w:rsidRPr="00076376">
        <w:rPr>
          <w:b/>
          <w:bCs/>
          <w:i/>
          <w:iCs/>
          <w:lang w:bidi="en-US"/>
        </w:rPr>
        <w:t xml:space="preserve"> and</w:t>
      </w:r>
      <w:r w:rsidRPr="00076376">
        <w:rPr>
          <w:b/>
          <w:bCs/>
          <w:i/>
          <w:iCs/>
          <w:lang w:val="en-IN" w:bidi="en-US"/>
        </w:rPr>
        <w:t xml:space="preserve"> </w:t>
      </w:r>
      <w:proofErr w:type="spellStart"/>
      <w:r w:rsidRPr="00076376">
        <w:rPr>
          <w:b/>
          <w:bCs/>
          <w:i/>
          <w:iCs/>
          <w:lang w:val="en-IN" w:bidi="en-US"/>
        </w:rPr>
        <w:t>Zingiber</w:t>
      </w:r>
      <w:proofErr w:type="spellEnd"/>
      <w:r w:rsidRPr="00076376">
        <w:rPr>
          <w:b/>
          <w:bCs/>
          <w:i/>
          <w:iCs/>
          <w:lang w:val="en-IN" w:bidi="en-US"/>
        </w:rPr>
        <w:t xml:space="preserve"> </w:t>
      </w:r>
      <w:proofErr w:type="spellStart"/>
      <w:r w:rsidRPr="00076376">
        <w:rPr>
          <w:b/>
          <w:bCs/>
          <w:i/>
          <w:iCs/>
          <w:lang w:val="en-IN" w:bidi="en-US"/>
        </w:rPr>
        <w:t>officinale</w:t>
      </w:r>
      <w:proofErr w:type="spellEnd"/>
      <w:r w:rsidRPr="00076376">
        <w:rPr>
          <w:b/>
          <w:bCs/>
          <w:i/>
          <w:iCs/>
          <w:lang w:val="en-IN" w:bidi="en-US"/>
        </w:rPr>
        <w:t xml:space="preserve"> </w:t>
      </w:r>
      <w:r w:rsidRPr="00076376">
        <w:rPr>
          <w:b/>
          <w:bCs/>
          <w:iCs/>
          <w:lang w:val="en-IN" w:bidi="en-US"/>
        </w:rPr>
        <w:t xml:space="preserve">on brain nitrate </w:t>
      </w:r>
      <w:r w:rsidR="007C64BC" w:rsidRPr="00076376">
        <w:rPr>
          <w:b/>
          <w:bCs/>
          <w:iCs/>
          <w:lang w:val="en-GB" w:bidi="en-US"/>
        </w:rPr>
        <w:t>level</w:t>
      </w:r>
      <w:r w:rsidRPr="00076376">
        <w:rPr>
          <w:b/>
          <w:bCs/>
          <w:iCs/>
          <w:lang w:val="en-GB" w:bidi="en-US"/>
        </w:rPr>
        <w:t xml:space="preserve"> </w:t>
      </w:r>
      <w:r w:rsidRPr="00076376">
        <w:rPr>
          <w:b/>
          <w:bCs/>
          <w:iCs/>
          <w:lang w:val="en-IN" w:bidi="en-US"/>
        </w:rPr>
        <w:t xml:space="preserve">in </w:t>
      </w:r>
      <w:proofErr w:type="spellStart"/>
      <w:r w:rsidR="004D7579" w:rsidRPr="004D7579">
        <w:rPr>
          <w:rFonts w:eastAsia="Calibri"/>
          <w:b/>
        </w:rPr>
        <w:t>AlCl</w:t>
      </w:r>
      <w:proofErr w:type="spellEnd"/>
      <w:r w:rsidR="004D7579" w:rsidRPr="004D7579">
        <w:rPr>
          <w:rFonts w:ascii="Cambria Math" w:eastAsia="Calibri" w:hAnsi="Cambria Math" w:cs="Cambria Math"/>
          <w:b/>
        </w:rPr>
        <w:t>₃</w:t>
      </w:r>
      <w:r w:rsidRPr="00076376">
        <w:rPr>
          <w:b/>
          <w:bCs/>
          <w:iCs/>
          <w:lang w:val="en-IN" w:bidi="en-US"/>
        </w:rPr>
        <w:t>-induced dementia in Wistar rats</w:t>
      </w:r>
    </w:p>
    <w:p w14:paraId="19E7F4A3" w14:textId="4C68BCAE" w:rsidR="005F45EC" w:rsidRPr="00076376" w:rsidRDefault="00AB6C29" w:rsidP="00822F5F">
      <w:pPr>
        <w:spacing w:after="200" w:line="276" w:lineRule="auto"/>
        <w:jc w:val="both"/>
        <w:rPr>
          <w:iCs/>
          <w:lang w:val="en-GB" w:bidi="en-US"/>
        </w:rPr>
      </w:pPr>
      <w:r w:rsidRPr="00076376">
        <w:rPr>
          <w:iCs/>
          <w:lang w:val="en-GB" w:bidi="en-US"/>
        </w:rPr>
        <w:t>Data are represented as mean ± standard error of triplicate values, values in a column bearing different alphabetical superscript differ significantly from each other at 95% confidence level (p≤0.05). Group 1 (</w:t>
      </w:r>
      <w:r w:rsidR="006E743C">
        <w:rPr>
          <w:iCs/>
          <w:lang w:val="en-GB" w:bidi="en-US"/>
        </w:rPr>
        <w:t>Control</w:t>
      </w:r>
      <w:r w:rsidRPr="00076376">
        <w:rPr>
          <w:iCs/>
          <w:lang w:val="en-GB" w:bidi="en-US"/>
        </w:rPr>
        <w:t>), Group 2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Pr="00076376">
        <w:rPr>
          <w:iCs/>
          <w:lang w:val="en-GB" w:bidi="en-US"/>
        </w:rPr>
        <w:t>120 mg/kg), Group 3 (combined 800 mg/kg), Group 4 (</w:t>
      </w:r>
      <w:r w:rsidR="00984C6B" w:rsidRPr="00076376">
        <w:rPr>
          <w:iCs/>
          <w:lang w:val="en-GB" w:bidi="en-US"/>
        </w:rPr>
        <w:t>combined 400</w:t>
      </w:r>
      <w:r w:rsidRPr="00076376">
        <w:rPr>
          <w:iCs/>
          <w:lang w:val="en-GB" w:bidi="en-US"/>
        </w:rPr>
        <w:t xml:space="preserve"> mg/kg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Pr="00076376">
        <w:rPr>
          <w:iCs/>
          <w:lang w:val="en-GB" w:bidi="en-US"/>
        </w:rPr>
        <w:t>120 mg/kg), Group 5 (</w:t>
      </w:r>
      <w:r w:rsidR="00984C6B" w:rsidRPr="00076376">
        <w:rPr>
          <w:iCs/>
          <w:lang w:val="en-GB" w:bidi="en-US"/>
        </w:rPr>
        <w:t>Combined 800</w:t>
      </w:r>
      <w:r w:rsidRPr="00076376">
        <w:rPr>
          <w:iCs/>
          <w:lang w:val="en-GB" w:bidi="en-US"/>
        </w:rPr>
        <w:t xml:space="preserve"> mg/kg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Pr="00076376">
        <w:rPr>
          <w:iCs/>
          <w:lang w:val="en-GB" w:bidi="en-US"/>
        </w:rPr>
        <w:t xml:space="preserve"> 120 mg/kg) and Group 6 (Standard drug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Pr="00076376">
        <w:rPr>
          <w:iCs/>
          <w:lang w:val="en-GB" w:bidi="en-US"/>
        </w:rPr>
        <w:t xml:space="preserve"> 120 mg/kg).</w:t>
      </w:r>
    </w:p>
    <w:p w14:paraId="43172C24" w14:textId="77777777" w:rsidR="005F45EC" w:rsidRPr="00076376" w:rsidRDefault="005F45EC" w:rsidP="00076376">
      <w:pPr>
        <w:spacing w:line="360" w:lineRule="auto"/>
        <w:jc w:val="both"/>
        <w:rPr>
          <w:rFonts w:eastAsia="Calibri"/>
          <w:b/>
          <w:bCs/>
          <w:lang w:val="en-GB"/>
        </w:rPr>
      </w:pPr>
      <w:bookmarkStart w:id="8" w:name="_Hlk150501579"/>
      <w:bookmarkStart w:id="9" w:name="_Hlk150504360"/>
    </w:p>
    <w:p w14:paraId="08DCDED9" w14:textId="0BB0FB9C" w:rsidR="005F45EC" w:rsidRPr="00076376" w:rsidRDefault="005F45EC" w:rsidP="00076376">
      <w:pPr>
        <w:spacing w:line="276" w:lineRule="auto"/>
        <w:jc w:val="both"/>
        <w:rPr>
          <w:rFonts w:eastAsia="Calibri"/>
          <w:b/>
          <w:lang w:val="en-GB"/>
        </w:rPr>
      </w:pPr>
      <w:r w:rsidRPr="00076376">
        <w:rPr>
          <w:rFonts w:eastAsia="Calibri"/>
          <w:b/>
        </w:rPr>
        <w:t>E</w:t>
      </w:r>
      <w:proofErr w:type="spellStart"/>
      <w:r w:rsidRPr="00076376">
        <w:rPr>
          <w:rFonts w:eastAsia="Calibri"/>
          <w:b/>
          <w:lang w:val="en-GB"/>
        </w:rPr>
        <w:t>ffect</w:t>
      </w:r>
      <w:proofErr w:type="spellEnd"/>
      <w:r w:rsidRPr="00076376">
        <w:rPr>
          <w:rFonts w:eastAsia="Calibri"/>
          <w:b/>
          <w:lang w:val="en-GB"/>
        </w:rPr>
        <w:t xml:space="preserve"> </w:t>
      </w:r>
      <w:bookmarkEnd w:id="8"/>
      <w:r w:rsidRPr="00076376">
        <w:rPr>
          <w:rFonts w:eastAsia="Calibri"/>
          <w:b/>
          <w:lang w:val="en-GB"/>
        </w:rPr>
        <w:t>of combined ethanol leaf extract of</w:t>
      </w:r>
      <w:r w:rsidRPr="00076376">
        <w:rPr>
          <w:rFonts w:eastAsia="Calibri"/>
          <w:b/>
        </w:rPr>
        <w:t xml:space="preserve"> </w:t>
      </w:r>
      <w:bookmarkStart w:id="10" w:name="_Hlk150457589"/>
      <w:r w:rsidRPr="00076376">
        <w:rPr>
          <w:rFonts w:eastAsia="Calibri"/>
          <w:b/>
          <w:i/>
          <w:iCs/>
        </w:rPr>
        <w:t>Piper</w:t>
      </w:r>
      <w:r w:rsidRPr="00076376">
        <w:rPr>
          <w:rFonts w:eastAsia="Calibri"/>
          <w:b/>
        </w:rPr>
        <w:t xml:space="preserve"> </w:t>
      </w:r>
      <w:proofErr w:type="spellStart"/>
      <w:r w:rsidRPr="00076376">
        <w:rPr>
          <w:rFonts w:eastAsia="Calibri"/>
          <w:b/>
          <w:i/>
          <w:iCs/>
        </w:rPr>
        <w:t>guineese</w:t>
      </w:r>
      <w:proofErr w:type="spellEnd"/>
      <w:r w:rsidRPr="00076376">
        <w:rPr>
          <w:rFonts w:eastAsia="Calibri"/>
          <w:b/>
          <w:i/>
          <w:iCs/>
        </w:rPr>
        <w:t xml:space="preserve"> and </w:t>
      </w:r>
      <w:proofErr w:type="spellStart"/>
      <w:r w:rsidRPr="00076376">
        <w:rPr>
          <w:rFonts w:eastAsia="Calibri"/>
          <w:b/>
          <w:i/>
          <w:iCs/>
        </w:rPr>
        <w:t>Zingiber</w:t>
      </w:r>
      <w:proofErr w:type="spellEnd"/>
      <w:r w:rsidRPr="00076376">
        <w:rPr>
          <w:rFonts w:eastAsia="Calibri"/>
          <w:b/>
          <w:i/>
          <w:iCs/>
        </w:rPr>
        <w:t xml:space="preserve"> </w:t>
      </w:r>
      <w:proofErr w:type="spellStart"/>
      <w:r w:rsidRPr="00076376">
        <w:rPr>
          <w:rFonts w:eastAsia="Calibri"/>
          <w:b/>
          <w:i/>
          <w:iCs/>
        </w:rPr>
        <w:t>officinale</w:t>
      </w:r>
      <w:proofErr w:type="spellEnd"/>
      <w:r w:rsidRPr="00076376">
        <w:rPr>
          <w:rFonts w:eastAsia="Calibri"/>
          <w:b/>
          <w:i/>
          <w:iCs/>
        </w:rPr>
        <w:t xml:space="preserve"> </w:t>
      </w:r>
      <w:bookmarkEnd w:id="10"/>
      <w:r w:rsidRPr="00076376">
        <w:rPr>
          <w:rFonts w:eastAsia="Calibri"/>
          <w:b/>
        </w:rPr>
        <w:t>on</w:t>
      </w:r>
      <w:r w:rsidRPr="00076376">
        <w:rPr>
          <w:rFonts w:eastAsia="Calibri"/>
          <w:b/>
          <w:bCs/>
        </w:rPr>
        <w:t xml:space="preserve"> </w:t>
      </w:r>
      <w:r w:rsidRPr="00076376">
        <w:rPr>
          <w:rFonts w:eastAsia="Calibri"/>
          <w:b/>
          <w:bCs/>
          <w:lang w:val="en-GB"/>
        </w:rPr>
        <w:t>brain homogenate antioxidant parameters</w:t>
      </w:r>
      <w:r w:rsidRPr="00076376">
        <w:rPr>
          <w:rFonts w:eastAsia="Calibri"/>
          <w:b/>
          <w:bCs/>
        </w:rPr>
        <w:t xml:space="preserve"> </w:t>
      </w:r>
    </w:p>
    <w:p w14:paraId="1C5DEA86" w14:textId="552BF099" w:rsidR="005F45EC" w:rsidRPr="00984C6B" w:rsidRDefault="005F45EC" w:rsidP="00076376">
      <w:pPr>
        <w:spacing w:line="276" w:lineRule="auto"/>
        <w:jc w:val="both"/>
        <w:rPr>
          <w:rFonts w:eastAsia="Calibri"/>
          <w:bCs/>
        </w:rPr>
      </w:pPr>
      <w:r w:rsidRPr="00076376">
        <w:rPr>
          <w:rFonts w:eastAsia="Calibri"/>
        </w:rPr>
        <w:t>The  e</w:t>
      </w:r>
      <w:proofErr w:type="spellStart"/>
      <w:r w:rsidRPr="00076376">
        <w:rPr>
          <w:rFonts w:eastAsia="Calibri"/>
          <w:lang w:val="en-GB"/>
        </w:rPr>
        <w:t>ffect</w:t>
      </w:r>
      <w:proofErr w:type="spellEnd"/>
      <w:r w:rsidRPr="00076376">
        <w:rPr>
          <w:rFonts w:eastAsia="Calibri"/>
          <w:lang w:val="en-GB"/>
        </w:rPr>
        <w:t xml:space="preserve"> of combined ethanol leaf extract of</w:t>
      </w:r>
      <w:r w:rsidRPr="00076376">
        <w:rPr>
          <w:rFonts w:eastAsia="Calibri"/>
        </w:rPr>
        <w:t xml:space="preserve"> </w:t>
      </w:r>
      <w:r w:rsidRPr="00076376">
        <w:rPr>
          <w:rFonts w:eastAsia="Calibri"/>
          <w:i/>
          <w:iCs/>
        </w:rPr>
        <w:t>Piper</w:t>
      </w:r>
      <w:r w:rsidRPr="00076376">
        <w:rPr>
          <w:rFonts w:eastAsia="Calibri"/>
        </w:rPr>
        <w:t xml:space="preserve"> </w:t>
      </w:r>
      <w:proofErr w:type="spellStart"/>
      <w:r w:rsidRPr="00076376">
        <w:rPr>
          <w:rFonts w:eastAsia="Calibri"/>
          <w:i/>
          <w:iCs/>
        </w:rPr>
        <w:t>guineese</w:t>
      </w:r>
      <w:proofErr w:type="spellEnd"/>
      <w:r w:rsidRPr="00076376">
        <w:rPr>
          <w:rFonts w:eastAsia="Calibri"/>
          <w:i/>
          <w:iCs/>
        </w:rPr>
        <w:t xml:space="preserve"> and </w:t>
      </w:r>
      <w:proofErr w:type="spellStart"/>
      <w:r w:rsidRPr="00076376">
        <w:rPr>
          <w:rFonts w:eastAsia="Calibri"/>
          <w:i/>
          <w:iCs/>
        </w:rPr>
        <w:t>Zingiber</w:t>
      </w:r>
      <w:proofErr w:type="spellEnd"/>
      <w:r w:rsidRPr="00076376">
        <w:rPr>
          <w:rFonts w:eastAsia="Calibri"/>
          <w:i/>
          <w:iCs/>
        </w:rPr>
        <w:t xml:space="preserve"> </w:t>
      </w:r>
      <w:proofErr w:type="spellStart"/>
      <w:r w:rsidRPr="00076376">
        <w:rPr>
          <w:rFonts w:eastAsia="Calibri"/>
          <w:i/>
          <w:iCs/>
        </w:rPr>
        <w:t>officinale</w:t>
      </w:r>
      <w:proofErr w:type="spellEnd"/>
      <w:r w:rsidRPr="00076376">
        <w:rPr>
          <w:rFonts w:eastAsia="Calibri"/>
          <w:i/>
          <w:iCs/>
        </w:rPr>
        <w:t xml:space="preserve"> </w:t>
      </w:r>
      <w:r w:rsidRPr="00076376">
        <w:rPr>
          <w:rFonts w:eastAsia="Calibri"/>
        </w:rPr>
        <w:t>on</w:t>
      </w:r>
      <w:r w:rsidRPr="00076376">
        <w:rPr>
          <w:rFonts w:eastAsia="Calibri"/>
          <w:bCs/>
        </w:rPr>
        <w:t xml:space="preserve"> </w:t>
      </w:r>
      <w:r w:rsidRPr="00076376">
        <w:rPr>
          <w:rFonts w:eastAsia="Calibri"/>
          <w:bCs/>
          <w:lang w:val="en-GB"/>
        </w:rPr>
        <w:t>brain homogenate antioxidant parameters</w:t>
      </w:r>
      <w:r w:rsidRPr="00076376">
        <w:rPr>
          <w:rFonts w:eastAsia="Calibri"/>
          <w:bCs/>
        </w:rPr>
        <w:t xml:space="preserve"> in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Pr="00076376">
        <w:rPr>
          <w:rFonts w:eastAsia="Calibri"/>
          <w:bCs/>
        </w:rPr>
        <w:t xml:space="preserve">-induced dementia in adult male Wistar rats </w:t>
      </w:r>
      <w:r w:rsidR="00CB0BC7">
        <w:rPr>
          <w:rFonts w:eastAsia="Calibri"/>
          <w:bCs/>
        </w:rPr>
        <w:t>is</w:t>
      </w:r>
      <w:r w:rsidRPr="00076376">
        <w:rPr>
          <w:rFonts w:eastAsia="Calibri"/>
          <w:bCs/>
        </w:rPr>
        <w:t xml:space="preserve"> shown in table 2 The result  shows</w:t>
      </w:r>
      <w:r w:rsidR="00E43339">
        <w:rPr>
          <w:rFonts w:eastAsia="Calibri"/>
          <w:bCs/>
        </w:rPr>
        <w:t xml:space="preserve"> that</w:t>
      </w:r>
      <w:r w:rsidR="00E43339" w:rsidRPr="00E43339">
        <w:t xml:space="preserve"> </w:t>
      </w:r>
      <w:r w:rsidR="00E43339">
        <w:rPr>
          <w:rFonts w:eastAsia="Calibri"/>
          <w:bCs/>
        </w:rPr>
        <w:t>e</w:t>
      </w:r>
      <w:r w:rsidR="00E43339" w:rsidRPr="00E43339">
        <w:rPr>
          <w:rFonts w:eastAsia="Calibri"/>
          <w:bCs/>
        </w:rPr>
        <w:t xml:space="preserve">xposure to </w:t>
      </w:r>
      <w:proofErr w:type="spellStart"/>
      <w:r w:rsidR="00192CFD" w:rsidRPr="00E43339">
        <w:rPr>
          <w:rFonts w:eastAsia="Calibri"/>
          <w:bCs/>
        </w:rPr>
        <w:t>AlCl</w:t>
      </w:r>
      <w:proofErr w:type="spellEnd"/>
      <w:r w:rsidR="00192CFD" w:rsidRPr="00E43339">
        <w:rPr>
          <w:rFonts w:ascii="Cambria Math" w:eastAsia="Calibri" w:hAnsi="Cambria Math" w:cs="Cambria Math"/>
          <w:bCs/>
        </w:rPr>
        <w:t>₃</w:t>
      </w:r>
      <w:r w:rsidR="00192CFD">
        <w:rPr>
          <w:rFonts w:eastAsia="Calibri"/>
          <w:bCs/>
        </w:rPr>
        <w:t xml:space="preserve"> only</w:t>
      </w:r>
      <w:r w:rsidR="00E43339" w:rsidRPr="00E43339">
        <w:rPr>
          <w:rFonts w:eastAsia="Calibri"/>
          <w:bCs/>
        </w:rPr>
        <w:t xml:space="preserve"> (Group 2) significantly </w:t>
      </w:r>
      <w:bookmarkStart w:id="11" w:name="_Hlk219260349"/>
      <w:r w:rsidR="00E43339" w:rsidRPr="00E43339">
        <w:rPr>
          <w:rFonts w:eastAsia="Calibri"/>
          <w:bCs/>
        </w:rPr>
        <w:t xml:space="preserve">(p ≤ 0.05) </w:t>
      </w:r>
      <w:bookmarkEnd w:id="11"/>
      <w:r w:rsidR="00E43339" w:rsidRPr="00E43339">
        <w:rPr>
          <w:rFonts w:eastAsia="Calibri"/>
          <w:bCs/>
        </w:rPr>
        <w:t>reduced glutathione (GSH) by approximately 27% (from 6.29 ± 0.20 to 4.61 ± 0.04 mg/g tissue), while the activities of glutathione peroxidase (</w:t>
      </w:r>
      <w:proofErr w:type="spellStart"/>
      <w:r w:rsidR="00E43339" w:rsidRPr="00E43339">
        <w:rPr>
          <w:rFonts w:eastAsia="Calibri"/>
          <w:bCs/>
        </w:rPr>
        <w:t>GPx</w:t>
      </w:r>
      <w:proofErr w:type="spellEnd"/>
      <w:r w:rsidR="00E43339" w:rsidRPr="00E43339">
        <w:rPr>
          <w:rFonts w:eastAsia="Calibri"/>
          <w:bCs/>
        </w:rPr>
        <w:t>), superoxide dismutase (SOD) and catalase (CAT) significantly</w:t>
      </w:r>
      <w:bookmarkStart w:id="12" w:name="_Hlk219260678"/>
      <w:r w:rsidR="00E43339" w:rsidRPr="00E43339">
        <w:rPr>
          <w:rFonts w:eastAsia="Calibri"/>
          <w:bCs/>
        </w:rPr>
        <w:t xml:space="preserve">(p ≤ 0.05) </w:t>
      </w:r>
      <w:bookmarkEnd w:id="12"/>
      <w:r w:rsidR="00E43339" w:rsidRPr="00E43339">
        <w:rPr>
          <w:rFonts w:eastAsia="Calibri"/>
          <w:bCs/>
        </w:rPr>
        <w:t>decreased by 22%, 19% and 29%, respectively. In contrast, malondialdehyde (MDA), an index of lipid peroxidation, increased threefold from 0.20 ± 0.02 to 0.60 ± 0.03 mmol/g tissue. However, co-administration of the combined extract produced significant</w:t>
      </w:r>
      <w:r w:rsidR="00ED695E">
        <w:rPr>
          <w:rFonts w:eastAsia="Calibri"/>
          <w:bCs/>
        </w:rPr>
        <w:t xml:space="preserve"> </w:t>
      </w:r>
      <w:r w:rsidR="00ED695E" w:rsidRPr="00ED695E">
        <w:rPr>
          <w:rFonts w:eastAsia="Calibri"/>
          <w:bCs/>
        </w:rPr>
        <w:t>(p ≤ 0.05)</w:t>
      </w:r>
      <w:r w:rsidR="00290213">
        <w:rPr>
          <w:rFonts w:eastAsia="Calibri"/>
          <w:bCs/>
        </w:rPr>
        <w:t xml:space="preserve"> </w:t>
      </w:r>
      <w:r w:rsidR="00E43339" w:rsidRPr="00E43339">
        <w:rPr>
          <w:rFonts w:eastAsia="Calibri"/>
          <w:bCs/>
        </w:rPr>
        <w:t xml:space="preserve">and dose-dependent neuroprotection. Group 4 (400 mg/kg + </w:t>
      </w:r>
      <w:proofErr w:type="spellStart"/>
      <w:r w:rsidR="00E43339" w:rsidRPr="00E43339">
        <w:rPr>
          <w:rFonts w:eastAsia="Calibri"/>
          <w:bCs/>
        </w:rPr>
        <w:t>AlCl</w:t>
      </w:r>
      <w:proofErr w:type="spellEnd"/>
      <w:r w:rsidR="00E43339" w:rsidRPr="00E43339">
        <w:rPr>
          <w:rFonts w:ascii="Cambria Math" w:eastAsia="Calibri" w:hAnsi="Cambria Math" w:cs="Cambria Math"/>
          <w:bCs/>
        </w:rPr>
        <w:t>₃</w:t>
      </w:r>
      <w:r w:rsidR="00E43339" w:rsidRPr="00E43339">
        <w:rPr>
          <w:rFonts w:eastAsia="Calibri"/>
          <w:bCs/>
        </w:rPr>
        <w:t xml:space="preserve">) exhibited partial restoration of antioxidant enzymes and significant (p ≤ 0.05) suppression of MDA </w:t>
      </w:r>
      <w:r w:rsidR="00E43339" w:rsidRPr="00E43339">
        <w:rPr>
          <w:rFonts w:eastAsia="Calibri"/>
          <w:bCs/>
        </w:rPr>
        <w:lastRenderedPageBreak/>
        <w:t xml:space="preserve">compared with the </w:t>
      </w:r>
      <w:proofErr w:type="spellStart"/>
      <w:r w:rsidR="00E43339" w:rsidRPr="00E43339">
        <w:rPr>
          <w:rFonts w:eastAsia="Calibri"/>
          <w:bCs/>
        </w:rPr>
        <w:t>AlCl</w:t>
      </w:r>
      <w:proofErr w:type="spellEnd"/>
      <w:r w:rsidR="00E43339" w:rsidRPr="00E43339">
        <w:rPr>
          <w:rFonts w:ascii="Cambria Math" w:eastAsia="Calibri" w:hAnsi="Cambria Math" w:cs="Cambria Math"/>
          <w:bCs/>
        </w:rPr>
        <w:t>₃</w:t>
      </w:r>
      <w:r w:rsidR="00E43339" w:rsidRPr="00E43339">
        <w:rPr>
          <w:rFonts w:eastAsia="Calibri"/>
          <w:bCs/>
        </w:rPr>
        <w:t>- only (group</w:t>
      </w:r>
      <w:r w:rsidR="0045038E">
        <w:rPr>
          <w:rFonts w:eastAsia="Calibri"/>
          <w:bCs/>
        </w:rPr>
        <w:t xml:space="preserve"> 2</w:t>
      </w:r>
      <w:r w:rsidR="00E43339" w:rsidRPr="00E43339">
        <w:rPr>
          <w:rFonts w:eastAsia="Calibri"/>
          <w:bCs/>
        </w:rPr>
        <w:t>)</w:t>
      </w:r>
      <w:bookmarkStart w:id="13" w:name="_Hlk219259799"/>
      <w:r w:rsidR="00E43339" w:rsidRPr="00E43339">
        <w:rPr>
          <w:rFonts w:eastAsia="Calibri"/>
          <w:bCs/>
        </w:rPr>
        <w:t xml:space="preserve">. </w:t>
      </w:r>
      <w:bookmarkEnd w:id="13"/>
      <w:r w:rsidR="00E43339" w:rsidRPr="00E43339">
        <w:rPr>
          <w:rFonts w:eastAsia="Calibri"/>
          <w:bCs/>
        </w:rPr>
        <w:t xml:space="preserve">More pronounced recovery was observed in Group 5 (800 mg/kg + </w:t>
      </w:r>
      <w:proofErr w:type="spellStart"/>
      <w:r w:rsidR="00E43339" w:rsidRPr="00E43339">
        <w:rPr>
          <w:rFonts w:eastAsia="Calibri"/>
          <w:bCs/>
        </w:rPr>
        <w:t>AlCl</w:t>
      </w:r>
      <w:proofErr w:type="spellEnd"/>
      <w:r w:rsidR="00E43339" w:rsidRPr="00E43339">
        <w:rPr>
          <w:rFonts w:ascii="Cambria Math" w:eastAsia="Calibri" w:hAnsi="Cambria Math" w:cs="Cambria Math"/>
          <w:bCs/>
        </w:rPr>
        <w:t>₃</w:t>
      </w:r>
      <w:r w:rsidR="00E43339" w:rsidRPr="00E43339">
        <w:rPr>
          <w:rFonts w:eastAsia="Calibri"/>
          <w:bCs/>
        </w:rPr>
        <w:t>), whose antioxidant indices approached control values. The standard drug-treated group (Group 6) demonstrated a comparable restorative pattern.</w:t>
      </w:r>
    </w:p>
    <w:p w14:paraId="59FAD94A" w14:textId="77777777" w:rsidR="005F45EC" w:rsidRPr="00076376" w:rsidRDefault="005F45EC" w:rsidP="00076376">
      <w:pPr>
        <w:spacing w:line="276" w:lineRule="auto"/>
        <w:jc w:val="both"/>
        <w:rPr>
          <w:color w:val="000000"/>
          <w:lang w:val="en-GB" w:eastAsia="en-GB"/>
        </w:rPr>
      </w:pPr>
    </w:p>
    <w:p w14:paraId="77653BE0" w14:textId="544C2EF6" w:rsidR="005F45EC" w:rsidRPr="00984C6B" w:rsidRDefault="00F7365E" w:rsidP="00984C6B">
      <w:pPr>
        <w:spacing w:line="276" w:lineRule="auto"/>
        <w:jc w:val="both"/>
        <w:rPr>
          <w:rFonts w:eastAsia="Calibri"/>
          <w:b/>
          <w:lang w:val="en-GB"/>
        </w:rPr>
      </w:pPr>
      <w:r w:rsidRPr="00076376">
        <w:rPr>
          <w:rFonts w:eastAsia="Calibri"/>
          <w:b/>
          <w:bCs/>
        </w:rPr>
        <w:t xml:space="preserve">Table </w:t>
      </w:r>
      <w:r w:rsidR="003C6D89">
        <w:rPr>
          <w:rFonts w:eastAsia="Calibri"/>
          <w:b/>
          <w:bCs/>
        </w:rPr>
        <w:t>3</w:t>
      </w:r>
      <w:r w:rsidRPr="00076376">
        <w:rPr>
          <w:rFonts w:eastAsia="Calibri"/>
          <w:b/>
          <w:bCs/>
        </w:rPr>
        <w:t xml:space="preserve">: </w:t>
      </w:r>
      <w:r w:rsidR="00701B77" w:rsidRPr="00076376">
        <w:rPr>
          <w:rFonts w:eastAsia="Calibri"/>
          <w:b/>
        </w:rPr>
        <w:t>E</w:t>
      </w:r>
      <w:proofErr w:type="spellStart"/>
      <w:r w:rsidR="00701B77" w:rsidRPr="00076376">
        <w:rPr>
          <w:rFonts w:eastAsia="Calibri"/>
          <w:b/>
          <w:lang w:val="en-GB"/>
        </w:rPr>
        <w:t>ffect</w:t>
      </w:r>
      <w:proofErr w:type="spellEnd"/>
      <w:r w:rsidR="00701B77" w:rsidRPr="00076376">
        <w:rPr>
          <w:rFonts w:eastAsia="Calibri"/>
          <w:b/>
          <w:lang w:val="en-GB"/>
        </w:rPr>
        <w:t xml:space="preserve"> of combined ethanol leaf extract of</w:t>
      </w:r>
      <w:r w:rsidR="00701B77" w:rsidRPr="00076376">
        <w:rPr>
          <w:rFonts w:eastAsia="Calibri"/>
          <w:b/>
        </w:rPr>
        <w:t xml:space="preserve"> </w:t>
      </w:r>
      <w:r w:rsidR="00701B77" w:rsidRPr="00076376">
        <w:rPr>
          <w:rFonts w:eastAsia="Calibri"/>
          <w:b/>
          <w:i/>
          <w:iCs/>
        </w:rPr>
        <w:t>Piper</w:t>
      </w:r>
      <w:r w:rsidR="00701B77" w:rsidRPr="00076376">
        <w:rPr>
          <w:rFonts w:eastAsia="Calibri"/>
          <w:b/>
        </w:rPr>
        <w:t xml:space="preserve"> </w:t>
      </w:r>
      <w:proofErr w:type="spellStart"/>
      <w:r w:rsidR="00701B77" w:rsidRPr="00076376">
        <w:rPr>
          <w:rFonts w:eastAsia="Calibri"/>
          <w:b/>
          <w:i/>
          <w:iCs/>
        </w:rPr>
        <w:t>guineese</w:t>
      </w:r>
      <w:proofErr w:type="spellEnd"/>
      <w:r w:rsidR="00701B77" w:rsidRPr="00076376">
        <w:rPr>
          <w:rFonts w:eastAsia="Calibri"/>
          <w:b/>
          <w:i/>
          <w:iCs/>
        </w:rPr>
        <w:t xml:space="preserve"> and </w:t>
      </w:r>
      <w:proofErr w:type="spellStart"/>
      <w:r w:rsidR="00701B77" w:rsidRPr="00076376">
        <w:rPr>
          <w:rFonts w:eastAsia="Calibri"/>
          <w:b/>
          <w:i/>
          <w:iCs/>
        </w:rPr>
        <w:t>Zingiber</w:t>
      </w:r>
      <w:proofErr w:type="spellEnd"/>
      <w:r w:rsidR="00701B77" w:rsidRPr="00076376">
        <w:rPr>
          <w:rFonts w:eastAsia="Calibri"/>
          <w:b/>
          <w:i/>
          <w:iCs/>
        </w:rPr>
        <w:t xml:space="preserve"> </w:t>
      </w:r>
      <w:proofErr w:type="spellStart"/>
      <w:r w:rsidR="00701B77" w:rsidRPr="00076376">
        <w:rPr>
          <w:rFonts w:eastAsia="Calibri"/>
          <w:b/>
          <w:i/>
          <w:iCs/>
        </w:rPr>
        <w:t>officinale</w:t>
      </w:r>
      <w:proofErr w:type="spellEnd"/>
      <w:r w:rsidR="00290213" w:rsidRPr="00290213">
        <w:rPr>
          <w:b/>
          <w:bCs/>
        </w:rPr>
        <w:t xml:space="preserve"> </w:t>
      </w:r>
      <w:r w:rsidR="00290213" w:rsidRPr="00D36699">
        <w:rPr>
          <w:b/>
          <w:bCs/>
        </w:rPr>
        <w:t>rhizome</w:t>
      </w:r>
      <w:r w:rsidR="00701B77" w:rsidRPr="00076376">
        <w:rPr>
          <w:rFonts w:eastAsia="Calibri"/>
          <w:b/>
          <w:i/>
          <w:iCs/>
        </w:rPr>
        <w:t xml:space="preserve"> </w:t>
      </w:r>
      <w:r w:rsidR="00701B77" w:rsidRPr="00076376">
        <w:rPr>
          <w:rFonts w:eastAsia="Calibri"/>
          <w:b/>
        </w:rPr>
        <w:t>on</w:t>
      </w:r>
      <w:r w:rsidR="00701B77" w:rsidRPr="00076376">
        <w:rPr>
          <w:rFonts w:eastAsia="Calibri"/>
          <w:b/>
          <w:bCs/>
        </w:rPr>
        <w:t xml:space="preserve"> </w:t>
      </w:r>
      <w:r w:rsidR="00701B77" w:rsidRPr="00076376">
        <w:rPr>
          <w:rFonts w:eastAsia="Calibri"/>
          <w:b/>
          <w:bCs/>
          <w:lang w:val="en-GB"/>
        </w:rPr>
        <w:t>brain homogenate antioxidant parameters</w:t>
      </w:r>
      <w:r w:rsidR="00701B77" w:rsidRPr="00076376">
        <w:rPr>
          <w:rFonts w:eastAsia="Calibri"/>
          <w:b/>
          <w:bCs/>
        </w:rPr>
        <w:t xml:space="preserve"> in </w:t>
      </w:r>
      <w:proofErr w:type="spellStart"/>
      <w:r w:rsidR="00984C6B" w:rsidRPr="00984C6B">
        <w:rPr>
          <w:rFonts w:eastAsia="Calibri"/>
          <w:b/>
        </w:rPr>
        <w:t>AlCl</w:t>
      </w:r>
      <w:proofErr w:type="spellEnd"/>
      <w:r w:rsidR="00984C6B" w:rsidRPr="00984C6B">
        <w:rPr>
          <w:rFonts w:ascii="Cambria Math" w:eastAsia="Calibri" w:hAnsi="Cambria Math" w:cs="Cambria Math"/>
          <w:b/>
        </w:rPr>
        <w:t>₃</w:t>
      </w:r>
      <w:r w:rsidR="00701B77" w:rsidRPr="00076376">
        <w:rPr>
          <w:rFonts w:eastAsia="Calibri"/>
          <w:b/>
          <w:bCs/>
        </w:rPr>
        <w:t>-induced dementia in adult male Wistar rats</w:t>
      </w:r>
    </w:p>
    <w:tbl>
      <w:tblPr>
        <w:tblStyle w:val="TableGrid"/>
        <w:tblW w:w="95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21"/>
        <w:gridCol w:w="1668"/>
        <w:gridCol w:w="1701"/>
        <w:gridCol w:w="1851"/>
        <w:gridCol w:w="1867"/>
      </w:tblGrid>
      <w:tr w:rsidR="00984C6B" w:rsidRPr="00076376" w14:paraId="7491215C" w14:textId="77777777" w:rsidTr="00984C6B">
        <w:trPr>
          <w:trHeight w:val="287"/>
        </w:trPr>
        <w:tc>
          <w:tcPr>
            <w:tcW w:w="990" w:type="dxa"/>
            <w:vMerge w:val="restart"/>
            <w:tcBorders>
              <w:top w:val="single" w:sz="4" w:space="0" w:color="auto"/>
              <w:bottom w:val="nil"/>
            </w:tcBorders>
            <w:noWrap/>
            <w:vAlign w:val="center"/>
          </w:tcPr>
          <w:bookmarkEnd w:id="9"/>
          <w:p w14:paraId="01B6EC6D" w14:textId="4F7EB31E" w:rsidR="00984C6B" w:rsidRPr="00076376" w:rsidRDefault="00984C6B" w:rsidP="00076376">
            <w:pPr>
              <w:spacing w:line="360" w:lineRule="auto"/>
              <w:jc w:val="both"/>
              <w:rPr>
                <w:color w:val="000000"/>
                <w:lang w:val="en-GB" w:eastAsia="en-GB"/>
              </w:rPr>
            </w:pPr>
            <w:r w:rsidRPr="00076376">
              <w:rPr>
                <w:b/>
                <w:bCs/>
                <w:color w:val="000000"/>
                <w:lang w:val="en-GB" w:eastAsia="en-GB"/>
              </w:rPr>
              <w:t>Groups</w:t>
            </w:r>
          </w:p>
        </w:tc>
        <w:tc>
          <w:tcPr>
            <w:tcW w:w="8608" w:type="dxa"/>
            <w:gridSpan w:val="5"/>
            <w:tcBorders>
              <w:top w:val="single" w:sz="4" w:space="0" w:color="auto"/>
              <w:bottom w:val="single" w:sz="4" w:space="0" w:color="auto"/>
            </w:tcBorders>
            <w:vAlign w:val="center"/>
          </w:tcPr>
          <w:p w14:paraId="090A8B5D" w14:textId="4CABBABD" w:rsidR="00984C6B" w:rsidRPr="00076376" w:rsidRDefault="00984C6B" w:rsidP="00984C6B">
            <w:pPr>
              <w:spacing w:line="360" w:lineRule="auto"/>
              <w:jc w:val="center"/>
              <w:rPr>
                <w:rFonts w:eastAsia="Calibri"/>
                <w:color w:val="000000"/>
                <w:lang w:eastAsia="en-GB"/>
              </w:rPr>
            </w:pPr>
            <w:r>
              <w:rPr>
                <w:rFonts w:eastAsia="Calibri"/>
                <w:b/>
                <w:bCs/>
                <w:color w:val="000000"/>
                <w:lang w:eastAsia="en-GB"/>
              </w:rPr>
              <w:t>Oxidative stress markers</w:t>
            </w:r>
          </w:p>
        </w:tc>
      </w:tr>
      <w:tr w:rsidR="00984C6B" w:rsidRPr="00076376" w14:paraId="5C488E58" w14:textId="77777777" w:rsidTr="00984C6B">
        <w:trPr>
          <w:trHeight w:val="421"/>
        </w:trPr>
        <w:tc>
          <w:tcPr>
            <w:tcW w:w="990" w:type="dxa"/>
            <w:vMerge/>
            <w:tcBorders>
              <w:top w:val="nil"/>
              <w:bottom w:val="single" w:sz="4" w:space="0" w:color="auto"/>
            </w:tcBorders>
            <w:noWrap/>
            <w:vAlign w:val="center"/>
          </w:tcPr>
          <w:p w14:paraId="7EB9B78F" w14:textId="6AB8D2DF" w:rsidR="00984C6B" w:rsidRPr="00076376" w:rsidRDefault="00984C6B" w:rsidP="00076376">
            <w:pPr>
              <w:spacing w:line="360" w:lineRule="auto"/>
              <w:jc w:val="both"/>
              <w:rPr>
                <w:b/>
                <w:bCs/>
                <w:color w:val="000000"/>
                <w:lang w:val="en-GB" w:eastAsia="en-GB"/>
              </w:rPr>
            </w:pPr>
          </w:p>
        </w:tc>
        <w:tc>
          <w:tcPr>
            <w:tcW w:w="1521" w:type="dxa"/>
            <w:tcBorders>
              <w:top w:val="single" w:sz="4" w:space="0" w:color="auto"/>
              <w:bottom w:val="single" w:sz="4" w:space="0" w:color="auto"/>
            </w:tcBorders>
            <w:vAlign w:val="center"/>
          </w:tcPr>
          <w:p w14:paraId="35C3F3F1" w14:textId="5BD95D47" w:rsidR="00984C6B" w:rsidRPr="00076376" w:rsidRDefault="00984C6B" w:rsidP="00984C6B">
            <w:pPr>
              <w:jc w:val="center"/>
              <w:rPr>
                <w:rFonts w:eastAsia="Calibri"/>
                <w:b/>
                <w:bCs/>
                <w:color w:val="000000"/>
                <w:lang w:eastAsia="en-GB"/>
              </w:rPr>
            </w:pPr>
            <w:r w:rsidRPr="00076376">
              <w:rPr>
                <w:rFonts w:eastAsia="Calibri"/>
                <w:b/>
                <w:bCs/>
                <w:color w:val="000000"/>
                <w:lang w:eastAsia="en-GB"/>
              </w:rPr>
              <w:t>GSH</w:t>
            </w:r>
          </w:p>
          <w:p w14:paraId="39723C4B" w14:textId="77777777" w:rsidR="00984C6B" w:rsidRPr="00076376" w:rsidRDefault="00984C6B" w:rsidP="00984C6B">
            <w:pPr>
              <w:jc w:val="center"/>
              <w:rPr>
                <w:b/>
                <w:bCs/>
                <w:color w:val="000000"/>
                <w:lang w:val="en-GB" w:eastAsia="en-GB"/>
              </w:rPr>
            </w:pPr>
            <w:r w:rsidRPr="00076376">
              <w:rPr>
                <w:rFonts w:eastAsia="Calibri"/>
                <w:b/>
                <w:bCs/>
                <w:color w:val="000000"/>
                <w:lang w:eastAsia="en-GB"/>
              </w:rPr>
              <w:t>(mg/g tissue)</w:t>
            </w:r>
          </w:p>
        </w:tc>
        <w:tc>
          <w:tcPr>
            <w:tcW w:w="1668" w:type="dxa"/>
            <w:tcBorders>
              <w:top w:val="single" w:sz="4" w:space="0" w:color="auto"/>
              <w:bottom w:val="single" w:sz="4" w:space="0" w:color="auto"/>
            </w:tcBorders>
            <w:vAlign w:val="center"/>
          </w:tcPr>
          <w:p w14:paraId="6E7FD79E" w14:textId="3CDC66B4" w:rsidR="00984C6B" w:rsidRPr="00076376" w:rsidRDefault="00984C6B" w:rsidP="00984C6B">
            <w:pPr>
              <w:jc w:val="center"/>
              <w:rPr>
                <w:rFonts w:eastAsia="Calibri"/>
                <w:b/>
                <w:bCs/>
                <w:color w:val="000000"/>
                <w:lang w:eastAsia="en-GB"/>
              </w:rPr>
            </w:pPr>
            <w:proofErr w:type="spellStart"/>
            <w:r w:rsidRPr="00076376">
              <w:rPr>
                <w:rFonts w:eastAsia="Calibri"/>
                <w:b/>
                <w:bCs/>
                <w:color w:val="000000"/>
                <w:lang w:eastAsia="en-GB"/>
              </w:rPr>
              <w:t>GPx</w:t>
            </w:r>
            <w:proofErr w:type="spellEnd"/>
          </w:p>
          <w:p w14:paraId="397FC874" w14:textId="77777777" w:rsidR="00984C6B" w:rsidRPr="00076376" w:rsidRDefault="00984C6B" w:rsidP="00984C6B">
            <w:pPr>
              <w:jc w:val="center"/>
              <w:rPr>
                <w:b/>
                <w:bCs/>
                <w:color w:val="000000"/>
                <w:lang w:val="en-GB" w:eastAsia="en-GB"/>
              </w:rPr>
            </w:pPr>
            <w:r w:rsidRPr="00076376">
              <w:rPr>
                <w:rFonts w:eastAsia="Calibri"/>
                <w:b/>
                <w:bCs/>
                <w:color w:val="000000"/>
                <w:lang w:eastAsia="en-GB"/>
              </w:rPr>
              <w:t>(u/g tissue)</w:t>
            </w:r>
          </w:p>
        </w:tc>
        <w:tc>
          <w:tcPr>
            <w:tcW w:w="1701" w:type="dxa"/>
            <w:tcBorders>
              <w:top w:val="single" w:sz="4" w:space="0" w:color="auto"/>
              <w:bottom w:val="single" w:sz="4" w:space="0" w:color="auto"/>
            </w:tcBorders>
            <w:vAlign w:val="center"/>
          </w:tcPr>
          <w:p w14:paraId="7639CDF3" w14:textId="6E5CCF2B" w:rsidR="00984C6B" w:rsidRPr="00076376" w:rsidRDefault="00984C6B" w:rsidP="00984C6B">
            <w:pPr>
              <w:jc w:val="center"/>
              <w:rPr>
                <w:rFonts w:eastAsia="Calibri"/>
                <w:b/>
                <w:bCs/>
                <w:color w:val="000000"/>
                <w:lang w:eastAsia="en-GB"/>
              </w:rPr>
            </w:pPr>
            <w:r w:rsidRPr="00076376">
              <w:rPr>
                <w:rFonts w:eastAsia="Calibri"/>
                <w:b/>
                <w:bCs/>
                <w:color w:val="000000"/>
                <w:lang w:eastAsia="en-GB"/>
              </w:rPr>
              <w:t>SOD</w:t>
            </w:r>
          </w:p>
          <w:p w14:paraId="229ECBE1" w14:textId="77777777" w:rsidR="00984C6B" w:rsidRPr="00076376" w:rsidRDefault="00984C6B" w:rsidP="00984C6B">
            <w:pPr>
              <w:jc w:val="center"/>
              <w:rPr>
                <w:b/>
                <w:bCs/>
                <w:color w:val="000000"/>
                <w:lang w:val="en-GB" w:eastAsia="en-GB"/>
              </w:rPr>
            </w:pPr>
            <w:r w:rsidRPr="00076376">
              <w:rPr>
                <w:rFonts w:eastAsia="Calibri"/>
                <w:b/>
                <w:bCs/>
                <w:color w:val="000000"/>
                <w:lang w:eastAsia="en-GB"/>
              </w:rPr>
              <w:t>(u/g tissue)</w:t>
            </w:r>
          </w:p>
        </w:tc>
        <w:tc>
          <w:tcPr>
            <w:tcW w:w="1851" w:type="dxa"/>
            <w:tcBorders>
              <w:top w:val="single" w:sz="4" w:space="0" w:color="auto"/>
              <w:bottom w:val="single" w:sz="4" w:space="0" w:color="auto"/>
            </w:tcBorders>
            <w:vAlign w:val="center"/>
          </w:tcPr>
          <w:p w14:paraId="41004018" w14:textId="7984A545" w:rsidR="00984C6B" w:rsidRPr="00076376" w:rsidRDefault="00984C6B" w:rsidP="00984C6B">
            <w:pPr>
              <w:jc w:val="center"/>
              <w:rPr>
                <w:rFonts w:eastAsia="Calibri"/>
                <w:b/>
                <w:bCs/>
                <w:color w:val="000000"/>
                <w:lang w:eastAsia="en-GB"/>
              </w:rPr>
            </w:pPr>
            <w:r w:rsidRPr="00076376">
              <w:rPr>
                <w:rFonts w:eastAsia="Calibri"/>
                <w:b/>
                <w:bCs/>
                <w:color w:val="000000"/>
                <w:lang w:eastAsia="en-GB"/>
              </w:rPr>
              <w:t>CAT</w:t>
            </w:r>
          </w:p>
          <w:p w14:paraId="41A7ABE4" w14:textId="77777777" w:rsidR="00984C6B" w:rsidRPr="00076376" w:rsidRDefault="00984C6B" w:rsidP="00984C6B">
            <w:pPr>
              <w:jc w:val="center"/>
              <w:rPr>
                <w:b/>
                <w:bCs/>
                <w:color w:val="000000"/>
                <w:lang w:val="en-GB" w:eastAsia="en-GB"/>
              </w:rPr>
            </w:pPr>
            <w:r w:rsidRPr="00076376">
              <w:rPr>
                <w:rFonts w:eastAsia="Calibri"/>
                <w:b/>
                <w:bCs/>
                <w:color w:val="000000"/>
                <w:lang w:eastAsia="en-GB"/>
              </w:rPr>
              <w:t>(u/g tissue)</w:t>
            </w:r>
          </w:p>
        </w:tc>
        <w:tc>
          <w:tcPr>
            <w:tcW w:w="1867" w:type="dxa"/>
            <w:tcBorders>
              <w:top w:val="single" w:sz="4" w:space="0" w:color="auto"/>
              <w:bottom w:val="single" w:sz="4" w:space="0" w:color="auto"/>
            </w:tcBorders>
            <w:vAlign w:val="center"/>
          </w:tcPr>
          <w:p w14:paraId="587A1521" w14:textId="77777777" w:rsidR="00984C6B" w:rsidRPr="00076376" w:rsidRDefault="00984C6B" w:rsidP="00984C6B">
            <w:pPr>
              <w:jc w:val="center"/>
              <w:rPr>
                <w:rFonts w:eastAsia="Calibri"/>
                <w:b/>
                <w:bCs/>
                <w:color w:val="000000"/>
                <w:lang w:eastAsia="en-GB"/>
              </w:rPr>
            </w:pPr>
            <w:r w:rsidRPr="00076376">
              <w:rPr>
                <w:rFonts w:eastAsia="Calibri"/>
                <w:b/>
                <w:bCs/>
                <w:color w:val="000000"/>
                <w:lang w:eastAsia="en-GB"/>
              </w:rPr>
              <w:t>MDA</w:t>
            </w:r>
          </w:p>
          <w:p w14:paraId="5E8981E1" w14:textId="70C5439F" w:rsidR="00984C6B" w:rsidRPr="00076376" w:rsidRDefault="00984C6B" w:rsidP="00984C6B">
            <w:pPr>
              <w:jc w:val="center"/>
              <w:rPr>
                <w:b/>
                <w:bCs/>
                <w:color w:val="000000"/>
                <w:lang w:val="en-GB" w:eastAsia="en-GB"/>
              </w:rPr>
            </w:pPr>
            <w:r w:rsidRPr="00076376">
              <w:rPr>
                <w:rFonts w:eastAsia="Calibri"/>
                <w:b/>
                <w:bCs/>
                <w:color w:val="000000"/>
                <w:lang w:eastAsia="en-GB"/>
              </w:rPr>
              <w:t>(mmol/g tissue)</w:t>
            </w:r>
          </w:p>
        </w:tc>
      </w:tr>
      <w:tr w:rsidR="005F45EC" w:rsidRPr="00076376" w14:paraId="15F752F2" w14:textId="77777777" w:rsidTr="00984C6B">
        <w:trPr>
          <w:trHeight w:val="315"/>
        </w:trPr>
        <w:tc>
          <w:tcPr>
            <w:tcW w:w="990" w:type="dxa"/>
            <w:tcBorders>
              <w:top w:val="single" w:sz="4" w:space="0" w:color="auto"/>
            </w:tcBorders>
            <w:noWrap/>
            <w:vAlign w:val="center"/>
          </w:tcPr>
          <w:p w14:paraId="6689BE9A" w14:textId="77777777" w:rsidR="005F45EC" w:rsidRPr="00076376" w:rsidRDefault="005F45EC" w:rsidP="00076376">
            <w:pPr>
              <w:spacing w:line="360" w:lineRule="auto"/>
              <w:jc w:val="both"/>
              <w:rPr>
                <w:color w:val="000000"/>
                <w:lang w:val="en-GB" w:eastAsia="en-GB"/>
              </w:rPr>
            </w:pPr>
            <w:r w:rsidRPr="00076376">
              <w:rPr>
                <w:color w:val="000000"/>
                <w:lang w:val="en-GB" w:eastAsia="en-GB"/>
              </w:rPr>
              <w:t>1</w:t>
            </w:r>
          </w:p>
        </w:tc>
        <w:tc>
          <w:tcPr>
            <w:tcW w:w="1521" w:type="dxa"/>
            <w:tcBorders>
              <w:top w:val="single" w:sz="4" w:space="0" w:color="auto"/>
            </w:tcBorders>
            <w:noWrap/>
            <w:vAlign w:val="center"/>
          </w:tcPr>
          <w:p w14:paraId="4D6204B8"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6.29 ± 0.20</w:t>
            </w:r>
            <w:r w:rsidRPr="00076376">
              <w:rPr>
                <w:color w:val="000000"/>
                <w:vertAlign w:val="superscript"/>
                <w:lang w:val="en-GB" w:eastAsia="en-GB"/>
              </w:rPr>
              <w:t>a</w:t>
            </w:r>
          </w:p>
        </w:tc>
        <w:tc>
          <w:tcPr>
            <w:tcW w:w="1668" w:type="dxa"/>
            <w:tcBorders>
              <w:top w:val="single" w:sz="4" w:space="0" w:color="auto"/>
            </w:tcBorders>
            <w:noWrap/>
            <w:vAlign w:val="center"/>
          </w:tcPr>
          <w:p w14:paraId="445BDA7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25.97 ± 0.64</w:t>
            </w:r>
            <w:r w:rsidRPr="00076376">
              <w:rPr>
                <w:color w:val="000000"/>
                <w:vertAlign w:val="superscript"/>
                <w:lang w:val="en-GB" w:eastAsia="en-GB"/>
              </w:rPr>
              <w:t>a</w:t>
            </w:r>
          </w:p>
        </w:tc>
        <w:tc>
          <w:tcPr>
            <w:tcW w:w="1701" w:type="dxa"/>
            <w:tcBorders>
              <w:top w:val="single" w:sz="4" w:space="0" w:color="auto"/>
            </w:tcBorders>
            <w:noWrap/>
            <w:vAlign w:val="center"/>
          </w:tcPr>
          <w:p w14:paraId="12D8D5FC"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37.63 ± 1.32</w:t>
            </w:r>
            <w:r w:rsidRPr="00076376">
              <w:rPr>
                <w:color w:val="000000"/>
                <w:vertAlign w:val="superscript"/>
                <w:lang w:val="en-GB" w:eastAsia="en-GB"/>
              </w:rPr>
              <w:t>ac</w:t>
            </w:r>
          </w:p>
        </w:tc>
        <w:tc>
          <w:tcPr>
            <w:tcW w:w="1851" w:type="dxa"/>
            <w:tcBorders>
              <w:top w:val="single" w:sz="4" w:space="0" w:color="auto"/>
            </w:tcBorders>
            <w:noWrap/>
            <w:vAlign w:val="center"/>
          </w:tcPr>
          <w:p w14:paraId="2395D45A"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8.09 ± 0.18</w:t>
            </w:r>
            <w:r w:rsidRPr="00076376">
              <w:rPr>
                <w:color w:val="000000"/>
                <w:vertAlign w:val="superscript"/>
                <w:lang w:val="en-GB" w:eastAsia="en-GB"/>
              </w:rPr>
              <w:t>a</w:t>
            </w:r>
          </w:p>
        </w:tc>
        <w:tc>
          <w:tcPr>
            <w:tcW w:w="1867" w:type="dxa"/>
            <w:tcBorders>
              <w:top w:val="single" w:sz="4" w:space="0" w:color="auto"/>
            </w:tcBorders>
            <w:noWrap/>
            <w:vAlign w:val="center"/>
          </w:tcPr>
          <w:p w14:paraId="46005630"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0.20 ± 0.02</w:t>
            </w:r>
            <w:r w:rsidRPr="00076376">
              <w:rPr>
                <w:color w:val="000000"/>
                <w:vertAlign w:val="superscript"/>
                <w:lang w:val="en-GB" w:eastAsia="en-GB"/>
              </w:rPr>
              <w:t>a</w:t>
            </w:r>
          </w:p>
        </w:tc>
      </w:tr>
      <w:tr w:rsidR="005F45EC" w:rsidRPr="00076376" w14:paraId="4C3C3C4F" w14:textId="77777777" w:rsidTr="00984C6B">
        <w:trPr>
          <w:trHeight w:val="315"/>
        </w:trPr>
        <w:tc>
          <w:tcPr>
            <w:tcW w:w="990" w:type="dxa"/>
            <w:noWrap/>
            <w:vAlign w:val="center"/>
          </w:tcPr>
          <w:p w14:paraId="4C35C9C8" w14:textId="77777777" w:rsidR="005F45EC" w:rsidRPr="00076376" w:rsidRDefault="005F45EC" w:rsidP="00076376">
            <w:pPr>
              <w:spacing w:line="360" w:lineRule="auto"/>
              <w:jc w:val="both"/>
              <w:rPr>
                <w:color w:val="000000"/>
                <w:lang w:val="en-GB" w:eastAsia="en-GB"/>
              </w:rPr>
            </w:pPr>
            <w:r w:rsidRPr="00076376">
              <w:rPr>
                <w:color w:val="000000"/>
                <w:lang w:val="en-GB" w:eastAsia="en-GB"/>
              </w:rPr>
              <w:t>2</w:t>
            </w:r>
          </w:p>
        </w:tc>
        <w:tc>
          <w:tcPr>
            <w:tcW w:w="1521" w:type="dxa"/>
            <w:noWrap/>
            <w:vAlign w:val="center"/>
          </w:tcPr>
          <w:p w14:paraId="468ADC84"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4.61 ± 0.04</w:t>
            </w:r>
            <w:r w:rsidRPr="00076376">
              <w:rPr>
                <w:color w:val="000000"/>
                <w:vertAlign w:val="superscript"/>
                <w:lang w:val="en-GB" w:eastAsia="en-GB"/>
              </w:rPr>
              <w:t>b</w:t>
            </w:r>
          </w:p>
        </w:tc>
        <w:tc>
          <w:tcPr>
            <w:tcW w:w="1668" w:type="dxa"/>
            <w:noWrap/>
            <w:vAlign w:val="center"/>
          </w:tcPr>
          <w:p w14:paraId="583A8C24"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20.17 ± 0.75</w:t>
            </w:r>
            <w:r w:rsidRPr="00076376">
              <w:rPr>
                <w:color w:val="000000"/>
                <w:vertAlign w:val="superscript"/>
                <w:lang w:val="en-GB" w:eastAsia="en-GB"/>
              </w:rPr>
              <w:t>b</w:t>
            </w:r>
          </w:p>
        </w:tc>
        <w:tc>
          <w:tcPr>
            <w:tcW w:w="1701" w:type="dxa"/>
            <w:noWrap/>
            <w:vAlign w:val="center"/>
          </w:tcPr>
          <w:p w14:paraId="591F3943"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30.63 ± 1.07</w:t>
            </w:r>
            <w:r w:rsidRPr="00076376">
              <w:rPr>
                <w:color w:val="000000"/>
                <w:vertAlign w:val="superscript"/>
                <w:lang w:val="en-GB" w:eastAsia="en-GB"/>
              </w:rPr>
              <w:t>b</w:t>
            </w:r>
          </w:p>
        </w:tc>
        <w:tc>
          <w:tcPr>
            <w:tcW w:w="1851" w:type="dxa"/>
            <w:noWrap/>
            <w:vAlign w:val="center"/>
          </w:tcPr>
          <w:p w14:paraId="1DE4A6AB"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5.71 ± 0.12</w:t>
            </w:r>
            <w:r w:rsidRPr="00076376">
              <w:rPr>
                <w:color w:val="000000"/>
                <w:vertAlign w:val="superscript"/>
                <w:lang w:val="en-GB" w:eastAsia="en-GB"/>
              </w:rPr>
              <w:t>b</w:t>
            </w:r>
          </w:p>
        </w:tc>
        <w:tc>
          <w:tcPr>
            <w:tcW w:w="1867" w:type="dxa"/>
            <w:noWrap/>
            <w:vAlign w:val="center"/>
          </w:tcPr>
          <w:p w14:paraId="67DAB41A"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0.60 ± 0.03</w:t>
            </w:r>
            <w:r w:rsidRPr="00076376">
              <w:rPr>
                <w:color w:val="000000"/>
                <w:vertAlign w:val="superscript"/>
                <w:lang w:val="en-GB" w:eastAsia="en-GB"/>
              </w:rPr>
              <w:t>b</w:t>
            </w:r>
          </w:p>
        </w:tc>
      </w:tr>
      <w:tr w:rsidR="005F45EC" w:rsidRPr="00076376" w14:paraId="6DB635B5" w14:textId="77777777" w:rsidTr="00984C6B">
        <w:trPr>
          <w:trHeight w:val="315"/>
        </w:trPr>
        <w:tc>
          <w:tcPr>
            <w:tcW w:w="990" w:type="dxa"/>
            <w:noWrap/>
            <w:vAlign w:val="center"/>
          </w:tcPr>
          <w:p w14:paraId="3DE28DFF" w14:textId="77777777" w:rsidR="005F45EC" w:rsidRPr="00076376" w:rsidRDefault="005F45EC" w:rsidP="00076376">
            <w:pPr>
              <w:spacing w:line="360" w:lineRule="auto"/>
              <w:jc w:val="both"/>
              <w:rPr>
                <w:color w:val="000000"/>
                <w:lang w:val="en-GB" w:eastAsia="en-GB"/>
              </w:rPr>
            </w:pPr>
            <w:r w:rsidRPr="00076376">
              <w:rPr>
                <w:color w:val="000000"/>
                <w:lang w:val="en-GB" w:eastAsia="en-GB"/>
              </w:rPr>
              <w:t>3</w:t>
            </w:r>
          </w:p>
        </w:tc>
        <w:tc>
          <w:tcPr>
            <w:tcW w:w="1521" w:type="dxa"/>
            <w:noWrap/>
            <w:vAlign w:val="center"/>
          </w:tcPr>
          <w:p w14:paraId="376E4DAC"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7.37 ± 0.23</w:t>
            </w:r>
            <w:r w:rsidRPr="00076376">
              <w:rPr>
                <w:color w:val="000000"/>
                <w:vertAlign w:val="superscript"/>
                <w:lang w:val="en-GB" w:eastAsia="en-GB"/>
              </w:rPr>
              <w:t>c</w:t>
            </w:r>
          </w:p>
        </w:tc>
        <w:tc>
          <w:tcPr>
            <w:tcW w:w="1668" w:type="dxa"/>
            <w:noWrap/>
            <w:vAlign w:val="center"/>
          </w:tcPr>
          <w:p w14:paraId="1DA697C1"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28.20 ± 0.21</w:t>
            </w:r>
            <w:r w:rsidRPr="00076376">
              <w:rPr>
                <w:color w:val="000000"/>
                <w:vertAlign w:val="superscript"/>
                <w:lang w:val="en-GB" w:eastAsia="en-GB"/>
              </w:rPr>
              <w:t>a</w:t>
            </w:r>
          </w:p>
        </w:tc>
        <w:tc>
          <w:tcPr>
            <w:tcW w:w="1701" w:type="dxa"/>
            <w:noWrap/>
            <w:vAlign w:val="center"/>
          </w:tcPr>
          <w:p w14:paraId="1B18798B"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41.17 ± 2.70</w:t>
            </w:r>
            <w:r w:rsidRPr="00076376">
              <w:rPr>
                <w:color w:val="000000"/>
                <w:vertAlign w:val="superscript"/>
                <w:lang w:val="en-GB" w:eastAsia="en-GB"/>
              </w:rPr>
              <w:t>c</w:t>
            </w:r>
          </w:p>
        </w:tc>
        <w:tc>
          <w:tcPr>
            <w:tcW w:w="1851" w:type="dxa"/>
            <w:noWrap/>
            <w:vAlign w:val="center"/>
          </w:tcPr>
          <w:p w14:paraId="14FB865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8.50 ± 0.42</w:t>
            </w:r>
            <w:r w:rsidRPr="00076376">
              <w:rPr>
                <w:color w:val="000000"/>
                <w:vertAlign w:val="superscript"/>
                <w:lang w:val="en-GB" w:eastAsia="en-GB"/>
              </w:rPr>
              <w:t>a</w:t>
            </w:r>
          </w:p>
        </w:tc>
        <w:tc>
          <w:tcPr>
            <w:tcW w:w="1867" w:type="dxa"/>
            <w:noWrap/>
            <w:vAlign w:val="center"/>
          </w:tcPr>
          <w:p w14:paraId="105D7DF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0.17 ± 0.02</w:t>
            </w:r>
            <w:r w:rsidRPr="00076376">
              <w:rPr>
                <w:color w:val="000000"/>
                <w:vertAlign w:val="superscript"/>
                <w:lang w:val="en-GB" w:eastAsia="en-GB"/>
              </w:rPr>
              <w:t>a</w:t>
            </w:r>
          </w:p>
        </w:tc>
      </w:tr>
      <w:tr w:rsidR="005F45EC" w:rsidRPr="00076376" w14:paraId="655E2E7D" w14:textId="77777777" w:rsidTr="00984C6B">
        <w:trPr>
          <w:trHeight w:val="315"/>
        </w:trPr>
        <w:tc>
          <w:tcPr>
            <w:tcW w:w="990" w:type="dxa"/>
            <w:noWrap/>
            <w:vAlign w:val="center"/>
          </w:tcPr>
          <w:p w14:paraId="02375DD0" w14:textId="77777777" w:rsidR="005F45EC" w:rsidRPr="00076376" w:rsidRDefault="005F45EC" w:rsidP="00076376">
            <w:pPr>
              <w:spacing w:line="360" w:lineRule="auto"/>
              <w:jc w:val="both"/>
              <w:rPr>
                <w:color w:val="000000"/>
                <w:lang w:val="en-GB" w:eastAsia="en-GB"/>
              </w:rPr>
            </w:pPr>
            <w:r w:rsidRPr="00076376">
              <w:rPr>
                <w:color w:val="000000"/>
                <w:lang w:val="en-GB" w:eastAsia="en-GB"/>
              </w:rPr>
              <w:t>4</w:t>
            </w:r>
          </w:p>
        </w:tc>
        <w:tc>
          <w:tcPr>
            <w:tcW w:w="1521" w:type="dxa"/>
            <w:noWrap/>
            <w:vAlign w:val="center"/>
          </w:tcPr>
          <w:p w14:paraId="2116AE2F"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5.25 ± 0.17</w:t>
            </w:r>
            <w:r w:rsidRPr="00076376">
              <w:rPr>
                <w:color w:val="000000"/>
                <w:vertAlign w:val="superscript"/>
                <w:lang w:val="en-GB" w:eastAsia="en-GB"/>
              </w:rPr>
              <w:t>bd</w:t>
            </w:r>
          </w:p>
        </w:tc>
        <w:tc>
          <w:tcPr>
            <w:tcW w:w="1668" w:type="dxa"/>
            <w:noWrap/>
            <w:vAlign w:val="center"/>
          </w:tcPr>
          <w:p w14:paraId="7E250EB3"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22.40 ± 0.72</w:t>
            </w:r>
            <w:r w:rsidRPr="00076376">
              <w:rPr>
                <w:color w:val="000000"/>
                <w:vertAlign w:val="superscript"/>
                <w:lang w:val="en-GB" w:eastAsia="en-GB"/>
              </w:rPr>
              <w:t>bc</w:t>
            </w:r>
          </w:p>
        </w:tc>
        <w:tc>
          <w:tcPr>
            <w:tcW w:w="1701" w:type="dxa"/>
            <w:noWrap/>
            <w:vAlign w:val="center"/>
          </w:tcPr>
          <w:p w14:paraId="6EB1E0C3"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33.03 ± 1.26</w:t>
            </w:r>
            <w:r w:rsidRPr="00076376">
              <w:rPr>
                <w:color w:val="000000"/>
                <w:vertAlign w:val="superscript"/>
                <w:lang w:val="en-GB" w:eastAsia="en-GB"/>
              </w:rPr>
              <w:t>ab</w:t>
            </w:r>
          </w:p>
        </w:tc>
        <w:tc>
          <w:tcPr>
            <w:tcW w:w="1851" w:type="dxa"/>
            <w:noWrap/>
            <w:vAlign w:val="center"/>
          </w:tcPr>
          <w:p w14:paraId="39087CDF"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6.15 ± 0.10</w:t>
            </w:r>
            <w:r w:rsidRPr="00076376">
              <w:rPr>
                <w:color w:val="000000"/>
                <w:vertAlign w:val="superscript"/>
                <w:lang w:val="en-GB" w:eastAsia="en-GB"/>
              </w:rPr>
              <w:t>bc</w:t>
            </w:r>
          </w:p>
        </w:tc>
        <w:tc>
          <w:tcPr>
            <w:tcW w:w="1867" w:type="dxa"/>
            <w:noWrap/>
            <w:vAlign w:val="center"/>
          </w:tcPr>
          <w:p w14:paraId="15AB3D5F"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0.40 ± 0.03</w:t>
            </w:r>
            <w:r w:rsidRPr="00076376">
              <w:rPr>
                <w:color w:val="000000"/>
                <w:vertAlign w:val="superscript"/>
                <w:lang w:val="en-GB" w:eastAsia="en-GB"/>
              </w:rPr>
              <w:t>c</w:t>
            </w:r>
          </w:p>
        </w:tc>
      </w:tr>
      <w:tr w:rsidR="005F45EC" w:rsidRPr="00076376" w14:paraId="3AFE14E0" w14:textId="77777777" w:rsidTr="00984C6B">
        <w:trPr>
          <w:trHeight w:val="315"/>
        </w:trPr>
        <w:tc>
          <w:tcPr>
            <w:tcW w:w="990" w:type="dxa"/>
            <w:noWrap/>
            <w:vAlign w:val="center"/>
          </w:tcPr>
          <w:p w14:paraId="692A6E77" w14:textId="77777777" w:rsidR="005F45EC" w:rsidRPr="00076376" w:rsidRDefault="005F45EC" w:rsidP="00076376">
            <w:pPr>
              <w:spacing w:line="360" w:lineRule="auto"/>
              <w:jc w:val="both"/>
              <w:rPr>
                <w:color w:val="000000"/>
                <w:lang w:val="en-GB" w:eastAsia="en-GB"/>
              </w:rPr>
            </w:pPr>
            <w:r w:rsidRPr="00076376">
              <w:rPr>
                <w:color w:val="000000"/>
                <w:lang w:val="en-GB" w:eastAsia="en-GB"/>
              </w:rPr>
              <w:t>5</w:t>
            </w:r>
          </w:p>
        </w:tc>
        <w:tc>
          <w:tcPr>
            <w:tcW w:w="1521" w:type="dxa"/>
            <w:noWrap/>
            <w:vAlign w:val="center"/>
          </w:tcPr>
          <w:p w14:paraId="1BDCAB24"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5.83 ± 0.10</w:t>
            </w:r>
            <w:r w:rsidRPr="00076376">
              <w:rPr>
                <w:color w:val="000000"/>
                <w:vertAlign w:val="superscript"/>
                <w:lang w:val="en-GB" w:eastAsia="en-GB"/>
              </w:rPr>
              <w:t>ad</w:t>
            </w:r>
          </w:p>
        </w:tc>
        <w:tc>
          <w:tcPr>
            <w:tcW w:w="1668" w:type="dxa"/>
            <w:noWrap/>
            <w:vAlign w:val="center"/>
          </w:tcPr>
          <w:p w14:paraId="7B9E4ABB"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22.87 ± 0.29</w:t>
            </w:r>
            <w:r w:rsidRPr="00076376">
              <w:rPr>
                <w:color w:val="000000"/>
                <w:vertAlign w:val="superscript"/>
                <w:lang w:val="en-GB" w:eastAsia="en-GB"/>
              </w:rPr>
              <w:t>bc</w:t>
            </w:r>
          </w:p>
        </w:tc>
        <w:tc>
          <w:tcPr>
            <w:tcW w:w="1701" w:type="dxa"/>
            <w:noWrap/>
            <w:vAlign w:val="center"/>
          </w:tcPr>
          <w:p w14:paraId="02A5F328"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34.23 ± 0.52</w:t>
            </w:r>
            <w:r w:rsidRPr="00076376">
              <w:rPr>
                <w:color w:val="000000"/>
                <w:vertAlign w:val="superscript"/>
                <w:lang w:val="en-GB" w:eastAsia="en-GB"/>
              </w:rPr>
              <w:t>a</w:t>
            </w:r>
          </w:p>
        </w:tc>
        <w:tc>
          <w:tcPr>
            <w:tcW w:w="1851" w:type="dxa"/>
            <w:noWrap/>
            <w:vAlign w:val="center"/>
          </w:tcPr>
          <w:p w14:paraId="336DE58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6.84 ± 0.05</w:t>
            </w:r>
            <w:r w:rsidRPr="00076376">
              <w:rPr>
                <w:color w:val="000000"/>
                <w:vertAlign w:val="superscript"/>
                <w:lang w:val="en-GB" w:eastAsia="en-GB"/>
              </w:rPr>
              <w:t>c</w:t>
            </w:r>
          </w:p>
        </w:tc>
        <w:tc>
          <w:tcPr>
            <w:tcW w:w="1867" w:type="dxa"/>
            <w:noWrap/>
            <w:vAlign w:val="center"/>
          </w:tcPr>
          <w:p w14:paraId="1A0B350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0.38 ± 0.04</w:t>
            </w:r>
            <w:r w:rsidRPr="00076376">
              <w:rPr>
                <w:color w:val="000000"/>
                <w:vertAlign w:val="superscript"/>
                <w:lang w:val="en-GB" w:eastAsia="en-GB"/>
              </w:rPr>
              <w:t>c</w:t>
            </w:r>
          </w:p>
        </w:tc>
      </w:tr>
      <w:tr w:rsidR="005F45EC" w:rsidRPr="00076376" w14:paraId="15D3AE63" w14:textId="77777777" w:rsidTr="00984C6B">
        <w:trPr>
          <w:trHeight w:val="315"/>
        </w:trPr>
        <w:tc>
          <w:tcPr>
            <w:tcW w:w="990" w:type="dxa"/>
            <w:noWrap/>
            <w:vAlign w:val="center"/>
          </w:tcPr>
          <w:p w14:paraId="4073AC38" w14:textId="77777777" w:rsidR="005F45EC" w:rsidRPr="00076376" w:rsidRDefault="005F45EC" w:rsidP="00076376">
            <w:pPr>
              <w:spacing w:line="360" w:lineRule="auto"/>
              <w:jc w:val="both"/>
              <w:rPr>
                <w:color w:val="000000"/>
                <w:lang w:val="en-GB" w:eastAsia="en-GB"/>
              </w:rPr>
            </w:pPr>
            <w:r w:rsidRPr="00076376">
              <w:rPr>
                <w:color w:val="000000"/>
                <w:lang w:val="en-GB" w:eastAsia="en-GB"/>
              </w:rPr>
              <w:t>6</w:t>
            </w:r>
          </w:p>
        </w:tc>
        <w:tc>
          <w:tcPr>
            <w:tcW w:w="1521" w:type="dxa"/>
            <w:noWrap/>
            <w:vAlign w:val="center"/>
          </w:tcPr>
          <w:p w14:paraId="30A2A7D4"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5.60 ± 0.14</w:t>
            </w:r>
            <w:r w:rsidRPr="00076376">
              <w:rPr>
                <w:color w:val="000000"/>
                <w:vertAlign w:val="superscript"/>
                <w:lang w:val="en-GB" w:eastAsia="en-GB"/>
              </w:rPr>
              <w:t>ad</w:t>
            </w:r>
          </w:p>
        </w:tc>
        <w:tc>
          <w:tcPr>
            <w:tcW w:w="1668" w:type="dxa"/>
            <w:noWrap/>
            <w:vAlign w:val="center"/>
          </w:tcPr>
          <w:p w14:paraId="6B0D2E6E"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23.00 ± 0.62</w:t>
            </w:r>
            <w:r w:rsidRPr="00076376">
              <w:rPr>
                <w:color w:val="000000"/>
                <w:vertAlign w:val="superscript"/>
                <w:lang w:val="en-GB" w:eastAsia="en-GB"/>
              </w:rPr>
              <w:t>c</w:t>
            </w:r>
          </w:p>
        </w:tc>
        <w:tc>
          <w:tcPr>
            <w:tcW w:w="1701" w:type="dxa"/>
            <w:noWrap/>
            <w:vAlign w:val="center"/>
          </w:tcPr>
          <w:p w14:paraId="73BB1790"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35.53 ± 0.20</w:t>
            </w:r>
            <w:r w:rsidRPr="00076376">
              <w:rPr>
                <w:color w:val="000000"/>
                <w:vertAlign w:val="superscript"/>
                <w:lang w:val="en-GB" w:eastAsia="en-GB"/>
              </w:rPr>
              <w:t>ac</w:t>
            </w:r>
          </w:p>
        </w:tc>
        <w:tc>
          <w:tcPr>
            <w:tcW w:w="1851" w:type="dxa"/>
            <w:noWrap/>
            <w:vAlign w:val="center"/>
          </w:tcPr>
          <w:p w14:paraId="6B83D4D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7.04 ± 0.05</w:t>
            </w:r>
            <w:r w:rsidRPr="00076376">
              <w:rPr>
                <w:color w:val="000000"/>
                <w:vertAlign w:val="superscript"/>
                <w:lang w:val="en-GB" w:eastAsia="en-GB"/>
              </w:rPr>
              <w:t>c</w:t>
            </w:r>
          </w:p>
        </w:tc>
        <w:tc>
          <w:tcPr>
            <w:tcW w:w="1867" w:type="dxa"/>
            <w:noWrap/>
            <w:vAlign w:val="center"/>
          </w:tcPr>
          <w:p w14:paraId="3B891ABE"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0.34 ± 0.03</w:t>
            </w:r>
            <w:r w:rsidRPr="00076376">
              <w:rPr>
                <w:color w:val="000000"/>
                <w:vertAlign w:val="superscript"/>
                <w:lang w:val="en-GB" w:eastAsia="en-GB"/>
              </w:rPr>
              <w:t>c</w:t>
            </w:r>
          </w:p>
        </w:tc>
      </w:tr>
    </w:tbl>
    <w:p w14:paraId="1868D7EA" w14:textId="66B6DD6A" w:rsidR="005E5836" w:rsidRDefault="005F45EC" w:rsidP="006E743C">
      <w:pPr>
        <w:spacing w:after="200" w:line="276" w:lineRule="auto"/>
        <w:jc w:val="both"/>
        <w:rPr>
          <w:iCs/>
          <w:lang w:val="en-GB" w:bidi="en-US"/>
        </w:rPr>
      </w:pPr>
      <w:bookmarkStart w:id="14" w:name="_Hlk150504559"/>
      <w:r w:rsidRPr="00076376">
        <w:rPr>
          <w:rFonts w:eastAsia="Calibri"/>
          <w:lang w:val="en-GB"/>
        </w:rPr>
        <w:t>Data are represented as mean ± standard error of triplicate values, values in a column bearing different alphabetical superscript differ significantly from each other at 95% confidence level (p≤0.05).</w:t>
      </w:r>
      <w:r w:rsidR="006E743C" w:rsidRPr="006E743C">
        <w:rPr>
          <w:iCs/>
          <w:lang w:val="en-GB" w:bidi="en-US"/>
        </w:rPr>
        <w:t xml:space="preserve"> </w:t>
      </w:r>
      <w:r w:rsidR="006E743C" w:rsidRPr="00076376">
        <w:rPr>
          <w:iCs/>
          <w:lang w:val="en-GB" w:bidi="en-US"/>
        </w:rPr>
        <w:t>Group 1 (</w:t>
      </w:r>
      <w:r w:rsidR="006E743C">
        <w:rPr>
          <w:iCs/>
          <w:lang w:val="en-GB" w:bidi="en-US"/>
        </w:rPr>
        <w:t>Control</w:t>
      </w:r>
      <w:r w:rsidR="006E743C" w:rsidRPr="00076376">
        <w:rPr>
          <w:iCs/>
          <w:lang w:val="en-GB" w:bidi="en-US"/>
        </w:rPr>
        <w:t>), Group 2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006E743C" w:rsidRPr="00076376">
        <w:rPr>
          <w:iCs/>
          <w:lang w:val="en-GB" w:bidi="en-US"/>
        </w:rPr>
        <w:t>120 mg/kg), Group 3 (combined 800 mg/kg), Group 4 (</w:t>
      </w:r>
      <w:r w:rsidR="00984C6B" w:rsidRPr="00076376">
        <w:rPr>
          <w:iCs/>
          <w:lang w:val="en-GB" w:bidi="en-US"/>
        </w:rPr>
        <w:t>combined 400</w:t>
      </w:r>
      <w:r w:rsidR="006E743C" w:rsidRPr="00076376">
        <w:rPr>
          <w:iCs/>
          <w:lang w:val="en-GB" w:bidi="en-US"/>
        </w:rPr>
        <w:t xml:space="preserve"> mg/kg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006E743C" w:rsidRPr="00076376">
        <w:rPr>
          <w:iCs/>
          <w:lang w:val="en-GB" w:bidi="en-US"/>
        </w:rPr>
        <w:t>120 mg/kg), Group 5 (</w:t>
      </w:r>
      <w:r w:rsidR="00984C6B" w:rsidRPr="00076376">
        <w:rPr>
          <w:iCs/>
          <w:lang w:val="en-GB" w:bidi="en-US"/>
        </w:rPr>
        <w:t>Combined 800</w:t>
      </w:r>
      <w:r w:rsidR="006E743C" w:rsidRPr="00076376">
        <w:rPr>
          <w:iCs/>
          <w:lang w:val="en-GB" w:bidi="en-US"/>
        </w:rPr>
        <w:t xml:space="preserve"> mg/kg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006E743C" w:rsidRPr="00076376">
        <w:rPr>
          <w:iCs/>
          <w:lang w:val="en-GB" w:bidi="en-US"/>
        </w:rPr>
        <w:t xml:space="preserve"> 120 mg/kg) and Group 6 (Standard drug + </w:t>
      </w:r>
      <w:proofErr w:type="spellStart"/>
      <w:r w:rsidR="00984C6B" w:rsidRPr="00E43339">
        <w:rPr>
          <w:rFonts w:eastAsia="Calibri"/>
          <w:bCs/>
        </w:rPr>
        <w:t>AlCl</w:t>
      </w:r>
      <w:proofErr w:type="spellEnd"/>
      <w:r w:rsidR="00984C6B" w:rsidRPr="00E43339">
        <w:rPr>
          <w:rFonts w:ascii="Cambria Math" w:eastAsia="Calibri" w:hAnsi="Cambria Math" w:cs="Cambria Math"/>
          <w:bCs/>
        </w:rPr>
        <w:t>₃</w:t>
      </w:r>
      <w:r w:rsidR="006E743C" w:rsidRPr="00076376">
        <w:rPr>
          <w:iCs/>
          <w:lang w:val="en-GB" w:bidi="en-US"/>
        </w:rPr>
        <w:t xml:space="preserve"> 120 mg/kg).</w:t>
      </w:r>
      <w:r w:rsidR="006E743C">
        <w:rPr>
          <w:iCs/>
          <w:lang w:val="en-GB" w:bidi="en-US"/>
        </w:rPr>
        <w:t xml:space="preserve"> </w:t>
      </w:r>
    </w:p>
    <w:p w14:paraId="16F9EB04" w14:textId="618187B9" w:rsidR="00D36699" w:rsidRPr="00D36699" w:rsidRDefault="00D36699" w:rsidP="005E5836">
      <w:pPr>
        <w:spacing w:before="100" w:beforeAutospacing="1" w:after="100" w:afterAutospacing="1"/>
        <w:rPr>
          <w:b/>
          <w:bCs/>
        </w:rPr>
      </w:pPr>
      <w:r w:rsidRPr="00D36699">
        <w:rPr>
          <w:b/>
          <w:bCs/>
        </w:rPr>
        <w:t xml:space="preserve">Effect of combined ethanol extract of Piper </w:t>
      </w:r>
      <w:proofErr w:type="spellStart"/>
      <w:r w:rsidRPr="00D36699">
        <w:rPr>
          <w:b/>
          <w:bCs/>
        </w:rPr>
        <w:t>guineese</w:t>
      </w:r>
      <w:proofErr w:type="spellEnd"/>
      <w:r w:rsidRPr="00D36699">
        <w:rPr>
          <w:b/>
          <w:bCs/>
        </w:rPr>
        <w:t xml:space="preserve"> leaf and </w:t>
      </w:r>
      <w:proofErr w:type="spellStart"/>
      <w:r w:rsidRPr="00D36699">
        <w:rPr>
          <w:b/>
          <w:bCs/>
        </w:rPr>
        <w:t>Zingiber</w:t>
      </w:r>
      <w:proofErr w:type="spellEnd"/>
      <w:r w:rsidRPr="00D36699">
        <w:rPr>
          <w:b/>
          <w:bCs/>
        </w:rPr>
        <w:t xml:space="preserve"> officinale rhizome on brain inflammatory biomarkers </w:t>
      </w:r>
    </w:p>
    <w:p w14:paraId="3EB175F8" w14:textId="7A154A32" w:rsidR="005840C1" w:rsidRDefault="005E5836" w:rsidP="00454AF5">
      <w:pPr>
        <w:spacing w:before="100" w:beforeAutospacing="1" w:after="100" w:afterAutospacing="1"/>
        <w:jc w:val="both"/>
      </w:pPr>
      <w:r>
        <w:t>Aluminum chloride intoxication significantly</w:t>
      </w:r>
      <w:r w:rsidR="0017270C">
        <w:t xml:space="preserve"> </w:t>
      </w:r>
      <w:r w:rsidR="00971E3D">
        <w:t xml:space="preserve">(p ≤ 0.05). </w:t>
      </w:r>
      <w:r>
        <w:t xml:space="preserve"> elevated pro-inflammatory cytokines </w:t>
      </w:r>
      <w:r>
        <w:rPr>
          <w:b/>
          <w:bCs/>
        </w:rPr>
        <w:t>IL-6</w:t>
      </w:r>
      <w:r>
        <w:t xml:space="preserve">, </w:t>
      </w:r>
      <w:r>
        <w:rPr>
          <w:b/>
          <w:bCs/>
        </w:rPr>
        <w:t>IL-1β</w:t>
      </w:r>
      <w:r>
        <w:t xml:space="preserve">, and </w:t>
      </w:r>
      <w:r>
        <w:rPr>
          <w:b/>
          <w:bCs/>
        </w:rPr>
        <w:t>TNF-α</w:t>
      </w:r>
      <w:r>
        <w:t xml:space="preserve"> in the AICI3- only</w:t>
      </w:r>
      <w:r w:rsidR="00971E3D">
        <w:t xml:space="preserve"> </w:t>
      </w:r>
      <w:r>
        <w:t>group</w:t>
      </w:r>
      <w:r w:rsidR="00971E3D">
        <w:t xml:space="preserve"> (group 2)</w:t>
      </w:r>
      <w:r>
        <w:t xml:space="preserve"> relative to control (</w:t>
      </w:r>
      <w:r w:rsidR="0017270C">
        <w:t>group 1</w:t>
      </w:r>
      <w:r>
        <w:t>). IL-6 increased by approximately 74%, IL-1β by over 340%, and TNF-α by 89%. In aluminum-exposed animals, combined extract administration produced dose-dependent mitigation of neuroinflammation. The 400 mg/kg dose</w:t>
      </w:r>
      <w:r w:rsidR="00E54A3B">
        <w:t xml:space="preserve"> </w:t>
      </w:r>
      <w:r w:rsidR="0017270C">
        <w:t>(group 4)</w:t>
      </w:r>
      <w:r>
        <w:t xml:space="preserve"> significantly</w:t>
      </w:r>
      <w:r w:rsidR="00F14B59">
        <w:t xml:space="preserve"> </w:t>
      </w:r>
      <w:r w:rsidR="00F56B7E">
        <w:t>(p ≤ 0.05)</w:t>
      </w:r>
      <w:r>
        <w:t xml:space="preserve"> lowered cytokine levels relative to the AICI3-only</w:t>
      </w:r>
      <w:r w:rsidR="00E50F59">
        <w:t xml:space="preserve"> </w:t>
      </w:r>
      <w:r>
        <w:t>(group</w:t>
      </w:r>
      <w:r w:rsidR="00AA1FA0">
        <w:t xml:space="preserve"> 2</w:t>
      </w:r>
      <w:r>
        <w:t>), while the 800 mg/kg dose</w:t>
      </w:r>
      <w:r w:rsidR="007E046F">
        <w:t xml:space="preserve"> (group 5)</w:t>
      </w:r>
      <w:r>
        <w:t xml:space="preserve"> produced greater suppression, approaching values obtained with the </w:t>
      </w:r>
      <w:r w:rsidR="00CF6265">
        <w:t xml:space="preserve">group 6 animals treated with the </w:t>
      </w:r>
      <w:r>
        <w:t xml:space="preserve">standard drug (Donepezil). </w:t>
      </w:r>
      <w:bookmarkEnd w:id="14"/>
    </w:p>
    <w:p w14:paraId="1D11625E" w14:textId="77777777" w:rsidR="0088377F" w:rsidRDefault="0088377F" w:rsidP="00454AF5">
      <w:pPr>
        <w:spacing w:before="100" w:beforeAutospacing="1" w:after="100" w:afterAutospacing="1"/>
        <w:jc w:val="both"/>
      </w:pPr>
    </w:p>
    <w:p w14:paraId="277B9288" w14:textId="5272013A" w:rsidR="00B0043F" w:rsidRPr="00076376" w:rsidRDefault="0088377F" w:rsidP="00A37232">
      <w:pPr>
        <w:spacing w:before="100" w:beforeAutospacing="1" w:after="100" w:afterAutospacing="1"/>
        <w:jc w:val="both"/>
      </w:pPr>
      <w:r w:rsidRPr="0088377F">
        <w:rPr>
          <w:noProof/>
        </w:rPr>
        <w:lastRenderedPageBreak/>
        <w:drawing>
          <wp:inline distT="0" distB="0" distL="0" distR="0" wp14:anchorId="440A2130" wp14:editId="24A416F3">
            <wp:extent cx="5943600" cy="346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67100"/>
                    </a:xfrm>
                    <a:prstGeom prst="rect">
                      <a:avLst/>
                    </a:prstGeom>
                    <a:noFill/>
                    <a:ln>
                      <a:noFill/>
                    </a:ln>
                  </pic:spPr>
                </pic:pic>
              </a:graphicData>
            </a:graphic>
          </wp:inline>
        </w:drawing>
      </w:r>
    </w:p>
    <w:p w14:paraId="7A74E86B" w14:textId="77777777" w:rsidR="0029171B" w:rsidRDefault="0029171B" w:rsidP="0029171B">
      <w:pPr>
        <w:jc w:val="both"/>
      </w:pPr>
    </w:p>
    <w:p w14:paraId="7E5BB074" w14:textId="0B0325D6" w:rsidR="0035267D" w:rsidRPr="004D7579" w:rsidRDefault="0029171B" w:rsidP="0029171B">
      <w:pPr>
        <w:jc w:val="both"/>
        <w:rPr>
          <w:b/>
          <w:bCs/>
        </w:rPr>
      </w:pPr>
      <w:r w:rsidRPr="004D7579">
        <w:rPr>
          <w:b/>
          <w:bCs/>
        </w:rPr>
        <w:t xml:space="preserve">Figure </w:t>
      </w:r>
      <w:r w:rsidR="00985485">
        <w:rPr>
          <w:b/>
          <w:bCs/>
        </w:rPr>
        <w:t>4</w:t>
      </w:r>
      <w:r w:rsidRPr="004D7579">
        <w:rPr>
          <w:b/>
          <w:bCs/>
        </w:rPr>
        <w:t xml:space="preserve">: </w:t>
      </w:r>
      <w:r w:rsidR="0035267D" w:rsidRPr="004D7579">
        <w:rPr>
          <w:b/>
          <w:bCs/>
        </w:rPr>
        <w:t xml:space="preserve">Effect of combined ethanol extract of </w:t>
      </w:r>
      <w:r w:rsidR="0035267D" w:rsidRPr="004D7579">
        <w:rPr>
          <w:b/>
          <w:bCs/>
          <w:i/>
          <w:iCs/>
        </w:rPr>
        <w:t xml:space="preserve">Piper </w:t>
      </w:r>
      <w:proofErr w:type="spellStart"/>
      <w:r w:rsidR="0035267D" w:rsidRPr="004D7579">
        <w:rPr>
          <w:b/>
          <w:bCs/>
          <w:i/>
          <w:iCs/>
        </w:rPr>
        <w:t>guineese</w:t>
      </w:r>
      <w:proofErr w:type="spellEnd"/>
      <w:r w:rsidR="0035267D" w:rsidRPr="004D7579">
        <w:rPr>
          <w:b/>
          <w:bCs/>
        </w:rPr>
        <w:t xml:space="preserve"> leaf and </w:t>
      </w:r>
      <w:proofErr w:type="spellStart"/>
      <w:r w:rsidR="0035267D" w:rsidRPr="004D7579">
        <w:rPr>
          <w:b/>
          <w:bCs/>
          <w:i/>
          <w:iCs/>
        </w:rPr>
        <w:t>Zingiber</w:t>
      </w:r>
      <w:proofErr w:type="spellEnd"/>
      <w:r w:rsidR="0035267D" w:rsidRPr="004D7579">
        <w:rPr>
          <w:b/>
          <w:bCs/>
          <w:i/>
          <w:iCs/>
        </w:rPr>
        <w:t xml:space="preserve"> </w:t>
      </w:r>
      <w:r w:rsidR="004D7579" w:rsidRPr="004D7579">
        <w:rPr>
          <w:b/>
          <w:bCs/>
          <w:i/>
          <w:iCs/>
        </w:rPr>
        <w:t>officinale</w:t>
      </w:r>
      <w:r w:rsidR="004D7579" w:rsidRPr="004D7579">
        <w:rPr>
          <w:b/>
          <w:bCs/>
        </w:rPr>
        <w:t xml:space="preserve"> rhizome</w:t>
      </w:r>
      <w:r w:rsidR="0035267D" w:rsidRPr="004D7579">
        <w:rPr>
          <w:b/>
          <w:bCs/>
        </w:rPr>
        <w:t xml:space="preserve"> on brain inflammatory biomarkers in </w:t>
      </w:r>
      <w:proofErr w:type="spellStart"/>
      <w:r w:rsidR="004D7579" w:rsidRPr="004D7579">
        <w:rPr>
          <w:rFonts w:eastAsia="Calibri"/>
          <w:b/>
          <w:bCs/>
        </w:rPr>
        <w:t>AlCl</w:t>
      </w:r>
      <w:proofErr w:type="spellEnd"/>
      <w:r w:rsidR="004D7579" w:rsidRPr="004D7579">
        <w:rPr>
          <w:rFonts w:ascii="Cambria Math" w:eastAsia="Calibri" w:hAnsi="Cambria Math" w:cs="Cambria Math"/>
          <w:b/>
          <w:bCs/>
        </w:rPr>
        <w:t>₃</w:t>
      </w:r>
      <w:r w:rsidR="0035267D" w:rsidRPr="004D7579">
        <w:rPr>
          <w:b/>
          <w:bCs/>
        </w:rPr>
        <w:t xml:space="preserve">-induced dementia in </w:t>
      </w:r>
      <w:r w:rsidR="004D7579" w:rsidRPr="004D7579">
        <w:rPr>
          <w:b/>
          <w:bCs/>
        </w:rPr>
        <w:t xml:space="preserve">Wistar </w:t>
      </w:r>
      <w:r w:rsidR="0035267D" w:rsidRPr="004D7579">
        <w:rPr>
          <w:b/>
          <w:bCs/>
        </w:rPr>
        <w:t>rats</w:t>
      </w:r>
    </w:p>
    <w:p w14:paraId="0C7B30BA" w14:textId="77777777" w:rsidR="00975F3C" w:rsidRDefault="00975F3C" w:rsidP="0029171B">
      <w:pPr>
        <w:jc w:val="both"/>
      </w:pPr>
    </w:p>
    <w:p w14:paraId="1E8D4DC6" w14:textId="7FDDAC8F" w:rsidR="0035267D" w:rsidRDefault="00975F3C" w:rsidP="0029171B">
      <w:pPr>
        <w:jc w:val="both"/>
      </w:pPr>
      <w:r w:rsidRPr="00076376">
        <w:rPr>
          <w:rFonts w:eastAsia="Calibri"/>
          <w:lang w:val="en-GB"/>
        </w:rPr>
        <w:t>Data are represented as mean ± standard error of triplicate values, values in a column bearing different alphabetical superscript differ significantly from each other at 95% confidence level (p≤0.05).</w:t>
      </w:r>
      <w:r w:rsidRPr="006E743C">
        <w:rPr>
          <w:iCs/>
          <w:lang w:val="en-GB" w:bidi="en-US"/>
        </w:rPr>
        <w:t xml:space="preserve"> </w:t>
      </w:r>
      <w:r w:rsidR="0035267D">
        <w:t xml:space="preserve">*Diseased: </w:t>
      </w:r>
      <w:proofErr w:type="spellStart"/>
      <w:r w:rsidR="004D7579" w:rsidRPr="00E43339">
        <w:rPr>
          <w:rFonts w:eastAsia="Calibri"/>
          <w:bCs/>
        </w:rPr>
        <w:t>AlCl</w:t>
      </w:r>
      <w:proofErr w:type="spellEnd"/>
      <w:r w:rsidR="004D7579" w:rsidRPr="00E43339">
        <w:rPr>
          <w:rFonts w:ascii="Cambria Math" w:eastAsia="Calibri" w:hAnsi="Cambria Math" w:cs="Cambria Math"/>
          <w:bCs/>
        </w:rPr>
        <w:t>₃</w:t>
      </w:r>
      <w:r w:rsidR="004D7579">
        <w:rPr>
          <w:rFonts w:ascii="Cambria Math" w:eastAsia="Calibri" w:hAnsi="Cambria Math" w:cs="Cambria Math"/>
          <w:bCs/>
        </w:rPr>
        <w:t xml:space="preserve"> </w:t>
      </w:r>
      <w:r w:rsidR="0035267D">
        <w:t xml:space="preserve">120 mg/kg </w:t>
      </w:r>
      <w:proofErr w:type="spellStart"/>
      <w:r w:rsidR="0035267D">
        <w:t>bwt</w:t>
      </w:r>
      <w:proofErr w:type="spellEnd"/>
      <w:r w:rsidR="0035267D">
        <w:t xml:space="preserve">, Combined extract: Combined ethanol leaf extract of </w:t>
      </w:r>
      <w:r w:rsidR="0035267D" w:rsidRPr="004D7579">
        <w:rPr>
          <w:i/>
          <w:iCs/>
        </w:rPr>
        <w:t xml:space="preserve">Piper </w:t>
      </w:r>
      <w:proofErr w:type="spellStart"/>
      <w:r w:rsidR="0035267D" w:rsidRPr="004D7579">
        <w:rPr>
          <w:i/>
          <w:iCs/>
        </w:rPr>
        <w:t>guineese</w:t>
      </w:r>
      <w:proofErr w:type="spellEnd"/>
      <w:r w:rsidR="0035267D">
        <w:t xml:space="preserve"> and </w:t>
      </w:r>
      <w:proofErr w:type="spellStart"/>
      <w:r w:rsidR="0035267D" w:rsidRPr="004D7579">
        <w:rPr>
          <w:i/>
          <w:iCs/>
        </w:rPr>
        <w:t>Zingiber</w:t>
      </w:r>
      <w:proofErr w:type="spellEnd"/>
      <w:r w:rsidR="0035267D" w:rsidRPr="004D7579">
        <w:rPr>
          <w:i/>
          <w:iCs/>
        </w:rPr>
        <w:t xml:space="preserve"> </w:t>
      </w:r>
      <w:proofErr w:type="spellStart"/>
      <w:r w:rsidR="0035267D" w:rsidRPr="004D7579">
        <w:rPr>
          <w:i/>
          <w:iCs/>
        </w:rPr>
        <w:t>officinale</w:t>
      </w:r>
      <w:proofErr w:type="spellEnd"/>
      <w:r w:rsidR="0035267D">
        <w:t xml:space="preserve">, Standard drug: Donepezil, 1 mg/kg </w:t>
      </w:r>
      <w:proofErr w:type="spellStart"/>
      <w:r w:rsidR="0035267D">
        <w:t>bw</w:t>
      </w:r>
      <w:proofErr w:type="spellEnd"/>
      <w:r w:rsidR="00A77D93">
        <w:t xml:space="preserve"> </w:t>
      </w:r>
    </w:p>
    <w:p w14:paraId="3D63AC91" w14:textId="3320700E" w:rsidR="005840C1" w:rsidRDefault="005840C1" w:rsidP="00076376">
      <w:pPr>
        <w:spacing w:before="100" w:beforeAutospacing="1" w:after="100" w:afterAutospacing="1"/>
        <w:jc w:val="both"/>
        <w:outlineLvl w:val="2"/>
        <w:rPr>
          <w:b/>
          <w:bCs/>
        </w:rPr>
      </w:pPr>
      <w:r w:rsidRPr="00076376">
        <w:rPr>
          <w:b/>
          <w:bCs/>
        </w:rPr>
        <w:t>Discussion</w:t>
      </w:r>
    </w:p>
    <w:p w14:paraId="7E779E47" w14:textId="0FE46251" w:rsidR="00B725F2" w:rsidRPr="00B725F2" w:rsidRDefault="00B725F2" w:rsidP="00B725F2">
      <w:pPr>
        <w:pStyle w:val="NormalWeb"/>
        <w:jc w:val="both"/>
      </w:pPr>
      <w:r w:rsidRPr="00B03C40">
        <w:t xml:space="preserve">The findings of this study demonstrate that aluminum chloride (AlCl3) induces dementia through a complex interplay of oxidative stress, nitrosative damage, and neuroinflammation, which is significantly mitigated by the combined ethanol leaf extract of </w:t>
      </w:r>
      <w:r w:rsidRPr="00B03C40">
        <w:rPr>
          <w:i/>
          <w:iCs/>
        </w:rPr>
        <w:t xml:space="preserve">Piper </w:t>
      </w:r>
      <w:proofErr w:type="spellStart"/>
      <w:r w:rsidRPr="00B03C40">
        <w:rPr>
          <w:i/>
          <w:iCs/>
        </w:rPr>
        <w:t>guineense</w:t>
      </w:r>
      <w:proofErr w:type="spellEnd"/>
      <w:r w:rsidRPr="00B03C40">
        <w:t xml:space="preserve"> and </w:t>
      </w:r>
      <w:proofErr w:type="spellStart"/>
      <w:r w:rsidRPr="00B03C40">
        <w:rPr>
          <w:i/>
          <w:iCs/>
        </w:rPr>
        <w:t>Zingiber</w:t>
      </w:r>
      <w:proofErr w:type="spellEnd"/>
      <w:r w:rsidRPr="00B03C40">
        <w:rPr>
          <w:i/>
          <w:iCs/>
        </w:rPr>
        <w:t xml:space="preserve"> </w:t>
      </w:r>
      <w:proofErr w:type="spellStart"/>
      <w:r w:rsidRPr="00B03C40">
        <w:rPr>
          <w:i/>
          <w:iCs/>
        </w:rPr>
        <w:t>officinale</w:t>
      </w:r>
      <w:proofErr w:type="spellEnd"/>
      <w:r w:rsidRPr="00B03C40">
        <w:t>.</w:t>
      </w:r>
      <w:r w:rsidR="003269DD" w:rsidRPr="003269DD">
        <w:t xml:space="preserve"> Importantly, this therapeutic efficacy is supported by a wide margin of safety established through acute toxicity evaluation.</w:t>
      </w:r>
      <w:r w:rsidR="003269DD">
        <w:t xml:space="preserve"> </w:t>
      </w:r>
    </w:p>
    <w:p w14:paraId="62609A65" w14:textId="58A06556" w:rsidR="00DF1BDF" w:rsidRPr="00B03C40" w:rsidRDefault="00D36A13" w:rsidP="00B725F2">
      <w:pPr>
        <w:spacing w:before="100" w:beforeAutospacing="1" w:after="100" w:afterAutospacing="1"/>
        <w:jc w:val="both"/>
      </w:pPr>
      <w:r w:rsidRPr="00B2704F">
        <w:t xml:space="preserve">The determination of the LD50​ is a critical preliminary step in evaluating the therapeutic index of any herbal intervention. Our findings indicate that the combined extract of </w:t>
      </w:r>
      <w:r w:rsidRPr="00B2704F">
        <w:rPr>
          <w:i/>
          <w:iCs/>
        </w:rPr>
        <w:t xml:space="preserve">P. </w:t>
      </w:r>
      <w:proofErr w:type="spellStart"/>
      <w:r w:rsidRPr="00B2704F">
        <w:rPr>
          <w:i/>
          <w:iCs/>
        </w:rPr>
        <w:t>guineense</w:t>
      </w:r>
      <w:proofErr w:type="spellEnd"/>
      <w:r w:rsidRPr="00B2704F">
        <w:t xml:space="preserve"> and </w:t>
      </w:r>
      <w:r w:rsidRPr="00B2704F">
        <w:rPr>
          <w:i/>
          <w:iCs/>
        </w:rPr>
        <w:t>Z. officinale</w:t>
      </w:r>
      <w:r w:rsidRPr="00B2704F">
        <w:t xml:space="preserve"> is relatively non-toxic.</w:t>
      </w:r>
      <w:r>
        <w:t xml:space="preserve"> </w:t>
      </w:r>
      <w:r w:rsidRPr="00B2704F">
        <w:t>According to the Global Harmonized System (GHS) of classification, substances with an LD50​ greater than 5000 mg/kg are generally considered to be of low acute toxicity (Category 5) or practically non-toxic. The calculated value of 7745.97 mg/kg places this polyherbal combination well within the safety margin for oral administration in experimental models.</w:t>
      </w:r>
      <w:r w:rsidR="001B4889">
        <w:t xml:space="preserve"> </w:t>
      </w:r>
      <w:r w:rsidRPr="00B2704F">
        <w:t xml:space="preserve">The therapeutic doses selected for </w:t>
      </w:r>
      <w:r>
        <w:t>our</w:t>
      </w:r>
      <w:r w:rsidRPr="00B2704F">
        <w:t xml:space="preserve"> study (400 mg/kg and 800 mg/kg) represent approximately 5% to 10% of the LD50​ value. This wide safety margin ensures that the observed neuroprotective effects against AlCl3​-induced dementia are a result of the extract's </w:t>
      </w:r>
      <w:r w:rsidRPr="00B2704F">
        <w:lastRenderedPageBreak/>
        <w:t xml:space="preserve">pharmacological activity rather than any underlying toxic interference. This high safety ceiling supports the potential use of this combined extract as a therapeutic </w:t>
      </w:r>
      <w:r w:rsidR="00800032">
        <w:t xml:space="preserve">agent </w:t>
      </w:r>
      <w:r w:rsidRPr="00B2704F">
        <w:t>for neurodegenerative conditions.</w:t>
      </w:r>
    </w:p>
    <w:p w14:paraId="0303B552" w14:textId="422B2180" w:rsidR="009B6094" w:rsidRPr="00B03C40" w:rsidRDefault="00A27984" w:rsidP="00076376">
      <w:pPr>
        <w:spacing w:before="100" w:beforeAutospacing="1" w:after="100" w:afterAutospacing="1"/>
        <w:jc w:val="both"/>
      </w:pPr>
      <w:r w:rsidRPr="00B03C40">
        <w:t>A key finding in our study was that the</w:t>
      </w:r>
      <w:r w:rsidR="00C6330C" w:rsidRPr="00B03C40">
        <w:t xml:space="preserve"> administration of AlCl3 (120 mg/kg) in Group 2 triggered a </w:t>
      </w:r>
      <w:bookmarkStart w:id="15" w:name="_Hlk219086511"/>
      <w:r w:rsidR="00C6330C" w:rsidRPr="00B03C40">
        <w:t>profound state of oxidative stress</w:t>
      </w:r>
      <w:bookmarkEnd w:id="15"/>
      <w:r w:rsidR="00005F69" w:rsidRPr="00B03C40">
        <w:t xml:space="preserve"> in the brain</w:t>
      </w:r>
      <w:r w:rsidR="00C6330C" w:rsidRPr="00B03C40">
        <w:t xml:space="preserve">, primarily driven by the upregulation of Nicotinamide Adenine Dinucleotide Phosphate (NADPH Oxidase) activity, which rose significantly to 73.66 </w:t>
      </w:r>
      <w:r w:rsidR="00C6330C" w:rsidRPr="00361C49">
        <w:rPr>
          <w:rFonts w:eastAsia="SimSun"/>
          <w:kern w:val="2"/>
          <w14:ligatures w14:val="standardContextual"/>
        </w:rPr>
        <w:t>±</w:t>
      </w:r>
      <w:r w:rsidR="00C6330C" w:rsidRPr="00B03C40">
        <w:t xml:space="preserve"> 1.17 </w:t>
      </w:r>
      <w:proofErr w:type="spellStart"/>
      <w:r w:rsidR="00C6330C" w:rsidRPr="00B03C40">
        <w:t>pg</w:t>
      </w:r>
      <w:proofErr w:type="spellEnd"/>
      <w:r w:rsidR="00C6330C" w:rsidRPr="00B03C40">
        <w:t xml:space="preserve">/mg protein compared to 47.96 </w:t>
      </w:r>
      <w:r w:rsidR="00C6330C" w:rsidRPr="00361C49">
        <w:rPr>
          <w:rFonts w:eastAsia="SimSun"/>
          <w:kern w:val="2"/>
          <w14:ligatures w14:val="standardContextual"/>
        </w:rPr>
        <w:t>±</w:t>
      </w:r>
      <w:r w:rsidR="00C6330C" w:rsidRPr="00B03C40">
        <w:t xml:space="preserve"> 0.99 </w:t>
      </w:r>
      <w:proofErr w:type="spellStart"/>
      <w:r w:rsidR="00C6330C" w:rsidRPr="00B03C40">
        <w:t>pg</w:t>
      </w:r>
      <w:proofErr w:type="spellEnd"/>
      <w:r w:rsidR="00C6330C" w:rsidRPr="00B03C40">
        <w:t xml:space="preserve">/mg in the control. This elevation in NADPH oxidase is a critical source of superoxide radicals (O2). </w:t>
      </w:r>
      <w:r w:rsidR="00B71411" w:rsidRPr="00B71411">
        <w:t>This finding agrees with works of</w:t>
      </w:r>
      <w:r w:rsidR="00B71411" w:rsidRPr="00B71411">
        <w:rPr>
          <w:b/>
          <w:bCs/>
        </w:rPr>
        <w:t xml:space="preserve"> </w:t>
      </w:r>
      <w:r w:rsidR="00B71411" w:rsidRPr="00075AE1">
        <w:t>Zhang et al., 2016; Zou et al., 2020 and Liaquat et a</w:t>
      </w:r>
      <w:r w:rsidR="000D79CB">
        <w:t>l</w:t>
      </w:r>
      <w:r w:rsidR="00B71411" w:rsidRPr="00075AE1">
        <w:t>., 2022</w:t>
      </w:r>
      <w:r w:rsidR="00005F69" w:rsidRPr="00B03C40">
        <w:t>, who demonstrated that aluminum exposure acts as a pathological ligand-like trigger for NADPH oxidase, specifically the NADPH oxidase 2 and NADPH oxidase 4 isoforms, leading to a profound state of oxidative stress sustained within neuronal and glial cells. NADPH oxidase is a multi-subunit enzyme complex that catalyzes the transfer of electrons from NADPH to molecular oxygen, generating superoxide radicals (O</w:t>
      </w:r>
      <w:r w:rsidR="00005F69" w:rsidRPr="00B03C40">
        <w:rPr>
          <w:vertAlign w:val="superscript"/>
        </w:rPr>
        <w:t>-</w:t>
      </w:r>
      <w:r w:rsidR="00005F69" w:rsidRPr="00B03C40">
        <w:rPr>
          <w:vertAlign w:val="subscript"/>
        </w:rPr>
        <w:t>2</w:t>
      </w:r>
      <w:r w:rsidR="00005F69" w:rsidRPr="00B03C40">
        <w:t xml:space="preserve">). </w:t>
      </w:r>
    </w:p>
    <w:p w14:paraId="2EFCCE1B" w14:textId="7631F7EF" w:rsidR="000505D2" w:rsidRDefault="00C6330C" w:rsidP="00076376">
      <w:pPr>
        <w:spacing w:before="100" w:beforeAutospacing="1" w:after="100" w:afterAutospacing="1"/>
        <w:jc w:val="both"/>
      </w:pPr>
      <w:r w:rsidRPr="00B03C40">
        <w:t>Simultaneously, the AlCl3 group exhibited a significant rise in Nitric Oxide Metabolites (NO</w:t>
      </w:r>
      <w:r w:rsidR="0027525F">
        <w:rPr>
          <w:vertAlign w:val="subscript"/>
        </w:rPr>
        <w:t>x</w:t>
      </w:r>
      <w:r w:rsidRPr="00B03C40">
        <w:t>)</w:t>
      </w:r>
      <w:r w:rsidR="00EF4857" w:rsidRPr="00B03C40">
        <w:t>.</w:t>
      </w:r>
      <w:r w:rsidR="00BD6F36" w:rsidRPr="00B03C40">
        <w:t xml:space="preserve"> This surge in NO</w:t>
      </w:r>
      <w:r w:rsidR="00BD6F36" w:rsidRPr="00B03C40">
        <w:rPr>
          <w:vertAlign w:val="subscript"/>
        </w:rPr>
        <w:t>x</w:t>
      </w:r>
      <w:r w:rsidR="00BD6F36" w:rsidRPr="00B03C40">
        <w:t xml:space="preserve"> often reflects the activation of inducible nitric oxide synthase (</w:t>
      </w:r>
      <w:proofErr w:type="spellStart"/>
      <w:r w:rsidR="00BD6F36" w:rsidRPr="00B03C40">
        <w:t>iNOS</w:t>
      </w:r>
      <w:proofErr w:type="spellEnd"/>
      <w:r w:rsidR="00BD6F36" w:rsidRPr="00B03C40">
        <w:t xml:space="preserve">). </w:t>
      </w:r>
      <w:r w:rsidR="004978C9" w:rsidRPr="00B03C40">
        <w:t xml:space="preserve"> This finding is consistent with the work of Abdel-Salam et al. (2022) and Bibi et al. (2023), who reported similar elevations in nitric oxide metabolites following aluminum exposure</w:t>
      </w:r>
      <w:r w:rsidR="00F62DB0" w:rsidRPr="00B03C40">
        <w:t xml:space="preserve">. </w:t>
      </w:r>
      <w:r w:rsidR="000C4C0C">
        <w:t xml:space="preserve">However, </w:t>
      </w:r>
      <w:r w:rsidR="00583AA8">
        <w:t>our</w:t>
      </w:r>
      <w:r w:rsidR="000C4C0C" w:rsidRPr="00467C0D">
        <w:t xml:space="preserve"> </w:t>
      </w:r>
      <w:r w:rsidR="00583AA8">
        <w:t>result also shows that</w:t>
      </w:r>
      <w:r w:rsidR="000C4C0C" w:rsidRPr="00467C0D">
        <w:t xml:space="preserve"> AlCl3 administration (Group II) resulted in a significant depletion of nitrate levels in the whole brain homogenate.</w:t>
      </w:r>
      <w:r w:rsidR="00B2798A">
        <w:t xml:space="preserve"> </w:t>
      </w:r>
      <w:r w:rsidR="000C4C0C" w:rsidRPr="00467C0D">
        <w:t>This observation contrasts with the findings of El-</w:t>
      </w:r>
      <w:proofErr w:type="spellStart"/>
      <w:r w:rsidR="000C4C0C" w:rsidRPr="00467C0D">
        <w:t>Shenawy</w:t>
      </w:r>
      <w:proofErr w:type="spellEnd"/>
      <w:r w:rsidR="000C4C0C" w:rsidRPr="00467C0D">
        <w:t xml:space="preserve"> et al. (2021), who reported a significant increase in nitrate/nitrite levels. This discrepancy may be attributed to the different tissue sampling protocols employed. While El-</w:t>
      </w:r>
      <w:proofErr w:type="spellStart"/>
      <w:r w:rsidR="000C4C0C" w:rsidRPr="00467C0D">
        <w:t>Shenawy</w:t>
      </w:r>
      <w:proofErr w:type="spellEnd"/>
      <w:r w:rsidR="000C4C0C" w:rsidRPr="00467C0D">
        <w:t xml:space="preserve"> et al. (2021) utilized </w:t>
      </w:r>
      <w:r w:rsidR="000C4C0C" w:rsidRPr="00467C0D">
        <w:rPr>
          <w:b/>
          <w:bCs/>
        </w:rPr>
        <w:t>cerebral cortex homogenates</w:t>
      </w:r>
      <w:r w:rsidR="000C4C0C" w:rsidRPr="00467C0D">
        <w:t xml:space="preserve">, our study analyzed </w:t>
      </w:r>
      <w:r w:rsidR="000C4C0C" w:rsidRPr="00467C0D">
        <w:rPr>
          <w:b/>
          <w:bCs/>
        </w:rPr>
        <w:t>whole brain homogenates</w:t>
      </w:r>
      <w:r w:rsidR="000C4C0C" w:rsidRPr="00467C0D">
        <w:t>.</w:t>
      </w:r>
      <w:r w:rsidR="00B2798A">
        <w:t xml:space="preserve"> </w:t>
      </w:r>
      <w:r w:rsidR="000C4C0C" w:rsidRPr="00467C0D">
        <w:t>It has been established that aluminum-induced neurotoxicity is characterized by regional heterogeneity (Stevanović et al., 2020). The cerebral cortex is highly susceptible to neuroinflammation, which triggers the upregulation of inducible Nitric Oxide Synthase (</w:t>
      </w:r>
      <w:proofErr w:type="spellStart"/>
      <w:r w:rsidR="000C4C0C" w:rsidRPr="00467C0D">
        <w:t>iNOS</w:t>
      </w:r>
      <w:proofErr w:type="spellEnd"/>
      <w:r w:rsidR="000C4C0C" w:rsidRPr="00467C0D">
        <w:t>), leading to a localized surge in nitric oxide (Abdel-Salam et al., 2022). Conversely, in a whole-brain analysis, this localized increase may be masked by the global depletion of physiological Nitric Oxide.</w:t>
      </w:r>
      <w:r w:rsidR="00AD00D9">
        <w:t xml:space="preserve"> </w:t>
      </w:r>
      <w:r w:rsidR="008247A7" w:rsidRPr="00467C0D">
        <w:t>Thus, our data reflects the global state of oxidative exhaustion and loss of Nitric Oxide homeostasis across the entire central nervous system</w:t>
      </w:r>
      <w:r w:rsidR="008247A7">
        <w:t xml:space="preserve">. </w:t>
      </w:r>
    </w:p>
    <w:p w14:paraId="279C40BD" w14:textId="12DED534" w:rsidR="007C2DBF" w:rsidRDefault="00F62DB0" w:rsidP="00076376">
      <w:pPr>
        <w:spacing w:before="100" w:beforeAutospacing="1" w:after="100" w:afterAutospacing="1"/>
        <w:jc w:val="both"/>
      </w:pPr>
      <w:r w:rsidRPr="00B03C40">
        <w:t xml:space="preserve">The significant rise in </w:t>
      </w:r>
      <w:bookmarkStart w:id="16" w:name="_Hlk219105400"/>
      <w:r w:rsidR="00CC0791" w:rsidRPr="00B03C40">
        <w:t>NADPH oxidase</w:t>
      </w:r>
      <w:r w:rsidRPr="00B03C40">
        <w:t xml:space="preserve"> </w:t>
      </w:r>
      <w:bookmarkEnd w:id="16"/>
      <w:r w:rsidRPr="00B03C40">
        <w:t xml:space="preserve">activity observed in Group </w:t>
      </w:r>
      <w:r w:rsidR="00CC0791" w:rsidRPr="00B03C40">
        <w:t xml:space="preserve">2 </w:t>
      </w:r>
      <w:r w:rsidRPr="00B03C40">
        <w:t>provides the mechanistic explanation for the downstream nitrosative stress recorded in our results. The excess O_2 produced by Nox reacts at near-diffusion-limited rates with Nitric Oxide (NO)</w:t>
      </w:r>
      <w:r w:rsidR="001C57C1" w:rsidRPr="00B03C40">
        <w:t xml:space="preserve"> </w:t>
      </w:r>
      <w:r w:rsidRPr="00B03C40">
        <w:t xml:space="preserve">produced by the concurrently upregulated </w:t>
      </w:r>
      <w:proofErr w:type="spellStart"/>
      <w:r w:rsidRPr="00B03C40">
        <w:t>iNOS</w:t>
      </w:r>
      <w:proofErr w:type="spellEnd"/>
      <w:r w:rsidR="004D7579">
        <w:t xml:space="preserve"> – </w:t>
      </w:r>
      <w:r w:rsidRPr="00B03C40">
        <w:t>to</w:t>
      </w:r>
      <w:r w:rsidR="004D7579">
        <w:t xml:space="preserve"> </w:t>
      </w:r>
      <w:r w:rsidRPr="00B03C40">
        <w:t xml:space="preserve">form the highly reactive oxidant </w:t>
      </w:r>
      <w:proofErr w:type="spellStart"/>
      <w:r w:rsidRPr="00B03C40">
        <w:t>peroxynitrite</w:t>
      </w:r>
      <w:proofErr w:type="spellEnd"/>
      <w:r w:rsidRPr="00B03C40">
        <w:t xml:space="preserve"> (ONOO-)</w:t>
      </w:r>
      <w:r w:rsidR="004B3F04" w:rsidRPr="00B03C40">
        <w:t xml:space="preserve"> as proposed by Sadek et al. (2019). </w:t>
      </w:r>
      <w:r w:rsidR="001F17E3" w:rsidRPr="00B03C40">
        <w:t>This non-enzymatic scavenging of NO by NADPH oxidase-derived superoxide explains the Nitrate Paradox in our findings</w:t>
      </w:r>
      <w:r w:rsidR="00C1546B" w:rsidRPr="00B03C40">
        <w:t xml:space="preserve"> that is the </w:t>
      </w:r>
      <w:r w:rsidR="001F17E3" w:rsidRPr="00B03C40">
        <w:t>significant depletion of nitrate levels in Group</w:t>
      </w:r>
      <w:r w:rsidR="005617AE" w:rsidRPr="00B03C40">
        <w:t xml:space="preserve"> </w:t>
      </w:r>
      <w:r w:rsidR="001F1691" w:rsidRPr="00B03C40">
        <w:t>2</w:t>
      </w:r>
      <w:r w:rsidR="001F17E3" w:rsidRPr="00B03C40">
        <w:t xml:space="preserve"> despite the high levels of total Nitric Oxide Metabolites (NO</w:t>
      </w:r>
      <w:r w:rsidR="002818ED" w:rsidRPr="00B03C40">
        <w:rPr>
          <w:vertAlign w:val="subscript"/>
        </w:rPr>
        <w:t>x</w:t>
      </w:r>
      <w:r w:rsidR="001F17E3" w:rsidRPr="00B03C40">
        <w:t xml:space="preserve">). Essentially, the high catalytic flux of </w:t>
      </w:r>
      <w:r w:rsidR="00FF1C74" w:rsidRPr="00B03C40">
        <w:t>NADPH oxidase</w:t>
      </w:r>
      <w:r w:rsidR="001F17E3" w:rsidRPr="00B03C40">
        <w:t xml:space="preserve"> </w:t>
      </w:r>
      <w:r w:rsidR="002818ED" w:rsidRPr="00B03C40">
        <w:t>snips</w:t>
      </w:r>
      <w:r w:rsidR="001F17E3" w:rsidRPr="00B03C40">
        <w:t xml:space="preserve"> the available nitric oxide before it can be processed into stable, physiological nitrates</w:t>
      </w:r>
      <w:r w:rsidR="004A5BAB">
        <w:t xml:space="preserve"> in the brain.</w:t>
      </w:r>
      <w:r w:rsidR="001F17E3" w:rsidRPr="00B03C40">
        <w:t xml:space="preserve"> (Adebayo et al., 2020).</w:t>
      </w:r>
      <w:r w:rsidR="00B944DB" w:rsidRPr="00B03C40">
        <w:t xml:space="preserve"> </w:t>
      </w:r>
      <w:r w:rsidR="007C2DBF" w:rsidRPr="007C2DBF">
        <w:t>Furthermore, the reduction in NO levels has been linked to the progression of Alzheimer’s-like neurodegeneration and cognitive decline (</w:t>
      </w:r>
      <w:r w:rsidR="007C2DBF" w:rsidRPr="007C2DBF">
        <w:rPr>
          <w:b/>
          <w:bCs/>
        </w:rPr>
        <w:t>Zaki et al., 2023</w:t>
      </w:r>
      <w:r w:rsidR="007C2DBF" w:rsidRPr="007C2DBF">
        <w:t>)</w:t>
      </w:r>
      <w:r w:rsidR="00107211">
        <w:t>.</w:t>
      </w:r>
    </w:p>
    <w:p w14:paraId="52EF7C4D" w14:textId="3CCD126F" w:rsidR="0056358C" w:rsidRPr="00FC3647" w:rsidRDefault="00162062" w:rsidP="0056358C">
      <w:pPr>
        <w:spacing w:before="100" w:beforeAutospacing="1" w:after="100" w:afterAutospacing="1"/>
        <w:jc w:val="both"/>
      </w:pPr>
      <w:r>
        <w:lastRenderedPageBreak/>
        <w:t>However, t</w:t>
      </w:r>
      <w:r w:rsidR="004B3F04" w:rsidRPr="00B03C40">
        <w:t xml:space="preserve">he combined extract of </w:t>
      </w:r>
      <w:r w:rsidR="004B3F04" w:rsidRPr="00B03C40">
        <w:rPr>
          <w:i/>
          <w:iCs/>
        </w:rPr>
        <w:t xml:space="preserve">Piper </w:t>
      </w:r>
      <w:proofErr w:type="spellStart"/>
      <w:r w:rsidR="004B3F04" w:rsidRPr="00B03C40">
        <w:rPr>
          <w:i/>
          <w:iCs/>
        </w:rPr>
        <w:t>guineense</w:t>
      </w:r>
      <w:proofErr w:type="spellEnd"/>
      <w:r w:rsidR="004B3F04" w:rsidRPr="00B03C40">
        <w:t xml:space="preserve"> and </w:t>
      </w:r>
      <w:proofErr w:type="spellStart"/>
      <w:r w:rsidR="004B3F04" w:rsidRPr="00B03C40">
        <w:rPr>
          <w:i/>
          <w:iCs/>
        </w:rPr>
        <w:t>Zingiber</w:t>
      </w:r>
      <w:proofErr w:type="spellEnd"/>
      <w:r w:rsidR="004B3F04" w:rsidRPr="00B03C40">
        <w:rPr>
          <w:i/>
          <w:iCs/>
        </w:rPr>
        <w:t xml:space="preserve"> </w:t>
      </w:r>
      <w:proofErr w:type="spellStart"/>
      <w:r w:rsidR="004B3F04" w:rsidRPr="00B03C40">
        <w:rPr>
          <w:i/>
          <w:iCs/>
        </w:rPr>
        <w:t>officinale</w:t>
      </w:r>
      <w:proofErr w:type="spellEnd"/>
      <w:r w:rsidR="004B3F04" w:rsidRPr="00B03C40">
        <w:t xml:space="preserve"> (Group 4 and 5) demonstrated a restorative effect, particularly at 800 mg/kg, where it normalized </w:t>
      </w:r>
      <w:bookmarkStart w:id="17" w:name="_Hlk219191869"/>
      <w:r w:rsidR="004B3F04" w:rsidRPr="00B03C40">
        <w:t xml:space="preserve">NADPH Oxidase </w:t>
      </w:r>
      <w:bookmarkEnd w:id="17"/>
      <w:r w:rsidR="004B3F04" w:rsidRPr="00B03C40">
        <w:t>activity and NO</w:t>
      </w:r>
      <w:r w:rsidR="004B3F04" w:rsidRPr="00B03C40">
        <w:rPr>
          <w:vertAlign w:val="subscript"/>
        </w:rPr>
        <w:t>x</w:t>
      </w:r>
      <w:r w:rsidR="004B3F04" w:rsidRPr="00B03C40">
        <w:t xml:space="preserve"> levels while </w:t>
      </w:r>
      <w:r w:rsidR="00DF2BF8" w:rsidRPr="00FC3647">
        <w:t xml:space="preserve">400 mg/kg </w:t>
      </w:r>
      <w:r w:rsidR="004D7579" w:rsidRPr="00FC3647">
        <w:t>dose showed</w:t>
      </w:r>
      <w:r w:rsidR="00DF2BF8" w:rsidRPr="00FC3647">
        <w:t xml:space="preserve"> a substantial increase in nitrate levels, even exceeding the control</w:t>
      </w:r>
      <w:r w:rsidR="004B3F04" w:rsidRPr="00B03C40">
        <w:t>, likely by reducing the scavenging pressure</w:t>
      </w:r>
      <w:r w:rsidR="00147E2A">
        <w:t xml:space="preserve"> via inhibition of </w:t>
      </w:r>
      <w:r w:rsidR="00147E2A" w:rsidRPr="00147E2A">
        <w:t>NADPH Oxidase</w:t>
      </w:r>
      <w:r w:rsidR="004B3F04" w:rsidRPr="00B03C40">
        <w:t>.</w:t>
      </w:r>
      <w:r w:rsidR="000E309F" w:rsidRPr="000E309F">
        <w:t xml:space="preserve"> The efficacy of the combined extract was comparable to Donepezil, supporting its potential as a therapeutic agent in the management of aluminum-induced dementia</w:t>
      </w:r>
      <w:r w:rsidR="000E309F">
        <w:t xml:space="preserve">. </w:t>
      </w:r>
    </w:p>
    <w:p w14:paraId="2A736D24" w14:textId="75E9139D" w:rsidR="005840C1" w:rsidRPr="00B03C40" w:rsidRDefault="006F36E2" w:rsidP="00076376">
      <w:pPr>
        <w:spacing w:before="100" w:beforeAutospacing="1" w:after="100" w:afterAutospacing="1"/>
        <w:jc w:val="both"/>
      </w:pPr>
      <w:r w:rsidRPr="006F36E2">
        <w:t>The results of the present study</w:t>
      </w:r>
      <w:r w:rsidR="00C362BD">
        <w:t xml:space="preserve"> also</w:t>
      </w:r>
      <w:r w:rsidRPr="006F36E2">
        <w:t xml:space="preserve"> demonstrate that chronic administration of Aluminum Chloride (</w:t>
      </w:r>
      <w:r w:rsidRPr="008C66AD">
        <w:t>AlCl</w:t>
      </w:r>
      <w:r w:rsidRPr="008C66AD">
        <w:rPr>
          <w:vertAlign w:val="subscript"/>
        </w:rPr>
        <w:t>3</w:t>
      </w:r>
      <w:r w:rsidRPr="006F36E2">
        <w:t>​) induces significant disruption of the brain's redox homeostasis. We observed a marked reduction in the activities of Superoxide Dismutase (SOD), Catalase (CAT), and Glutathione Peroxidase (</w:t>
      </w:r>
      <w:proofErr w:type="spellStart"/>
      <w:r w:rsidRPr="006F36E2">
        <w:t>GPx</w:t>
      </w:r>
      <w:proofErr w:type="spellEnd"/>
      <w:r w:rsidRPr="006F36E2">
        <w:t xml:space="preserve">), coupled with a three-fold elevation in Malondialdehyde (MDA) levels in Group 2. </w:t>
      </w:r>
      <w:r w:rsidR="001347DC" w:rsidRPr="00B03C40">
        <w:t xml:space="preserve"> </w:t>
      </w:r>
      <w:r w:rsidRPr="00B03C40">
        <w:t>T</w:t>
      </w:r>
      <w:r w:rsidR="001347DC" w:rsidRPr="00B03C40">
        <w:t xml:space="preserve">he sustained activity of Nox in the </w:t>
      </w:r>
      <w:bookmarkStart w:id="18" w:name="_Hlk219123655"/>
      <w:r w:rsidR="003A6D33" w:rsidRPr="00B03C40">
        <w:t>AICI3</w:t>
      </w:r>
      <w:r w:rsidR="007F6143" w:rsidRPr="00B03C40">
        <w:t>-only (</w:t>
      </w:r>
      <w:r w:rsidR="001347DC" w:rsidRPr="00B03C40">
        <w:t>group</w:t>
      </w:r>
      <w:r w:rsidR="007F6143" w:rsidRPr="00B03C40">
        <w:t xml:space="preserve"> 2)</w:t>
      </w:r>
      <w:r w:rsidR="001347DC" w:rsidRPr="00B03C40">
        <w:t xml:space="preserve"> </w:t>
      </w:r>
      <w:bookmarkEnd w:id="18"/>
      <w:r w:rsidR="001347DC" w:rsidRPr="00B03C40">
        <w:t xml:space="preserve">appears to have overwhelmed the brain’s primary enzymatic defense, Superoxide Dismutase (SOD). The </w:t>
      </w:r>
      <w:r w:rsidR="002B0BB9" w:rsidRPr="00B03C40">
        <w:t>significant</w:t>
      </w:r>
      <w:r w:rsidR="00AC50EA" w:rsidRPr="00B03C40">
        <w:t xml:space="preserve"> re</w:t>
      </w:r>
      <w:r w:rsidR="002B0BB9" w:rsidRPr="00B03C40">
        <w:t>duction</w:t>
      </w:r>
      <w:r w:rsidR="001347DC" w:rsidRPr="00B03C40">
        <w:t xml:space="preserve"> of SOD </w:t>
      </w:r>
      <w:r w:rsidR="005B7B78" w:rsidRPr="00B03C40">
        <w:t>activity</w:t>
      </w:r>
      <w:r w:rsidR="001347DC" w:rsidRPr="00B03C40">
        <w:t xml:space="preserve"> in </w:t>
      </w:r>
      <w:bookmarkStart w:id="19" w:name="_Hlk219123719"/>
      <w:r w:rsidR="00AC50EA" w:rsidRPr="00B03C40">
        <w:t>AICI3-only (group 2)</w:t>
      </w:r>
      <w:r w:rsidR="001347DC" w:rsidRPr="00B03C40">
        <w:t xml:space="preserve"> </w:t>
      </w:r>
      <w:bookmarkEnd w:id="19"/>
      <w:r w:rsidR="001347DC" w:rsidRPr="00B03C40">
        <w:t xml:space="preserve">indicates a kinetic failure of the brain to </w:t>
      </w:r>
      <w:proofErr w:type="spellStart"/>
      <w:r w:rsidR="001347DC" w:rsidRPr="00B03C40">
        <w:t>dismute</w:t>
      </w:r>
      <w:proofErr w:type="spellEnd"/>
      <w:r w:rsidR="001347DC" w:rsidRPr="00B03C40">
        <w:t xml:space="preserve"> the superoxide surge, allowing for the initiation of lipid peroxidation (measured as high MDA).</w:t>
      </w:r>
      <w:r w:rsidR="005E53F4" w:rsidRPr="00B03C40">
        <w:t xml:space="preserve"> </w:t>
      </w:r>
      <w:r w:rsidR="005E53F4" w:rsidRPr="001335BA">
        <w:t>This observation aligns with Liaquat et al. (2022), who identified NADPH oxidase (Nox) activation as a central driver in aluminum-induced oxidative damage.</w:t>
      </w:r>
      <w:r w:rsidR="008E5CB5" w:rsidRPr="00B03C40">
        <w:t xml:space="preserve"> </w:t>
      </w:r>
      <w:r w:rsidR="002B7C2F" w:rsidRPr="00B03C40">
        <w:t>Similarly,</w:t>
      </w:r>
      <w:r w:rsidR="00E470E4" w:rsidRPr="00B03C40">
        <w:t xml:space="preserve"> </w:t>
      </w:r>
      <w:r w:rsidR="002B7C2F" w:rsidRPr="00B03C40">
        <w:t>t</w:t>
      </w:r>
      <w:r w:rsidR="005840C1" w:rsidRPr="00B03C40">
        <w:t xml:space="preserve">he </w:t>
      </w:r>
      <w:r w:rsidR="00234DDA" w:rsidRPr="00B03C40">
        <w:t>lowered activity</w:t>
      </w:r>
      <w:r w:rsidR="005840C1" w:rsidRPr="00B03C40">
        <w:t xml:space="preserve"> of CAT (5.71</w:t>
      </w:r>
      <w:r w:rsidR="002F6828" w:rsidRPr="00B03C40">
        <w:t xml:space="preserve"> </w:t>
      </w:r>
      <w:r w:rsidR="00361BEA" w:rsidRPr="00361C49">
        <w:rPr>
          <w:rFonts w:eastAsia="SimSun"/>
          <w:kern w:val="2"/>
          <w14:ligatures w14:val="standardContextual"/>
        </w:rPr>
        <w:t>±</w:t>
      </w:r>
      <w:r w:rsidR="00361BEA" w:rsidRPr="00B03C40">
        <w:t xml:space="preserve"> </w:t>
      </w:r>
      <w:r w:rsidR="005840C1" w:rsidRPr="00B03C40">
        <w:t xml:space="preserve">0.12 u/g) and </w:t>
      </w:r>
      <w:proofErr w:type="spellStart"/>
      <w:r w:rsidR="005840C1" w:rsidRPr="00B03C40">
        <w:t>GPx</w:t>
      </w:r>
      <w:proofErr w:type="spellEnd"/>
      <w:r w:rsidR="005840C1" w:rsidRPr="00B03C40">
        <w:t xml:space="preserve"> (20.17 </w:t>
      </w:r>
      <w:r w:rsidR="00361BEA" w:rsidRPr="00361C49">
        <w:rPr>
          <w:rFonts w:eastAsia="SimSun"/>
          <w:kern w:val="2"/>
          <w14:ligatures w14:val="standardContextual"/>
        </w:rPr>
        <w:t>±</w:t>
      </w:r>
      <w:r w:rsidR="005840C1" w:rsidRPr="00B03C40">
        <w:t xml:space="preserve"> 0.75 u/g) in </w:t>
      </w:r>
      <w:r w:rsidR="005A5EFD" w:rsidRPr="00B03C40">
        <w:t>AICI3-only (group 2)</w:t>
      </w:r>
      <w:r w:rsidR="005840C1" w:rsidRPr="00B03C40">
        <w:t xml:space="preserve"> allowed for the accumulation of H</w:t>
      </w:r>
      <w:r w:rsidR="005840C1" w:rsidRPr="007C55A1">
        <w:rPr>
          <w:vertAlign w:val="subscript"/>
        </w:rPr>
        <w:t>2</w:t>
      </w:r>
      <w:r w:rsidR="005840C1" w:rsidRPr="00B03C40">
        <w:t>O</w:t>
      </w:r>
      <w:r w:rsidR="005840C1" w:rsidRPr="007C55A1">
        <w:rPr>
          <w:vertAlign w:val="subscript"/>
        </w:rPr>
        <w:t>2</w:t>
      </w:r>
      <w:r w:rsidR="005840C1" w:rsidRPr="00B03C40">
        <w:t xml:space="preserve"> and lipid hydroperoxides.</w:t>
      </w:r>
      <w:r w:rsidR="008E5CB5" w:rsidRPr="00B03C40">
        <w:t xml:space="preserve"> </w:t>
      </w:r>
      <w:r w:rsidR="008E5CB5" w:rsidRPr="001335BA">
        <w:t>Similar results were reported by Singh et al. (2023) and Ahmed et al. (2024), confirming that </w:t>
      </w:r>
      <w:r w:rsidR="008E5CB5" w:rsidRPr="001335BA">
        <w:rPr>
          <w:i/>
          <w:iCs/>
        </w:rPr>
        <w:t>AlCl</w:t>
      </w:r>
      <w:r w:rsidR="008E5CB5" w:rsidRPr="001335BA">
        <w:t>3​ consistently suppresses antioxidant enzymes while accelerating membrane damage.</w:t>
      </w:r>
      <w:r w:rsidR="00745273" w:rsidRPr="00B03C40">
        <w:t xml:space="preserve"> However, t</w:t>
      </w:r>
      <w:r w:rsidR="005840C1" w:rsidRPr="00B03C40">
        <w:t xml:space="preserve">he combined extract of </w:t>
      </w:r>
      <w:r w:rsidR="005840C1" w:rsidRPr="00B03C40">
        <w:rPr>
          <w:i/>
          <w:iCs/>
        </w:rPr>
        <w:t xml:space="preserve">P. </w:t>
      </w:r>
      <w:proofErr w:type="spellStart"/>
      <w:r w:rsidR="005840C1" w:rsidRPr="00B03C40">
        <w:rPr>
          <w:i/>
          <w:iCs/>
        </w:rPr>
        <w:t>guineense</w:t>
      </w:r>
      <w:proofErr w:type="spellEnd"/>
      <w:r w:rsidR="005840C1" w:rsidRPr="00B03C40">
        <w:t xml:space="preserve"> and </w:t>
      </w:r>
      <w:r w:rsidR="005840C1" w:rsidRPr="00B03C40">
        <w:rPr>
          <w:i/>
          <w:iCs/>
        </w:rPr>
        <w:t>Z. officinale</w:t>
      </w:r>
      <w:r w:rsidR="005840C1" w:rsidRPr="00B03C40">
        <w:t xml:space="preserve"> acted as a potent antioxidant inducer, restoring these enzyme</w:t>
      </w:r>
      <w:r w:rsidR="007877EB" w:rsidRPr="00B03C40">
        <w:t>s</w:t>
      </w:r>
      <w:r w:rsidR="005840C1" w:rsidRPr="00B03C40">
        <w:t xml:space="preserve"> to levels statistically comparable to the standard drug, Donepezil (Zaki et al., 2023).</w:t>
      </w:r>
    </w:p>
    <w:p w14:paraId="355797E9" w14:textId="0FA55363" w:rsidR="005827FD" w:rsidRPr="00B03C40" w:rsidRDefault="008367FD" w:rsidP="00076376">
      <w:pPr>
        <w:spacing w:before="100" w:beforeAutospacing="1" w:after="100" w:afterAutospacing="1"/>
        <w:jc w:val="both"/>
      </w:pPr>
      <w:r w:rsidRPr="00B03C40">
        <w:t>The results of this study elucidate a critical "cross-talk" between enzymatic oxidative stress and the neuroinflammatory cascade in the AlCl3​-induced model of dementia. A primary finding was the significant elevation of pro-inflammatory cytokines</w:t>
      </w:r>
      <w:r w:rsidR="004D7579">
        <w:t xml:space="preserve"> (</w:t>
      </w:r>
      <w:r w:rsidRPr="00B03C40">
        <w:t>TNF-α, IL-6, and IL-1beta</w:t>
      </w:r>
      <w:r w:rsidR="004D7579">
        <w:t xml:space="preserve">) </w:t>
      </w:r>
      <w:r w:rsidRPr="00B03C40">
        <w:t xml:space="preserve">in the </w:t>
      </w:r>
      <w:r w:rsidR="00B4174A" w:rsidRPr="00B03C40">
        <w:t>AICI3-only</w:t>
      </w:r>
      <w:r w:rsidRPr="00B03C40">
        <w:t xml:space="preserve"> group (Group 2). This sharp inflammatory surge is a hallmark of aluminum-induced neurodegeneration and is corroborated by recent studies. Ahmad et al. (2022) and </w:t>
      </w:r>
      <w:proofErr w:type="spellStart"/>
      <w:r w:rsidRPr="00B03C40">
        <w:t>Rosiridin</w:t>
      </w:r>
      <w:proofErr w:type="spellEnd"/>
      <w:r w:rsidRPr="00B03C40">
        <w:t xml:space="preserve"> (2024) reported that chronic AlCl3​ exposure triggers a robust release of these specific cytokines, which directly correlates with cognitive decline and synaptic loss in Wistar rats</w:t>
      </w:r>
      <w:r w:rsidR="005827FD" w:rsidRPr="00B03C40">
        <w:t xml:space="preserve">. </w:t>
      </w:r>
    </w:p>
    <w:p w14:paraId="3F138D58" w14:textId="541A0520" w:rsidR="007276AE" w:rsidRPr="001335BA" w:rsidRDefault="008367FD" w:rsidP="00076376">
      <w:pPr>
        <w:spacing w:before="100" w:beforeAutospacing="1" w:after="100" w:afterAutospacing="1"/>
        <w:jc w:val="both"/>
      </w:pPr>
      <w:r w:rsidRPr="00B03C40">
        <w:t xml:space="preserve">This cytokine surge is likely downstream of the pathologically upregulated NADPH Oxidase activity observed in our data (73.66±1.17 </w:t>
      </w:r>
      <w:proofErr w:type="spellStart"/>
      <w:r w:rsidRPr="00B03C40">
        <w:t>pg</w:t>
      </w:r>
      <w:proofErr w:type="spellEnd"/>
      <w:r w:rsidRPr="00B03C40">
        <w:t>/mg). Nox-derived superoxide radicals (O2∙−​) act as potent secondary messengers that activate the NF-</w:t>
      </w:r>
      <w:proofErr w:type="spellStart"/>
      <w:r w:rsidRPr="00B03C40">
        <w:t>κB</w:t>
      </w:r>
      <w:proofErr w:type="spellEnd"/>
      <w:r w:rsidRPr="00B03C40">
        <w:t xml:space="preserve"> (Nuclear Factor-kappa B) signaling pathway. Once activated, NF-</w:t>
      </w:r>
      <w:proofErr w:type="spellStart"/>
      <w:r w:rsidRPr="00B03C40">
        <w:t>κB</w:t>
      </w:r>
      <w:proofErr w:type="spellEnd"/>
      <w:r w:rsidRPr="00B03C40">
        <w:t xml:space="preserve"> </w:t>
      </w:r>
      <w:proofErr w:type="spellStart"/>
      <w:r w:rsidRPr="00B03C40">
        <w:t>translocates</w:t>
      </w:r>
      <w:proofErr w:type="spellEnd"/>
      <w:r w:rsidRPr="00B03C40">
        <w:t xml:space="preserve"> to the nucleus to induce the transcription of pro-inflammatory genes, including </w:t>
      </w:r>
      <w:proofErr w:type="spellStart"/>
      <w:r w:rsidRPr="00B03C40">
        <w:t>iNOS</w:t>
      </w:r>
      <w:proofErr w:type="spellEnd"/>
      <w:r w:rsidRPr="00B03C40">
        <w:t xml:space="preserve"> and the measured cytokines (Abdel Maksoud et al., 2020). </w:t>
      </w:r>
      <w:r w:rsidR="007276AE" w:rsidRPr="001335BA">
        <w:t>This mechanism is further supported by Zaki et al. (2023), who demonstrated that the neurotoxic effects of </w:t>
      </w:r>
      <w:r w:rsidR="007276AE" w:rsidRPr="001335BA">
        <w:rPr>
          <w:i/>
          <w:iCs/>
        </w:rPr>
        <w:t>AlCl</w:t>
      </w:r>
      <w:r w:rsidR="007276AE" w:rsidRPr="001335BA">
        <w:t>3​ are not limited to redox imbalance but extend to the recruitment of inflammatory signaling pathways that exacerbate neuronal death.</w:t>
      </w:r>
    </w:p>
    <w:p w14:paraId="2200FDF8" w14:textId="1C8ECD1A" w:rsidR="008367FD" w:rsidRPr="00B03C40" w:rsidRDefault="008367FD" w:rsidP="00076376">
      <w:pPr>
        <w:spacing w:before="100" w:beforeAutospacing="1" w:after="100" w:afterAutospacing="1"/>
        <w:jc w:val="both"/>
      </w:pPr>
      <w:r w:rsidRPr="00B03C40">
        <w:t>Finally, the suppression of TNF-alpha, IL-6, and IL-1beta by the extract indicates an attenuation of the NF-kappa B pathway, which is often triggered by the oxidative products of the N</w:t>
      </w:r>
      <w:r w:rsidR="008F7EAB">
        <w:t>ADPH oxidase</w:t>
      </w:r>
      <w:r w:rsidRPr="00B03C40">
        <w:t xml:space="preserve"> enzyme (El-</w:t>
      </w:r>
      <w:proofErr w:type="spellStart"/>
      <w:r w:rsidRPr="00B03C40">
        <w:t>Shenawy</w:t>
      </w:r>
      <w:proofErr w:type="spellEnd"/>
      <w:r w:rsidRPr="00B03C40">
        <w:t xml:space="preserve"> et al., 2021). </w:t>
      </w:r>
      <w:r w:rsidR="00B34C16" w:rsidRPr="00B03C40">
        <w:t>However, t</w:t>
      </w:r>
      <w:r w:rsidRPr="00B03C40">
        <w:t>he high-dose extract (Group 5) successfully quenched the neuroinflammatory surge, demonstrating its potential as a multi-target therapeutic agent.</w:t>
      </w:r>
    </w:p>
    <w:p w14:paraId="23392ABC" w14:textId="50D9D615" w:rsidR="005840C1" w:rsidRPr="004D7579" w:rsidRDefault="004D7579" w:rsidP="00076376">
      <w:pPr>
        <w:spacing w:before="100" w:beforeAutospacing="1" w:after="100" w:afterAutospacing="1"/>
        <w:jc w:val="both"/>
        <w:rPr>
          <w:b/>
          <w:bCs/>
        </w:rPr>
      </w:pPr>
      <w:r w:rsidRPr="004D7579">
        <w:rPr>
          <w:b/>
          <w:bCs/>
        </w:rPr>
        <w:lastRenderedPageBreak/>
        <w:t>CONCLUSION</w:t>
      </w:r>
    </w:p>
    <w:p w14:paraId="54234C89" w14:textId="513C3F1A" w:rsidR="00031B0F" w:rsidRPr="00031B0F" w:rsidRDefault="00031B0F" w:rsidP="00031B0F">
      <w:pPr>
        <w:spacing w:before="100" w:beforeAutospacing="1" w:after="100" w:afterAutospacing="1"/>
        <w:jc w:val="both"/>
      </w:pPr>
      <w:r w:rsidRPr="00031B0F">
        <w:t xml:space="preserve">The present study provides compelling evidence that the combined ethanol extract of </w:t>
      </w:r>
      <w:r w:rsidRPr="00031B0F">
        <w:rPr>
          <w:i/>
          <w:iCs/>
        </w:rPr>
        <w:t xml:space="preserve">Piper </w:t>
      </w:r>
      <w:proofErr w:type="spellStart"/>
      <w:r w:rsidRPr="00031B0F">
        <w:rPr>
          <w:i/>
          <w:iCs/>
        </w:rPr>
        <w:t>guineense</w:t>
      </w:r>
      <w:proofErr w:type="spellEnd"/>
      <w:r w:rsidRPr="00031B0F">
        <w:t xml:space="preserve"> and </w:t>
      </w:r>
      <w:proofErr w:type="spellStart"/>
      <w:r w:rsidRPr="00031B0F">
        <w:rPr>
          <w:i/>
          <w:iCs/>
        </w:rPr>
        <w:t>Zingiber</w:t>
      </w:r>
      <w:proofErr w:type="spellEnd"/>
      <w:r w:rsidRPr="00031B0F">
        <w:rPr>
          <w:i/>
          <w:iCs/>
        </w:rPr>
        <w:t xml:space="preserve"> </w:t>
      </w:r>
      <w:proofErr w:type="spellStart"/>
      <w:r w:rsidRPr="00031B0F">
        <w:rPr>
          <w:i/>
          <w:iCs/>
        </w:rPr>
        <w:t>officinale</w:t>
      </w:r>
      <w:proofErr w:type="spellEnd"/>
      <w:r w:rsidRPr="00031B0F">
        <w:t xml:space="preserve"> confers significant neuroprotection in aluminum-induced neurotoxicity through targeted modulation of key enzymatic pathways governing oxidative and inflammatory homeostasis. Central to this protective effect is the suppression of </w:t>
      </w:r>
      <w:r w:rsidRPr="0093574B">
        <w:t>NADPH oxidase</w:t>
      </w:r>
      <w:r w:rsidRPr="00031B0F">
        <w:t>, a primary upstream source of pathological reactive oxygen species, whose overactivation in aluminum exposure precipitates antioxidant enzyme collapse, lipid peroxidation, nitrosative imbalance, and neuroinflammatory amplification.</w:t>
      </w:r>
      <w:r w:rsidR="004D7579">
        <w:t xml:space="preserve"> </w:t>
      </w:r>
      <w:r w:rsidRPr="00031B0F">
        <w:t xml:space="preserve">By inhibiting NADPH oxidase activity, the combined extract effectively restored the functional integrity of endogenous </w:t>
      </w:r>
      <w:r w:rsidRPr="004D7579">
        <w:t>antioxidant enzymes</w:t>
      </w:r>
      <w:r w:rsidR="004D7579" w:rsidRPr="004D7579">
        <w:t xml:space="preserve">, </w:t>
      </w:r>
      <w:r w:rsidRPr="004D7579">
        <w:t>superoxide dismutase, catalase, and glutathione peroxidase</w:t>
      </w:r>
      <w:r w:rsidR="004D7579" w:rsidRPr="004D7579">
        <w:t xml:space="preserve">, </w:t>
      </w:r>
      <w:r w:rsidRPr="004D7579">
        <w:t>while replenish</w:t>
      </w:r>
      <w:r w:rsidRPr="00031B0F">
        <w:t>ing reduced glutathione levels and suppressing lipid peroxidation. This enzymatic re-equilibration stabilized redox signaling, normalized nitric oxide metabolism, and curtailed the activation of inflammatory mediators, including TNF-α, IL-6, and IL-1β, thereby interrupting the vicious cycle linking oxidative stress to neuroinflammation.</w:t>
      </w:r>
    </w:p>
    <w:p w14:paraId="65CDAD9E" w14:textId="300CDF8E" w:rsidR="006B767E" w:rsidRDefault="00031B0F" w:rsidP="004D7579">
      <w:pPr>
        <w:spacing w:before="100" w:beforeAutospacing="1" w:after="100" w:afterAutospacing="1"/>
        <w:jc w:val="both"/>
      </w:pPr>
      <w:r w:rsidRPr="00031B0F">
        <w:t>Importantly, the high-dose extract demonstrated therapeutic efficacy comparable to the standard anti-dementia drug, Donepezil, underscoring the translational relevance of this polyherbal formulation. These findings position the combined extract as a potent multi-target enzyme modulator capable of intervening at the biochemical origin of neurodegenerative progression rather than merely attenuating downstream symptoms.</w:t>
      </w:r>
      <w:r w:rsidR="004D7579">
        <w:t xml:space="preserve"> </w:t>
      </w:r>
      <w:r w:rsidRPr="00031B0F">
        <w:t xml:space="preserve">Collectively, this work establishes an enzyme-based mechanistic foundation for the neuroprotective action of </w:t>
      </w:r>
      <w:r w:rsidRPr="00031B0F">
        <w:rPr>
          <w:i/>
          <w:iCs/>
        </w:rPr>
        <w:t xml:space="preserve">P. </w:t>
      </w:r>
      <w:proofErr w:type="spellStart"/>
      <w:r w:rsidRPr="00031B0F">
        <w:rPr>
          <w:i/>
          <w:iCs/>
        </w:rPr>
        <w:t>guineense</w:t>
      </w:r>
      <w:proofErr w:type="spellEnd"/>
      <w:r w:rsidRPr="00031B0F">
        <w:t xml:space="preserve"> and </w:t>
      </w:r>
      <w:r w:rsidRPr="00031B0F">
        <w:rPr>
          <w:i/>
          <w:iCs/>
        </w:rPr>
        <w:t>Z. officinale</w:t>
      </w:r>
      <w:r w:rsidRPr="00031B0F">
        <w:t xml:space="preserve"> and supports their development as adjunct or alternative therapeutic agents for managing neurodegenerative disorders driven by redox and inflammatory dysregulation. Future investigations should focus on isolating the active phytochemical constituents responsible for NADPH oxidase inhibition and validating these effects in clinical models of dementia.</w:t>
      </w:r>
      <w:r>
        <w:t xml:space="preserve"> </w:t>
      </w:r>
    </w:p>
    <w:p w14:paraId="0EC70A69" w14:textId="0AEDB5E2" w:rsidR="00A20789" w:rsidRDefault="00A20789" w:rsidP="004D7579">
      <w:pPr>
        <w:spacing w:before="100" w:beforeAutospacing="1" w:after="100" w:afterAutospacing="1"/>
        <w:jc w:val="both"/>
      </w:pPr>
      <w:r>
        <w:t xml:space="preserve">References </w:t>
      </w:r>
    </w:p>
    <w:p w14:paraId="6BF683F0" w14:textId="77777777" w:rsidR="008C66AD" w:rsidRDefault="008C66AD" w:rsidP="004D7579">
      <w:pPr>
        <w:spacing w:after="240"/>
        <w:ind w:left="709" w:hanging="709"/>
        <w:jc w:val="both"/>
      </w:pPr>
      <w:r w:rsidRPr="00D8315A">
        <w:t xml:space="preserve">Abdel Maksoud, H. A., El-Hallaq, I. S., &amp; El-Kady, A. A. (2020). Ameliorative effect of some antioxidants on aluminum chloride-induced neurotoxicity in rats. </w:t>
      </w:r>
      <w:r w:rsidRPr="00D8315A">
        <w:rPr>
          <w:i/>
          <w:iCs/>
        </w:rPr>
        <w:t>Journal of Biological Sciences</w:t>
      </w:r>
      <w:r w:rsidRPr="00D8315A">
        <w:t>, 20(2), 154-162.</w:t>
      </w:r>
    </w:p>
    <w:p w14:paraId="6B308565" w14:textId="77777777" w:rsidR="008C66AD" w:rsidRDefault="008C66AD" w:rsidP="004D7579">
      <w:pPr>
        <w:spacing w:after="240"/>
        <w:ind w:left="709" w:hanging="709"/>
        <w:jc w:val="both"/>
      </w:pPr>
      <w:r w:rsidRPr="00D8315A">
        <w:t xml:space="preserve">Abdel-Salam, O. M., Youness, E. R., Mohammed, N. A., Abd-El-Haseeb, M., &amp; Omara, E. A. (2022). Nitrosative stress and neurological impairment in aluminum toxicity models: Protective effects of natural polyphenols. </w:t>
      </w:r>
      <w:r w:rsidRPr="00D8315A">
        <w:rPr>
          <w:i/>
          <w:iCs/>
        </w:rPr>
        <w:t>Environmental Toxicology and Pharmacology</w:t>
      </w:r>
      <w:r w:rsidRPr="00D8315A">
        <w:t>, 91, 103816.</w:t>
      </w:r>
    </w:p>
    <w:p w14:paraId="3F7A7398" w14:textId="77777777" w:rsidR="008C66AD" w:rsidRDefault="008C66AD" w:rsidP="004D7579">
      <w:pPr>
        <w:spacing w:after="240"/>
        <w:ind w:left="709" w:hanging="709"/>
        <w:jc w:val="both"/>
      </w:pPr>
      <w:r>
        <w:t>Adebayo, O. L., Adewale, O. B., Adekunle, A. S., &amp; Olagunju, A. L. (2020). Brain nitrate/nitrite depletion and oxidative stress following chronic exposure to aluminum in rats. Journal of Trace Elements in Medicine and Biology, 61, 126500.</w:t>
      </w:r>
    </w:p>
    <w:p w14:paraId="57B16A74" w14:textId="77777777" w:rsidR="008C66AD" w:rsidRDefault="008C66AD" w:rsidP="004D7579">
      <w:pPr>
        <w:spacing w:after="240"/>
        <w:ind w:left="709" w:hanging="709"/>
        <w:jc w:val="both"/>
      </w:pPr>
      <w:r>
        <w:t>Aebi, H. (1984). Catalase in vitro. Methods in Enzymology, 105, 121-126.</w:t>
      </w:r>
    </w:p>
    <w:p w14:paraId="4C4DD4FB" w14:textId="77777777" w:rsidR="008C66AD" w:rsidRDefault="008C66AD" w:rsidP="004D7579">
      <w:pPr>
        <w:spacing w:after="240"/>
        <w:ind w:left="709" w:hanging="709"/>
        <w:jc w:val="both"/>
      </w:pPr>
      <w:r>
        <w:t>Ahmad, A., Ali, S., Rahman, H. U., &amp; Khan, I. (2022). Neuroinflammatory markers in aluminum-induced dementia: Role of cytokines and the protective potential of botanicals. Neurochemistry International, 154, 105286.</w:t>
      </w:r>
    </w:p>
    <w:p w14:paraId="60F09027" w14:textId="77777777" w:rsidR="008C66AD" w:rsidRDefault="008C66AD" w:rsidP="004D7579">
      <w:pPr>
        <w:spacing w:after="240"/>
        <w:ind w:left="709" w:hanging="709"/>
        <w:jc w:val="both"/>
      </w:pPr>
      <w:r>
        <w:lastRenderedPageBreak/>
        <w:t>Ahmed, M., Raza, S., &amp; Malik, S. (2024). Redox-controlling enzymes and their dysregulation in Alzheimer’s pathology: A review of enzymatic collapse. Brain Research Bulletin, 198, 45-58.</w:t>
      </w:r>
    </w:p>
    <w:p w14:paraId="07D70263" w14:textId="77777777" w:rsidR="008C66AD" w:rsidRDefault="008C66AD" w:rsidP="004D7579">
      <w:pPr>
        <w:spacing w:after="240"/>
        <w:ind w:left="709" w:hanging="709"/>
        <w:jc w:val="both"/>
      </w:pPr>
      <w:r>
        <w:t xml:space="preserve">Bibi, S., Shah, S. A., &amp; Khan, M. S. (2023). Evaluation of Piper </w:t>
      </w:r>
      <w:proofErr w:type="spellStart"/>
      <w:r>
        <w:t>guineense</w:t>
      </w:r>
      <w:proofErr w:type="spellEnd"/>
      <w:r>
        <w:t xml:space="preserve"> and </w:t>
      </w:r>
      <w:proofErr w:type="spellStart"/>
      <w:r>
        <w:t>Zingiber</w:t>
      </w:r>
      <w:proofErr w:type="spellEnd"/>
      <w:r>
        <w:t xml:space="preserve"> </w:t>
      </w:r>
      <w:proofErr w:type="spellStart"/>
      <w:r>
        <w:t>officinale</w:t>
      </w:r>
      <w:proofErr w:type="spellEnd"/>
      <w:r>
        <w:t xml:space="preserve"> as enzymatic inhibitors in redox signaling and neuroprotection. Phytomedicine Plus, 3(1), 100392.</w:t>
      </w:r>
    </w:p>
    <w:p w14:paraId="5E8337C0" w14:textId="77777777" w:rsidR="008C66AD" w:rsidRDefault="008C66AD" w:rsidP="004D7579">
      <w:pPr>
        <w:spacing w:after="240"/>
        <w:ind w:left="709" w:hanging="709"/>
        <w:jc w:val="both"/>
      </w:pPr>
      <w:r>
        <w:t>El-</w:t>
      </w:r>
      <w:proofErr w:type="spellStart"/>
      <w:r>
        <w:t>Shenawy</w:t>
      </w:r>
      <w:proofErr w:type="spellEnd"/>
      <w:r>
        <w:t>, N. S., Hamza, R. Z., &amp; Al-Salmi, F. A. (2021). The protective role of natural extracts against aluminum-induced neuroinflammation via the NF-</w:t>
      </w:r>
      <w:proofErr w:type="spellStart"/>
      <w:r>
        <w:t>κB</w:t>
      </w:r>
      <w:proofErr w:type="spellEnd"/>
      <w:r>
        <w:t xml:space="preserve"> signaling pathway. Toxins, 13(9), 612.</w:t>
      </w:r>
    </w:p>
    <w:p w14:paraId="6AFEABE5" w14:textId="77777777" w:rsidR="008C66AD" w:rsidRDefault="008C66AD" w:rsidP="004D7579">
      <w:pPr>
        <w:spacing w:after="240"/>
        <w:ind w:left="709" w:hanging="709"/>
        <w:jc w:val="both"/>
      </w:pPr>
      <w:r>
        <w:t>Liaquat, L., Sadir, S., Batool, Z., Tabassum, S., Shahzad, S., Afzal, A., &amp; Haider, S. (2022). Biochemical disturbances and synaptic failure in neurodegenerative disease: Focus on oxidative enzymes. Molecular Neurobiology, 59, 2134-2150.</w:t>
      </w:r>
    </w:p>
    <w:p w14:paraId="471566A7" w14:textId="77777777" w:rsidR="008C66AD" w:rsidRDefault="008C66AD" w:rsidP="004D7579">
      <w:pPr>
        <w:spacing w:after="240"/>
        <w:ind w:left="709" w:hanging="709"/>
        <w:jc w:val="both"/>
      </w:pPr>
      <w:r>
        <w:t xml:space="preserve">Misra, H. P., &amp; </w:t>
      </w:r>
      <w:proofErr w:type="spellStart"/>
      <w:r>
        <w:t>Fridovich</w:t>
      </w:r>
      <w:proofErr w:type="spellEnd"/>
      <w:r>
        <w:t>, I. (1972). The role of superoxide anion in the autoxidation of epinephrine and a simple assay for superoxide dismutase. Journal of Biological Chemistry, 247(10), 3170-3175.</w:t>
      </w:r>
    </w:p>
    <w:p w14:paraId="1B0FF541" w14:textId="77777777" w:rsidR="008C66AD" w:rsidRPr="008B4431" w:rsidRDefault="008C66AD" w:rsidP="008C66AD">
      <w:pPr>
        <w:spacing w:after="240"/>
        <w:ind w:left="709" w:hanging="709"/>
        <w:jc w:val="both"/>
      </w:pPr>
      <w:proofErr w:type="spellStart"/>
      <w:r w:rsidRPr="008C66AD">
        <w:t>Okwakpam</w:t>
      </w:r>
      <w:proofErr w:type="spellEnd"/>
      <w:r w:rsidRPr="008C66AD">
        <w:t xml:space="preserve">, F. N., </w:t>
      </w:r>
      <w:proofErr w:type="spellStart"/>
      <w:r w:rsidRPr="008C66AD">
        <w:t>Dokubo</w:t>
      </w:r>
      <w:proofErr w:type="spellEnd"/>
      <w:r w:rsidRPr="008C66AD">
        <w:t xml:space="preserve">, A., </w:t>
      </w:r>
      <w:proofErr w:type="spellStart"/>
      <w:r w:rsidRPr="008C66AD">
        <w:t>Monanu</w:t>
      </w:r>
      <w:proofErr w:type="spellEnd"/>
      <w:r w:rsidRPr="008C66AD">
        <w:t xml:space="preserve">, M. O., &amp; Uahomo, P. O. (2023). Cardioprotective effects of apocynin and curcumin against diclofenac-induced cardiotoxicity in male Wistar rats via inhibition of oxidative stress. </w:t>
      </w:r>
      <w:r w:rsidRPr="008C66AD">
        <w:rPr>
          <w:i/>
          <w:iCs/>
        </w:rPr>
        <w:t>Scholars International Journal of Biochemistry, 6</w:t>
      </w:r>
      <w:r w:rsidRPr="008C66AD">
        <w:t>(7), 86–98. https://doi.org/10.36348/sijb.2023.v06i07.001</w:t>
      </w:r>
    </w:p>
    <w:p w14:paraId="1A2C051B" w14:textId="77777777" w:rsidR="008C66AD" w:rsidRDefault="008C66AD" w:rsidP="004D7579">
      <w:pPr>
        <w:spacing w:after="240"/>
        <w:ind w:left="709" w:hanging="709"/>
        <w:jc w:val="both"/>
      </w:pPr>
      <w:r>
        <w:t>Rosiridin, M. (2024). Self-amplifying cycles of oxidative stress and pro-inflammatory cytokine release in aluminum-induced cognitive impairment. Toxicology Reports, 12, 88-97.</w:t>
      </w:r>
    </w:p>
    <w:p w14:paraId="25CCA664" w14:textId="77777777" w:rsidR="008C66AD" w:rsidRDefault="008C66AD" w:rsidP="004D7579">
      <w:pPr>
        <w:spacing w:after="240"/>
        <w:ind w:left="709" w:hanging="709"/>
        <w:jc w:val="both"/>
      </w:pPr>
      <w:r>
        <w:t xml:space="preserve">Sadek, K. M., Lebda, M. A., </w:t>
      </w:r>
      <w:proofErr w:type="spellStart"/>
      <w:r>
        <w:t>Abouzed</w:t>
      </w:r>
      <w:proofErr w:type="spellEnd"/>
      <w:r>
        <w:t>, T. K., &amp; Nasr, S. M. (2019). Neuroprotective effect of lycopene against aluminum chloride-induced neurotoxicity in rats via suppressing oxidative stress and inflammation: Focus on NADPH oxidase. Biological Trace Element Research, 190(2), 438-448.</w:t>
      </w:r>
    </w:p>
    <w:p w14:paraId="37180C0B" w14:textId="77777777" w:rsidR="008C66AD" w:rsidRDefault="008C66AD" w:rsidP="004D7579">
      <w:pPr>
        <w:spacing w:after="240"/>
        <w:ind w:left="709" w:hanging="709"/>
        <w:jc w:val="both"/>
      </w:pPr>
      <w:r>
        <w:t>Singh, R., Kumar, M., &amp; Pandey, S. (2023). Endogenous antioxidant defenses and nitric oxide signaling in the aging brain: Implications for enzymatic therapy. Free Radical Biology and Medicine, 201, 112-125.</w:t>
      </w:r>
    </w:p>
    <w:p w14:paraId="3092C0F0" w14:textId="77777777" w:rsidR="008C66AD" w:rsidRDefault="008C66AD" w:rsidP="004D7579">
      <w:pPr>
        <w:spacing w:after="240"/>
        <w:ind w:left="709" w:hanging="709"/>
        <w:jc w:val="both"/>
      </w:pPr>
      <w:r>
        <w:t xml:space="preserve">Stevanović, I. D., Jovanović, M. D., </w:t>
      </w:r>
      <w:proofErr w:type="spellStart"/>
      <w:r>
        <w:t>Jelenković</w:t>
      </w:r>
      <w:proofErr w:type="spellEnd"/>
      <w:r>
        <w:t xml:space="preserve">, A., </w:t>
      </w:r>
      <w:proofErr w:type="spellStart"/>
      <w:r>
        <w:t>Colić</w:t>
      </w:r>
      <w:proofErr w:type="spellEnd"/>
      <w:r>
        <w:t xml:space="preserve">, M., Stojanović, I., &amp; </w:t>
      </w:r>
      <w:proofErr w:type="spellStart"/>
      <w:r>
        <w:t>Ninković</w:t>
      </w:r>
      <w:proofErr w:type="spellEnd"/>
      <w:r>
        <w:t>, M. (2020). Aluminum-induced neurotoxicity: Mechanisms of oxidative and nitrosative stress and role of specific enzymes. Current Alzheimer Research, 17(1), 1-15.</w:t>
      </w:r>
    </w:p>
    <w:p w14:paraId="090080D8" w14:textId="77777777" w:rsidR="008C66AD" w:rsidRDefault="008C66AD" w:rsidP="004D7579">
      <w:pPr>
        <w:spacing w:after="240"/>
        <w:ind w:left="709" w:hanging="709"/>
        <w:jc w:val="both"/>
      </w:pPr>
      <w:r>
        <w:t>Zaki, S. M., Abdel Fattah, S. M., &amp; El-Saba, A. A. (2023). Modeling dementia in rodents via aluminum chloride: A review of enzymatic depletion and inflammatory recruitment. Neural Regeneration Research, 18(4), 750-761.</w:t>
      </w:r>
    </w:p>
    <w:p w14:paraId="735BA725" w14:textId="77777777" w:rsidR="008C66AD" w:rsidRDefault="008C66AD" w:rsidP="004D7579">
      <w:pPr>
        <w:spacing w:after="240"/>
        <w:ind w:left="709" w:hanging="709"/>
        <w:jc w:val="both"/>
      </w:pPr>
      <w:r>
        <w:t>Zhang, L., Zhang, J., Niu, Q., Guo, K., &amp; Cheng, X. (2016). The role of NADPH oxidase in aluminum-induced oxidative stress in rats. Neurotoxicity Research, 30(2), 232-241.</w:t>
      </w:r>
    </w:p>
    <w:p w14:paraId="1E283DFD" w14:textId="77777777" w:rsidR="008C66AD" w:rsidRDefault="008C66AD" w:rsidP="008C66AD">
      <w:pPr>
        <w:spacing w:after="240"/>
        <w:ind w:left="709" w:hanging="709"/>
        <w:jc w:val="both"/>
      </w:pPr>
      <w:r>
        <w:lastRenderedPageBreak/>
        <w:t>Zou, Y., Cheng, X., Wang, Y., Zhang, L., &amp; Niu, Q. (2020). NADPH oxidase 2-derived reactive oxygen species mediate aluminum chloride-induced neurotoxicity. Environmental Toxicology, 35(10), 1087–1096.</w:t>
      </w:r>
    </w:p>
    <w:sectPr w:rsidR="008C66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84241" w14:textId="77777777" w:rsidR="007D018B" w:rsidRDefault="007D018B" w:rsidP="007C4B73">
      <w:r>
        <w:separator/>
      </w:r>
    </w:p>
  </w:endnote>
  <w:endnote w:type="continuationSeparator" w:id="0">
    <w:p w14:paraId="07505C38" w14:textId="77777777" w:rsidR="007D018B" w:rsidRDefault="007D018B" w:rsidP="007C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6A31" w14:textId="77777777" w:rsidR="007C4B73" w:rsidRDefault="007C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892A4" w14:textId="77777777" w:rsidR="007C4B73" w:rsidRDefault="007C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DD33" w14:textId="77777777" w:rsidR="007C4B73" w:rsidRDefault="007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B3B2" w14:textId="77777777" w:rsidR="007D018B" w:rsidRDefault="007D018B" w:rsidP="007C4B73">
      <w:r>
        <w:separator/>
      </w:r>
    </w:p>
  </w:footnote>
  <w:footnote w:type="continuationSeparator" w:id="0">
    <w:p w14:paraId="1E042F25" w14:textId="77777777" w:rsidR="007D018B" w:rsidRDefault="007D018B" w:rsidP="007C4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8EE4" w14:textId="6BD0146B" w:rsidR="007C4B73" w:rsidRDefault="007C4B73">
    <w:pPr>
      <w:pStyle w:val="Header"/>
    </w:pPr>
    <w:r>
      <w:rPr>
        <w:noProof/>
      </w:rPr>
      <w:pict w14:anchorId="79527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87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5752" w14:textId="4981E200" w:rsidR="007C4B73" w:rsidRDefault="007C4B73">
    <w:pPr>
      <w:pStyle w:val="Header"/>
    </w:pPr>
    <w:r>
      <w:rPr>
        <w:noProof/>
      </w:rPr>
      <w:pict w14:anchorId="29269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87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E606" w14:textId="36529494" w:rsidR="007C4B73" w:rsidRDefault="007C4B73">
    <w:pPr>
      <w:pStyle w:val="Header"/>
    </w:pPr>
    <w:r>
      <w:rPr>
        <w:noProof/>
      </w:rPr>
      <w:pict w14:anchorId="0A609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87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B2F"/>
    <w:multiLevelType w:val="multilevel"/>
    <w:tmpl w:val="5D144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25A"/>
    <w:multiLevelType w:val="multilevel"/>
    <w:tmpl w:val="B35A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5CF5"/>
    <w:multiLevelType w:val="multilevel"/>
    <w:tmpl w:val="C02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508CF"/>
    <w:multiLevelType w:val="multilevel"/>
    <w:tmpl w:val="52AC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32C17"/>
    <w:multiLevelType w:val="multilevel"/>
    <w:tmpl w:val="323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37887"/>
    <w:multiLevelType w:val="multilevel"/>
    <w:tmpl w:val="6EA6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1755B"/>
    <w:multiLevelType w:val="multilevel"/>
    <w:tmpl w:val="055E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0000B"/>
    <w:multiLevelType w:val="multilevel"/>
    <w:tmpl w:val="A3B2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E40D4"/>
    <w:multiLevelType w:val="hybridMultilevel"/>
    <w:tmpl w:val="A77CEB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7FD7D5A"/>
    <w:multiLevelType w:val="multilevel"/>
    <w:tmpl w:val="78C8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F27CA"/>
    <w:multiLevelType w:val="multilevel"/>
    <w:tmpl w:val="3A3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B5AE5"/>
    <w:multiLevelType w:val="multilevel"/>
    <w:tmpl w:val="B4C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010500"/>
    <w:multiLevelType w:val="multilevel"/>
    <w:tmpl w:val="E5EE9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B3932"/>
    <w:multiLevelType w:val="multilevel"/>
    <w:tmpl w:val="08A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A2870"/>
    <w:multiLevelType w:val="multilevel"/>
    <w:tmpl w:val="1734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B2D10"/>
    <w:multiLevelType w:val="multilevel"/>
    <w:tmpl w:val="F062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72265B"/>
    <w:multiLevelType w:val="multilevel"/>
    <w:tmpl w:val="4958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92938"/>
    <w:multiLevelType w:val="multilevel"/>
    <w:tmpl w:val="0C9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5"/>
  </w:num>
  <w:num w:numId="4">
    <w:abstractNumId w:val="11"/>
  </w:num>
  <w:num w:numId="5">
    <w:abstractNumId w:val="2"/>
  </w:num>
  <w:num w:numId="6">
    <w:abstractNumId w:val="10"/>
  </w:num>
  <w:num w:numId="7">
    <w:abstractNumId w:val="6"/>
  </w:num>
  <w:num w:numId="8">
    <w:abstractNumId w:val="0"/>
  </w:num>
  <w:num w:numId="9">
    <w:abstractNumId w:val="16"/>
  </w:num>
  <w:num w:numId="10">
    <w:abstractNumId w:val="9"/>
  </w:num>
  <w:num w:numId="11">
    <w:abstractNumId w:val="3"/>
  </w:num>
  <w:num w:numId="12">
    <w:abstractNumId w:val="1"/>
  </w:num>
  <w:num w:numId="13">
    <w:abstractNumId w:val="17"/>
  </w:num>
  <w:num w:numId="14">
    <w:abstractNumId w:val="7"/>
  </w:num>
  <w:num w:numId="15">
    <w:abstractNumId w:val="13"/>
  </w:num>
  <w:num w:numId="16">
    <w:abstractNumId w:val="4"/>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29"/>
    <w:rsid w:val="00002150"/>
    <w:rsid w:val="00005F69"/>
    <w:rsid w:val="00011F7A"/>
    <w:rsid w:val="000266B1"/>
    <w:rsid w:val="00031B0F"/>
    <w:rsid w:val="000341BA"/>
    <w:rsid w:val="0004104E"/>
    <w:rsid w:val="00046053"/>
    <w:rsid w:val="00046BDA"/>
    <w:rsid w:val="000478C5"/>
    <w:rsid w:val="000505D2"/>
    <w:rsid w:val="00053E54"/>
    <w:rsid w:val="00054AF6"/>
    <w:rsid w:val="000625E1"/>
    <w:rsid w:val="0007264E"/>
    <w:rsid w:val="00072C60"/>
    <w:rsid w:val="00075AE1"/>
    <w:rsid w:val="00076376"/>
    <w:rsid w:val="00081BE1"/>
    <w:rsid w:val="000870AD"/>
    <w:rsid w:val="00097AEF"/>
    <w:rsid w:val="00097E95"/>
    <w:rsid w:val="000B0A6D"/>
    <w:rsid w:val="000B51AE"/>
    <w:rsid w:val="000B79BB"/>
    <w:rsid w:val="000C3300"/>
    <w:rsid w:val="000C4C0C"/>
    <w:rsid w:val="000D79CB"/>
    <w:rsid w:val="000E309F"/>
    <w:rsid w:val="001013BC"/>
    <w:rsid w:val="00107211"/>
    <w:rsid w:val="001114B4"/>
    <w:rsid w:val="0012497C"/>
    <w:rsid w:val="00125F91"/>
    <w:rsid w:val="00130E60"/>
    <w:rsid w:val="001334C1"/>
    <w:rsid w:val="001335BA"/>
    <w:rsid w:val="001347DC"/>
    <w:rsid w:val="001376E6"/>
    <w:rsid w:val="00140549"/>
    <w:rsid w:val="00141B0D"/>
    <w:rsid w:val="00146EFC"/>
    <w:rsid w:val="00147572"/>
    <w:rsid w:val="00147E2A"/>
    <w:rsid w:val="00152A9A"/>
    <w:rsid w:val="001544E7"/>
    <w:rsid w:val="00162062"/>
    <w:rsid w:val="00164485"/>
    <w:rsid w:val="0017270C"/>
    <w:rsid w:val="00180D51"/>
    <w:rsid w:val="00183B1E"/>
    <w:rsid w:val="001918EB"/>
    <w:rsid w:val="00191E8D"/>
    <w:rsid w:val="00192CFD"/>
    <w:rsid w:val="001A2223"/>
    <w:rsid w:val="001A4A5B"/>
    <w:rsid w:val="001B1D06"/>
    <w:rsid w:val="001B3270"/>
    <w:rsid w:val="001B4889"/>
    <w:rsid w:val="001B599C"/>
    <w:rsid w:val="001C4BD4"/>
    <w:rsid w:val="001C57C1"/>
    <w:rsid w:val="001E53DB"/>
    <w:rsid w:val="001E5E71"/>
    <w:rsid w:val="001F1691"/>
    <w:rsid w:val="001F17E3"/>
    <w:rsid w:val="0020738C"/>
    <w:rsid w:val="00207DF1"/>
    <w:rsid w:val="00217564"/>
    <w:rsid w:val="002210C7"/>
    <w:rsid w:val="00223B5A"/>
    <w:rsid w:val="002310B1"/>
    <w:rsid w:val="00234DDA"/>
    <w:rsid w:val="002426A7"/>
    <w:rsid w:val="00244451"/>
    <w:rsid w:val="002455BB"/>
    <w:rsid w:val="00246E15"/>
    <w:rsid w:val="002478F5"/>
    <w:rsid w:val="00251112"/>
    <w:rsid w:val="00254E5C"/>
    <w:rsid w:val="0026358D"/>
    <w:rsid w:val="00263BCC"/>
    <w:rsid w:val="00265A0A"/>
    <w:rsid w:val="00265C09"/>
    <w:rsid w:val="002750EB"/>
    <w:rsid w:val="0027525F"/>
    <w:rsid w:val="00275445"/>
    <w:rsid w:val="00276246"/>
    <w:rsid w:val="002800C9"/>
    <w:rsid w:val="002818ED"/>
    <w:rsid w:val="00290213"/>
    <w:rsid w:val="0029171B"/>
    <w:rsid w:val="002935AA"/>
    <w:rsid w:val="002A3608"/>
    <w:rsid w:val="002A7AC5"/>
    <w:rsid w:val="002B0BB9"/>
    <w:rsid w:val="002B0E17"/>
    <w:rsid w:val="002B1EC5"/>
    <w:rsid w:val="002B20D4"/>
    <w:rsid w:val="002B7C2F"/>
    <w:rsid w:val="002D3CDB"/>
    <w:rsid w:val="002E2F05"/>
    <w:rsid w:val="002E6B98"/>
    <w:rsid w:val="002E79D2"/>
    <w:rsid w:val="002F6828"/>
    <w:rsid w:val="00300D91"/>
    <w:rsid w:val="00304FD3"/>
    <w:rsid w:val="00306310"/>
    <w:rsid w:val="003138F1"/>
    <w:rsid w:val="00316287"/>
    <w:rsid w:val="003176D1"/>
    <w:rsid w:val="00321E90"/>
    <w:rsid w:val="00324F4A"/>
    <w:rsid w:val="00325833"/>
    <w:rsid w:val="003269DD"/>
    <w:rsid w:val="003308D2"/>
    <w:rsid w:val="003313B0"/>
    <w:rsid w:val="00335B4C"/>
    <w:rsid w:val="00337CB5"/>
    <w:rsid w:val="0035118B"/>
    <w:rsid w:val="0035267D"/>
    <w:rsid w:val="00353EE6"/>
    <w:rsid w:val="0036118B"/>
    <w:rsid w:val="00361BEA"/>
    <w:rsid w:val="00372D2E"/>
    <w:rsid w:val="00394CA5"/>
    <w:rsid w:val="003A6D33"/>
    <w:rsid w:val="003B40F7"/>
    <w:rsid w:val="003B5855"/>
    <w:rsid w:val="003C4E40"/>
    <w:rsid w:val="003C64FA"/>
    <w:rsid w:val="003C6D89"/>
    <w:rsid w:val="003C7999"/>
    <w:rsid w:val="003D5389"/>
    <w:rsid w:val="003D5D7C"/>
    <w:rsid w:val="003F134B"/>
    <w:rsid w:val="003F6DD6"/>
    <w:rsid w:val="0040487B"/>
    <w:rsid w:val="0041570E"/>
    <w:rsid w:val="00421BA0"/>
    <w:rsid w:val="004245F2"/>
    <w:rsid w:val="00426771"/>
    <w:rsid w:val="004304F3"/>
    <w:rsid w:val="0043580D"/>
    <w:rsid w:val="004430B7"/>
    <w:rsid w:val="00446C83"/>
    <w:rsid w:val="0044734F"/>
    <w:rsid w:val="00450353"/>
    <w:rsid w:val="0045038E"/>
    <w:rsid w:val="00454AF5"/>
    <w:rsid w:val="00456E28"/>
    <w:rsid w:val="00464E4F"/>
    <w:rsid w:val="00470F89"/>
    <w:rsid w:val="00473E91"/>
    <w:rsid w:val="00474B34"/>
    <w:rsid w:val="00476CA4"/>
    <w:rsid w:val="00485EB6"/>
    <w:rsid w:val="004869D4"/>
    <w:rsid w:val="00494056"/>
    <w:rsid w:val="00497801"/>
    <w:rsid w:val="004978C9"/>
    <w:rsid w:val="0049790C"/>
    <w:rsid w:val="004A5BAB"/>
    <w:rsid w:val="004B348B"/>
    <w:rsid w:val="004B3F04"/>
    <w:rsid w:val="004B5CBD"/>
    <w:rsid w:val="004C1E77"/>
    <w:rsid w:val="004D7579"/>
    <w:rsid w:val="004F0AE9"/>
    <w:rsid w:val="004F3894"/>
    <w:rsid w:val="005008E5"/>
    <w:rsid w:val="00526A5E"/>
    <w:rsid w:val="00526A83"/>
    <w:rsid w:val="00530868"/>
    <w:rsid w:val="005359FD"/>
    <w:rsid w:val="00551D36"/>
    <w:rsid w:val="005617AE"/>
    <w:rsid w:val="0056358C"/>
    <w:rsid w:val="0056422E"/>
    <w:rsid w:val="0057097D"/>
    <w:rsid w:val="00573045"/>
    <w:rsid w:val="00576817"/>
    <w:rsid w:val="005827FD"/>
    <w:rsid w:val="00583AA8"/>
    <w:rsid w:val="005840C1"/>
    <w:rsid w:val="005A5EFD"/>
    <w:rsid w:val="005B0E55"/>
    <w:rsid w:val="005B2418"/>
    <w:rsid w:val="005B34F3"/>
    <w:rsid w:val="005B4DEB"/>
    <w:rsid w:val="005B7B78"/>
    <w:rsid w:val="005C3623"/>
    <w:rsid w:val="005C63EB"/>
    <w:rsid w:val="005D2BFF"/>
    <w:rsid w:val="005E53F4"/>
    <w:rsid w:val="005E544C"/>
    <w:rsid w:val="005E5836"/>
    <w:rsid w:val="005F45EC"/>
    <w:rsid w:val="00602113"/>
    <w:rsid w:val="00604B75"/>
    <w:rsid w:val="006066BC"/>
    <w:rsid w:val="0061195D"/>
    <w:rsid w:val="00616782"/>
    <w:rsid w:val="00625BEB"/>
    <w:rsid w:val="00632609"/>
    <w:rsid w:val="0064214F"/>
    <w:rsid w:val="00642835"/>
    <w:rsid w:val="00644939"/>
    <w:rsid w:val="00645A36"/>
    <w:rsid w:val="00653054"/>
    <w:rsid w:val="00653CDB"/>
    <w:rsid w:val="00661DB1"/>
    <w:rsid w:val="00662ED2"/>
    <w:rsid w:val="00663AAD"/>
    <w:rsid w:val="00670BD3"/>
    <w:rsid w:val="00674C7D"/>
    <w:rsid w:val="00682033"/>
    <w:rsid w:val="006A15A5"/>
    <w:rsid w:val="006B66A6"/>
    <w:rsid w:val="006B767E"/>
    <w:rsid w:val="006E2DD9"/>
    <w:rsid w:val="006E743C"/>
    <w:rsid w:val="006F3544"/>
    <w:rsid w:val="006F36E2"/>
    <w:rsid w:val="00701B77"/>
    <w:rsid w:val="00720B91"/>
    <w:rsid w:val="007252B3"/>
    <w:rsid w:val="007276AE"/>
    <w:rsid w:val="00744CF2"/>
    <w:rsid w:val="00745120"/>
    <w:rsid w:val="00745273"/>
    <w:rsid w:val="00754C29"/>
    <w:rsid w:val="00765903"/>
    <w:rsid w:val="007820E5"/>
    <w:rsid w:val="007847CF"/>
    <w:rsid w:val="007877EB"/>
    <w:rsid w:val="00795A4B"/>
    <w:rsid w:val="007A2F6C"/>
    <w:rsid w:val="007A6091"/>
    <w:rsid w:val="007C2DBF"/>
    <w:rsid w:val="007C3196"/>
    <w:rsid w:val="007C4B73"/>
    <w:rsid w:val="007C55A1"/>
    <w:rsid w:val="007C64BC"/>
    <w:rsid w:val="007D018B"/>
    <w:rsid w:val="007D25EF"/>
    <w:rsid w:val="007E046F"/>
    <w:rsid w:val="007F0A72"/>
    <w:rsid w:val="007F586F"/>
    <w:rsid w:val="007F6143"/>
    <w:rsid w:val="00800032"/>
    <w:rsid w:val="0081330F"/>
    <w:rsid w:val="00817279"/>
    <w:rsid w:val="00822F5F"/>
    <w:rsid w:val="00823036"/>
    <w:rsid w:val="008247A7"/>
    <w:rsid w:val="008310ED"/>
    <w:rsid w:val="008367FD"/>
    <w:rsid w:val="00842675"/>
    <w:rsid w:val="00847B30"/>
    <w:rsid w:val="008509E4"/>
    <w:rsid w:val="00853C7A"/>
    <w:rsid w:val="00854D1F"/>
    <w:rsid w:val="00867538"/>
    <w:rsid w:val="00871B04"/>
    <w:rsid w:val="00877564"/>
    <w:rsid w:val="0088377F"/>
    <w:rsid w:val="00890F53"/>
    <w:rsid w:val="00894881"/>
    <w:rsid w:val="008A1FDB"/>
    <w:rsid w:val="008A7359"/>
    <w:rsid w:val="008A7E59"/>
    <w:rsid w:val="008B4431"/>
    <w:rsid w:val="008C66AD"/>
    <w:rsid w:val="008C78D4"/>
    <w:rsid w:val="008D2C53"/>
    <w:rsid w:val="008D74F8"/>
    <w:rsid w:val="008E0B1A"/>
    <w:rsid w:val="008E5CB5"/>
    <w:rsid w:val="008E7B18"/>
    <w:rsid w:val="008F27A4"/>
    <w:rsid w:val="008F51A2"/>
    <w:rsid w:val="008F7EAB"/>
    <w:rsid w:val="00907808"/>
    <w:rsid w:val="00915396"/>
    <w:rsid w:val="00922CBA"/>
    <w:rsid w:val="00932C4D"/>
    <w:rsid w:val="0093574B"/>
    <w:rsid w:val="00941B52"/>
    <w:rsid w:val="00944C8F"/>
    <w:rsid w:val="009479F2"/>
    <w:rsid w:val="00947CDC"/>
    <w:rsid w:val="00951BC5"/>
    <w:rsid w:val="009632EB"/>
    <w:rsid w:val="00966967"/>
    <w:rsid w:val="00971E3D"/>
    <w:rsid w:val="00975F3C"/>
    <w:rsid w:val="00980F90"/>
    <w:rsid w:val="00984451"/>
    <w:rsid w:val="00984C6B"/>
    <w:rsid w:val="00985485"/>
    <w:rsid w:val="009952F2"/>
    <w:rsid w:val="0099567A"/>
    <w:rsid w:val="009A1400"/>
    <w:rsid w:val="009B20CE"/>
    <w:rsid w:val="009B2F13"/>
    <w:rsid w:val="009B6094"/>
    <w:rsid w:val="009C104B"/>
    <w:rsid w:val="009C197B"/>
    <w:rsid w:val="009D0493"/>
    <w:rsid w:val="009D0FC1"/>
    <w:rsid w:val="009E1BD1"/>
    <w:rsid w:val="009E1E5F"/>
    <w:rsid w:val="009F1B91"/>
    <w:rsid w:val="00A052D9"/>
    <w:rsid w:val="00A107C2"/>
    <w:rsid w:val="00A14E79"/>
    <w:rsid w:val="00A1549C"/>
    <w:rsid w:val="00A20789"/>
    <w:rsid w:val="00A27984"/>
    <w:rsid w:val="00A27A36"/>
    <w:rsid w:val="00A37232"/>
    <w:rsid w:val="00A71DB5"/>
    <w:rsid w:val="00A77D93"/>
    <w:rsid w:val="00A83BDA"/>
    <w:rsid w:val="00A85388"/>
    <w:rsid w:val="00A9558A"/>
    <w:rsid w:val="00A97A34"/>
    <w:rsid w:val="00AA1FA0"/>
    <w:rsid w:val="00AB6655"/>
    <w:rsid w:val="00AB6C29"/>
    <w:rsid w:val="00AB7379"/>
    <w:rsid w:val="00AC50EA"/>
    <w:rsid w:val="00AD00D9"/>
    <w:rsid w:val="00AD1167"/>
    <w:rsid w:val="00AD45E3"/>
    <w:rsid w:val="00AD5C00"/>
    <w:rsid w:val="00AD644F"/>
    <w:rsid w:val="00AF366C"/>
    <w:rsid w:val="00AF5B63"/>
    <w:rsid w:val="00B0043F"/>
    <w:rsid w:val="00B02271"/>
    <w:rsid w:val="00B03C40"/>
    <w:rsid w:val="00B079EE"/>
    <w:rsid w:val="00B13751"/>
    <w:rsid w:val="00B13AF4"/>
    <w:rsid w:val="00B264AF"/>
    <w:rsid w:val="00B2798A"/>
    <w:rsid w:val="00B34C16"/>
    <w:rsid w:val="00B4174A"/>
    <w:rsid w:val="00B41CCF"/>
    <w:rsid w:val="00B45379"/>
    <w:rsid w:val="00B53658"/>
    <w:rsid w:val="00B5509C"/>
    <w:rsid w:val="00B55157"/>
    <w:rsid w:val="00B6085C"/>
    <w:rsid w:val="00B668D8"/>
    <w:rsid w:val="00B71411"/>
    <w:rsid w:val="00B725F2"/>
    <w:rsid w:val="00B73F28"/>
    <w:rsid w:val="00B80FDC"/>
    <w:rsid w:val="00B81AFB"/>
    <w:rsid w:val="00B82621"/>
    <w:rsid w:val="00B84287"/>
    <w:rsid w:val="00B850C7"/>
    <w:rsid w:val="00B90777"/>
    <w:rsid w:val="00B94426"/>
    <w:rsid w:val="00B944DB"/>
    <w:rsid w:val="00BA5379"/>
    <w:rsid w:val="00BB1570"/>
    <w:rsid w:val="00BB227D"/>
    <w:rsid w:val="00BB5765"/>
    <w:rsid w:val="00BC14FB"/>
    <w:rsid w:val="00BC5FFE"/>
    <w:rsid w:val="00BC67D7"/>
    <w:rsid w:val="00BD0537"/>
    <w:rsid w:val="00BD2A78"/>
    <w:rsid w:val="00BD3109"/>
    <w:rsid w:val="00BD44DF"/>
    <w:rsid w:val="00BD5ACC"/>
    <w:rsid w:val="00BD6D4A"/>
    <w:rsid w:val="00BD6F36"/>
    <w:rsid w:val="00BE080E"/>
    <w:rsid w:val="00BE258A"/>
    <w:rsid w:val="00BF622F"/>
    <w:rsid w:val="00C04B3A"/>
    <w:rsid w:val="00C05062"/>
    <w:rsid w:val="00C1546B"/>
    <w:rsid w:val="00C21AE8"/>
    <w:rsid w:val="00C27138"/>
    <w:rsid w:val="00C27A50"/>
    <w:rsid w:val="00C33134"/>
    <w:rsid w:val="00C362BD"/>
    <w:rsid w:val="00C36C8A"/>
    <w:rsid w:val="00C41644"/>
    <w:rsid w:val="00C53DE5"/>
    <w:rsid w:val="00C5527C"/>
    <w:rsid w:val="00C57549"/>
    <w:rsid w:val="00C6330C"/>
    <w:rsid w:val="00C74A8D"/>
    <w:rsid w:val="00C8477A"/>
    <w:rsid w:val="00C84C50"/>
    <w:rsid w:val="00C9106A"/>
    <w:rsid w:val="00C94D0D"/>
    <w:rsid w:val="00C952E6"/>
    <w:rsid w:val="00C977A7"/>
    <w:rsid w:val="00CB0244"/>
    <w:rsid w:val="00CB0BC7"/>
    <w:rsid w:val="00CC0791"/>
    <w:rsid w:val="00CC0C36"/>
    <w:rsid w:val="00CC2D89"/>
    <w:rsid w:val="00CC6B3D"/>
    <w:rsid w:val="00CF2F71"/>
    <w:rsid w:val="00CF5651"/>
    <w:rsid w:val="00CF6265"/>
    <w:rsid w:val="00D03DBE"/>
    <w:rsid w:val="00D045B1"/>
    <w:rsid w:val="00D050A9"/>
    <w:rsid w:val="00D0778A"/>
    <w:rsid w:val="00D1209B"/>
    <w:rsid w:val="00D20729"/>
    <w:rsid w:val="00D21064"/>
    <w:rsid w:val="00D25CEB"/>
    <w:rsid w:val="00D31C60"/>
    <w:rsid w:val="00D33357"/>
    <w:rsid w:val="00D36699"/>
    <w:rsid w:val="00D36A13"/>
    <w:rsid w:val="00D56011"/>
    <w:rsid w:val="00D6375F"/>
    <w:rsid w:val="00D660A8"/>
    <w:rsid w:val="00D72A28"/>
    <w:rsid w:val="00D75749"/>
    <w:rsid w:val="00D8315A"/>
    <w:rsid w:val="00D837B1"/>
    <w:rsid w:val="00DB154E"/>
    <w:rsid w:val="00DB438A"/>
    <w:rsid w:val="00DB6F65"/>
    <w:rsid w:val="00DC1A0B"/>
    <w:rsid w:val="00DC46E1"/>
    <w:rsid w:val="00DC48F0"/>
    <w:rsid w:val="00DD4D68"/>
    <w:rsid w:val="00DE2C5B"/>
    <w:rsid w:val="00DF1BDF"/>
    <w:rsid w:val="00DF2BF8"/>
    <w:rsid w:val="00DF357B"/>
    <w:rsid w:val="00E05569"/>
    <w:rsid w:val="00E13929"/>
    <w:rsid w:val="00E27694"/>
    <w:rsid w:val="00E31941"/>
    <w:rsid w:val="00E32F34"/>
    <w:rsid w:val="00E43339"/>
    <w:rsid w:val="00E435F3"/>
    <w:rsid w:val="00E46EBD"/>
    <w:rsid w:val="00E470E4"/>
    <w:rsid w:val="00E474C1"/>
    <w:rsid w:val="00E50F59"/>
    <w:rsid w:val="00E54A3B"/>
    <w:rsid w:val="00E54A4B"/>
    <w:rsid w:val="00E64796"/>
    <w:rsid w:val="00E81675"/>
    <w:rsid w:val="00E83976"/>
    <w:rsid w:val="00E96928"/>
    <w:rsid w:val="00ED23F1"/>
    <w:rsid w:val="00ED2417"/>
    <w:rsid w:val="00ED695E"/>
    <w:rsid w:val="00ED7551"/>
    <w:rsid w:val="00EE0F9F"/>
    <w:rsid w:val="00EF46F7"/>
    <w:rsid w:val="00EF4857"/>
    <w:rsid w:val="00F131EE"/>
    <w:rsid w:val="00F14B59"/>
    <w:rsid w:val="00F173EE"/>
    <w:rsid w:val="00F174B6"/>
    <w:rsid w:val="00F33E77"/>
    <w:rsid w:val="00F53D6B"/>
    <w:rsid w:val="00F56B7E"/>
    <w:rsid w:val="00F5718F"/>
    <w:rsid w:val="00F62DB0"/>
    <w:rsid w:val="00F7365E"/>
    <w:rsid w:val="00F76642"/>
    <w:rsid w:val="00F86E39"/>
    <w:rsid w:val="00F90963"/>
    <w:rsid w:val="00F912C0"/>
    <w:rsid w:val="00F91B06"/>
    <w:rsid w:val="00FC0FF6"/>
    <w:rsid w:val="00FC4281"/>
    <w:rsid w:val="00FC75C5"/>
    <w:rsid w:val="00FD000B"/>
    <w:rsid w:val="00FD5066"/>
    <w:rsid w:val="00FD7299"/>
    <w:rsid w:val="00FD7B2E"/>
    <w:rsid w:val="00FF1C74"/>
    <w:rsid w:val="00FF4E52"/>
    <w:rsid w:val="00F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FCBD9D"/>
  <w15:chartTrackingRefBased/>
  <w15:docId w15:val="{B0F217BA-63FF-428A-87E8-8E38B503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3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335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840C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840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inline">
    <w:name w:val="math-inline"/>
    <w:basedOn w:val="DefaultParagraphFont"/>
    <w:rsid w:val="00AB6C29"/>
  </w:style>
  <w:style w:type="character" w:customStyle="1" w:styleId="citation-53">
    <w:name w:val="citation-53"/>
    <w:basedOn w:val="DefaultParagraphFont"/>
    <w:rsid w:val="00AB6C29"/>
  </w:style>
  <w:style w:type="character" w:customStyle="1" w:styleId="Heading3Char">
    <w:name w:val="Heading 3 Char"/>
    <w:basedOn w:val="DefaultParagraphFont"/>
    <w:link w:val="Heading3"/>
    <w:uiPriority w:val="9"/>
    <w:rsid w:val="005840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40C1"/>
    <w:rPr>
      <w:rFonts w:ascii="Times New Roman" w:eastAsia="Times New Roman" w:hAnsi="Times New Roman" w:cs="Times New Roman"/>
      <w:b/>
      <w:bCs/>
      <w:sz w:val="24"/>
      <w:szCs w:val="24"/>
    </w:rPr>
  </w:style>
  <w:style w:type="paragraph" w:styleId="NormalWeb">
    <w:name w:val="Normal (Web)"/>
    <w:basedOn w:val="Normal"/>
    <w:uiPriority w:val="99"/>
    <w:unhideWhenUsed/>
    <w:rsid w:val="005840C1"/>
    <w:pPr>
      <w:spacing w:before="100" w:beforeAutospacing="1" w:after="100" w:afterAutospacing="1"/>
    </w:pPr>
  </w:style>
  <w:style w:type="character" w:customStyle="1" w:styleId="citation-189">
    <w:name w:val="citation-189"/>
    <w:basedOn w:val="DefaultParagraphFont"/>
    <w:rsid w:val="00C53DE5"/>
  </w:style>
  <w:style w:type="character" w:customStyle="1" w:styleId="button-label">
    <w:name w:val="button-label"/>
    <w:basedOn w:val="DefaultParagraphFont"/>
    <w:rsid w:val="00C53DE5"/>
  </w:style>
  <w:style w:type="character" w:customStyle="1" w:styleId="citation-188">
    <w:name w:val="citation-188"/>
    <w:basedOn w:val="DefaultParagraphFont"/>
    <w:rsid w:val="00C53DE5"/>
  </w:style>
  <w:style w:type="character" w:customStyle="1" w:styleId="citation-187">
    <w:name w:val="citation-187"/>
    <w:basedOn w:val="DefaultParagraphFont"/>
    <w:rsid w:val="00C53DE5"/>
  </w:style>
  <w:style w:type="character" w:customStyle="1" w:styleId="citation-186">
    <w:name w:val="citation-186"/>
    <w:basedOn w:val="DefaultParagraphFont"/>
    <w:rsid w:val="00C53DE5"/>
  </w:style>
  <w:style w:type="character" w:customStyle="1" w:styleId="citation-185">
    <w:name w:val="citation-185"/>
    <w:basedOn w:val="DefaultParagraphFont"/>
    <w:rsid w:val="00C53DE5"/>
  </w:style>
  <w:style w:type="character" w:customStyle="1" w:styleId="citation-184">
    <w:name w:val="citation-184"/>
    <w:basedOn w:val="DefaultParagraphFont"/>
    <w:rsid w:val="00C53DE5"/>
  </w:style>
  <w:style w:type="character" w:customStyle="1" w:styleId="citation-183">
    <w:name w:val="citation-183"/>
    <w:basedOn w:val="DefaultParagraphFont"/>
    <w:rsid w:val="00C53DE5"/>
  </w:style>
  <w:style w:type="character" w:customStyle="1" w:styleId="citation-182">
    <w:name w:val="citation-182"/>
    <w:basedOn w:val="DefaultParagraphFont"/>
    <w:rsid w:val="00C53DE5"/>
  </w:style>
  <w:style w:type="character" w:customStyle="1" w:styleId="citation-181">
    <w:name w:val="citation-181"/>
    <w:basedOn w:val="DefaultParagraphFont"/>
    <w:rsid w:val="00C53DE5"/>
  </w:style>
  <w:style w:type="character" w:customStyle="1" w:styleId="citation-180">
    <w:name w:val="citation-180"/>
    <w:basedOn w:val="DefaultParagraphFont"/>
    <w:rsid w:val="00C53DE5"/>
  </w:style>
  <w:style w:type="character" w:customStyle="1" w:styleId="citation-179">
    <w:name w:val="citation-179"/>
    <w:basedOn w:val="DefaultParagraphFont"/>
    <w:rsid w:val="00C53DE5"/>
  </w:style>
  <w:style w:type="character" w:customStyle="1" w:styleId="citation-178">
    <w:name w:val="citation-178"/>
    <w:basedOn w:val="DefaultParagraphFont"/>
    <w:rsid w:val="00C53DE5"/>
  </w:style>
  <w:style w:type="character" w:customStyle="1" w:styleId="citation-177">
    <w:name w:val="citation-177"/>
    <w:basedOn w:val="DefaultParagraphFont"/>
    <w:rsid w:val="00C53DE5"/>
  </w:style>
  <w:style w:type="character" w:styleId="Strong">
    <w:name w:val="Strong"/>
    <w:basedOn w:val="DefaultParagraphFont"/>
    <w:uiPriority w:val="22"/>
    <w:qFormat/>
    <w:rsid w:val="00C53DE5"/>
    <w:rPr>
      <w:b/>
      <w:bCs/>
    </w:rPr>
  </w:style>
  <w:style w:type="character" w:customStyle="1" w:styleId="citation-176">
    <w:name w:val="citation-176"/>
    <w:basedOn w:val="DefaultParagraphFont"/>
    <w:rsid w:val="00C53DE5"/>
  </w:style>
  <w:style w:type="character" w:customStyle="1" w:styleId="citation-175">
    <w:name w:val="citation-175"/>
    <w:basedOn w:val="DefaultParagraphFont"/>
    <w:rsid w:val="00C53DE5"/>
  </w:style>
  <w:style w:type="character" w:customStyle="1" w:styleId="citation-174">
    <w:name w:val="citation-174"/>
    <w:basedOn w:val="DefaultParagraphFont"/>
    <w:rsid w:val="00C53DE5"/>
  </w:style>
  <w:style w:type="character" w:customStyle="1" w:styleId="citation-173">
    <w:name w:val="citation-173"/>
    <w:basedOn w:val="DefaultParagraphFont"/>
    <w:rsid w:val="00C53DE5"/>
  </w:style>
  <w:style w:type="character" w:customStyle="1" w:styleId="citation-172">
    <w:name w:val="citation-172"/>
    <w:basedOn w:val="DefaultParagraphFont"/>
    <w:rsid w:val="00C53DE5"/>
  </w:style>
  <w:style w:type="character" w:customStyle="1" w:styleId="citation-171">
    <w:name w:val="citation-171"/>
    <w:basedOn w:val="DefaultParagraphFont"/>
    <w:rsid w:val="00C53DE5"/>
  </w:style>
  <w:style w:type="character" w:customStyle="1" w:styleId="citation-170">
    <w:name w:val="citation-170"/>
    <w:basedOn w:val="DefaultParagraphFont"/>
    <w:rsid w:val="00C53DE5"/>
  </w:style>
  <w:style w:type="character" w:customStyle="1" w:styleId="citation-169">
    <w:name w:val="citation-169"/>
    <w:basedOn w:val="DefaultParagraphFont"/>
    <w:rsid w:val="00C53DE5"/>
  </w:style>
  <w:style w:type="character" w:customStyle="1" w:styleId="citation-168">
    <w:name w:val="citation-168"/>
    <w:basedOn w:val="DefaultParagraphFont"/>
    <w:rsid w:val="00C53DE5"/>
  </w:style>
  <w:style w:type="character" w:customStyle="1" w:styleId="citation-167">
    <w:name w:val="citation-167"/>
    <w:basedOn w:val="DefaultParagraphFont"/>
    <w:rsid w:val="00C53DE5"/>
  </w:style>
  <w:style w:type="character" w:customStyle="1" w:styleId="citation-166">
    <w:name w:val="citation-166"/>
    <w:basedOn w:val="DefaultParagraphFont"/>
    <w:rsid w:val="00C53DE5"/>
  </w:style>
  <w:style w:type="character" w:customStyle="1" w:styleId="citation-165">
    <w:name w:val="citation-165"/>
    <w:basedOn w:val="DefaultParagraphFont"/>
    <w:rsid w:val="00C53DE5"/>
  </w:style>
  <w:style w:type="character" w:customStyle="1" w:styleId="citation-164">
    <w:name w:val="citation-164"/>
    <w:basedOn w:val="DefaultParagraphFont"/>
    <w:rsid w:val="00C53DE5"/>
  </w:style>
  <w:style w:type="character" w:customStyle="1" w:styleId="citation-480">
    <w:name w:val="citation-480"/>
    <w:basedOn w:val="DefaultParagraphFont"/>
    <w:rsid w:val="00854D1F"/>
  </w:style>
  <w:style w:type="character" w:customStyle="1" w:styleId="mord">
    <w:name w:val="mord"/>
    <w:basedOn w:val="DefaultParagraphFont"/>
    <w:rsid w:val="00854D1F"/>
  </w:style>
  <w:style w:type="character" w:customStyle="1" w:styleId="vlist-s">
    <w:name w:val="vlist-s"/>
    <w:basedOn w:val="DefaultParagraphFont"/>
    <w:rsid w:val="00854D1F"/>
  </w:style>
  <w:style w:type="character" w:customStyle="1" w:styleId="citation-479">
    <w:name w:val="citation-479"/>
    <w:basedOn w:val="DefaultParagraphFont"/>
    <w:rsid w:val="00854D1F"/>
  </w:style>
  <w:style w:type="character" w:customStyle="1" w:styleId="mrel">
    <w:name w:val="mrel"/>
    <w:basedOn w:val="DefaultParagraphFont"/>
    <w:rsid w:val="00854D1F"/>
  </w:style>
  <w:style w:type="character" w:customStyle="1" w:styleId="mbin">
    <w:name w:val="mbin"/>
    <w:basedOn w:val="DefaultParagraphFont"/>
    <w:rsid w:val="00854D1F"/>
  </w:style>
  <w:style w:type="character" w:customStyle="1" w:styleId="citation-97">
    <w:name w:val="citation-97"/>
    <w:basedOn w:val="DefaultParagraphFont"/>
    <w:rsid w:val="00BD5ACC"/>
  </w:style>
  <w:style w:type="character" w:customStyle="1" w:styleId="citation-96">
    <w:name w:val="citation-96"/>
    <w:basedOn w:val="DefaultParagraphFont"/>
    <w:rsid w:val="00BD5ACC"/>
  </w:style>
  <w:style w:type="character" w:customStyle="1" w:styleId="citation-95">
    <w:name w:val="citation-95"/>
    <w:basedOn w:val="DefaultParagraphFont"/>
    <w:rsid w:val="00BD5ACC"/>
  </w:style>
  <w:style w:type="character" w:customStyle="1" w:styleId="citation-94">
    <w:name w:val="citation-94"/>
    <w:basedOn w:val="DefaultParagraphFont"/>
    <w:rsid w:val="00BD5ACC"/>
  </w:style>
  <w:style w:type="character" w:customStyle="1" w:styleId="Heading2Char">
    <w:name w:val="Heading 2 Char"/>
    <w:basedOn w:val="DefaultParagraphFont"/>
    <w:link w:val="Heading2"/>
    <w:uiPriority w:val="9"/>
    <w:rsid w:val="001335BA"/>
    <w:rPr>
      <w:rFonts w:asciiTheme="majorHAnsi" w:eastAsiaTheme="majorEastAsia" w:hAnsiTheme="majorHAnsi" w:cstheme="majorBidi"/>
      <w:color w:val="2F5496" w:themeColor="accent1" w:themeShade="BF"/>
      <w:sz w:val="26"/>
      <w:szCs w:val="26"/>
    </w:rPr>
  </w:style>
  <w:style w:type="paragraph" w:customStyle="1" w:styleId="query-text-line">
    <w:name w:val="query-text-line"/>
    <w:basedOn w:val="Normal"/>
    <w:rsid w:val="001335BA"/>
    <w:pPr>
      <w:spacing w:before="100" w:beforeAutospacing="1" w:after="100" w:afterAutospacing="1"/>
    </w:pPr>
  </w:style>
  <w:style w:type="character" w:customStyle="1" w:styleId="ng-tns-c3760997184-297">
    <w:name w:val="ng-tns-c3760997184-297"/>
    <w:basedOn w:val="DefaultParagraphFont"/>
    <w:rsid w:val="001335BA"/>
  </w:style>
  <w:style w:type="character" w:customStyle="1" w:styleId="citation-575">
    <w:name w:val="citation-575"/>
    <w:basedOn w:val="DefaultParagraphFont"/>
    <w:rsid w:val="00335B4C"/>
  </w:style>
  <w:style w:type="character" w:customStyle="1" w:styleId="citation-574">
    <w:name w:val="citation-574"/>
    <w:basedOn w:val="DefaultParagraphFont"/>
    <w:rsid w:val="00335B4C"/>
  </w:style>
  <w:style w:type="character" w:customStyle="1" w:styleId="citation-573">
    <w:name w:val="citation-573"/>
    <w:basedOn w:val="DefaultParagraphFont"/>
    <w:rsid w:val="00335B4C"/>
  </w:style>
  <w:style w:type="character" w:customStyle="1" w:styleId="citation-572">
    <w:name w:val="citation-572"/>
    <w:basedOn w:val="DefaultParagraphFont"/>
    <w:rsid w:val="00335B4C"/>
  </w:style>
  <w:style w:type="character" w:customStyle="1" w:styleId="citation-571">
    <w:name w:val="citation-571"/>
    <w:basedOn w:val="DefaultParagraphFont"/>
    <w:rsid w:val="00335B4C"/>
  </w:style>
  <w:style w:type="character" w:customStyle="1" w:styleId="citation-570">
    <w:name w:val="citation-570"/>
    <w:basedOn w:val="DefaultParagraphFont"/>
    <w:rsid w:val="00335B4C"/>
  </w:style>
  <w:style w:type="character" w:customStyle="1" w:styleId="citation-569">
    <w:name w:val="citation-569"/>
    <w:basedOn w:val="DefaultParagraphFont"/>
    <w:rsid w:val="00335B4C"/>
  </w:style>
  <w:style w:type="character" w:customStyle="1" w:styleId="citation-568">
    <w:name w:val="citation-568"/>
    <w:basedOn w:val="DefaultParagraphFont"/>
    <w:rsid w:val="00335B4C"/>
  </w:style>
  <w:style w:type="character" w:customStyle="1" w:styleId="citation-567">
    <w:name w:val="citation-567"/>
    <w:basedOn w:val="DefaultParagraphFont"/>
    <w:rsid w:val="00335B4C"/>
  </w:style>
  <w:style w:type="character" w:customStyle="1" w:styleId="citation-566">
    <w:name w:val="citation-566"/>
    <w:basedOn w:val="DefaultParagraphFont"/>
    <w:rsid w:val="00335B4C"/>
  </w:style>
  <w:style w:type="character" w:customStyle="1" w:styleId="citation-565">
    <w:name w:val="citation-565"/>
    <w:basedOn w:val="DefaultParagraphFont"/>
    <w:rsid w:val="00335B4C"/>
  </w:style>
  <w:style w:type="character" w:customStyle="1" w:styleId="citation-564">
    <w:name w:val="citation-564"/>
    <w:basedOn w:val="DefaultParagraphFont"/>
    <w:rsid w:val="00335B4C"/>
  </w:style>
  <w:style w:type="character" w:customStyle="1" w:styleId="citation-563">
    <w:name w:val="citation-563"/>
    <w:basedOn w:val="DefaultParagraphFont"/>
    <w:rsid w:val="00335B4C"/>
  </w:style>
  <w:style w:type="character" w:customStyle="1" w:styleId="citation-562">
    <w:name w:val="citation-562"/>
    <w:basedOn w:val="DefaultParagraphFont"/>
    <w:rsid w:val="00335B4C"/>
  </w:style>
  <w:style w:type="character" w:customStyle="1" w:styleId="citation-561">
    <w:name w:val="citation-561"/>
    <w:basedOn w:val="DefaultParagraphFont"/>
    <w:rsid w:val="00335B4C"/>
  </w:style>
  <w:style w:type="character" w:customStyle="1" w:styleId="citation-560">
    <w:name w:val="citation-560"/>
    <w:basedOn w:val="DefaultParagraphFont"/>
    <w:rsid w:val="00335B4C"/>
  </w:style>
  <w:style w:type="character" w:customStyle="1" w:styleId="citation-559">
    <w:name w:val="citation-559"/>
    <w:basedOn w:val="DefaultParagraphFont"/>
    <w:rsid w:val="00335B4C"/>
  </w:style>
  <w:style w:type="character" w:customStyle="1" w:styleId="citation-558">
    <w:name w:val="citation-558"/>
    <w:basedOn w:val="DefaultParagraphFont"/>
    <w:rsid w:val="00335B4C"/>
  </w:style>
  <w:style w:type="character" w:customStyle="1" w:styleId="citation-557">
    <w:name w:val="citation-557"/>
    <w:basedOn w:val="DefaultParagraphFont"/>
    <w:rsid w:val="00335B4C"/>
  </w:style>
  <w:style w:type="character" w:customStyle="1" w:styleId="citation-556">
    <w:name w:val="citation-556"/>
    <w:basedOn w:val="DefaultParagraphFont"/>
    <w:rsid w:val="00335B4C"/>
  </w:style>
  <w:style w:type="character" w:customStyle="1" w:styleId="citation-555">
    <w:name w:val="citation-555"/>
    <w:basedOn w:val="DefaultParagraphFont"/>
    <w:rsid w:val="00335B4C"/>
  </w:style>
  <w:style w:type="character" w:customStyle="1" w:styleId="citation-554">
    <w:name w:val="citation-554"/>
    <w:basedOn w:val="DefaultParagraphFont"/>
    <w:rsid w:val="00335B4C"/>
  </w:style>
  <w:style w:type="character" w:customStyle="1" w:styleId="citation-664">
    <w:name w:val="citation-664"/>
    <w:basedOn w:val="DefaultParagraphFont"/>
    <w:rsid w:val="001544E7"/>
  </w:style>
  <w:style w:type="character" w:customStyle="1" w:styleId="citation-663">
    <w:name w:val="citation-663"/>
    <w:basedOn w:val="DefaultParagraphFont"/>
    <w:rsid w:val="001544E7"/>
  </w:style>
  <w:style w:type="character" w:customStyle="1" w:styleId="citation-662">
    <w:name w:val="citation-662"/>
    <w:basedOn w:val="DefaultParagraphFont"/>
    <w:rsid w:val="001544E7"/>
  </w:style>
  <w:style w:type="character" w:customStyle="1" w:styleId="citation-661">
    <w:name w:val="citation-661"/>
    <w:basedOn w:val="DefaultParagraphFont"/>
    <w:rsid w:val="001544E7"/>
  </w:style>
  <w:style w:type="character" w:customStyle="1" w:styleId="citation-660">
    <w:name w:val="citation-660"/>
    <w:basedOn w:val="DefaultParagraphFont"/>
    <w:rsid w:val="001544E7"/>
  </w:style>
  <w:style w:type="character" w:customStyle="1" w:styleId="citation-659">
    <w:name w:val="citation-659"/>
    <w:basedOn w:val="DefaultParagraphFont"/>
    <w:rsid w:val="001544E7"/>
  </w:style>
  <w:style w:type="table" w:styleId="TableGrid">
    <w:name w:val="Table Grid"/>
    <w:basedOn w:val="TableNormal"/>
    <w:uiPriority w:val="39"/>
    <w:rsid w:val="0026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281"/>
    <w:rPr>
      <w:color w:val="0563C1" w:themeColor="hyperlink"/>
      <w:u w:val="single"/>
    </w:rPr>
  </w:style>
  <w:style w:type="character" w:styleId="UnresolvedMention">
    <w:name w:val="Unresolved Mention"/>
    <w:basedOn w:val="DefaultParagraphFont"/>
    <w:uiPriority w:val="99"/>
    <w:semiHidden/>
    <w:unhideWhenUsed/>
    <w:rsid w:val="00FC4281"/>
    <w:rPr>
      <w:color w:val="605E5C"/>
      <w:shd w:val="clear" w:color="auto" w:fill="E1DFDD"/>
    </w:rPr>
  </w:style>
  <w:style w:type="character" w:styleId="Emphasis">
    <w:name w:val="Emphasis"/>
    <w:basedOn w:val="DefaultParagraphFont"/>
    <w:uiPriority w:val="20"/>
    <w:qFormat/>
    <w:rsid w:val="00223B5A"/>
    <w:rPr>
      <w:i/>
      <w:iCs/>
    </w:rPr>
  </w:style>
  <w:style w:type="paragraph" w:styleId="ListParagraph">
    <w:name w:val="List Paragraph"/>
    <w:basedOn w:val="Normal"/>
    <w:uiPriority w:val="34"/>
    <w:qFormat/>
    <w:rsid w:val="00984C6B"/>
    <w:pPr>
      <w:ind w:left="720"/>
      <w:contextualSpacing/>
    </w:pPr>
  </w:style>
  <w:style w:type="paragraph" w:styleId="Header">
    <w:name w:val="header"/>
    <w:basedOn w:val="Normal"/>
    <w:link w:val="HeaderChar"/>
    <w:uiPriority w:val="99"/>
    <w:unhideWhenUsed/>
    <w:rsid w:val="007C4B73"/>
    <w:pPr>
      <w:tabs>
        <w:tab w:val="center" w:pos="4680"/>
        <w:tab w:val="right" w:pos="9360"/>
      </w:tabs>
    </w:pPr>
  </w:style>
  <w:style w:type="character" w:customStyle="1" w:styleId="HeaderChar">
    <w:name w:val="Header Char"/>
    <w:basedOn w:val="DefaultParagraphFont"/>
    <w:link w:val="Header"/>
    <w:uiPriority w:val="99"/>
    <w:rsid w:val="007C4B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4B73"/>
    <w:pPr>
      <w:tabs>
        <w:tab w:val="center" w:pos="4680"/>
        <w:tab w:val="right" w:pos="9360"/>
      </w:tabs>
    </w:pPr>
  </w:style>
  <w:style w:type="character" w:customStyle="1" w:styleId="FooterChar">
    <w:name w:val="Footer Char"/>
    <w:basedOn w:val="DefaultParagraphFont"/>
    <w:link w:val="Footer"/>
    <w:uiPriority w:val="99"/>
    <w:rsid w:val="007C4B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3683">
      <w:bodyDiv w:val="1"/>
      <w:marLeft w:val="0"/>
      <w:marRight w:val="0"/>
      <w:marTop w:val="0"/>
      <w:marBottom w:val="0"/>
      <w:divBdr>
        <w:top w:val="none" w:sz="0" w:space="0" w:color="auto"/>
        <w:left w:val="none" w:sz="0" w:space="0" w:color="auto"/>
        <w:bottom w:val="none" w:sz="0" w:space="0" w:color="auto"/>
        <w:right w:val="none" w:sz="0" w:space="0" w:color="auto"/>
      </w:divBdr>
      <w:divsChild>
        <w:div w:id="182788316">
          <w:marLeft w:val="0"/>
          <w:marRight w:val="0"/>
          <w:marTop w:val="0"/>
          <w:marBottom w:val="0"/>
          <w:divBdr>
            <w:top w:val="none" w:sz="0" w:space="0" w:color="auto"/>
            <w:left w:val="none" w:sz="0" w:space="0" w:color="auto"/>
            <w:bottom w:val="none" w:sz="0" w:space="0" w:color="auto"/>
            <w:right w:val="none" w:sz="0" w:space="0" w:color="auto"/>
          </w:divBdr>
          <w:divsChild>
            <w:div w:id="936907441">
              <w:marLeft w:val="0"/>
              <w:marRight w:val="0"/>
              <w:marTop w:val="0"/>
              <w:marBottom w:val="0"/>
              <w:divBdr>
                <w:top w:val="none" w:sz="0" w:space="0" w:color="auto"/>
                <w:left w:val="none" w:sz="0" w:space="0" w:color="auto"/>
                <w:bottom w:val="none" w:sz="0" w:space="0" w:color="auto"/>
                <w:right w:val="none" w:sz="0" w:space="0" w:color="auto"/>
              </w:divBdr>
              <w:divsChild>
                <w:div w:id="1775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3023">
          <w:marLeft w:val="0"/>
          <w:marRight w:val="0"/>
          <w:marTop w:val="0"/>
          <w:marBottom w:val="0"/>
          <w:divBdr>
            <w:top w:val="none" w:sz="0" w:space="0" w:color="auto"/>
            <w:left w:val="none" w:sz="0" w:space="0" w:color="auto"/>
            <w:bottom w:val="none" w:sz="0" w:space="0" w:color="auto"/>
            <w:right w:val="none" w:sz="0" w:space="0" w:color="auto"/>
          </w:divBdr>
          <w:divsChild>
            <w:div w:id="621696041">
              <w:marLeft w:val="0"/>
              <w:marRight w:val="0"/>
              <w:marTop w:val="0"/>
              <w:marBottom w:val="0"/>
              <w:divBdr>
                <w:top w:val="none" w:sz="0" w:space="0" w:color="auto"/>
                <w:left w:val="none" w:sz="0" w:space="0" w:color="auto"/>
                <w:bottom w:val="none" w:sz="0" w:space="0" w:color="auto"/>
                <w:right w:val="none" w:sz="0" w:space="0" w:color="auto"/>
              </w:divBdr>
              <w:divsChild>
                <w:div w:id="1981417580">
                  <w:marLeft w:val="0"/>
                  <w:marRight w:val="0"/>
                  <w:marTop w:val="0"/>
                  <w:marBottom w:val="0"/>
                  <w:divBdr>
                    <w:top w:val="none" w:sz="0" w:space="0" w:color="auto"/>
                    <w:left w:val="none" w:sz="0" w:space="0" w:color="auto"/>
                    <w:bottom w:val="none" w:sz="0" w:space="0" w:color="auto"/>
                    <w:right w:val="none" w:sz="0" w:space="0" w:color="auto"/>
                  </w:divBdr>
                  <w:divsChild>
                    <w:div w:id="1930775894">
                      <w:marLeft w:val="0"/>
                      <w:marRight w:val="0"/>
                      <w:marTop w:val="0"/>
                      <w:marBottom w:val="0"/>
                      <w:divBdr>
                        <w:top w:val="none" w:sz="0" w:space="0" w:color="auto"/>
                        <w:left w:val="none" w:sz="0" w:space="0" w:color="auto"/>
                        <w:bottom w:val="none" w:sz="0" w:space="0" w:color="auto"/>
                        <w:right w:val="none" w:sz="0" w:space="0" w:color="auto"/>
                      </w:divBdr>
                      <w:divsChild>
                        <w:div w:id="2056587064">
                          <w:marLeft w:val="0"/>
                          <w:marRight w:val="0"/>
                          <w:marTop w:val="0"/>
                          <w:marBottom w:val="0"/>
                          <w:divBdr>
                            <w:top w:val="none" w:sz="0" w:space="0" w:color="auto"/>
                            <w:left w:val="none" w:sz="0" w:space="0" w:color="auto"/>
                            <w:bottom w:val="none" w:sz="0" w:space="0" w:color="auto"/>
                            <w:right w:val="none" w:sz="0" w:space="0" w:color="auto"/>
                          </w:divBdr>
                          <w:divsChild>
                            <w:div w:id="566690956">
                              <w:marLeft w:val="0"/>
                              <w:marRight w:val="0"/>
                              <w:marTop w:val="0"/>
                              <w:marBottom w:val="0"/>
                              <w:divBdr>
                                <w:top w:val="none" w:sz="0" w:space="0" w:color="auto"/>
                                <w:left w:val="none" w:sz="0" w:space="0" w:color="auto"/>
                                <w:bottom w:val="none" w:sz="0" w:space="0" w:color="auto"/>
                                <w:right w:val="none" w:sz="0" w:space="0" w:color="auto"/>
                              </w:divBdr>
                              <w:divsChild>
                                <w:div w:id="1245603698">
                                  <w:marLeft w:val="0"/>
                                  <w:marRight w:val="0"/>
                                  <w:marTop w:val="0"/>
                                  <w:marBottom w:val="0"/>
                                  <w:divBdr>
                                    <w:top w:val="none" w:sz="0" w:space="0" w:color="auto"/>
                                    <w:left w:val="none" w:sz="0" w:space="0" w:color="auto"/>
                                    <w:bottom w:val="none" w:sz="0" w:space="0" w:color="auto"/>
                                    <w:right w:val="none" w:sz="0" w:space="0" w:color="auto"/>
                                  </w:divBdr>
                                </w:div>
                              </w:divsChild>
                            </w:div>
                            <w:div w:id="1786650635">
                              <w:marLeft w:val="0"/>
                              <w:marRight w:val="0"/>
                              <w:marTop w:val="0"/>
                              <w:marBottom w:val="0"/>
                              <w:divBdr>
                                <w:top w:val="none" w:sz="0" w:space="0" w:color="auto"/>
                                <w:left w:val="none" w:sz="0" w:space="0" w:color="auto"/>
                                <w:bottom w:val="none" w:sz="0" w:space="0" w:color="auto"/>
                                <w:right w:val="none" w:sz="0" w:space="0" w:color="auto"/>
                              </w:divBdr>
                              <w:divsChild>
                                <w:div w:id="872349795">
                                  <w:marLeft w:val="0"/>
                                  <w:marRight w:val="0"/>
                                  <w:marTop w:val="0"/>
                                  <w:marBottom w:val="0"/>
                                  <w:divBdr>
                                    <w:top w:val="none" w:sz="0" w:space="0" w:color="auto"/>
                                    <w:left w:val="none" w:sz="0" w:space="0" w:color="auto"/>
                                    <w:bottom w:val="none" w:sz="0" w:space="0" w:color="auto"/>
                                    <w:right w:val="none" w:sz="0" w:space="0" w:color="auto"/>
                                  </w:divBdr>
                                  <w:divsChild>
                                    <w:div w:id="1421760393">
                                      <w:marLeft w:val="0"/>
                                      <w:marRight w:val="0"/>
                                      <w:marTop w:val="0"/>
                                      <w:marBottom w:val="0"/>
                                      <w:divBdr>
                                        <w:top w:val="none" w:sz="0" w:space="0" w:color="auto"/>
                                        <w:left w:val="none" w:sz="0" w:space="0" w:color="auto"/>
                                        <w:bottom w:val="none" w:sz="0" w:space="0" w:color="auto"/>
                                        <w:right w:val="none" w:sz="0" w:space="0" w:color="auto"/>
                                      </w:divBdr>
                                      <w:divsChild>
                                        <w:div w:id="995571111">
                                          <w:marLeft w:val="0"/>
                                          <w:marRight w:val="0"/>
                                          <w:marTop w:val="0"/>
                                          <w:marBottom w:val="0"/>
                                          <w:divBdr>
                                            <w:top w:val="none" w:sz="0" w:space="0" w:color="auto"/>
                                            <w:left w:val="none" w:sz="0" w:space="0" w:color="auto"/>
                                            <w:bottom w:val="none" w:sz="0" w:space="0" w:color="auto"/>
                                            <w:right w:val="none" w:sz="0" w:space="0" w:color="auto"/>
                                          </w:divBdr>
                                          <w:divsChild>
                                            <w:div w:id="661809735">
                                              <w:marLeft w:val="0"/>
                                              <w:marRight w:val="0"/>
                                              <w:marTop w:val="0"/>
                                              <w:marBottom w:val="0"/>
                                              <w:divBdr>
                                                <w:top w:val="none" w:sz="0" w:space="0" w:color="auto"/>
                                                <w:left w:val="none" w:sz="0" w:space="0" w:color="auto"/>
                                                <w:bottom w:val="none" w:sz="0" w:space="0" w:color="auto"/>
                                                <w:right w:val="none" w:sz="0" w:space="0" w:color="auto"/>
                                              </w:divBdr>
                                              <w:divsChild>
                                                <w:div w:id="5330531">
                                                  <w:marLeft w:val="0"/>
                                                  <w:marRight w:val="0"/>
                                                  <w:marTop w:val="0"/>
                                                  <w:marBottom w:val="0"/>
                                                  <w:divBdr>
                                                    <w:top w:val="none" w:sz="0" w:space="0" w:color="auto"/>
                                                    <w:left w:val="none" w:sz="0" w:space="0" w:color="auto"/>
                                                    <w:bottom w:val="none" w:sz="0" w:space="0" w:color="auto"/>
                                                    <w:right w:val="none" w:sz="0" w:space="0" w:color="auto"/>
                                                  </w:divBdr>
                                                  <w:divsChild>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64488">
      <w:bodyDiv w:val="1"/>
      <w:marLeft w:val="0"/>
      <w:marRight w:val="0"/>
      <w:marTop w:val="0"/>
      <w:marBottom w:val="0"/>
      <w:divBdr>
        <w:top w:val="none" w:sz="0" w:space="0" w:color="auto"/>
        <w:left w:val="none" w:sz="0" w:space="0" w:color="auto"/>
        <w:bottom w:val="none" w:sz="0" w:space="0" w:color="auto"/>
        <w:right w:val="none" w:sz="0" w:space="0" w:color="auto"/>
      </w:divBdr>
    </w:div>
    <w:div w:id="168644729">
      <w:bodyDiv w:val="1"/>
      <w:marLeft w:val="0"/>
      <w:marRight w:val="0"/>
      <w:marTop w:val="0"/>
      <w:marBottom w:val="0"/>
      <w:divBdr>
        <w:top w:val="none" w:sz="0" w:space="0" w:color="auto"/>
        <w:left w:val="none" w:sz="0" w:space="0" w:color="auto"/>
        <w:bottom w:val="none" w:sz="0" w:space="0" w:color="auto"/>
        <w:right w:val="none" w:sz="0" w:space="0" w:color="auto"/>
      </w:divBdr>
    </w:div>
    <w:div w:id="178929811">
      <w:bodyDiv w:val="1"/>
      <w:marLeft w:val="0"/>
      <w:marRight w:val="0"/>
      <w:marTop w:val="0"/>
      <w:marBottom w:val="0"/>
      <w:divBdr>
        <w:top w:val="none" w:sz="0" w:space="0" w:color="auto"/>
        <w:left w:val="none" w:sz="0" w:space="0" w:color="auto"/>
        <w:bottom w:val="none" w:sz="0" w:space="0" w:color="auto"/>
        <w:right w:val="none" w:sz="0" w:space="0" w:color="auto"/>
      </w:divBdr>
    </w:div>
    <w:div w:id="372968657">
      <w:bodyDiv w:val="1"/>
      <w:marLeft w:val="0"/>
      <w:marRight w:val="0"/>
      <w:marTop w:val="0"/>
      <w:marBottom w:val="0"/>
      <w:divBdr>
        <w:top w:val="none" w:sz="0" w:space="0" w:color="auto"/>
        <w:left w:val="none" w:sz="0" w:space="0" w:color="auto"/>
        <w:bottom w:val="none" w:sz="0" w:space="0" w:color="auto"/>
        <w:right w:val="none" w:sz="0" w:space="0" w:color="auto"/>
      </w:divBdr>
      <w:divsChild>
        <w:div w:id="1499229292">
          <w:marLeft w:val="0"/>
          <w:marRight w:val="0"/>
          <w:marTop w:val="0"/>
          <w:marBottom w:val="0"/>
          <w:divBdr>
            <w:top w:val="none" w:sz="0" w:space="0" w:color="auto"/>
            <w:left w:val="none" w:sz="0" w:space="0" w:color="auto"/>
            <w:bottom w:val="none" w:sz="0" w:space="0" w:color="auto"/>
            <w:right w:val="none" w:sz="0" w:space="0" w:color="auto"/>
          </w:divBdr>
          <w:divsChild>
            <w:div w:id="5716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4519">
      <w:bodyDiv w:val="1"/>
      <w:marLeft w:val="0"/>
      <w:marRight w:val="0"/>
      <w:marTop w:val="0"/>
      <w:marBottom w:val="0"/>
      <w:divBdr>
        <w:top w:val="none" w:sz="0" w:space="0" w:color="auto"/>
        <w:left w:val="none" w:sz="0" w:space="0" w:color="auto"/>
        <w:bottom w:val="none" w:sz="0" w:space="0" w:color="auto"/>
        <w:right w:val="none" w:sz="0" w:space="0" w:color="auto"/>
      </w:divBdr>
    </w:div>
    <w:div w:id="439108307">
      <w:bodyDiv w:val="1"/>
      <w:marLeft w:val="0"/>
      <w:marRight w:val="0"/>
      <w:marTop w:val="0"/>
      <w:marBottom w:val="0"/>
      <w:divBdr>
        <w:top w:val="none" w:sz="0" w:space="0" w:color="auto"/>
        <w:left w:val="none" w:sz="0" w:space="0" w:color="auto"/>
        <w:bottom w:val="none" w:sz="0" w:space="0" w:color="auto"/>
        <w:right w:val="none" w:sz="0" w:space="0" w:color="auto"/>
      </w:divBdr>
    </w:div>
    <w:div w:id="729771115">
      <w:bodyDiv w:val="1"/>
      <w:marLeft w:val="0"/>
      <w:marRight w:val="0"/>
      <w:marTop w:val="0"/>
      <w:marBottom w:val="0"/>
      <w:divBdr>
        <w:top w:val="none" w:sz="0" w:space="0" w:color="auto"/>
        <w:left w:val="none" w:sz="0" w:space="0" w:color="auto"/>
        <w:bottom w:val="none" w:sz="0" w:space="0" w:color="auto"/>
        <w:right w:val="none" w:sz="0" w:space="0" w:color="auto"/>
      </w:divBdr>
    </w:div>
    <w:div w:id="742214186">
      <w:bodyDiv w:val="1"/>
      <w:marLeft w:val="0"/>
      <w:marRight w:val="0"/>
      <w:marTop w:val="0"/>
      <w:marBottom w:val="0"/>
      <w:divBdr>
        <w:top w:val="none" w:sz="0" w:space="0" w:color="auto"/>
        <w:left w:val="none" w:sz="0" w:space="0" w:color="auto"/>
        <w:bottom w:val="none" w:sz="0" w:space="0" w:color="auto"/>
        <w:right w:val="none" w:sz="0" w:space="0" w:color="auto"/>
      </w:divBdr>
    </w:div>
    <w:div w:id="766578449">
      <w:bodyDiv w:val="1"/>
      <w:marLeft w:val="0"/>
      <w:marRight w:val="0"/>
      <w:marTop w:val="0"/>
      <w:marBottom w:val="0"/>
      <w:divBdr>
        <w:top w:val="none" w:sz="0" w:space="0" w:color="auto"/>
        <w:left w:val="none" w:sz="0" w:space="0" w:color="auto"/>
        <w:bottom w:val="none" w:sz="0" w:space="0" w:color="auto"/>
        <w:right w:val="none" w:sz="0" w:space="0" w:color="auto"/>
      </w:divBdr>
    </w:div>
    <w:div w:id="821698806">
      <w:bodyDiv w:val="1"/>
      <w:marLeft w:val="0"/>
      <w:marRight w:val="0"/>
      <w:marTop w:val="0"/>
      <w:marBottom w:val="0"/>
      <w:divBdr>
        <w:top w:val="none" w:sz="0" w:space="0" w:color="auto"/>
        <w:left w:val="none" w:sz="0" w:space="0" w:color="auto"/>
        <w:bottom w:val="none" w:sz="0" w:space="0" w:color="auto"/>
        <w:right w:val="none" w:sz="0" w:space="0" w:color="auto"/>
      </w:divBdr>
      <w:divsChild>
        <w:div w:id="1118139715">
          <w:marLeft w:val="0"/>
          <w:marRight w:val="0"/>
          <w:marTop w:val="0"/>
          <w:marBottom w:val="0"/>
          <w:divBdr>
            <w:top w:val="none" w:sz="0" w:space="0" w:color="auto"/>
            <w:left w:val="none" w:sz="0" w:space="0" w:color="auto"/>
            <w:bottom w:val="none" w:sz="0" w:space="0" w:color="auto"/>
            <w:right w:val="none" w:sz="0" w:space="0" w:color="auto"/>
          </w:divBdr>
        </w:div>
        <w:div w:id="1344550744">
          <w:marLeft w:val="0"/>
          <w:marRight w:val="0"/>
          <w:marTop w:val="0"/>
          <w:marBottom w:val="0"/>
          <w:divBdr>
            <w:top w:val="none" w:sz="0" w:space="0" w:color="auto"/>
            <w:left w:val="none" w:sz="0" w:space="0" w:color="auto"/>
            <w:bottom w:val="none" w:sz="0" w:space="0" w:color="auto"/>
            <w:right w:val="none" w:sz="0" w:space="0" w:color="auto"/>
          </w:divBdr>
        </w:div>
        <w:div w:id="1405184937">
          <w:marLeft w:val="0"/>
          <w:marRight w:val="0"/>
          <w:marTop w:val="0"/>
          <w:marBottom w:val="0"/>
          <w:divBdr>
            <w:top w:val="none" w:sz="0" w:space="0" w:color="auto"/>
            <w:left w:val="none" w:sz="0" w:space="0" w:color="auto"/>
            <w:bottom w:val="none" w:sz="0" w:space="0" w:color="auto"/>
            <w:right w:val="none" w:sz="0" w:space="0" w:color="auto"/>
          </w:divBdr>
        </w:div>
        <w:div w:id="2099326381">
          <w:marLeft w:val="0"/>
          <w:marRight w:val="0"/>
          <w:marTop w:val="0"/>
          <w:marBottom w:val="0"/>
          <w:divBdr>
            <w:top w:val="none" w:sz="0" w:space="0" w:color="auto"/>
            <w:left w:val="none" w:sz="0" w:space="0" w:color="auto"/>
            <w:bottom w:val="none" w:sz="0" w:space="0" w:color="auto"/>
            <w:right w:val="none" w:sz="0" w:space="0" w:color="auto"/>
          </w:divBdr>
        </w:div>
      </w:divsChild>
    </w:div>
    <w:div w:id="830371650">
      <w:bodyDiv w:val="1"/>
      <w:marLeft w:val="0"/>
      <w:marRight w:val="0"/>
      <w:marTop w:val="0"/>
      <w:marBottom w:val="0"/>
      <w:divBdr>
        <w:top w:val="none" w:sz="0" w:space="0" w:color="auto"/>
        <w:left w:val="none" w:sz="0" w:space="0" w:color="auto"/>
        <w:bottom w:val="none" w:sz="0" w:space="0" w:color="auto"/>
        <w:right w:val="none" w:sz="0" w:space="0" w:color="auto"/>
      </w:divBdr>
      <w:divsChild>
        <w:div w:id="379011966">
          <w:marLeft w:val="0"/>
          <w:marRight w:val="0"/>
          <w:marTop w:val="0"/>
          <w:marBottom w:val="0"/>
          <w:divBdr>
            <w:top w:val="none" w:sz="0" w:space="0" w:color="auto"/>
            <w:left w:val="none" w:sz="0" w:space="0" w:color="auto"/>
            <w:bottom w:val="none" w:sz="0" w:space="0" w:color="auto"/>
            <w:right w:val="none" w:sz="0" w:space="0" w:color="auto"/>
          </w:divBdr>
        </w:div>
        <w:div w:id="819536339">
          <w:marLeft w:val="0"/>
          <w:marRight w:val="0"/>
          <w:marTop w:val="0"/>
          <w:marBottom w:val="0"/>
          <w:divBdr>
            <w:top w:val="none" w:sz="0" w:space="0" w:color="auto"/>
            <w:left w:val="none" w:sz="0" w:space="0" w:color="auto"/>
            <w:bottom w:val="none" w:sz="0" w:space="0" w:color="auto"/>
            <w:right w:val="none" w:sz="0" w:space="0" w:color="auto"/>
          </w:divBdr>
        </w:div>
        <w:div w:id="1495023257">
          <w:marLeft w:val="0"/>
          <w:marRight w:val="0"/>
          <w:marTop w:val="0"/>
          <w:marBottom w:val="0"/>
          <w:divBdr>
            <w:top w:val="none" w:sz="0" w:space="0" w:color="auto"/>
            <w:left w:val="none" w:sz="0" w:space="0" w:color="auto"/>
            <w:bottom w:val="none" w:sz="0" w:space="0" w:color="auto"/>
            <w:right w:val="none" w:sz="0" w:space="0" w:color="auto"/>
          </w:divBdr>
        </w:div>
        <w:div w:id="1913662049">
          <w:marLeft w:val="0"/>
          <w:marRight w:val="0"/>
          <w:marTop w:val="0"/>
          <w:marBottom w:val="0"/>
          <w:divBdr>
            <w:top w:val="none" w:sz="0" w:space="0" w:color="auto"/>
            <w:left w:val="none" w:sz="0" w:space="0" w:color="auto"/>
            <w:bottom w:val="none" w:sz="0" w:space="0" w:color="auto"/>
            <w:right w:val="none" w:sz="0" w:space="0" w:color="auto"/>
          </w:divBdr>
        </w:div>
        <w:div w:id="1983925076">
          <w:marLeft w:val="0"/>
          <w:marRight w:val="0"/>
          <w:marTop w:val="0"/>
          <w:marBottom w:val="0"/>
          <w:divBdr>
            <w:top w:val="none" w:sz="0" w:space="0" w:color="auto"/>
            <w:left w:val="none" w:sz="0" w:space="0" w:color="auto"/>
            <w:bottom w:val="none" w:sz="0" w:space="0" w:color="auto"/>
            <w:right w:val="none" w:sz="0" w:space="0" w:color="auto"/>
          </w:divBdr>
        </w:div>
        <w:div w:id="2024548541">
          <w:marLeft w:val="0"/>
          <w:marRight w:val="0"/>
          <w:marTop w:val="0"/>
          <w:marBottom w:val="0"/>
          <w:divBdr>
            <w:top w:val="none" w:sz="0" w:space="0" w:color="auto"/>
            <w:left w:val="none" w:sz="0" w:space="0" w:color="auto"/>
            <w:bottom w:val="none" w:sz="0" w:space="0" w:color="auto"/>
            <w:right w:val="none" w:sz="0" w:space="0" w:color="auto"/>
          </w:divBdr>
        </w:div>
        <w:div w:id="2117018361">
          <w:marLeft w:val="0"/>
          <w:marRight w:val="0"/>
          <w:marTop w:val="0"/>
          <w:marBottom w:val="0"/>
          <w:divBdr>
            <w:top w:val="none" w:sz="0" w:space="0" w:color="auto"/>
            <w:left w:val="none" w:sz="0" w:space="0" w:color="auto"/>
            <w:bottom w:val="none" w:sz="0" w:space="0" w:color="auto"/>
            <w:right w:val="none" w:sz="0" w:space="0" w:color="auto"/>
          </w:divBdr>
        </w:div>
      </w:divsChild>
    </w:div>
    <w:div w:id="986978005">
      <w:bodyDiv w:val="1"/>
      <w:marLeft w:val="0"/>
      <w:marRight w:val="0"/>
      <w:marTop w:val="0"/>
      <w:marBottom w:val="0"/>
      <w:divBdr>
        <w:top w:val="none" w:sz="0" w:space="0" w:color="auto"/>
        <w:left w:val="none" w:sz="0" w:space="0" w:color="auto"/>
        <w:bottom w:val="none" w:sz="0" w:space="0" w:color="auto"/>
        <w:right w:val="none" w:sz="0" w:space="0" w:color="auto"/>
      </w:divBdr>
    </w:div>
    <w:div w:id="1021205847">
      <w:bodyDiv w:val="1"/>
      <w:marLeft w:val="0"/>
      <w:marRight w:val="0"/>
      <w:marTop w:val="0"/>
      <w:marBottom w:val="0"/>
      <w:divBdr>
        <w:top w:val="none" w:sz="0" w:space="0" w:color="auto"/>
        <w:left w:val="none" w:sz="0" w:space="0" w:color="auto"/>
        <w:bottom w:val="none" w:sz="0" w:space="0" w:color="auto"/>
        <w:right w:val="none" w:sz="0" w:space="0" w:color="auto"/>
      </w:divBdr>
    </w:div>
    <w:div w:id="1135567447">
      <w:bodyDiv w:val="1"/>
      <w:marLeft w:val="0"/>
      <w:marRight w:val="0"/>
      <w:marTop w:val="0"/>
      <w:marBottom w:val="0"/>
      <w:divBdr>
        <w:top w:val="none" w:sz="0" w:space="0" w:color="auto"/>
        <w:left w:val="none" w:sz="0" w:space="0" w:color="auto"/>
        <w:bottom w:val="none" w:sz="0" w:space="0" w:color="auto"/>
        <w:right w:val="none" w:sz="0" w:space="0" w:color="auto"/>
      </w:divBdr>
      <w:divsChild>
        <w:div w:id="1139691751">
          <w:marLeft w:val="0"/>
          <w:marRight w:val="0"/>
          <w:marTop w:val="0"/>
          <w:marBottom w:val="0"/>
          <w:divBdr>
            <w:top w:val="none" w:sz="0" w:space="0" w:color="auto"/>
            <w:left w:val="none" w:sz="0" w:space="0" w:color="auto"/>
            <w:bottom w:val="none" w:sz="0" w:space="0" w:color="auto"/>
            <w:right w:val="none" w:sz="0" w:space="0" w:color="auto"/>
          </w:divBdr>
        </w:div>
      </w:divsChild>
    </w:div>
    <w:div w:id="1201017695">
      <w:bodyDiv w:val="1"/>
      <w:marLeft w:val="0"/>
      <w:marRight w:val="0"/>
      <w:marTop w:val="0"/>
      <w:marBottom w:val="0"/>
      <w:divBdr>
        <w:top w:val="none" w:sz="0" w:space="0" w:color="auto"/>
        <w:left w:val="none" w:sz="0" w:space="0" w:color="auto"/>
        <w:bottom w:val="none" w:sz="0" w:space="0" w:color="auto"/>
        <w:right w:val="none" w:sz="0" w:space="0" w:color="auto"/>
      </w:divBdr>
    </w:div>
    <w:div w:id="1270359764">
      <w:bodyDiv w:val="1"/>
      <w:marLeft w:val="0"/>
      <w:marRight w:val="0"/>
      <w:marTop w:val="0"/>
      <w:marBottom w:val="0"/>
      <w:divBdr>
        <w:top w:val="none" w:sz="0" w:space="0" w:color="auto"/>
        <w:left w:val="none" w:sz="0" w:space="0" w:color="auto"/>
        <w:bottom w:val="none" w:sz="0" w:space="0" w:color="auto"/>
        <w:right w:val="none" w:sz="0" w:space="0" w:color="auto"/>
      </w:divBdr>
    </w:div>
    <w:div w:id="1412777209">
      <w:bodyDiv w:val="1"/>
      <w:marLeft w:val="0"/>
      <w:marRight w:val="0"/>
      <w:marTop w:val="0"/>
      <w:marBottom w:val="0"/>
      <w:divBdr>
        <w:top w:val="none" w:sz="0" w:space="0" w:color="auto"/>
        <w:left w:val="none" w:sz="0" w:space="0" w:color="auto"/>
        <w:bottom w:val="none" w:sz="0" w:space="0" w:color="auto"/>
        <w:right w:val="none" w:sz="0" w:space="0" w:color="auto"/>
      </w:divBdr>
    </w:div>
    <w:div w:id="1431468267">
      <w:bodyDiv w:val="1"/>
      <w:marLeft w:val="0"/>
      <w:marRight w:val="0"/>
      <w:marTop w:val="0"/>
      <w:marBottom w:val="0"/>
      <w:divBdr>
        <w:top w:val="none" w:sz="0" w:space="0" w:color="auto"/>
        <w:left w:val="none" w:sz="0" w:space="0" w:color="auto"/>
        <w:bottom w:val="none" w:sz="0" w:space="0" w:color="auto"/>
        <w:right w:val="none" w:sz="0" w:space="0" w:color="auto"/>
      </w:divBdr>
    </w:div>
    <w:div w:id="1506935817">
      <w:bodyDiv w:val="1"/>
      <w:marLeft w:val="0"/>
      <w:marRight w:val="0"/>
      <w:marTop w:val="0"/>
      <w:marBottom w:val="0"/>
      <w:divBdr>
        <w:top w:val="none" w:sz="0" w:space="0" w:color="auto"/>
        <w:left w:val="none" w:sz="0" w:space="0" w:color="auto"/>
        <w:bottom w:val="none" w:sz="0" w:space="0" w:color="auto"/>
        <w:right w:val="none" w:sz="0" w:space="0" w:color="auto"/>
      </w:divBdr>
    </w:div>
    <w:div w:id="1515267091">
      <w:bodyDiv w:val="1"/>
      <w:marLeft w:val="0"/>
      <w:marRight w:val="0"/>
      <w:marTop w:val="0"/>
      <w:marBottom w:val="0"/>
      <w:divBdr>
        <w:top w:val="none" w:sz="0" w:space="0" w:color="auto"/>
        <w:left w:val="none" w:sz="0" w:space="0" w:color="auto"/>
        <w:bottom w:val="none" w:sz="0" w:space="0" w:color="auto"/>
        <w:right w:val="none" w:sz="0" w:space="0" w:color="auto"/>
      </w:divBdr>
    </w:div>
    <w:div w:id="1674802063">
      <w:bodyDiv w:val="1"/>
      <w:marLeft w:val="0"/>
      <w:marRight w:val="0"/>
      <w:marTop w:val="0"/>
      <w:marBottom w:val="0"/>
      <w:divBdr>
        <w:top w:val="none" w:sz="0" w:space="0" w:color="auto"/>
        <w:left w:val="none" w:sz="0" w:space="0" w:color="auto"/>
        <w:bottom w:val="none" w:sz="0" w:space="0" w:color="auto"/>
        <w:right w:val="none" w:sz="0" w:space="0" w:color="auto"/>
      </w:divBdr>
    </w:div>
    <w:div w:id="1685786278">
      <w:bodyDiv w:val="1"/>
      <w:marLeft w:val="0"/>
      <w:marRight w:val="0"/>
      <w:marTop w:val="0"/>
      <w:marBottom w:val="0"/>
      <w:divBdr>
        <w:top w:val="none" w:sz="0" w:space="0" w:color="auto"/>
        <w:left w:val="none" w:sz="0" w:space="0" w:color="auto"/>
        <w:bottom w:val="none" w:sz="0" w:space="0" w:color="auto"/>
        <w:right w:val="none" w:sz="0" w:space="0" w:color="auto"/>
      </w:divBdr>
    </w:div>
    <w:div w:id="1734044015">
      <w:bodyDiv w:val="1"/>
      <w:marLeft w:val="0"/>
      <w:marRight w:val="0"/>
      <w:marTop w:val="0"/>
      <w:marBottom w:val="0"/>
      <w:divBdr>
        <w:top w:val="none" w:sz="0" w:space="0" w:color="auto"/>
        <w:left w:val="none" w:sz="0" w:space="0" w:color="auto"/>
        <w:bottom w:val="none" w:sz="0" w:space="0" w:color="auto"/>
        <w:right w:val="none" w:sz="0" w:space="0" w:color="auto"/>
      </w:divBdr>
    </w:div>
    <w:div w:id="1753621282">
      <w:bodyDiv w:val="1"/>
      <w:marLeft w:val="0"/>
      <w:marRight w:val="0"/>
      <w:marTop w:val="0"/>
      <w:marBottom w:val="0"/>
      <w:divBdr>
        <w:top w:val="none" w:sz="0" w:space="0" w:color="auto"/>
        <w:left w:val="none" w:sz="0" w:space="0" w:color="auto"/>
        <w:bottom w:val="none" w:sz="0" w:space="0" w:color="auto"/>
        <w:right w:val="none" w:sz="0" w:space="0" w:color="auto"/>
      </w:divBdr>
    </w:div>
    <w:div w:id="198207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6708</TotalTime>
  <Pages>16</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FELICIA-PC</dc:creator>
  <cp:keywords/>
  <dc:description/>
  <cp:lastModifiedBy>SDI 1084</cp:lastModifiedBy>
  <cp:revision>16</cp:revision>
  <dcterms:created xsi:type="dcterms:W3CDTF">2026-01-10T08:36:00Z</dcterms:created>
  <dcterms:modified xsi:type="dcterms:W3CDTF">2026-04-27T12:29:00Z</dcterms:modified>
</cp:coreProperties>
</file>