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DEBFE" w14:textId="77777777" w:rsidR="00A52713" w:rsidRDefault="00703B2E">
      <w:pPr>
        <w:spacing w:line="276" w:lineRule="auto"/>
        <w:jc w:val="right"/>
        <w:rPr>
          <w:rFonts w:ascii="Times New Roman" w:eastAsia="Times New Roman" w:hAnsi="Times New Roman" w:cs="Times New Roman"/>
          <w:b/>
          <w:bCs/>
          <w:sz w:val="32"/>
          <w:szCs w:val="32"/>
        </w:rPr>
      </w:pPr>
      <w:r>
        <w:rPr>
          <w:rFonts w:ascii="Times New Roman" w:eastAsia="Times New Roman" w:hAnsi="Times New Roman" w:cs="Times New Roman"/>
          <w:b/>
          <w:bCs/>
          <w:sz w:val="36"/>
          <w:szCs w:val="36"/>
        </w:rPr>
        <w:t xml:space="preserve">Strategic Roadmap for Exploring Phytochemical Profiles of </w:t>
      </w:r>
      <w:r>
        <w:rPr>
          <w:rFonts w:ascii="Times New Roman" w:eastAsia="Times New Roman" w:hAnsi="Times New Roman" w:cs="Times New Roman"/>
          <w:b/>
          <w:bCs/>
          <w:i/>
          <w:iCs/>
          <w:sz w:val="36"/>
          <w:szCs w:val="36"/>
        </w:rPr>
        <w:t>Ixora Nigricans L.</w:t>
      </w:r>
      <w:r>
        <w:rPr>
          <w:rFonts w:ascii="Times New Roman" w:eastAsia="Times New Roman" w:hAnsi="Times New Roman" w:cs="Times New Roman"/>
          <w:b/>
          <w:bCs/>
          <w:sz w:val="36"/>
          <w:szCs w:val="36"/>
        </w:rPr>
        <w:t xml:space="preserve"> Flowers and Leaves Extract: The X-ray Diffraction Overview Insight</w:t>
      </w:r>
    </w:p>
    <w:p w14:paraId="23134691" w14:textId="77777777" w:rsidR="00A52713" w:rsidRDefault="00A52713">
      <w:pPr>
        <w:spacing w:line="360" w:lineRule="auto"/>
        <w:jc w:val="right"/>
        <w:rPr>
          <w:rFonts w:ascii="Times New Roman" w:eastAsia="Times New Roman" w:hAnsi="Times New Roman" w:cs="Times New Roman"/>
          <w:sz w:val="24"/>
          <w:szCs w:val="24"/>
        </w:rPr>
      </w:pPr>
    </w:p>
    <w:p w14:paraId="12389E13" w14:textId="7C7A7CC3" w:rsidR="00C5476B" w:rsidRDefault="00C5476B">
      <w:pPr>
        <w:jc w:val="right"/>
        <w:rPr>
          <w:rFonts w:ascii="Times New Roman" w:eastAsia="Times New Roman" w:hAnsi="Times New Roman" w:cs="Times New Roman"/>
          <w:sz w:val="24"/>
          <w:szCs w:val="24"/>
        </w:rPr>
      </w:pPr>
    </w:p>
    <w:p w14:paraId="02114246" w14:textId="77777777" w:rsidR="00603CE0" w:rsidRDefault="00603CE0">
      <w:pPr>
        <w:jc w:val="right"/>
        <w:rPr>
          <w:rFonts w:ascii="Times New Roman" w:eastAsia="Times New Roman" w:hAnsi="Times New Roman" w:cs="Times New Roman"/>
          <w:sz w:val="24"/>
          <w:szCs w:val="24"/>
        </w:rPr>
      </w:pPr>
    </w:p>
    <w:p w14:paraId="749D9267" w14:textId="77777777" w:rsidR="00A52713" w:rsidRDefault="00703B2E">
      <w:pPr>
        <w:pBdr>
          <w:top w:val="nil"/>
          <w:left w:val="nil"/>
          <w:bottom w:val="nil"/>
          <w:right w:val="nil"/>
          <w:between w:val="nil"/>
        </w:pBdr>
        <w:jc w:val="both"/>
        <w:rPr>
          <w:rFonts w:ascii="Times New Roman" w:eastAsia="Times New Roman" w:hAnsi="Times New Roman" w:cs="Times New Roman"/>
          <w:color w:val="000000"/>
          <w:sz w:val="22"/>
          <w:szCs w:val="22"/>
        </w:rPr>
        <w:sectPr w:rsidR="00A52713">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Times New Roman" w:eastAsia="Times New Roman" w:hAnsi="Times New Roman" w:cs="Times New Roman"/>
          <w:color w:val="000000"/>
          <w:sz w:val="16"/>
          <w:szCs w:val="16"/>
        </w:rPr>
      </w:r>
      <w:r>
        <w:rPr>
          <w:rFonts w:ascii="Times New Roman" w:eastAsia="Times New Roman" w:hAnsi="Times New Roman" w:cs="Times New Roman"/>
          <w:color w:val="000000"/>
          <w:sz w:val="16"/>
          <w:szCs w:val="16"/>
        </w:rPr>
        <w:pict w14:anchorId="6738CC4C">
          <v:shapetype id="_x0000_t32" coordsize="21600,21600" o:spt="32" o:oned="t" path="m,l21600,21600e" filled="f">
            <v:path arrowok="t" fillok="f" o:connecttype="none"/>
            <o:lock v:ext="edit" shapetype="t"/>
          </v:shapetype>
          <v:shape id="_x0000_s307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5C068190" w14:textId="77777777" w:rsidR="00A52713" w:rsidRDefault="00A52713">
      <w:pPr>
        <w:keepNext/>
        <w:pBdr>
          <w:top w:val="nil"/>
          <w:left w:val="nil"/>
          <w:bottom w:val="nil"/>
          <w:right w:val="nil"/>
          <w:between w:val="nil"/>
        </w:pBdr>
        <w:jc w:val="both"/>
        <w:rPr>
          <w:rFonts w:ascii="Times New Roman" w:eastAsia="Times New Roman" w:hAnsi="Times New Roman" w:cs="Times New Roman"/>
          <w:b/>
          <w:bCs/>
          <w:smallCaps/>
          <w:color w:val="000000"/>
          <w:sz w:val="22"/>
          <w:szCs w:val="22"/>
        </w:rPr>
      </w:pPr>
    </w:p>
    <w:p w14:paraId="00A54CCE" w14:textId="77777777" w:rsidR="00A52713" w:rsidRDefault="00703B2E">
      <w:pPr>
        <w:keepNext/>
        <w:pBdr>
          <w:top w:val="nil"/>
          <w:left w:val="nil"/>
          <w:bottom w:val="nil"/>
          <w:right w:val="nil"/>
          <w:between w:val="nil"/>
        </w:pBdr>
        <w:jc w:val="both"/>
        <w:rPr>
          <w:rFonts w:ascii="Times New Roman" w:eastAsia="Times New Roman" w:hAnsi="Times New Roman" w:cs="Times New Roman"/>
          <w:b/>
          <w:bCs/>
          <w:smallCaps/>
          <w:color w:val="000000"/>
          <w:sz w:val="22"/>
          <w:szCs w:val="22"/>
        </w:rPr>
      </w:pPr>
      <w:r>
        <w:rPr>
          <w:rFonts w:ascii="Times New Roman" w:eastAsia="Times New Roman" w:hAnsi="Times New Roman" w:cs="Times New Roman"/>
          <w:b/>
          <w:bCs/>
          <w:smallCaps/>
          <w:color w:val="000000"/>
          <w:sz w:val="22"/>
          <w:szCs w:val="22"/>
        </w:rPr>
        <w:t>ABSTRACT</w:t>
      </w:r>
      <w:r>
        <w:rPr>
          <w:rFonts w:ascii="Times New Roman" w:eastAsia="Times New Roman" w:hAnsi="Times New Roman" w:cs="Times New Roman"/>
          <w:b/>
          <w:bCs/>
          <w:smallCaps/>
          <w:color w:val="000000"/>
          <w:sz w:val="24"/>
          <w:szCs w:val="24"/>
        </w:rPr>
        <w:t xml:space="preserve"> </w:t>
      </w:r>
    </w:p>
    <w:p w14:paraId="608025FE" w14:textId="77777777" w:rsidR="00A52713" w:rsidRDefault="00A52713">
      <w:pPr>
        <w:keepNext/>
        <w:pBdr>
          <w:top w:val="nil"/>
          <w:left w:val="nil"/>
          <w:bottom w:val="nil"/>
          <w:right w:val="nil"/>
          <w:between w:val="nil"/>
        </w:pBdr>
        <w:jc w:val="both"/>
        <w:rPr>
          <w:rFonts w:ascii="Times New Roman" w:eastAsia="Times New Roman" w:hAnsi="Times New Roman" w:cs="Times New Roman"/>
          <w:b/>
          <w:bCs/>
          <w:smallCaps/>
          <w:color w:val="000000"/>
          <w:sz w:val="22"/>
          <w:szCs w:val="22"/>
        </w:rPr>
      </w:pPr>
    </w:p>
    <w:tbl>
      <w:tblPr>
        <w:tblStyle w:val="a"/>
        <w:tblW w:w="957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76"/>
      </w:tblGrid>
      <w:tr w:rsidR="00A52713" w14:paraId="09D21B4A" w14:textId="77777777">
        <w:tc>
          <w:tcPr>
            <w:tcW w:w="9576" w:type="dxa"/>
            <w:shd w:val="clear" w:color="auto" w:fill="FFFFFF"/>
          </w:tcPr>
          <w:p w14:paraId="2F3E7318"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phytochemical landscape of </w:t>
            </w:r>
            <w:r>
              <w:rPr>
                <w:rFonts w:ascii="Times New Roman" w:eastAsia="Times New Roman" w:hAnsi="Times New Roman" w:cs="Times New Roman"/>
                <w:i/>
                <w:iCs/>
                <w:sz w:val="24"/>
                <w:szCs w:val="24"/>
              </w:rPr>
              <w:t>Ixora Nigricans L.</w:t>
            </w:r>
            <w:r>
              <w:rPr>
                <w:rFonts w:ascii="Times New Roman" w:eastAsia="Times New Roman" w:hAnsi="Times New Roman" w:cs="Times New Roman"/>
                <w:sz w:val="24"/>
                <w:szCs w:val="24"/>
              </w:rPr>
              <w:t xml:space="preserve">, a medicinal plant species, through a comparative analysis of its foliar and floral tissues. Qualitative phytochemical screening was performed across a polarity gradient using n-hexane, ethyl acetate, and ethanol to evaluate the distribution of secondary </w:t>
            </w:r>
            <w:r>
              <w:rPr>
                <w:rFonts w:ascii="Times New Roman" w:eastAsia="Times New Roman" w:hAnsi="Times New Roman" w:cs="Times New Roman"/>
                <w:sz w:val="24"/>
                <w:szCs w:val="24"/>
              </w:rPr>
              <w:t>metabolites. Results revealed a diverse metabolic profile significantly influenced by both solvent polarity and tissue type. Alkaloids demonstrated a ubiquitous presence across all solvent systems and tissues, suggesting a chemically diverse nitrogenous pr</w:t>
            </w:r>
            <w:r>
              <w:rPr>
                <w:rFonts w:ascii="Times New Roman" w:eastAsia="Times New Roman" w:hAnsi="Times New Roman" w:cs="Times New Roman"/>
                <w:sz w:val="24"/>
                <w:szCs w:val="24"/>
              </w:rPr>
              <w:t>ofile with potential pharmacological breadth. In contrast, steroids were identified exclusively in the ethanolic leaf extracts, indicating their presence as polar glycosides and highlighting a tissue-specific biosynthetic downregulation in reproductive org</w:t>
            </w:r>
            <w:r>
              <w:rPr>
                <w:rFonts w:ascii="Times New Roman" w:eastAsia="Times New Roman" w:hAnsi="Times New Roman" w:cs="Times New Roman"/>
                <w:sz w:val="24"/>
                <w:szCs w:val="24"/>
              </w:rPr>
              <w:t>ans. Terpenoids were consistently sequestered in the lipophilic n-hexane fractions of both tissues, confirming their role as non-polar defense agents. Furthermore, tannins exhibited a more consistent distribution across the floral fractions compared to the</w:t>
            </w:r>
            <w:r>
              <w:rPr>
                <w:rFonts w:ascii="Times New Roman" w:eastAsia="Times New Roman" w:hAnsi="Times New Roman" w:cs="Times New Roman"/>
                <w:sz w:val="24"/>
                <w:szCs w:val="24"/>
              </w:rPr>
              <w:t xml:space="preserve"> leaves, suggesting an enrichment of phenolics in reproductive structures for protection against oxidative stress and pathogens. These findings establish I. Nigricans are a rich source of bioactive constituents, particularly alkaloids and tannins. The dist</w:t>
            </w:r>
            <w:r>
              <w:rPr>
                <w:rFonts w:ascii="Times New Roman" w:eastAsia="Times New Roman" w:hAnsi="Times New Roman" w:cs="Times New Roman"/>
                <w:sz w:val="24"/>
                <w:szCs w:val="24"/>
              </w:rPr>
              <w:t xml:space="preserve">inct partitioning of metabolites suggests that while leaves are optimal for steroidal recovery, the flowers offer a specialized phenolic profile, providing a strategic roadmap for </w:t>
            </w:r>
            <w:r>
              <w:rPr>
                <w:rFonts w:ascii="Times New Roman" w:eastAsia="Times New Roman" w:hAnsi="Times New Roman" w:cs="Times New Roman"/>
                <w:sz w:val="24"/>
                <w:szCs w:val="24"/>
              </w:rPr>
              <w:lastRenderedPageBreak/>
              <w:t>bioactivity-guided fractionation and the biogenic synthesis of nanoparticles</w:t>
            </w:r>
            <w:r>
              <w:rPr>
                <w:rFonts w:ascii="Times New Roman" w:eastAsia="Times New Roman" w:hAnsi="Times New Roman" w:cs="Times New Roman"/>
                <w:sz w:val="24"/>
                <w:szCs w:val="24"/>
              </w:rPr>
              <w:t xml:space="preserve"> using these tissues as natural reducing agents.</w:t>
            </w:r>
          </w:p>
        </w:tc>
      </w:tr>
    </w:tbl>
    <w:p w14:paraId="5C6DA8DE" w14:textId="77777777" w:rsidR="00A52713" w:rsidRDefault="00A52713">
      <w:pPr>
        <w:pBdr>
          <w:top w:val="nil"/>
          <w:left w:val="nil"/>
          <w:bottom w:val="nil"/>
          <w:right w:val="nil"/>
          <w:between w:val="nil"/>
        </w:pBdr>
        <w:jc w:val="both"/>
        <w:rPr>
          <w:rFonts w:ascii="Times New Roman" w:eastAsia="Times New Roman" w:hAnsi="Times New Roman" w:cs="Times New Roman"/>
          <w:i/>
          <w:iCs/>
          <w:color w:val="000000"/>
        </w:rPr>
      </w:pPr>
    </w:p>
    <w:p w14:paraId="75F43552" w14:textId="77777777" w:rsidR="00A52713" w:rsidRDefault="00703B2E">
      <w:pPr>
        <w:spacing w:line="480" w:lineRule="auto"/>
        <w:jc w:val="both"/>
        <w:rPr>
          <w:rFonts w:ascii="Times New Roman" w:eastAsia="Times New Roman" w:hAnsi="Times New Roman" w:cs="Times New Roman"/>
          <w:i/>
          <w:iCs/>
        </w:rPr>
      </w:pPr>
      <w:r>
        <w:rPr>
          <w:rFonts w:ascii="Times New Roman" w:eastAsia="Times New Roman" w:hAnsi="Times New Roman" w:cs="Times New Roman"/>
          <w:i/>
          <w:iCs/>
          <w:sz w:val="22"/>
          <w:szCs w:val="22"/>
        </w:rPr>
        <w:t>Keywords:</w:t>
      </w:r>
      <w:r>
        <w:rPr>
          <w:rFonts w:ascii="Times New Roman" w:eastAsia="Times New Roman" w:hAnsi="Times New Roman" w:cs="Times New Roman"/>
          <w:b/>
          <w:bCs/>
          <w:i/>
          <w:iCs/>
        </w:rPr>
        <w:t xml:space="preserve"> </w:t>
      </w:r>
      <w:r>
        <w:rPr>
          <w:rFonts w:ascii="Times New Roman" w:eastAsia="Times New Roman" w:hAnsi="Times New Roman" w:cs="Times New Roman"/>
          <w:i/>
          <w:iCs/>
          <w:sz w:val="24"/>
          <w:szCs w:val="24"/>
        </w:rPr>
        <w:t>Ixora Nigricans L.</w:t>
      </w:r>
      <w:r>
        <w:rPr>
          <w:rFonts w:ascii="Times New Roman" w:eastAsia="Times New Roman" w:hAnsi="Times New Roman" w:cs="Times New Roman"/>
          <w:sz w:val="24"/>
          <w:szCs w:val="24"/>
        </w:rPr>
        <w:t>, Phytochemical screening, Solvent polarity, Secondary metabolites, Medicinal plants.</w:t>
      </w:r>
    </w:p>
    <w:p w14:paraId="34AE817A" w14:textId="77777777" w:rsidR="00A52713" w:rsidRDefault="00A52713">
      <w:pPr>
        <w:spacing w:line="480" w:lineRule="auto"/>
        <w:jc w:val="both"/>
        <w:rPr>
          <w:rFonts w:ascii="Times New Roman" w:eastAsia="Times New Roman" w:hAnsi="Times New Roman" w:cs="Times New Roman"/>
          <w:i/>
          <w:iCs/>
        </w:rPr>
      </w:pPr>
    </w:p>
    <w:p w14:paraId="25A9F45F"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0410AC31"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commonly known as black Ixora or black jungle family [1]. It is native to Southeast Asia, particularly found in countries like Malaysia, Indonesia, and Thailand [2]. </w:t>
      </w:r>
      <w:r>
        <w:rPr>
          <w:rFonts w:ascii="Times New Roman" w:eastAsia="Times New Roman" w:hAnsi="Times New Roman" w:cs="Times New Roman"/>
          <w:i/>
          <w:iCs/>
          <w:color w:val="000000"/>
          <w:sz w:val="24"/>
          <w:szCs w:val="24"/>
        </w:rPr>
        <w:t xml:space="preserve">Ixora Nigricans </w:t>
      </w:r>
      <w:r>
        <w:rPr>
          <w:rFonts w:ascii="Times New Roman" w:eastAsia="Times New Roman" w:hAnsi="Times New Roman" w:cs="Times New Roman"/>
          <w:color w:val="000000"/>
          <w:sz w:val="24"/>
          <w:szCs w:val="24"/>
        </w:rPr>
        <w:t>is an evergreen shrub characterized by its dark green foliage and striki</w:t>
      </w:r>
      <w:r>
        <w:rPr>
          <w:rFonts w:ascii="Times New Roman" w:eastAsia="Times New Roman" w:hAnsi="Times New Roman" w:cs="Times New Roman"/>
          <w:color w:val="000000"/>
          <w:sz w:val="24"/>
          <w:szCs w:val="24"/>
        </w:rPr>
        <w:t xml:space="preserve">ng clusters of small, tubular flowers [3]. In traditional medicine,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has been used for various medicinal purposes by indigenous communities [4]. The increasing interest in natural products and traditional medicine has sparked scientific inve</w:t>
      </w:r>
      <w:r>
        <w:rPr>
          <w:rFonts w:ascii="Times New Roman" w:eastAsia="Times New Roman" w:hAnsi="Times New Roman" w:cs="Times New Roman"/>
          <w:color w:val="000000"/>
          <w:sz w:val="24"/>
          <w:szCs w:val="24"/>
        </w:rPr>
        <w:t xml:space="preserve">stigations into the phytochemical composition and potential health benefits of </w:t>
      </w:r>
      <w:r>
        <w:rPr>
          <w:rFonts w:ascii="Times New Roman" w:eastAsia="Times New Roman" w:hAnsi="Times New Roman" w:cs="Times New Roman"/>
          <w:i/>
          <w:iCs/>
          <w:color w:val="000000"/>
          <w:sz w:val="24"/>
          <w:szCs w:val="24"/>
        </w:rPr>
        <w:t xml:space="preserve">Ixora Nigricans </w:t>
      </w:r>
      <w:r>
        <w:rPr>
          <w:rFonts w:ascii="Times New Roman" w:eastAsia="Times New Roman" w:hAnsi="Times New Roman" w:cs="Times New Roman"/>
          <w:color w:val="000000"/>
          <w:sz w:val="24"/>
          <w:szCs w:val="24"/>
        </w:rPr>
        <w:t xml:space="preserve">[5]. Understanding the phytochemical composition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is essential for unravelling its medicinal potential and validating its traditional uses [6].</w:t>
      </w:r>
      <w:r>
        <w:rPr>
          <w:rFonts w:ascii="Times New Roman" w:eastAsia="Times New Roman" w:hAnsi="Times New Roman" w:cs="Times New Roman"/>
          <w:color w:val="000000"/>
          <w:sz w:val="24"/>
          <w:szCs w:val="24"/>
        </w:rPr>
        <w:t xml:space="preserve"> This information can contribute to expanding our knowledge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as a valuable medicinal plant and may pave the way for further research on its pharmacological activities, mechanisms of action, and potential applications in healthcare [7]. Ph</w:t>
      </w:r>
      <w:r>
        <w:rPr>
          <w:rFonts w:ascii="Times New Roman" w:eastAsia="Times New Roman" w:hAnsi="Times New Roman" w:cs="Times New Roman"/>
          <w:color w:val="000000"/>
          <w:sz w:val="24"/>
          <w:szCs w:val="24"/>
        </w:rPr>
        <w:t>ytochemicals such as alkaloids, tannins, flavonoids, and phenolic compounds are widely present in different parts of medicinal plants and are commonly used in herbal medicine to treat various diseases, including cough, malaria, wounds, toothache, rheumatic</w:t>
      </w:r>
      <w:r>
        <w:rPr>
          <w:rFonts w:ascii="Times New Roman" w:eastAsia="Times New Roman" w:hAnsi="Times New Roman" w:cs="Times New Roman"/>
          <w:color w:val="000000"/>
          <w:sz w:val="24"/>
          <w:szCs w:val="24"/>
        </w:rPr>
        <w:t xml:space="preserve"> disorders, inflammation, and ROS-related conditions [8]. These compounds exhibit a range of pharmacological activities, including antimicrobial, anti-inflammatory, and antidiarrheal properties. The Alkaloids have antimicrobial and anti-inflammatory proper</w:t>
      </w:r>
      <w:r>
        <w:rPr>
          <w:rFonts w:ascii="Times New Roman" w:eastAsia="Times New Roman" w:hAnsi="Times New Roman" w:cs="Times New Roman"/>
          <w:color w:val="000000"/>
          <w:sz w:val="24"/>
          <w:szCs w:val="24"/>
        </w:rPr>
        <w:t xml:space="preserve">ties, helping to reduce gastrointestinal distress [9]. For example, different indigenous communities use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for various medicinal purposes, like the Chakma use root extract for diarrhea and ear infections, the </w:t>
      </w:r>
      <w:proofErr w:type="spellStart"/>
      <w:r>
        <w:rPr>
          <w:rFonts w:ascii="Times New Roman" w:eastAsia="Times New Roman" w:hAnsi="Times New Roman" w:cs="Times New Roman"/>
          <w:color w:val="000000"/>
          <w:sz w:val="24"/>
          <w:szCs w:val="24"/>
        </w:rPr>
        <w:t>Tanchangya</w:t>
      </w:r>
      <w:proofErr w:type="spellEnd"/>
      <w:r>
        <w:rPr>
          <w:rFonts w:ascii="Times New Roman" w:eastAsia="Times New Roman" w:hAnsi="Times New Roman" w:cs="Times New Roman"/>
          <w:color w:val="000000"/>
          <w:sz w:val="24"/>
          <w:szCs w:val="24"/>
        </w:rPr>
        <w:t xml:space="preserve"> prepare leaf-based pills </w:t>
      </w:r>
      <w:r>
        <w:rPr>
          <w:rFonts w:ascii="Times New Roman" w:eastAsia="Times New Roman" w:hAnsi="Times New Roman" w:cs="Times New Roman"/>
          <w:color w:val="000000"/>
          <w:sz w:val="24"/>
          <w:szCs w:val="24"/>
        </w:rPr>
        <w:lastRenderedPageBreak/>
        <w:t xml:space="preserve">for dysentery, and the </w:t>
      </w:r>
      <w:proofErr w:type="spellStart"/>
      <w:r>
        <w:rPr>
          <w:rFonts w:ascii="Times New Roman" w:eastAsia="Times New Roman" w:hAnsi="Times New Roman" w:cs="Times New Roman"/>
          <w:color w:val="000000"/>
          <w:sz w:val="24"/>
          <w:szCs w:val="24"/>
        </w:rPr>
        <w:t>Marma</w:t>
      </w:r>
      <w:proofErr w:type="spellEnd"/>
      <w:r>
        <w:rPr>
          <w:rFonts w:ascii="Times New Roman" w:eastAsia="Times New Roman" w:hAnsi="Times New Roman" w:cs="Times New Roman"/>
          <w:color w:val="000000"/>
          <w:sz w:val="24"/>
          <w:szCs w:val="24"/>
        </w:rPr>
        <w:t xml:space="preserve"> use root extract for treating unconsciousness in children, as well as vomiting and bleed</w:t>
      </w:r>
      <w:r>
        <w:rPr>
          <w:rFonts w:ascii="Times New Roman" w:eastAsia="Times New Roman" w:hAnsi="Times New Roman" w:cs="Times New Roman"/>
          <w:color w:val="000000"/>
          <w:sz w:val="24"/>
          <w:szCs w:val="24"/>
        </w:rPr>
        <w:t xml:space="preserve">ing. Scientific studies on its leaves have confirmed significant pharmacological activities, including anti-inflammatory, antioxidant, antiviral, cytotoxic, antispasmodic, anti-arthritic, and CNS depressant effects [10]. </w:t>
      </w:r>
    </w:p>
    <w:p w14:paraId="0EAA98D0" w14:textId="77777777" w:rsidR="00A52713" w:rsidRDefault="00A52713">
      <w:pPr>
        <w:spacing w:line="480" w:lineRule="auto"/>
        <w:jc w:val="both"/>
        <w:rPr>
          <w:rFonts w:ascii="Times New Roman" w:eastAsia="Times New Roman" w:hAnsi="Times New Roman" w:cs="Times New Roman"/>
          <w:color w:val="EE0000"/>
          <w:sz w:val="24"/>
          <w:szCs w:val="24"/>
        </w:rPr>
      </w:pPr>
    </w:p>
    <w:p w14:paraId="41B52234"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Micronutrients, though required i</w:t>
      </w:r>
      <w:r>
        <w:rPr>
          <w:rFonts w:ascii="Times New Roman" w:eastAsia="Times New Roman" w:hAnsi="Times New Roman" w:cs="Times New Roman"/>
          <w:color w:val="000000"/>
          <w:sz w:val="24"/>
          <w:szCs w:val="24"/>
        </w:rPr>
        <w:t>n small quantities, are essential for optimal growth and development of the plant, besides playing a critical role in enhancing the quality and yield of blooms. Elements such as boron (B), copper (Cu), iron (Fe), manganese (Mn), and zinc (Zn) play signific</w:t>
      </w:r>
      <w:r>
        <w:rPr>
          <w:rFonts w:ascii="Times New Roman" w:eastAsia="Times New Roman" w:hAnsi="Times New Roman" w:cs="Times New Roman"/>
          <w:color w:val="000000"/>
          <w:sz w:val="24"/>
          <w:szCs w:val="24"/>
        </w:rPr>
        <w:t>ant roles in plant health and flower production [11]. For example, calcium (Ca) facilitates flower opening and delays senescence, while zinc aids in stem elongation and pollen production. Iron is indispensable for photosynthesis, and boron supports cell di</w:t>
      </w:r>
      <w:r>
        <w:rPr>
          <w:rFonts w:ascii="Times New Roman" w:eastAsia="Times New Roman" w:hAnsi="Times New Roman" w:cs="Times New Roman"/>
          <w:color w:val="000000"/>
          <w:sz w:val="24"/>
          <w:szCs w:val="24"/>
        </w:rPr>
        <w:t xml:space="preserve">vision and hormone transport [12]. </w:t>
      </w:r>
      <w:r>
        <w:rPr>
          <w:rFonts w:ascii="Times New Roman" w:eastAsia="Times New Roman" w:hAnsi="Times New Roman" w:cs="Times New Roman"/>
          <w:sz w:val="24"/>
          <w:szCs w:val="24"/>
        </w:rPr>
        <w:t>Although traditional flowers like Ixora are increasingly in demand, India’s floriculture sector largely prioritizes cut flowers such as roses, lilies, and orchids, resulting in minimal governmental support for loose-flowe</w:t>
      </w:r>
      <w:r>
        <w:rPr>
          <w:rFonts w:ascii="Times New Roman" w:eastAsia="Times New Roman" w:hAnsi="Times New Roman" w:cs="Times New Roman"/>
          <w:sz w:val="24"/>
          <w:szCs w:val="24"/>
        </w:rPr>
        <w:t xml:space="preserve">r cultivation </w:t>
      </w:r>
      <w:r>
        <w:rPr>
          <w:rFonts w:ascii="Times New Roman" w:eastAsia="Times New Roman" w:hAnsi="Times New Roman" w:cs="Times New Roman"/>
          <w:color w:val="000000"/>
          <w:sz w:val="24"/>
          <w:szCs w:val="24"/>
        </w:rPr>
        <w:t>[13]. Fertilizers are applied every six (6.0) months to ensure balanced growth, improved flower color, and higher yield in Ixora, with nitrogen playing a key role in boosting vegetative growth and productivity. Phosphorus supports essential p</w:t>
      </w:r>
      <w:r>
        <w:rPr>
          <w:rFonts w:ascii="Times New Roman" w:eastAsia="Times New Roman" w:hAnsi="Times New Roman" w:cs="Times New Roman"/>
          <w:color w:val="000000"/>
          <w:sz w:val="24"/>
          <w:szCs w:val="24"/>
        </w:rPr>
        <w:t>lant processes, while potassium regulates stomatal function, water balance, energy metabolism, and enzyme activity [14].</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The plant has glossy, leathery, oblong leaves (sessile to short-petiolate, arranged oppositely or in whorls with basal stipules) and sm</w:t>
      </w:r>
      <w:r>
        <w:rPr>
          <w:rFonts w:ascii="Times New Roman" w:eastAsia="Times New Roman" w:hAnsi="Times New Roman" w:cs="Times New Roman"/>
          <w:color w:val="000000"/>
          <w:sz w:val="24"/>
          <w:szCs w:val="24"/>
        </w:rPr>
        <w:t xml:space="preserve">all tubular flowers in dense clusters, which can also be used for cotton fabric coloration [15]. </w:t>
      </w:r>
    </w:p>
    <w:p w14:paraId="5CEDF909" w14:textId="77777777" w:rsidR="00A52713" w:rsidRDefault="00A52713">
      <w:pPr>
        <w:spacing w:line="480" w:lineRule="auto"/>
        <w:jc w:val="both"/>
        <w:rPr>
          <w:rFonts w:ascii="Times New Roman" w:eastAsia="Times New Roman" w:hAnsi="Times New Roman" w:cs="Times New Roman"/>
          <w:color w:val="EE0000"/>
        </w:rPr>
      </w:pPr>
    </w:p>
    <w:p w14:paraId="3077A76F" w14:textId="77777777" w:rsidR="00A52713" w:rsidRDefault="00703B2E">
      <w:pPr>
        <w:spacing w:before="166" w:after="166"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this study, we assessed the impact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on medicinal activity and micronutrient-related growth, aiming to determine whether the combined ext</w:t>
      </w:r>
      <w:r>
        <w:rPr>
          <w:rFonts w:ascii="Times New Roman" w:eastAsia="Times New Roman" w:hAnsi="Times New Roman" w:cs="Times New Roman"/>
          <w:color w:val="000000"/>
          <w:sz w:val="24"/>
          <w:szCs w:val="24"/>
        </w:rPr>
        <w:t xml:space="preserve">racts are more effective than individual ones and to provide recommendations on their use [16]. </w:t>
      </w:r>
      <w:r>
        <w:rPr>
          <w:rFonts w:ascii="Times New Roman" w:eastAsia="Times New Roman" w:hAnsi="Times New Roman" w:cs="Times New Roman"/>
          <w:sz w:val="24"/>
          <w:szCs w:val="24"/>
        </w:rPr>
        <w:t xml:space="preserve">Diversity studies have been conducted, and the genotypes have been clustered based on morphological and molecular data </w:t>
      </w:r>
      <w:r>
        <w:rPr>
          <w:rFonts w:ascii="Times New Roman" w:eastAsia="Times New Roman" w:hAnsi="Times New Roman" w:cs="Times New Roman"/>
          <w:color w:val="000000"/>
          <w:sz w:val="24"/>
          <w:szCs w:val="24"/>
        </w:rPr>
        <w:lastRenderedPageBreak/>
        <w:t>[17].</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This primary research may seem bene</w:t>
      </w:r>
      <w:r>
        <w:rPr>
          <w:rFonts w:ascii="Times New Roman" w:eastAsia="Times New Roman" w:hAnsi="Times New Roman" w:cs="Times New Roman"/>
          <w:color w:val="000000"/>
          <w:sz w:val="24"/>
          <w:szCs w:val="24"/>
        </w:rPr>
        <w:t xml:space="preserve">ficial to a large number of people interested in collecting or researching Ixora. Photographs of each species were included in the paper for better identification [18]. </w:t>
      </w:r>
      <w:r>
        <w:rPr>
          <w:rFonts w:ascii="Times New Roman" w:eastAsia="Times New Roman" w:hAnsi="Times New Roman" w:cs="Times New Roman"/>
          <w:sz w:val="24"/>
          <w:szCs w:val="24"/>
        </w:rPr>
        <w:t>Promoting Ixora cultivation through sustainable practices could provide substantial eco</w:t>
      </w:r>
      <w:r>
        <w:rPr>
          <w:rFonts w:ascii="Times New Roman" w:eastAsia="Times New Roman" w:hAnsi="Times New Roman" w:cs="Times New Roman"/>
          <w:sz w:val="24"/>
          <w:szCs w:val="24"/>
        </w:rPr>
        <w:t xml:space="preserve">nomic benefits to small and marginal farming communities </w:t>
      </w: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rPr>
        <w:t xml:space="preserve"> </w:t>
      </w:r>
      <w:r>
        <w:rPr>
          <w:rFonts w:ascii="Times New Roman" w:eastAsia="Times New Roman" w:hAnsi="Times New Roman" w:cs="Times New Roman"/>
          <w:sz w:val="24"/>
          <w:szCs w:val="24"/>
        </w:rPr>
        <w:t>The plant has been taken into consideration with a keen interest to investigate and carry out the complete study and to get information for consumption and utilization, as well as industrial ap</w:t>
      </w:r>
      <w:r>
        <w:rPr>
          <w:rFonts w:ascii="Times New Roman" w:eastAsia="Times New Roman" w:hAnsi="Times New Roman" w:cs="Times New Roman"/>
          <w:sz w:val="24"/>
          <w:szCs w:val="24"/>
        </w:rPr>
        <w:t>plication of the plant and its product, and quantification of various phytochemical content of dry powder.</w:t>
      </w:r>
    </w:p>
    <w:p w14:paraId="795F2D01" w14:textId="77777777" w:rsidR="00A52713" w:rsidRDefault="00A52713">
      <w:pPr>
        <w:spacing w:before="166" w:after="166" w:line="360" w:lineRule="auto"/>
        <w:jc w:val="both"/>
        <w:rPr>
          <w:rFonts w:ascii="Times New Roman" w:eastAsia="Times New Roman" w:hAnsi="Times New Roman" w:cs="Times New Roman"/>
          <w:sz w:val="24"/>
          <w:szCs w:val="24"/>
        </w:rPr>
      </w:pPr>
    </w:p>
    <w:p w14:paraId="534E7DD7" w14:textId="77777777" w:rsidR="00A52713" w:rsidRDefault="00703B2E">
      <w:pPr>
        <w:spacing w:before="166" w:after="166"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Materials and Methods</w:t>
      </w:r>
    </w:p>
    <w:p w14:paraId="053E9253" w14:textId="77777777" w:rsidR="00A52713" w:rsidRDefault="00703B2E">
      <w:pPr>
        <w:spacing w:line="360" w:lineRule="auto"/>
        <w:jc w:val="both"/>
        <w:rPr>
          <w:rFonts w:ascii="Times New Roman" w:eastAsia="Times New Roman" w:hAnsi="Times New Roman" w:cs="Times New Roman"/>
          <w:b/>
          <w:bCs/>
          <w:i/>
          <w:iCs/>
          <w:color w:val="000000"/>
          <w:sz w:val="24"/>
          <w:szCs w:val="24"/>
          <w:highlight w:val="white"/>
        </w:rPr>
      </w:pPr>
      <w:r>
        <w:rPr>
          <w:rFonts w:ascii="Times New Roman" w:eastAsia="Times New Roman" w:hAnsi="Times New Roman" w:cs="Times New Roman"/>
          <w:b/>
          <w:bCs/>
          <w:i/>
          <w:iCs/>
          <w:sz w:val="24"/>
          <w:szCs w:val="24"/>
        </w:rPr>
        <w:t>2.1. Plant Material Collection</w:t>
      </w:r>
    </w:p>
    <w:p w14:paraId="4C803F3C"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 fully matured leaves and flowers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were collected from the premises of the Department of Applied Chemistry and Chemical Engineering, Islamic University, Kushtia-7003, Bangladesh. The collection was carried out during the daytime at an approximate ambient temperature of 32.0 °C. The plant s</w:t>
      </w:r>
      <w:r>
        <w:rPr>
          <w:rFonts w:ascii="Times New Roman" w:eastAsia="Times New Roman" w:hAnsi="Times New Roman" w:cs="Times New Roman"/>
          <w:sz w:val="24"/>
          <w:szCs w:val="24"/>
        </w:rPr>
        <w:t>amples were authenticated based on morphological characteristics, and only healthy, uncontaminated specimens were selected for analysis.</w:t>
      </w:r>
    </w:p>
    <w:p w14:paraId="6F06CCC4" w14:textId="77777777" w:rsidR="00A52713" w:rsidRDefault="00A52713">
      <w:pPr>
        <w:spacing w:line="480" w:lineRule="auto"/>
        <w:jc w:val="both"/>
        <w:rPr>
          <w:rFonts w:ascii="Times New Roman" w:eastAsia="Times New Roman" w:hAnsi="Times New Roman" w:cs="Times New Roman"/>
          <w:b/>
          <w:bCs/>
          <w:color w:val="000000"/>
          <w:sz w:val="24"/>
          <w:szCs w:val="24"/>
          <w:highlight w:val="white"/>
        </w:rPr>
      </w:pPr>
    </w:p>
    <w:p w14:paraId="72EA7196" w14:textId="77777777" w:rsidR="00A52713" w:rsidRDefault="00703B2E">
      <w:pPr>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2.2. Preparation of Plant Materials</w:t>
      </w:r>
    </w:p>
    <w:p w14:paraId="27148766"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collected plant materials were thoroughly washed with clean water to remove ad</w:t>
      </w:r>
      <w:r>
        <w:rPr>
          <w:rFonts w:ascii="Times New Roman" w:eastAsia="Times New Roman" w:hAnsi="Times New Roman" w:cs="Times New Roman"/>
          <w:sz w:val="24"/>
          <w:szCs w:val="24"/>
        </w:rPr>
        <w:t>hering dust and impurities. The leaves were shade-dried at temperatures below 30.0 °C to minimize degradation of thermolabile constituents. The stems were washed, shade-dried, and subsequently oven-dried at a controlled temperature below 40.0 °C using a la</w:t>
      </w:r>
      <w:r>
        <w:rPr>
          <w:rFonts w:ascii="Times New Roman" w:eastAsia="Times New Roman" w:hAnsi="Times New Roman" w:cs="Times New Roman"/>
          <w:sz w:val="24"/>
          <w:szCs w:val="24"/>
        </w:rPr>
        <w:t>boratory oven (WHL-25A, Huanghua Faithful Instrument Co., Ltd., China). The dried plant materials (leaves and flower) were ground into a fine powder using a mechanical blender. Further size reduction was achieved using a mortar and pestle, followed by grin</w:t>
      </w:r>
      <w:r>
        <w:rPr>
          <w:rFonts w:ascii="Times New Roman" w:eastAsia="Times New Roman" w:hAnsi="Times New Roman" w:cs="Times New Roman"/>
          <w:sz w:val="24"/>
          <w:szCs w:val="24"/>
        </w:rPr>
        <w:t xml:space="preserve">ding with a mechanical mortar grinder (Fritsch, Germany) to ensure uniformity. The powdered material was sieved through a </w:t>
      </w:r>
      <w:proofErr w:type="gramStart"/>
      <w:r>
        <w:rPr>
          <w:rFonts w:ascii="Times New Roman" w:eastAsia="Times New Roman" w:hAnsi="Times New Roman" w:cs="Times New Roman"/>
          <w:sz w:val="24"/>
          <w:szCs w:val="24"/>
        </w:rPr>
        <w:t>20 mesh</w:t>
      </w:r>
      <w:proofErr w:type="gramEnd"/>
      <w:r>
        <w:rPr>
          <w:rFonts w:ascii="Times New Roman" w:eastAsia="Times New Roman" w:hAnsi="Times New Roman" w:cs="Times New Roman"/>
          <w:sz w:val="24"/>
          <w:szCs w:val="24"/>
        </w:rPr>
        <w:t xml:space="preserve"> sieve and </w:t>
      </w:r>
      <w:r>
        <w:rPr>
          <w:rFonts w:ascii="Times New Roman" w:eastAsia="Times New Roman" w:hAnsi="Times New Roman" w:cs="Times New Roman"/>
          <w:sz w:val="24"/>
          <w:szCs w:val="24"/>
        </w:rPr>
        <w:lastRenderedPageBreak/>
        <w:t>stored in airtight containers, properly labeled, and kept in a cool, dry, and dark environment until extraction.</w:t>
      </w:r>
    </w:p>
    <w:p w14:paraId="599B09ED" w14:textId="77777777" w:rsidR="00A52713" w:rsidRDefault="00A52713">
      <w:pPr>
        <w:spacing w:line="480" w:lineRule="auto"/>
        <w:jc w:val="both"/>
        <w:rPr>
          <w:rFonts w:ascii="Times New Roman" w:eastAsia="Times New Roman" w:hAnsi="Times New Roman" w:cs="Times New Roman"/>
          <w:sz w:val="24"/>
          <w:szCs w:val="24"/>
        </w:rPr>
      </w:pPr>
    </w:p>
    <w:p w14:paraId="2BD8B9F1" w14:textId="77777777" w:rsidR="00A52713" w:rsidRDefault="00703B2E">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3. Extraction Procedure</w:t>
      </w:r>
    </w:p>
    <w:p w14:paraId="34621B28" w14:textId="77777777" w:rsidR="00A52713" w:rsidRDefault="00703B2E">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2.3.1. General Considerations</w:t>
      </w:r>
    </w:p>
    <w:p w14:paraId="32B8A7B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Extraction was performed to isolate bioactive phytoconstituents from the plant materials. All procedures were conducted carefully to prevent degradation, loss, or contamination of the active compounds.</w:t>
      </w:r>
    </w:p>
    <w:p w14:paraId="71081889" w14:textId="77777777" w:rsidR="00A52713" w:rsidRDefault="00A52713">
      <w:pPr>
        <w:spacing w:line="480" w:lineRule="auto"/>
        <w:jc w:val="both"/>
        <w:rPr>
          <w:rFonts w:ascii="Times New Roman" w:eastAsia="Times New Roman" w:hAnsi="Times New Roman" w:cs="Times New Roman"/>
          <w:sz w:val="24"/>
          <w:szCs w:val="24"/>
        </w:rPr>
      </w:pPr>
    </w:p>
    <w:p w14:paraId="5EA22AEA"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2.3.2. Cold Extraction (Solvent Maceration)</w:t>
      </w:r>
    </w:p>
    <w:p w14:paraId="0E55499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powdered plant materials were subjected to cold extraction using solvents of increasing polarity, namely n-hexane, ethyl acetate, and methanol. Each sample was soaked in the respective solvent in airtight co</w:t>
      </w:r>
      <w:r>
        <w:rPr>
          <w:rFonts w:ascii="Times New Roman" w:eastAsia="Times New Roman" w:hAnsi="Times New Roman" w:cs="Times New Roman"/>
          <w:sz w:val="24"/>
          <w:szCs w:val="24"/>
        </w:rPr>
        <w:t>ntainers and maintained at room temperature for five (5.0) days with intermittent shaking and stirring to enhance extraction efficiency.</w:t>
      </w:r>
    </w:p>
    <w:p w14:paraId="78F620D7" w14:textId="77777777" w:rsidR="00A52713" w:rsidRDefault="00A52713">
      <w:pPr>
        <w:spacing w:line="480" w:lineRule="auto"/>
        <w:jc w:val="both"/>
        <w:rPr>
          <w:rFonts w:ascii="Times New Roman" w:eastAsia="Times New Roman" w:hAnsi="Times New Roman" w:cs="Times New Roman"/>
          <w:sz w:val="24"/>
          <w:szCs w:val="24"/>
        </w:rPr>
      </w:pPr>
    </w:p>
    <w:p w14:paraId="1556CE45"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2.3.3. Filtration and Concentration of Extracts</w:t>
      </w:r>
    </w:p>
    <w:p w14:paraId="3E33F1C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extraction period, the mixtures were filtered using appropriate filtration techniques. The filtrates were collected separately and concentrated by evaporating the solvents under reduced pressure or at room temperature until semi-solid residue</w:t>
      </w:r>
      <w:r>
        <w:rPr>
          <w:rFonts w:ascii="Times New Roman" w:eastAsia="Times New Roman" w:hAnsi="Times New Roman" w:cs="Times New Roman"/>
          <w:sz w:val="24"/>
          <w:szCs w:val="24"/>
        </w:rPr>
        <w:t xml:space="preserve">s were obtained. </w:t>
      </w:r>
    </w:p>
    <w:p w14:paraId="69CF286C" w14:textId="77777777" w:rsidR="00A52713" w:rsidRDefault="00703B2E">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A77AB13" wp14:editId="1BEAD62A">
            <wp:extent cx="5536188" cy="29713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4197" t="6425" r="3947" b="5930"/>
                    <a:stretch>
                      <a:fillRect/>
                    </a:stretch>
                  </pic:blipFill>
                  <pic:spPr>
                    <a:xfrm>
                      <a:off x="0" y="0"/>
                      <a:ext cx="5536188" cy="2971388"/>
                    </a:xfrm>
                    <a:prstGeom prst="rect">
                      <a:avLst/>
                    </a:prstGeom>
                    <a:ln/>
                  </pic:spPr>
                </pic:pic>
              </a:graphicData>
            </a:graphic>
          </wp:inline>
        </w:drawing>
      </w:r>
    </w:p>
    <w:p w14:paraId="4B4E9BDD"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1:</w:t>
      </w:r>
      <w:r>
        <w:rPr>
          <w:rFonts w:ascii="Times New Roman" w:eastAsia="Times New Roman" w:hAnsi="Times New Roman" w:cs="Times New Roman"/>
          <w:sz w:val="24"/>
          <w:szCs w:val="24"/>
        </w:rPr>
        <w:t xml:space="preserve"> Preparation of Plant Extracts from </w:t>
      </w:r>
      <w:r>
        <w:rPr>
          <w:rFonts w:ascii="Times New Roman" w:eastAsia="Times New Roman" w:hAnsi="Times New Roman" w:cs="Times New Roman"/>
          <w:i/>
          <w:iCs/>
          <w:sz w:val="24"/>
          <w:szCs w:val="24"/>
        </w:rPr>
        <w:t>Ixora Nigricans L.</w:t>
      </w:r>
      <w:r>
        <w:rPr>
          <w:rFonts w:ascii="Times New Roman" w:eastAsia="Times New Roman" w:hAnsi="Times New Roman" w:cs="Times New Roman"/>
          <w:sz w:val="24"/>
          <w:szCs w:val="24"/>
        </w:rPr>
        <w:t xml:space="preserve"> (flowers and leaves).</w:t>
      </w:r>
    </w:p>
    <w:p w14:paraId="21BE44F4" w14:textId="77777777" w:rsidR="00A52713" w:rsidRDefault="00A52713">
      <w:pPr>
        <w:spacing w:line="480" w:lineRule="auto"/>
        <w:jc w:val="both"/>
        <w:rPr>
          <w:rFonts w:ascii="Times New Roman" w:eastAsia="Times New Roman" w:hAnsi="Times New Roman" w:cs="Times New Roman"/>
          <w:sz w:val="24"/>
          <w:szCs w:val="24"/>
        </w:rPr>
      </w:pPr>
    </w:p>
    <w:p w14:paraId="1B680C0D"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extracts were stored in labeled vials and preserved under suitable conditions for further analysis.</w:t>
      </w:r>
    </w:p>
    <w:p w14:paraId="01A3062C" w14:textId="77777777" w:rsidR="00A52713" w:rsidRDefault="00A52713">
      <w:pPr>
        <w:spacing w:line="480" w:lineRule="auto"/>
        <w:jc w:val="both"/>
        <w:rPr>
          <w:rFonts w:ascii="Times New Roman" w:eastAsia="Times New Roman" w:hAnsi="Times New Roman" w:cs="Times New Roman"/>
          <w:sz w:val="24"/>
          <w:szCs w:val="24"/>
        </w:rPr>
      </w:pPr>
    </w:p>
    <w:p w14:paraId="66308958"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2.4. Phytochemical Screening</w:t>
      </w:r>
    </w:p>
    <w:p w14:paraId="6F11DA1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Preliminary phytochemical screening of the extracts was conducted to identify the presence of major secondary metabolites. Standard qualitative methods were employed to detect compounds such as alkaloids, flavonoids, tannins, saponins, and glycosides. Thes</w:t>
      </w:r>
      <w:r>
        <w:rPr>
          <w:rFonts w:ascii="Times New Roman" w:eastAsia="Times New Roman" w:hAnsi="Times New Roman" w:cs="Times New Roman"/>
          <w:sz w:val="24"/>
          <w:szCs w:val="24"/>
        </w:rPr>
        <w:t>e assays provided a rapid and cost-effective means of assessing the chemical composition of the plant extracts.</w:t>
      </w:r>
    </w:p>
    <w:p w14:paraId="1AE9C4CF" w14:textId="77777777" w:rsidR="00A52713" w:rsidRDefault="00A52713">
      <w:pPr>
        <w:spacing w:line="480" w:lineRule="auto"/>
        <w:jc w:val="both"/>
        <w:rPr>
          <w:rFonts w:ascii="Times New Roman" w:eastAsia="Times New Roman" w:hAnsi="Times New Roman" w:cs="Times New Roman"/>
          <w:b/>
          <w:bCs/>
          <w:i/>
          <w:iCs/>
          <w:sz w:val="24"/>
          <w:szCs w:val="24"/>
        </w:rPr>
      </w:pPr>
    </w:p>
    <w:p w14:paraId="15300242" w14:textId="77777777" w:rsidR="00A52713" w:rsidRDefault="00703B2E">
      <w:pPr>
        <w:spacing w:line="480" w:lineRule="auto"/>
        <w:ind w:right="-567"/>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2.4.1 Mayer’s Reagent</w:t>
      </w:r>
    </w:p>
    <w:p w14:paraId="6DD35545"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used for the detection of alkaloids. Solution (A) was made to dissolve 0.68 g mercuric chloride in 30.0 ml of disti</w:t>
      </w:r>
      <w:r>
        <w:rPr>
          <w:rFonts w:ascii="Times New Roman" w:eastAsia="Times New Roman" w:hAnsi="Times New Roman" w:cs="Times New Roman"/>
          <w:sz w:val="24"/>
          <w:szCs w:val="24"/>
        </w:rPr>
        <w:t>lled water. Solution (B) was made to dissolve 2.5 g of potassium iodide (KI) in 10.0 ml of distilled water. Solutions A and B were mixed, and the volume was adjusted to 100.0 ml with distilled water.</w:t>
      </w:r>
    </w:p>
    <w:p w14:paraId="5F7B3A37" w14:textId="77777777" w:rsidR="00A52713" w:rsidRDefault="00A52713">
      <w:pPr>
        <w:spacing w:line="480" w:lineRule="auto"/>
        <w:ind w:right="-567"/>
        <w:jc w:val="both"/>
        <w:rPr>
          <w:rFonts w:ascii="Times New Roman" w:eastAsia="Times New Roman" w:hAnsi="Times New Roman" w:cs="Times New Roman"/>
          <w:sz w:val="24"/>
          <w:szCs w:val="24"/>
        </w:rPr>
      </w:pPr>
    </w:p>
    <w:p w14:paraId="15753D74" w14:textId="77777777" w:rsidR="00A52713" w:rsidRDefault="00703B2E">
      <w:pPr>
        <w:spacing w:line="480" w:lineRule="auto"/>
        <w:ind w:right="-567"/>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2.4.2 Salkowski Test </w:t>
      </w:r>
    </w:p>
    <w:p w14:paraId="4DC34D14"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Salkowski test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was performed </w:t>
      </w:r>
      <w:r>
        <w:rPr>
          <w:rFonts w:ascii="Times New Roman" w:eastAsia="Times New Roman" w:hAnsi="Times New Roman" w:cs="Times New Roman"/>
          <w:sz w:val="24"/>
          <w:szCs w:val="24"/>
        </w:rPr>
        <w:t>for the presence of terpenoids. Each extract was mixed with 2.0 ml of chloroform, and then concentrated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(3.0 ml) was carefully added to form a layer. A reddish-brown coloration in the interface indicated a positive result for the presence.</w:t>
      </w:r>
    </w:p>
    <w:p w14:paraId="5870CC1C" w14:textId="77777777" w:rsidR="00A52713" w:rsidRDefault="00A52713">
      <w:pPr>
        <w:spacing w:line="480" w:lineRule="auto"/>
        <w:ind w:right="-567"/>
        <w:jc w:val="both"/>
        <w:rPr>
          <w:rFonts w:ascii="Times New Roman" w:eastAsia="Times New Roman" w:hAnsi="Times New Roman" w:cs="Times New Roman"/>
          <w:sz w:val="24"/>
          <w:szCs w:val="24"/>
        </w:rPr>
      </w:pPr>
    </w:p>
    <w:p w14:paraId="7A5331D3" w14:textId="77777777" w:rsidR="00A52713" w:rsidRDefault="00703B2E">
      <w:pPr>
        <w:spacing w:line="480" w:lineRule="auto"/>
        <w:ind w:right="-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2.4.3 Tes</w:t>
      </w:r>
      <w:r>
        <w:rPr>
          <w:rFonts w:ascii="Times New Roman" w:eastAsia="Times New Roman" w:hAnsi="Times New Roman" w:cs="Times New Roman"/>
          <w:b/>
          <w:bCs/>
          <w:i/>
          <w:iCs/>
          <w:sz w:val="24"/>
          <w:szCs w:val="24"/>
        </w:rPr>
        <w:t xml:space="preserve">t for Phytochemicals </w:t>
      </w:r>
    </w:p>
    <w:p w14:paraId="64AB5BD1"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The extracts of leaves and flowers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(20 mg) were subjected to qualitative analysis to detect the presence of different classes of chemical constituents in the plant.</w:t>
      </w:r>
    </w:p>
    <w:p w14:paraId="1CEE5DFC" w14:textId="77777777" w:rsidR="00A52713" w:rsidRDefault="00A52713">
      <w:pPr>
        <w:spacing w:line="480" w:lineRule="auto"/>
        <w:ind w:right="-567"/>
        <w:jc w:val="both"/>
        <w:rPr>
          <w:rFonts w:ascii="Times New Roman" w:eastAsia="Times New Roman" w:hAnsi="Times New Roman" w:cs="Times New Roman"/>
          <w:sz w:val="24"/>
          <w:szCs w:val="24"/>
        </w:rPr>
      </w:pPr>
    </w:p>
    <w:p w14:paraId="7F984617" w14:textId="77777777" w:rsidR="00A52713" w:rsidRDefault="00703B2E">
      <w:pPr>
        <w:spacing w:line="480" w:lineRule="auto"/>
        <w:ind w:right="-567"/>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2.4.4 Test for Alkaloids</w:t>
      </w:r>
    </w:p>
    <w:p w14:paraId="0FC5CD61"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Ethyl acetate, n-hexane</w:t>
      </w:r>
      <w:r>
        <w:rPr>
          <w:rFonts w:ascii="Times New Roman" w:eastAsia="Times New Roman" w:hAnsi="Times New Roman" w:cs="Times New Roman"/>
          <w:sz w:val="24"/>
          <w:szCs w:val="24"/>
        </w:rPr>
        <w:t xml:space="preserve">, and methanol extracts of each part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were warmed separately with 2.0 %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for two (2.0) minutes. It was filtered, and a few drops of the following reagents were added, indicating the presence of alkaloids. Mayer’s reagent shows a crea</w:t>
      </w:r>
      <w:r>
        <w:rPr>
          <w:rFonts w:ascii="Times New Roman" w:eastAsia="Times New Roman" w:hAnsi="Times New Roman" w:cs="Times New Roman"/>
          <w:sz w:val="24"/>
          <w:szCs w:val="24"/>
        </w:rPr>
        <w:t>my white color, indicating a positive. Mayer’s reagent is a chemical reagent mainly used for the detection of alkaloids in qualitative analysis.</w:t>
      </w:r>
    </w:p>
    <w:p w14:paraId="3264C0CE" w14:textId="77777777" w:rsidR="00A52713" w:rsidRDefault="00A52713">
      <w:pPr>
        <w:spacing w:line="480" w:lineRule="auto"/>
        <w:ind w:right="-567"/>
        <w:jc w:val="both"/>
        <w:rPr>
          <w:rFonts w:ascii="Times New Roman" w:eastAsia="Times New Roman" w:hAnsi="Times New Roman" w:cs="Times New Roman"/>
          <w:sz w:val="24"/>
          <w:szCs w:val="24"/>
        </w:rPr>
      </w:pPr>
    </w:p>
    <w:p w14:paraId="5E456C03"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2.4.5 Test for Steroids</w:t>
      </w:r>
      <w:r>
        <w:rPr>
          <w:rFonts w:ascii="Times New Roman" w:eastAsia="Times New Roman" w:hAnsi="Times New Roman" w:cs="Times New Roman"/>
          <w:sz w:val="24"/>
          <w:szCs w:val="24"/>
        </w:rPr>
        <w:t xml:space="preserve"> </w:t>
      </w:r>
    </w:p>
    <w:p w14:paraId="284D8C61"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ml of acetic anhydride and 2.0 ml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were added to the extracts. The color </w:t>
      </w:r>
      <w:r>
        <w:rPr>
          <w:rFonts w:ascii="Times New Roman" w:eastAsia="Times New Roman" w:hAnsi="Times New Roman" w:cs="Times New Roman"/>
          <w:sz w:val="24"/>
          <w:szCs w:val="24"/>
        </w:rPr>
        <w:t>changed from violet to blue or green, indicating the presence of 22 steroids.</w:t>
      </w:r>
    </w:p>
    <w:p w14:paraId="420F1E2F" w14:textId="77777777" w:rsidR="00A52713" w:rsidRDefault="00703B2E">
      <w:pPr>
        <w:spacing w:line="480" w:lineRule="auto"/>
        <w:ind w:right="-562"/>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inline distT="0" distB="0" distL="0" distR="0" wp14:anchorId="1B26D011" wp14:editId="3B08E89A">
            <wp:extent cx="4428542" cy="46717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0406" r="28312" b="1235"/>
                    <a:stretch>
                      <a:fillRect/>
                    </a:stretch>
                  </pic:blipFill>
                  <pic:spPr>
                    <a:xfrm>
                      <a:off x="0" y="0"/>
                      <a:ext cx="4428542" cy="4671721"/>
                    </a:xfrm>
                    <a:prstGeom prst="rect">
                      <a:avLst/>
                    </a:prstGeom>
                    <a:ln/>
                  </pic:spPr>
                </pic:pic>
              </a:graphicData>
            </a:graphic>
          </wp:inline>
        </w:drawing>
      </w:r>
    </w:p>
    <w:p w14:paraId="5905CCB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 2: </w:t>
      </w:r>
      <w:r>
        <w:rPr>
          <w:rFonts w:ascii="Times New Roman" w:eastAsia="Times New Roman" w:hAnsi="Times New Roman" w:cs="Times New Roman"/>
          <w:sz w:val="24"/>
          <w:szCs w:val="24"/>
        </w:rPr>
        <w:t xml:space="preserve">The resulting picture of alkaloid, steroid, terpenoid and </w:t>
      </w:r>
      <w:proofErr w:type="spellStart"/>
      <w:r>
        <w:rPr>
          <w:rFonts w:ascii="Times New Roman" w:eastAsia="Times New Roman" w:hAnsi="Times New Roman" w:cs="Times New Roman"/>
          <w:sz w:val="24"/>
          <w:szCs w:val="24"/>
        </w:rPr>
        <w:t>tanin</w:t>
      </w:r>
      <w:proofErr w:type="spellEnd"/>
      <w:r>
        <w:rPr>
          <w:rFonts w:ascii="Times New Roman" w:eastAsia="Times New Roman" w:hAnsi="Times New Roman" w:cs="Times New Roman"/>
          <w:sz w:val="32"/>
          <w:szCs w:val="32"/>
        </w:rPr>
        <w:t>.</w:t>
      </w:r>
    </w:p>
    <w:p w14:paraId="4E8B4193" w14:textId="77777777" w:rsidR="00A52713" w:rsidRDefault="00A52713">
      <w:pPr>
        <w:spacing w:line="480" w:lineRule="auto"/>
        <w:jc w:val="both"/>
        <w:rPr>
          <w:rFonts w:ascii="Times New Roman" w:eastAsia="Times New Roman" w:hAnsi="Times New Roman" w:cs="Times New Roman"/>
          <w:sz w:val="24"/>
          <w:szCs w:val="24"/>
        </w:rPr>
      </w:pPr>
    </w:p>
    <w:p w14:paraId="4F5F8DFA" w14:textId="77777777" w:rsidR="00A52713" w:rsidRDefault="00703B2E">
      <w:pPr>
        <w:spacing w:line="480" w:lineRule="auto"/>
        <w:ind w:right="-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2.4.6 Test for Terpenoids </w:t>
      </w:r>
    </w:p>
    <w:p w14:paraId="1FD6870A" w14:textId="77777777" w:rsidR="00A52713" w:rsidRDefault="00703B2E">
      <w:pPr>
        <w:spacing w:line="480" w:lineRule="auto"/>
        <w:ind w:right="-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 is based on the reaction of cholesterol (a sterol) with </w:t>
      </w:r>
      <w:r>
        <w:rPr>
          <w:rFonts w:ascii="Times New Roman" w:eastAsia="Times New Roman" w:hAnsi="Times New Roman" w:cs="Times New Roman"/>
          <w:sz w:val="24"/>
          <w:szCs w:val="24"/>
        </w:rPr>
        <w:t>concentrated sulfuric acid (H₂SO₄), producing a color change due to the formation of conjugated compounds. The Salkowski test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was performed for the presence of terpenoids. Each extract was mixed with 2.0 ml of chloroform, and then concentrated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(3.0 m</w:t>
      </w:r>
      <w:r>
        <w:rPr>
          <w:rFonts w:ascii="Times New Roman" w:eastAsia="Times New Roman" w:hAnsi="Times New Roman" w:cs="Times New Roman"/>
          <w:sz w:val="24"/>
          <w:szCs w:val="24"/>
        </w:rPr>
        <w:t>l) was carefully added to form a layer. A reddish-brown coloration in the interface indicated a positive result for the presence of terpenoids.</w:t>
      </w:r>
    </w:p>
    <w:p w14:paraId="04074E99" w14:textId="77777777" w:rsidR="00A52713" w:rsidRDefault="00A52713">
      <w:pPr>
        <w:spacing w:line="480" w:lineRule="auto"/>
        <w:ind w:right="-562"/>
        <w:jc w:val="both"/>
        <w:rPr>
          <w:rFonts w:ascii="Times New Roman" w:eastAsia="Times New Roman" w:hAnsi="Times New Roman" w:cs="Times New Roman"/>
          <w:sz w:val="24"/>
          <w:szCs w:val="24"/>
        </w:rPr>
      </w:pPr>
    </w:p>
    <w:p w14:paraId="275EED65" w14:textId="77777777" w:rsidR="00A52713" w:rsidRDefault="00703B2E">
      <w:pPr>
        <w:spacing w:line="480" w:lineRule="auto"/>
        <w:ind w:right="-5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2.4.7 Test for </w:t>
      </w:r>
      <w:proofErr w:type="spellStart"/>
      <w:r>
        <w:rPr>
          <w:rFonts w:ascii="Times New Roman" w:eastAsia="Times New Roman" w:hAnsi="Times New Roman" w:cs="Times New Roman"/>
          <w:b/>
          <w:bCs/>
          <w:sz w:val="24"/>
          <w:szCs w:val="24"/>
        </w:rPr>
        <w:t>Tanins</w:t>
      </w:r>
      <w:proofErr w:type="spellEnd"/>
    </w:p>
    <w:p w14:paraId="7FC5FCCD"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About 0.50 g of the extract was boiled in 10.0 ml of water in a test tube and then filter</w:t>
      </w:r>
      <w:r>
        <w:rPr>
          <w:rFonts w:ascii="Times New Roman" w:eastAsia="Times New Roman" w:hAnsi="Times New Roman" w:cs="Times New Roman"/>
          <w:sz w:val="24"/>
          <w:szCs w:val="24"/>
        </w:rPr>
        <w:t>ed. A few drops of 0.1 % (v/v) Ferric chloride (FeCl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were added and observed for brownish green or a blue-black coloration.</w:t>
      </w:r>
    </w:p>
    <w:p w14:paraId="69803EC1"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Characterization</w:t>
      </w:r>
    </w:p>
    <w:p w14:paraId="77F45CBC" w14:textId="77777777" w:rsidR="00A52713" w:rsidRDefault="00703B2E">
      <w:pPr>
        <w:spacing w:line="48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3.1</w:t>
      </w:r>
      <w:r>
        <w:rPr>
          <w:rFonts w:ascii="Times New Roman" w:eastAsia="Times New Roman" w:hAnsi="Times New Roman" w:cs="Times New Roman"/>
          <w:b/>
          <w:bCs/>
          <w:i/>
          <w:iCs/>
          <w:color w:val="000000"/>
          <w:sz w:val="24"/>
          <w:szCs w:val="24"/>
        </w:rPr>
        <w:t>. X-ray diffraction (XRD</w:t>
      </w:r>
      <w:r>
        <w:rPr>
          <w:rFonts w:ascii="Times New Roman" w:eastAsia="Times New Roman" w:hAnsi="Times New Roman" w:cs="Times New Roman"/>
          <w:b/>
          <w:bCs/>
          <w:i/>
          <w:iCs/>
          <w:color w:val="000000"/>
        </w:rPr>
        <w:t>)</w:t>
      </w:r>
    </w:p>
    <w:p w14:paraId="74968457" w14:textId="77777777" w:rsidR="00A52713" w:rsidRDefault="00703B2E">
      <w:pPr>
        <w:spacing w:line="480" w:lineRule="auto"/>
        <w:jc w:val="both"/>
        <w:rPr>
          <w:rFonts w:ascii="Times New Roman" w:eastAsia="Times New Roman" w:hAnsi="Times New Roman" w:cs="Times New Roman"/>
          <w:b/>
          <w:bCs/>
          <w:i/>
          <w:iCs/>
          <w:color w:val="000000"/>
        </w:rPr>
      </w:pPr>
      <w:r>
        <w:rPr>
          <w:rFonts w:ascii="Times New Roman" w:eastAsia="Times New Roman" w:hAnsi="Times New Roman" w:cs="Times New Roman"/>
          <w:color w:val="000000"/>
          <w:sz w:val="24"/>
          <w:szCs w:val="24"/>
        </w:rPr>
        <w:t xml:space="preserve">Powder XRD was used to describe the crystallinity and crystallographic </w:t>
      </w:r>
      <w:r>
        <w:rPr>
          <w:rFonts w:ascii="Times New Roman" w:eastAsia="Times New Roman" w:hAnsi="Times New Roman" w:cs="Times New Roman"/>
          <w:color w:val="000000"/>
          <w:sz w:val="24"/>
          <w:szCs w:val="24"/>
        </w:rPr>
        <w:t xml:space="preserve">characteristics of the </w:t>
      </w:r>
      <w:proofErr w:type="spellStart"/>
      <w:r>
        <w:rPr>
          <w:rFonts w:ascii="Times New Roman" w:eastAsia="Times New Roman" w:hAnsi="Times New Roman" w:cs="Times New Roman"/>
          <w:color w:val="000000"/>
          <w:sz w:val="24"/>
          <w:szCs w:val="24"/>
        </w:rPr>
        <w:t>Rongon</w:t>
      </w:r>
      <w:proofErr w:type="spellEnd"/>
      <w:r>
        <w:rPr>
          <w:rFonts w:ascii="Times New Roman" w:eastAsia="Times New Roman" w:hAnsi="Times New Roman" w:cs="Times New Roman"/>
          <w:color w:val="000000"/>
          <w:sz w:val="24"/>
          <w:szCs w:val="24"/>
        </w:rPr>
        <w:t xml:space="preserve"> flower and leaves extract [28-30]. This non-destructive analytical method looks at how X-rays [31-33] interact with a crystalline material's regular atomic arrangement [20], [21]. A monochromatic X-ray beam was directed at the</w:t>
      </w:r>
      <w:r>
        <w:rPr>
          <w:rFonts w:ascii="Times New Roman" w:eastAsia="Times New Roman" w:hAnsi="Times New Roman" w:cs="Times New Roman"/>
          <w:color w:val="000000"/>
          <w:sz w:val="24"/>
          <w:szCs w:val="24"/>
        </w:rPr>
        <w:t xml:space="preserve"> extracted samples to collect XRD data [34-36]. The crystallographic shape, structure, size, lattice parameters, d-spacing, and dislocation density can all be ascertained with the aid of XRD [22]. The copper tube's X-ray generator, supplied by Smart Lab SE</w:t>
      </w:r>
      <w:r>
        <w:rPr>
          <w:rFonts w:ascii="Times New Roman" w:eastAsia="Times New Roman" w:hAnsi="Times New Roman" w:cs="Times New Roman"/>
          <w:color w:val="000000"/>
          <w:sz w:val="24"/>
          <w:szCs w:val="24"/>
        </w:rPr>
        <w:t xml:space="preserve"> [Rigaku, Japan], runs at 40.0 kV and 50.0 mA (2.0 kW) [37-39]. Using Bragg-Brentano (BB) optics [40-42], the main X-ray travels through a K</w:t>
      </w:r>
      <w:r>
        <w:rPr>
          <w:rFonts w:ascii="Times New Roman" w:eastAsia="Times New Roman" w:hAnsi="Times New Roman" w:cs="Times New Roman"/>
          <w:color w:val="000000"/>
          <w:sz w:val="24"/>
          <w:szCs w:val="24"/>
          <w:vertAlign w:val="subscript"/>
        </w:rPr>
        <w:t>β</w:t>
      </w:r>
      <w:r>
        <w:rPr>
          <w:rFonts w:ascii="Times New Roman" w:eastAsia="Times New Roman" w:hAnsi="Times New Roman" w:cs="Times New Roman"/>
          <w:color w:val="000000"/>
          <w:sz w:val="24"/>
          <w:szCs w:val="24"/>
        </w:rPr>
        <w:t xml:space="preserve"> [43-45] filter 1D for Cu and a Beryllium (Be) window standard incident primary beam (K¹=1.5406° for Cu) [46-47]. T</w:t>
      </w:r>
      <w:r>
        <w:rPr>
          <w:rFonts w:ascii="Times New Roman" w:eastAsia="Times New Roman" w:hAnsi="Times New Roman" w:cs="Times New Roman"/>
          <w:color w:val="000000"/>
          <w:sz w:val="24"/>
          <w:szCs w:val="24"/>
        </w:rPr>
        <w:t xml:space="preserve">he standard operation mode was utilized. A 1D scan mode with a step width of 0.01° and a rate of 30.0°/minute was used for the experiment [48-50]. The length-limiting slit was set at 10.0 mm, the incidence slit box was set at 0.5°, and the scan range (2θ) </w:t>
      </w:r>
      <w:r>
        <w:rPr>
          <w:rFonts w:ascii="Times New Roman" w:eastAsia="Times New Roman" w:hAnsi="Times New Roman" w:cs="Times New Roman"/>
          <w:color w:val="000000"/>
          <w:sz w:val="24"/>
          <w:szCs w:val="24"/>
        </w:rPr>
        <w:t>was between 5.0 ° and 70.0 ° [51-53]. With both receiving slit boxes 1 and 2 open in the theta-theta goniometer geometry, the Hypix-400 horizontal HPAD [54-56] (hybrid pixel array detector), was utilized for detection [57-59]. The crystallite size of synth</w:t>
      </w:r>
      <w:r>
        <w:rPr>
          <w:rFonts w:ascii="Times New Roman" w:eastAsia="Times New Roman" w:hAnsi="Times New Roman" w:cs="Times New Roman"/>
          <w:color w:val="000000"/>
          <w:sz w:val="24"/>
          <w:szCs w:val="24"/>
        </w:rPr>
        <w:t>etic nanoparticles was determined using the Scherrer equation [23], [24], and [25], as explored by equation 1.</w:t>
      </w:r>
    </w:p>
    <w:p w14:paraId="4D5FFB1C"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Kλ</m:t>
            </m:r>
          </m:num>
          <m:den>
            <m:r>
              <w:rPr>
                <w:rFonts w:ascii="Cambria Math" w:eastAsia="Cambria Math" w:hAnsi="Cambria Math" w:cs="Cambria Math"/>
                <w:color w:val="000000"/>
                <w:sz w:val="24"/>
                <w:szCs w:val="24"/>
              </w:rPr>
              <m:t>βCosθ</m:t>
            </m:r>
          </m:den>
        </m:f>
      </m:oMath>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1)</w:t>
      </w:r>
    </w:p>
    <w:p w14:paraId="76314499" w14:textId="77777777" w:rsidR="00A52713" w:rsidRDefault="00A52713">
      <w:pPr>
        <w:spacing w:before="240" w:after="166" w:line="276" w:lineRule="auto"/>
        <w:jc w:val="both"/>
        <w:rPr>
          <w:rFonts w:ascii="Times New Roman" w:eastAsia="Times New Roman" w:hAnsi="Times New Roman" w:cs="Times New Roman"/>
          <w:b/>
          <w:bCs/>
          <w:sz w:val="24"/>
          <w:szCs w:val="24"/>
        </w:rPr>
      </w:pPr>
    </w:p>
    <w:p w14:paraId="5B21A335" w14:textId="77777777" w:rsidR="00A52713" w:rsidRDefault="00703B2E">
      <w:pPr>
        <w:spacing w:before="240" w:after="166"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4.0 Re</w:t>
      </w:r>
      <w:r>
        <w:rPr>
          <w:rFonts w:ascii="Times New Roman" w:eastAsia="Times New Roman" w:hAnsi="Times New Roman" w:cs="Times New Roman"/>
          <w:b/>
          <w:bCs/>
          <w:sz w:val="24"/>
          <w:szCs w:val="24"/>
        </w:rPr>
        <w:t>sult and Discussion</w:t>
      </w:r>
    </w:p>
    <w:p w14:paraId="347F0B63"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4.1 X-ray Diffraction Analysis</w:t>
      </w:r>
    </w:p>
    <w:p w14:paraId="08E4945C"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structural properties of </w:t>
      </w:r>
      <w:proofErr w:type="spellStart"/>
      <w:r>
        <w:rPr>
          <w:rFonts w:ascii="Times New Roman" w:eastAsia="Times New Roman" w:hAnsi="Times New Roman" w:cs="Times New Roman"/>
          <w:sz w:val="24"/>
          <w:szCs w:val="24"/>
        </w:rPr>
        <w:t>Rongon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L.) flower and leaf extracts, X-ray diffraction patterns were acquired over a 2θ range of 5.0 ° to 70.0 °. Instead of crisp Bragg reflections, both samples exhibited large diffraction halos, suggesting an amorphous-to-</w:t>
      </w:r>
      <w:proofErr w:type="spellStart"/>
      <w:r>
        <w:rPr>
          <w:rFonts w:ascii="Times New Roman" w:eastAsia="Times New Roman" w:hAnsi="Times New Roman" w:cs="Times New Roman"/>
          <w:sz w:val="24"/>
          <w:szCs w:val="24"/>
        </w:rPr>
        <w:t>semicrystalline</w:t>
      </w:r>
      <w:proofErr w:type="spellEnd"/>
      <w:r>
        <w:rPr>
          <w:rFonts w:ascii="Times New Roman" w:eastAsia="Times New Roman" w:hAnsi="Times New Roman" w:cs="Times New Roman"/>
          <w:sz w:val="24"/>
          <w:szCs w:val="24"/>
        </w:rPr>
        <w:t xml:space="preserve"> structure. These patt</w:t>
      </w:r>
      <w:r>
        <w:rPr>
          <w:rFonts w:ascii="Times New Roman" w:eastAsia="Times New Roman" w:hAnsi="Times New Roman" w:cs="Times New Roman"/>
          <w:sz w:val="24"/>
          <w:szCs w:val="24"/>
        </w:rPr>
        <w:t>erns are common in organic matrices derived from plants, which are composed of complex phytochemicals lacking long-range periodic order. The XRD features of the flower and leaf extract-mediated samples are primarily amorphous to weakly crystalline, suggest</w:t>
      </w:r>
      <w:r>
        <w:rPr>
          <w:rFonts w:ascii="Times New Roman" w:eastAsia="Times New Roman" w:hAnsi="Times New Roman" w:cs="Times New Roman"/>
          <w:sz w:val="24"/>
          <w:szCs w:val="24"/>
        </w:rPr>
        <w:t>ing minimal long-range structural order controlled by phytochemical-mediated nucleation and growth processes.  Significant changes in their phytochemical makeup and their impact on nanostructure development, however, are reflected in peak position, intensi</w:t>
      </w:r>
      <w:r>
        <w:rPr>
          <w:rFonts w:ascii="Times New Roman" w:eastAsia="Times New Roman" w:hAnsi="Times New Roman" w:cs="Times New Roman"/>
          <w:sz w:val="24"/>
          <w:szCs w:val="24"/>
        </w:rPr>
        <w:t xml:space="preserve">ty, and broadening [26]. </w:t>
      </w:r>
    </w:p>
    <w:p w14:paraId="441C3429" w14:textId="77777777" w:rsidR="00A52713" w:rsidRDefault="00703B2E">
      <w:pPr>
        <w:spacing w:line="48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rPr>
        <w:drawing>
          <wp:inline distT="0" distB="0" distL="0" distR="0" wp14:anchorId="5FD04046" wp14:editId="533E9F96">
            <wp:extent cx="5035550" cy="348170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5975" r="10839"/>
                    <a:stretch>
                      <a:fillRect/>
                    </a:stretch>
                  </pic:blipFill>
                  <pic:spPr>
                    <a:xfrm>
                      <a:off x="0" y="0"/>
                      <a:ext cx="5035550" cy="3481705"/>
                    </a:xfrm>
                    <a:prstGeom prst="rect">
                      <a:avLst/>
                    </a:prstGeom>
                    <a:ln/>
                  </pic:spPr>
                </pic:pic>
              </a:graphicData>
            </a:graphic>
          </wp:inline>
        </w:drawing>
      </w:r>
    </w:p>
    <w:p w14:paraId="0909DF3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Fig 3: </w:t>
      </w:r>
      <w:r>
        <w:rPr>
          <w:rFonts w:ascii="Times New Roman" w:eastAsia="Times New Roman" w:hAnsi="Times New Roman" w:cs="Times New Roman"/>
          <w:sz w:val="24"/>
          <w:szCs w:val="24"/>
        </w:rPr>
        <w:t xml:space="preserve">X-ray diffraction patterns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L.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Rongon</w:t>
      </w:r>
      <w:proofErr w:type="spellEnd"/>
      <w:r>
        <w:rPr>
          <w:rFonts w:ascii="Times New Roman" w:eastAsia="Times New Roman" w:hAnsi="Times New Roman" w:cs="Times New Roman"/>
          <w:sz w:val="24"/>
          <w:szCs w:val="24"/>
        </w:rPr>
        <w:t>) flower and leaf extracts.</w:t>
      </w:r>
    </w:p>
    <w:p w14:paraId="5AC4FE0C" w14:textId="77777777" w:rsidR="00A52713" w:rsidRDefault="00A52713">
      <w:pPr>
        <w:spacing w:line="480" w:lineRule="auto"/>
        <w:jc w:val="both"/>
        <w:rPr>
          <w:rFonts w:ascii="Times New Roman" w:eastAsia="Times New Roman" w:hAnsi="Times New Roman" w:cs="Times New Roman"/>
          <w:b/>
          <w:bCs/>
          <w:i/>
          <w:iCs/>
          <w:sz w:val="24"/>
          <w:szCs w:val="24"/>
        </w:rPr>
      </w:pPr>
    </w:p>
    <w:p w14:paraId="5252ED9F"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color w:val="000000"/>
          <w:sz w:val="24"/>
          <w:szCs w:val="24"/>
        </w:rPr>
        <w:t xml:space="preserve">Table 1. </w:t>
      </w:r>
      <w:r>
        <w:rPr>
          <w:rFonts w:ascii="Times New Roman" w:eastAsia="Times New Roman" w:hAnsi="Times New Roman" w:cs="Times New Roman"/>
          <w:color w:val="000000"/>
          <w:sz w:val="24"/>
          <w:szCs w:val="24"/>
        </w:rPr>
        <w:t xml:space="preserve">Grain size calculation of </w:t>
      </w:r>
      <w:proofErr w:type="gramStart"/>
      <w:r>
        <w:rPr>
          <w:rFonts w:ascii="Times New Roman" w:eastAsia="Times New Roman" w:hAnsi="Times New Roman" w:cs="Times New Roman"/>
          <w:i/>
          <w:iCs/>
          <w:sz w:val="24"/>
          <w:szCs w:val="24"/>
        </w:rPr>
        <w:t xml:space="preserve">Ixora </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Nigricans</w:t>
      </w:r>
      <w:proofErr w:type="gram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Rongon</w:t>
      </w:r>
      <w:proofErr w:type="spellEnd"/>
      <w:r>
        <w:rPr>
          <w:rFonts w:ascii="Times New Roman" w:eastAsia="Times New Roman" w:hAnsi="Times New Roman" w:cs="Times New Roman"/>
          <w:sz w:val="24"/>
          <w:szCs w:val="24"/>
        </w:rPr>
        <w:t>) flower and leaves extracts.</w:t>
      </w:r>
    </w:p>
    <w:tbl>
      <w:tblPr>
        <w:tblStyle w:val="a0"/>
        <w:tblW w:w="9350" w:type="dxa"/>
        <w:tblInd w:w="-10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696"/>
        <w:gridCol w:w="728"/>
        <w:gridCol w:w="808"/>
        <w:gridCol w:w="1529"/>
        <w:gridCol w:w="1513"/>
        <w:gridCol w:w="1765"/>
        <w:gridCol w:w="1311"/>
      </w:tblGrid>
      <w:tr w:rsidR="00A52713" w14:paraId="3A086F55" w14:textId="77777777">
        <w:tc>
          <w:tcPr>
            <w:tcW w:w="1696" w:type="dxa"/>
            <w:tcBorders>
              <w:top w:val="single" w:sz="4" w:space="0" w:color="000000"/>
              <w:bottom w:val="single" w:sz="4" w:space="0" w:color="000000"/>
            </w:tcBorders>
          </w:tcPr>
          <w:p w14:paraId="5272CFBE"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Sample</w:t>
            </w:r>
          </w:p>
        </w:tc>
        <w:tc>
          <w:tcPr>
            <w:tcW w:w="728" w:type="dxa"/>
            <w:tcBorders>
              <w:top w:val="single" w:sz="4" w:space="0" w:color="000000"/>
              <w:bottom w:val="single" w:sz="4" w:space="0" w:color="000000"/>
            </w:tcBorders>
          </w:tcPr>
          <w:p w14:paraId="199883D8" w14:textId="77777777" w:rsidR="00A52713" w:rsidRDefault="00703B2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2θ</w:t>
            </w:r>
          </w:p>
          <w:p w14:paraId="0B06A474" w14:textId="77777777" w:rsidR="00A52713" w:rsidRDefault="00703B2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w:t>
            </w:r>
            <w:r>
              <w:rPr>
                <w:rFonts w:ascii="Times New Roman" w:eastAsia="Times New Roman" w:hAnsi="Times New Roman" w:cs="Times New Roman"/>
                <w:b/>
                <w:bCs/>
                <w:sz w:val="24"/>
                <w:szCs w:val="24"/>
                <w:highlight w:val="white"/>
              </w:rPr>
              <w:t>°)</w:t>
            </w:r>
          </w:p>
        </w:tc>
        <w:tc>
          <w:tcPr>
            <w:tcW w:w="808" w:type="dxa"/>
            <w:tcBorders>
              <w:top w:val="single" w:sz="4" w:space="0" w:color="000000"/>
              <w:bottom w:val="single" w:sz="4" w:space="0" w:color="000000"/>
            </w:tcBorders>
          </w:tcPr>
          <w:p w14:paraId="18DFA559"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(θ)</w:t>
            </w:r>
          </w:p>
          <w:p w14:paraId="56D70B71"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w:t>
            </w:r>
            <w:r>
              <w:rPr>
                <w:rFonts w:ascii="Times New Roman" w:eastAsia="Times New Roman" w:hAnsi="Times New Roman" w:cs="Times New Roman"/>
                <w:b/>
                <w:bCs/>
                <w:sz w:val="24"/>
                <w:szCs w:val="24"/>
                <w:highlight w:val="white"/>
              </w:rPr>
              <w:t>°)</w:t>
            </w:r>
          </w:p>
        </w:tc>
        <w:tc>
          <w:tcPr>
            <w:tcW w:w="1529" w:type="dxa"/>
            <w:tcBorders>
              <w:top w:val="single" w:sz="4" w:space="0" w:color="000000"/>
              <w:bottom w:val="single" w:sz="4" w:space="0" w:color="000000"/>
            </w:tcBorders>
          </w:tcPr>
          <w:p w14:paraId="12DECC2A"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FWHM</w:t>
            </w:r>
          </w:p>
          <w:p w14:paraId="084B2022"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(radians)</w:t>
            </w:r>
          </w:p>
        </w:tc>
        <w:tc>
          <w:tcPr>
            <w:tcW w:w="1513" w:type="dxa"/>
            <w:tcBorders>
              <w:top w:val="single" w:sz="4" w:space="0" w:color="000000"/>
              <w:bottom w:val="single" w:sz="4" w:space="0" w:color="000000"/>
            </w:tcBorders>
          </w:tcPr>
          <w:p w14:paraId="451C66A8"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Intensity,</w:t>
            </w:r>
            <w:r>
              <w:rPr>
                <w:rFonts w:ascii="Times New Roman" w:eastAsia="Times New Roman" w:hAnsi="Times New Roman" w:cs="Times New Roman"/>
                <w:b/>
                <w:bCs/>
                <w:sz w:val="24"/>
                <w:szCs w:val="24"/>
              </w:rPr>
              <w:t xml:space="preserve"> I</w:t>
            </w:r>
          </w:p>
          <w:p w14:paraId="6D9B1E9C"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(CPS</w:t>
            </w:r>
            <w:r>
              <w:rPr>
                <w:rFonts w:ascii="Times New Roman" w:eastAsia="Times New Roman" w:hAnsi="Times New Roman" w:cs="Times New Roman"/>
                <w:b/>
                <w:bCs/>
                <w:sz w:val="24"/>
                <w:szCs w:val="24"/>
                <w:highlight w:val="white"/>
              </w:rPr>
              <w:t>°</w:t>
            </w:r>
            <w:r>
              <w:rPr>
                <w:rFonts w:ascii="Times New Roman" w:eastAsia="Times New Roman" w:hAnsi="Times New Roman" w:cs="Times New Roman"/>
                <w:b/>
                <w:bCs/>
                <w:sz w:val="24"/>
                <w:szCs w:val="24"/>
              </w:rPr>
              <w:t>)</w:t>
            </w:r>
          </w:p>
        </w:tc>
        <w:tc>
          <w:tcPr>
            <w:tcW w:w="1765" w:type="dxa"/>
            <w:tcBorders>
              <w:top w:val="single" w:sz="4" w:space="0" w:color="000000"/>
              <w:bottom w:val="single" w:sz="4" w:space="0" w:color="000000"/>
            </w:tcBorders>
          </w:tcPr>
          <w:p w14:paraId="72F22FDE"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Crystallite size</w:t>
            </w:r>
          </w:p>
          <w:p w14:paraId="502358C0"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(D) (nm)</w:t>
            </w:r>
          </w:p>
        </w:tc>
        <w:tc>
          <w:tcPr>
            <w:tcW w:w="1311" w:type="dxa"/>
            <w:tcBorders>
              <w:top w:val="single" w:sz="4" w:space="0" w:color="000000"/>
              <w:bottom w:val="single" w:sz="4" w:space="0" w:color="000000"/>
            </w:tcBorders>
          </w:tcPr>
          <w:p w14:paraId="77109663"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d-spacing</w:t>
            </w:r>
          </w:p>
          <w:p w14:paraId="52664F99"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(nm)</w:t>
            </w:r>
          </w:p>
        </w:tc>
      </w:tr>
      <w:tr w:rsidR="00A52713" w14:paraId="6C98C534" w14:textId="77777777">
        <w:trPr>
          <w:trHeight w:val="249"/>
        </w:trPr>
        <w:tc>
          <w:tcPr>
            <w:tcW w:w="1696" w:type="dxa"/>
            <w:tcBorders>
              <w:top w:val="single" w:sz="4" w:space="0" w:color="000000"/>
              <w:bottom w:val="nil"/>
            </w:tcBorders>
          </w:tcPr>
          <w:p w14:paraId="70A3E60B"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Flower Extract</w:t>
            </w:r>
          </w:p>
        </w:tc>
        <w:tc>
          <w:tcPr>
            <w:tcW w:w="728" w:type="dxa"/>
            <w:tcBorders>
              <w:top w:val="single" w:sz="4" w:space="0" w:color="000000"/>
              <w:bottom w:val="nil"/>
            </w:tcBorders>
          </w:tcPr>
          <w:p w14:paraId="5ABD2FDA"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808" w:type="dxa"/>
            <w:tcBorders>
              <w:top w:val="single" w:sz="4" w:space="0" w:color="000000"/>
              <w:bottom w:val="nil"/>
            </w:tcBorders>
          </w:tcPr>
          <w:p w14:paraId="26E1A1C7"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w:t>
            </w:r>
          </w:p>
        </w:tc>
        <w:tc>
          <w:tcPr>
            <w:tcW w:w="1529" w:type="dxa"/>
            <w:tcBorders>
              <w:top w:val="single" w:sz="4" w:space="0" w:color="000000"/>
              <w:bottom w:val="nil"/>
            </w:tcBorders>
          </w:tcPr>
          <w:p w14:paraId="39081221"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0.19984</w:t>
            </w:r>
          </w:p>
          <w:p w14:paraId="05AC56BB" w14:textId="77777777" w:rsidR="00A52713" w:rsidRDefault="00A52713">
            <w:pPr>
              <w:spacing w:line="276" w:lineRule="auto"/>
              <w:jc w:val="center"/>
              <w:rPr>
                <w:rFonts w:ascii="Times New Roman" w:eastAsia="Times New Roman" w:hAnsi="Times New Roman" w:cs="Times New Roman"/>
                <w:color w:val="000000"/>
                <w:sz w:val="24"/>
                <w:szCs w:val="24"/>
              </w:rPr>
            </w:pPr>
          </w:p>
        </w:tc>
        <w:tc>
          <w:tcPr>
            <w:tcW w:w="1513" w:type="dxa"/>
            <w:tcBorders>
              <w:top w:val="single" w:sz="4" w:space="0" w:color="000000"/>
              <w:bottom w:val="nil"/>
            </w:tcBorders>
          </w:tcPr>
          <w:p w14:paraId="3F87F62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5184</w:t>
            </w:r>
          </w:p>
        </w:tc>
        <w:tc>
          <w:tcPr>
            <w:tcW w:w="1765" w:type="dxa"/>
            <w:tcBorders>
              <w:top w:val="single" w:sz="4" w:space="0" w:color="000000"/>
              <w:bottom w:val="nil"/>
            </w:tcBorders>
          </w:tcPr>
          <w:p w14:paraId="5DFA6B0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w:t>
            </w:r>
          </w:p>
        </w:tc>
        <w:tc>
          <w:tcPr>
            <w:tcW w:w="1311" w:type="dxa"/>
            <w:tcBorders>
              <w:top w:val="single" w:sz="4" w:space="0" w:color="000000"/>
              <w:bottom w:val="nil"/>
            </w:tcBorders>
          </w:tcPr>
          <w:p w14:paraId="6AE84B2C"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0.0216</w:t>
            </w:r>
          </w:p>
        </w:tc>
      </w:tr>
      <w:tr w:rsidR="00A52713" w14:paraId="402F6380" w14:textId="77777777">
        <w:tc>
          <w:tcPr>
            <w:tcW w:w="1696" w:type="dxa"/>
            <w:tcBorders>
              <w:top w:val="nil"/>
              <w:bottom w:val="single" w:sz="4" w:space="0" w:color="000000"/>
            </w:tcBorders>
          </w:tcPr>
          <w:p w14:paraId="3BD23D39"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Leaf extract</w:t>
            </w:r>
          </w:p>
        </w:tc>
        <w:tc>
          <w:tcPr>
            <w:tcW w:w="728" w:type="dxa"/>
            <w:tcBorders>
              <w:top w:val="nil"/>
              <w:bottom w:val="single" w:sz="4" w:space="0" w:color="000000"/>
            </w:tcBorders>
          </w:tcPr>
          <w:p w14:paraId="0B838BC0"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c>
          <w:tcPr>
            <w:tcW w:w="808" w:type="dxa"/>
            <w:tcBorders>
              <w:top w:val="nil"/>
              <w:bottom w:val="single" w:sz="4" w:space="0" w:color="000000"/>
            </w:tcBorders>
          </w:tcPr>
          <w:p w14:paraId="509508A2"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26.15</w:t>
            </w:r>
          </w:p>
        </w:tc>
        <w:tc>
          <w:tcPr>
            <w:tcW w:w="1529" w:type="dxa"/>
            <w:tcBorders>
              <w:top w:val="nil"/>
              <w:bottom w:val="single" w:sz="4" w:space="0" w:color="000000"/>
            </w:tcBorders>
          </w:tcPr>
          <w:p w14:paraId="00791E6D"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0.308923</w:t>
            </w:r>
          </w:p>
        </w:tc>
        <w:tc>
          <w:tcPr>
            <w:tcW w:w="1513" w:type="dxa"/>
            <w:tcBorders>
              <w:top w:val="nil"/>
              <w:bottom w:val="single" w:sz="4" w:space="0" w:color="000000"/>
            </w:tcBorders>
          </w:tcPr>
          <w:p w14:paraId="4190DA78"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4346</w:t>
            </w:r>
          </w:p>
        </w:tc>
        <w:tc>
          <w:tcPr>
            <w:tcW w:w="1765" w:type="dxa"/>
            <w:tcBorders>
              <w:top w:val="nil"/>
              <w:bottom w:val="single" w:sz="4" w:space="0" w:color="000000"/>
            </w:tcBorders>
          </w:tcPr>
          <w:p w14:paraId="6D1A012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w:t>
            </w:r>
          </w:p>
        </w:tc>
        <w:tc>
          <w:tcPr>
            <w:tcW w:w="1311" w:type="dxa"/>
            <w:tcBorders>
              <w:top w:val="nil"/>
              <w:bottom w:val="single" w:sz="4" w:space="0" w:color="000000"/>
            </w:tcBorders>
          </w:tcPr>
          <w:p w14:paraId="19AA955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0.175</w:t>
            </w:r>
          </w:p>
        </w:tc>
      </w:tr>
    </w:tbl>
    <w:p w14:paraId="7508F0E0" w14:textId="77777777" w:rsidR="00A52713" w:rsidRDefault="00703B2E">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The floral extract exhibits a diffraction peak at 2θ = 41.8° with a considerably lower FWHM (0.19984 </w:t>
      </w:r>
      <w:r>
        <w:rPr>
          <w:rFonts w:ascii="Times New Roman" w:eastAsia="Times New Roman" w:hAnsi="Times New Roman" w:cs="Times New Roman"/>
          <w:color w:val="000000"/>
          <w:sz w:val="24"/>
          <w:szCs w:val="24"/>
        </w:rPr>
        <w:t>rad), indicating a bigger crystallite size (0.78 nm) and better-ordered crystalline domains. The presence of active phytochemicals like flavonoids and phenolics that enable controlled nucleation and efficient capping, encouraging more uniform crystal growt</w:t>
      </w:r>
      <w:r>
        <w:rPr>
          <w:rFonts w:ascii="Times New Roman" w:eastAsia="Times New Roman" w:hAnsi="Times New Roman" w:cs="Times New Roman"/>
          <w:color w:val="000000"/>
          <w:sz w:val="24"/>
          <w:szCs w:val="24"/>
        </w:rPr>
        <w:t>h and tighter lattice arrangement (d = 0.0216 nm), is responsible for the higher intensity (5184 CPS), which further indicates enhanced structural ordering [27].</w:t>
      </w:r>
    </w:p>
    <w:p w14:paraId="730DB73C"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leaf extract, on the other hand, shows a diffraction peak at 2θ = 52.3° with a larger FWHM</w:t>
      </w:r>
      <w:r>
        <w:rPr>
          <w:rFonts w:ascii="Times New Roman" w:eastAsia="Times New Roman" w:hAnsi="Times New Roman" w:cs="Times New Roman"/>
          <w:sz w:val="24"/>
          <w:szCs w:val="24"/>
        </w:rPr>
        <w:t xml:space="preserve"> (0.308923 rad), suggesting a lower crystallite size (0.52 nm) and decreased crystallinity. Due to a greater percentage of condensed polyphenols, lignin-related chemicals, and lignocellulosic residues, the lower intensity (4346 CPS) represents comparativel</w:t>
      </w:r>
      <w:r>
        <w:rPr>
          <w:rFonts w:ascii="Times New Roman" w:eastAsia="Times New Roman" w:hAnsi="Times New Roman" w:cs="Times New Roman"/>
          <w:sz w:val="24"/>
          <w:szCs w:val="24"/>
        </w:rPr>
        <w:t>y less organized structural domains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[60-61].</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Faster nucleation, restricted crystal development, and relatively larger lattice spacing (d = 0.175 nm) result from these components' contributions to a more complex and heterogeneous phytochemical matrix. Overa</w:t>
      </w:r>
      <w:r>
        <w:rPr>
          <w:rFonts w:ascii="Times New Roman" w:eastAsia="Times New Roman" w:hAnsi="Times New Roman" w:cs="Times New Roman"/>
          <w:sz w:val="24"/>
          <w:szCs w:val="24"/>
        </w:rPr>
        <w:t>ll, the findings show that while stem extract promotes smaller, less crystalline structures due to a denser but more heterogeneous phytochemical environment influencing rapid nucleation and growth kinetics, flower extract favors more ordered and relatively</w:t>
      </w:r>
      <w:r>
        <w:rPr>
          <w:rFonts w:ascii="Times New Roman" w:eastAsia="Times New Roman" w:hAnsi="Times New Roman" w:cs="Times New Roman"/>
          <w:sz w:val="24"/>
          <w:szCs w:val="24"/>
        </w:rPr>
        <w:t xml:space="preserve"> larger crystalline nanostructures due to effective phytochemical capping and controlled growth.</w:t>
      </w:r>
    </w:p>
    <w:p w14:paraId="703B6E5B" w14:textId="77777777" w:rsidR="00A52713" w:rsidRDefault="00A52713">
      <w:pPr>
        <w:spacing w:line="480" w:lineRule="auto"/>
        <w:jc w:val="both"/>
        <w:rPr>
          <w:rFonts w:ascii="Times New Roman" w:eastAsia="Times New Roman" w:hAnsi="Times New Roman" w:cs="Times New Roman"/>
          <w:sz w:val="24"/>
          <w:szCs w:val="24"/>
        </w:rPr>
      </w:pPr>
    </w:p>
    <w:p w14:paraId="3305991D"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4.2 Phytochemical screening of the leaves and flowers of Ixora Nigricans L.</w:t>
      </w:r>
    </w:p>
    <w:p w14:paraId="78CFB158"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2. </w:t>
      </w:r>
      <w:r>
        <w:rPr>
          <w:rFonts w:ascii="Times New Roman" w:eastAsia="Times New Roman" w:hAnsi="Times New Roman" w:cs="Times New Roman"/>
          <w:sz w:val="24"/>
          <w:szCs w:val="24"/>
        </w:rPr>
        <w:t xml:space="preserve">Chart for phytochemical screening of the leaves of </w:t>
      </w:r>
      <w:r>
        <w:rPr>
          <w:rFonts w:ascii="Times New Roman" w:eastAsia="Times New Roman" w:hAnsi="Times New Roman" w:cs="Times New Roman"/>
          <w:i/>
          <w:iCs/>
          <w:sz w:val="24"/>
          <w:szCs w:val="24"/>
        </w:rPr>
        <w:t>Ixora Nigricans L.</w:t>
      </w:r>
    </w:p>
    <w:tbl>
      <w:tblPr>
        <w:tblStyle w:val="a1"/>
        <w:tblpPr w:leftFromText="180" w:rightFromText="180" w:vertAnchor="text" w:tblpX="441" w:tblpY="135"/>
        <w:tblW w:w="8477" w:type="dxa"/>
        <w:tblInd w:w="0" w:type="dxa"/>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4A0" w:firstRow="1" w:lastRow="0" w:firstColumn="1" w:lastColumn="0" w:noHBand="0" w:noVBand="1"/>
      </w:tblPr>
      <w:tblGrid>
        <w:gridCol w:w="2768"/>
        <w:gridCol w:w="1150"/>
        <w:gridCol w:w="1342"/>
        <w:gridCol w:w="1613"/>
        <w:gridCol w:w="1604"/>
      </w:tblGrid>
      <w:tr w:rsidR="00A52713" w14:paraId="107B04DD" w14:textId="77777777" w:rsidTr="00A52713">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69" w:type="dxa"/>
            <w:vMerge w:val="restart"/>
          </w:tcPr>
          <w:p w14:paraId="52D36591" w14:textId="77777777" w:rsidR="00A52713" w:rsidRDefault="00703B2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Solvent</w:t>
            </w:r>
          </w:p>
        </w:tc>
        <w:tc>
          <w:tcPr>
            <w:tcW w:w="5709" w:type="dxa"/>
            <w:gridSpan w:val="4"/>
          </w:tcPr>
          <w:p w14:paraId="12EC5B66" w14:textId="77777777" w:rsidR="00A52713" w:rsidRDefault="00703B2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Tested group</w:t>
            </w:r>
          </w:p>
        </w:tc>
      </w:tr>
      <w:tr w:rsidR="00A52713" w14:paraId="54A6DAC7"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vMerge/>
          </w:tcPr>
          <w:p w14:paraId="5A765D96" w14:textId="77777777" w:rsidR="00A52713" w:rsidRDefault="00A5271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50" w:type="dxa"/>
          </w:tcPr>
          <w:p w14:paraId="09F13264"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w:t>
            </w:r>
          </w:p>
        </w:tc>
        <w:tc>
          <w:tcPr>
            <w:tcW w:w="1342" w:type="dxa"/>
          </w:tcPr>
          <w:p w14:paraId="0526D337"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Steroids</w:t>
            </w:r>
          </w:p>
        </w:tc>
        <w:tc>
          <w:tcPr>
            <w:tcW w:w="1613" w:type="dxa"/>
          </w:tcPr>
          <w:p w14:paraId="3D8190E4"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Terpenoids</w:t>
            </w:r>
          </w:p>
        </w:tc>
        <w:tc>
          <w:tcPr>
            <w:tcW w:w="1604" w:type="dxa"/>
          </w:tcPr>
          <w:p w14:paraId="2EA03F3D"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Tanin</w:t>
            </w:r>
            <w:proofErr w:type="spellEnd"/>
          </w:p>
        </w:tc>
      </w:tr>
      <w:tr w:rsidR="00A52713" w14:paraId="0434B46E"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tcPr>
          <w:p w14:paraId="2023F968"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N-hexane</w:t>
            </w:r>
          </w:p>
        </w:tc>
        <w:tc>
          <w:tcPr>
            <w:tcW w:w="1150" w:type="dxa"/>
          </w:tcPr>
          <w:p w14:paraId="1F23E0F3"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342" w:type="dxa"/>
          </w:tcPr>
          <w:p w14:paraId="3E799FC5"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5AF32C1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604" w:type="dxa"/>
          </w:tcPr>
          <w:p w14:paraId="3DEE90C5"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1AF2F3C1"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tcPr>
          <w:p w14:paraId="74FA91C9"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Ethyl acetate</w:t>
            </w:r>
          </w:p>
        </w:tc>
        <w:tc>
          <w:tcPr>
            <w:tcW w:w="1150" w:type="dxa"/>
          </w:tcPr>
          <w:p w14:paraId="4BB7C434"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342" w:type="dxa"/>
          </w:tcPr>
          <w:p w14:paraId="63EEE637"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5F02B853"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04" w:type="dxa"/>
          </w:tcPr>
          <w:p w14:paraId="06663B05"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7520FFDA"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tcPr>
          <w:p w14:paraId="757DEAC8"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Ethanol</w:t>
            </w:r>
          </w:p>
        </w:tc>
        <w:tc>
          <w:tcPr>
            <w:tcW w:w="1150" w:type="dxa"/>
          </w:tcPr>
          <w:p w14:paraId="7AA4F948"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342" w:type="dxa"/>
          </w:tcPr>
          <w:p w14:paraId="25FC3E76"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613" w:type="dxa"/>
          </w:tcPr>
          <w:p w14:paraId="58F4FFB8"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04" w:type="dxa"/>
          </w:tcPr>
          <w:p w14:paraId="4A03214A"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r>
    </w:tbl>
    <w:p w14:paraId="0E044496" w14:textId="77777777" w:rsidR="00A52713" w:rsidRDefault="00703B2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4C7E1AB" w14:textId="77777777" w:rsidR="00A52713" w:rsidRDefault="00703B2E">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qualitative phytochemical screening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L. leaf extracts (</w:t>
      </w:r>
      <w:r>
        <w:rPr>
          <w:rFonts w:ascii="Times New Roman" w:eastAsia="Times New Roman" w:hAnsi="Times New Roman" w:cs="Times New Roman"/>
          <w:b/>
          <w:bCs/>
          <w:color w:val="000000"/>
          <w:sz w:val="24"/>
          <w:szCs w:val="24"/>
        </w:rPr>
        <w:t>Table 2</w:t>
      </w:r>
      <w:r>
        <w:rPr>
          <w:rFonts w:ascii="Times New Roman" w:eastAsia="Times New Roman" w:hAnsi="Times New Roman" w:cs="Times New Roman"/>
          <w:color w:val="000000"/>
          <w:sz w:val="24"/>
          <w:szCs w:val="24"/>
        </w:rPr>
        <w:t xml:space="preserve">) revealed a diverse distribution of secondary </w:t>
      </w:r>
      <w:r>
        <w:rPr>
          <w:rFonts w:ascii="Times New Roman" w:eastAsia="Times New Roman" w:hAnsi="Times New Roman" w:cs="Times New Roman"/>
          <w:color w:val="000000"/>
          <w:sz w:val="24"/>
          <w:szCs w:val="24"/>
        </w:rPr>
        <w:t>metabolites influenced by solvent polarity. Alkaloids were identified across all solvent systems, suggesting a broad range of alkaloidal structures with varying polarities. In contrast, steroids were selectively extracted by ethanol, indicating the presenc</w:t>
      </w:r>
      <w:r>
        <w:rPr>
          <w:rFonts w:ascii="Times New Roman" w:eastAsia="Times New Roman" w:hAnsi="Times New Roman" w:cs="Times New Roman"/>
          <w:color w:val="000000"/>
          <w:sz w:val="24"/>
          <w:szCs w:val="24"/>
        </w:rPr>
        <w:t>e of polar derivatives such as glycosides.</w:t>
      </w:r>
    </w:p>
    <w:p w14:paraId="13293949" w14:textId="77777777" w:rsidR="00A52713" w:rsidRDefault="00703B2E">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Terpenoids and tannins were predominantly localized in the n-hexane and ethyl acetate fractions. The presence of terpenoids in the n-hexane extract confirms their lipophilic nature [62], while the detection of tan</w:t>
      </w:r>
      <w:r>
        <w:rPr>
          <w:rFonts w:ascii="Times New Roman" w:eastAsia="Times New Roman" w:hAnsi="Times New Roman" w:cs="Times New Roman"/>
          <w:color w:val="000000"/>
          <w:sz w:val="24"/>
          <w:szCs w:val="24"/>
        </w:rPr>
        <w:t>nins in less polar solvents suggests a specific chemical profile-likely condensed tannins-that warrants further quantitative study. These results highlight the necessity of a multi-solvent approach for the comprehensive isolation of the plant's bioactive c</w:t>
      </w:r>
      <w:r>
        <w:rPr>
          <w:rFonts w:ascii="Times New Roman" w:eastAsia="Times New Roman" w:hAnsi="Times New Roman" w:cs="Times New Roman"/>
          <w:color w:val="000000"/>
          <w:sz w:val="24"/>
          <w:szCs w:val="24"/>
        </w:rPr>
        <w:t>onstituents.</w:t>
      </w:r>
    </w:p>
    <w:p w14:paraId="2F876908" w14:textId="77777777" w:rsidR="00A52713" w:rsidRDefault="00703B2E">
      <w:pPr>
        <w:spacing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Table 3. </w:t>
      </w:r>
      <w:r>
        <w:rPr>
          <w:rFonts w:ascii="Times New Roman" w:eastAsia="Times New Roman" w:hAnsi="Times New Roman" w:cs="Times New Roman"/>
          <w:sz w:val="24"/>
          <w:szCs w:val="24"/>
        </w:rPr>
        <w:t xml:space="preserve">Chart for phytochemical screening of the flowers of </w:t>
      </w:r>
      <w:r>
        <w:rPr>
          <w:rFonts w:ascii="Times New Roman" w:eastAsia="Times New Roman" w:hAnsi="Times New Roman" w:cs="Times New Roman"/>
          <w:i/>
          <w:iCs/>
          <w:sz w:val="24"/>
          <w:szCs w:val="24"/>
        </w:rPr>
        <w:t>Ixora nigricans L.</w:t>
      </w:r>
    </w:p>
    <w:tbl>
      <w:tblPr>
        <w:tblStyle w:val="a2"/>
        <w:tblpPr w:leftFromText="180" w:rightFromText="180" w:vertAnchor="text" w:tblpX="441" w:tblpY="135"/>
        <w:tblW w:w="8477" w:type="dxa"/>
        <w:tblInd w:w="0" w:type="dxa"/>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4A0" w:firstRow="1" w:lastRow="0" w:firstColumn="1" w:lastColumn="0" w:noHBand="0" w:noVBand="1"/>
      </w:tblPr>
      <w:tblGrid>
        <w:gridCol w:w="2768"/>
        <w:gridCol w:w="1150"/>
        <w:gridCol w:w="1342"/>
        <w:gridCol w:w="1613"/>
        <w:gridCol w:w="1604"/>
      </w:tblGrid>
      <w:tr w:rsidR="00A52713" w14:paraId="11513C0D" w14:textId="77777777" w:rsidTr="00A52713">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69" w:type="dxa"/>
            <w:vMerge w:val="restart"/>
          </w:tcPr>
          <w:p w14:paraId="78D524A1" w14:textId="77777777" w:rsidR="00A52713" w:rsidRDefault="00703B2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Solvent</w:t>
            </w:r>
          </w:p>
        </w:tc>
        <w:tc>
          <w:tcPr>
            <w:tcW w:w="5709" w:type="dxa"/>
            <w:gridSpan w:val="4"/>
          </w:tcPr>
          <w:p w14:paraId="23EB34B1" w14:textId="77777777" w:rsidR="00A52713" w:rsidRDefault="00703B2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Tested group</w:t>
            </w:r>
          </w:p>
        </w:tc>
      </w:tr>
      <w:tr w:rsidR="00A52713" w14:paraId="7FA5992B"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vMerge/>
          </w:tcPr>
          <w:p w14:paraId="747978B7" w14:textId="77777777" w:rsidR="00A52713" w:rsidRDefault="00A5271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50" w:type="dxa"/>
          </w:tcPr>
          <w:p w14:paraId="7318F4F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w:t>
            </w:r>
          </w:p>
        </w:tc>
        <w:tc>
          <w:tcPr>
            <w:tcW w:w="1342" w:type="dxa"/>
          </w:tcPr>
          <w:p w14:paraId="1F79DA7B"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Steroids</w:t>
            </w:r>
          </w:p>
        </w:tc>
        <w:tc>
          <w:tcPr>
            <w:tcW w:w="1613" w:type="dxa"/>
          </w:tcPr>
          <w:p w14:paraId="20BF702F"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Terpenoids</w:t>
            </w:r>
          </w:p>
        </w:tc>
        <w:tc>
          <w:tcPr>
            <w:tcW w:w="1604" w:type="dxa"/>
          </w:tcPr>
          <w:p w14:paraId="6B3F8A3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Tanin</w:t>
            </w:r>
            <w:proofErr w:type="spellEnd"/>
          </w:p>
        </w:tc>
      </w:tr>
      <w:tr w:rsidR="00A52713" w14:paraId="71EDFC31"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tcPr>
          <w:p w14:paraId="0EF21450"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N-hexane</w:t>
            </w:r>
          </w:p>
        </w:tc>
        <w:tc>
          <w:tcPr>
            <w:tcW w:w="1150" w:type="dxa"/>
          </w:tcPr>
          <w:p w14:paraId="7802071E"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342" w:type="dxa"/>
          </w:tcPr>
          <w:p w14:paraId="00D803BC"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7A14044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604" w:type="dxa"/>
          </w:tcPr>
          <w:p w14:paraId="6CF4445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4C7A4C9E"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tcPr>
          <w:p w14:paraId="51F0CE20"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Ethyl acetate</w:t>
            </w:r>
          </w:p>
        </w:tc>
        <w:tc>
          <w:tcPr>
            <w:tcW w:w="1150" w:type="dxa"/>
          </w:tcPr>
          <w:p w14:paraId="1E2071E0"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342" w:type="dxa"/>
          </w:tcPr>
          <w:p w14:paraId="5DBD6674"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4610664D"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04" w:type="dxa"/>
          </w:tcPr>
          <w:p w14:paraId="7E3182F7"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09D00FA9" w14:textId="77777777" w:rsidTr="00A52713">
        <w:trPr>
          <w:trHeight w:val="58"/>
        </w:trPr>
        <w:tc>
          <w:tcPr>
            <w:cnfStyle w:val="001000000000" w:firstRow="0" w:lastRow="0" w:firstColumn="1" w:lastColumn="0" w:oddVBand="0" w:evenVBand="0" w:oddHBand="0" w:evenHBand="0" w:firstRowFirstColumn="0" w:firstRowLastColumn="0" w:lastRowFirstColumn="0" w:lastRowLastColumn="0"/>
            <w:tcW w:w="2769" w:type="dxa"/>
          </w:tcPr>
          <w:p w14:paraId="0ADA323A"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Ethanol</w:t>
            </w:r>
          </w:p>
        </w:tc>
        <w:tc>
          <w:tcPr>
            <w:tcW w:w="1150" w:type="dxa"/>
          </w:tcPr>
          <w:p w14:paraId="6FC592F7"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342" w:type="dxa"/>
          </w:tcPr>
          <w:p w14:paraId="09A3FAE8"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72DD3C6B"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04" w:type="dxa"/>
          </w:tcPr>
          <w:p w14:paraId="2C63C02C"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bl>
    <w:p w14:paraId="0DF5784D" w14:textId="77777777" w:rsidR="00A52713" w:rsidRDefault="00A52713">
      <w:pPr>
        <w:spacing w:line="480" w:lineRule="auto"/>
        <w:rPr>
          <w:rFonts w:ascii="Times New Roman" w:eastAsia="Times New Roman" w:hAnsi="Times New Roman" w:cs="Times New Roman"/>
          <w:b/>
          <w:bCs/>
          <w:sz w:val="24"/>
          <w:szCs w:val="24"/>
        </w:rPr>
      </w:pPr>
    </w:p>
    <w:p w14:paraId="1D14D46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qualitative screening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L. flower extracts (</w:t>
      </w: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xml:space="preserve">) revealed a high prevalence of alkaloids and tannins, which were consistently detected across all solvent systems </w:t>
      </w:r>
      <w:r>
        <w:rPr>
          <w:rFonts w:ascii="Times New Roman" w:eastAsia="Times New Roman" w:hAnsi="Times New Roman" w:cs="Times New Roman"/>
          <w:sz w:val="24"/>
          <w:szCs w:val="24"/>
        </w:rPr>
        <w:lastRenderedPageBreak/>
        <w:t>regardless of polarity. This ubiquity suggests a diverse chemical profile of these metabolites, likely contributi</w:t>
      </w:r>
      <w:r>
        <w:rPr>
          <w:rFonts w:ascii="Times New Roman" w:eastAsia="Times New Roman" w:hAnsi="Times New Roman" w:cs="Times New Roman"/>
          <w:sz w:val="24"/>
          <w:szCs w:val="24"/>
        </w:rPr>
        <w:t>ng to the flowers' pharmacological potential.</w:t>
      </w:r>
    </w:p>
    <w:p w14:paraId="43253043"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Conversely, terpenoids were uniquely localized in the n-hexane fraction, confirming their lipophilic nature and the need for nonpolar solvents for their extraction. Notably, steroids were absent from all tested</w:t>
      </w:r>
      <w:r>
        <w:rPr>
          <w:rFonts w:ascii="Times New Roman" w:eastAsia="Times New Roman" w:hAnsi="Times New Roman" w:cs="Times New Roman"/>
          <w:sz w:val="24"/>
          <w:szCs w:val="24"/>
        </w:rPr>
        <w:t xml:space="preserve"> extracts, indicating a tissue-specific metabolic profile distinct from that of the leaves [63]. These findings characterize the floral extracts as a rich source of nitrogenous and phenolic compounds, providing a basis for targeted bioactivity studies.</w:t>
      </w:r>
    </w:p>
    <w:p w14:paraId="04B940B4" w14:textId="77777777" w:rsidR="00A52713" w:rsidRDefault="00A52713">
      <w:pPr>
        <w:spacing w:line="480" w:lineRule="auto"/>
        <w:jc w:val="both"/>
        <w:rPr>
          <w:rFonts w:ascii="Times New Roman" w:eastAsia="Times New Roman" w:hAnsi="Times New Roman" w:cs="Times New Roman"/>
          <w:sz w:val="24"/>
          <w:szCs w:val="24"/>
        </w:rPr>
      </w:pPr>
    </w:p>
    <w:p w14:paraId="51F3DC02"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w:t>
      </w:r>
      <w:r>
        <w:rPr>
          <w:rFonts w:ascii="Times New Roman" w:eastAsia="Times New Roman" w:hAnsi="Times New Roman" w:cs="Times New Roman"/>
          <w:b/>
          <w:bCs/>
          <w:i/>
          <w:iCs/>
          <w:sz w:val="24"/>
          <w:szCs w:val="24"/>
        </w:rPr>
        <w:t>3 Comparative analysis of plant extract (Leaf and Flower)</w:t>
      </w:r>
    </w:p>
    <w:p w14:paraId="134C0F6C" w14:textId="77777777" w:rsidR="00A52713" w:rsidRDefault="00703B2E">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Comparative profiling of Ixora nigricans L. leaf and floral tissues reveals significant metabolic partitioning, reflecting </w:t>
      </w:r>
      <w:proofErr w:type="spellStart"/>
      <w:r>
        <w:rPr>
          <w:rFonts w:ascii="Times New Roman" w:eastAsia="Times New Roman" w:hAnsi="Times New Roman" w:cs="Times New Roman"/>
          <w:color w:val="000000"/>
          <w:sz w:val="24"/>
          <w:szCs w:val="24"/>
        </w:rPr>
        <w:t>specialised</w:t>
      </w:r>
      <w:proofErr w:type="spellEnd"/>
      <w:r>
        <w:rPr>
          <w:rFonts w:ascii="Times New Roman" w:eastAsia="Times New Roman" w:hAnsi="Times New Roman" w:cs="Times New Roman"/>
          <w:color w:val="000000"/>
          <w:sz w:val="24"/>
          <w:szCs w:val="24"/>
        </w:rPr>
        <w:t xml:space="preserve"> physiological roles. While alkaloids were ubiquitous, </w:t>
      </w:r>
      <w:r>
        <w:rPr>
          <w:rFonts w:ascii="Times New Roman" w:eastAsia="Times New Roman" w:hAnsi="Times New Roman" w:cs="Times New Roman"/>
          <w:color w:val="000000"/>
          <w:sz w:val="24"/>
          <w:szCs w:val="24"/>
        </w:rPr>
        <w:t xml:space="preserve">suggesting a conserved nitrogen-based </w:t>
      </w:r>
      <w:proofErr w:type="spellStart"/>
      <w:r>
        <w:rPr>
          <w:rFonts w:ascii="Times New Roman" w:eastAsia="Times New Roman" w:hAnsi="Times New Roman" w:cs="Times New Roman"/>
          <w:color w:val="000000"/>
          <w:sz w:val="24"/>
          <w:szCs w:val="24"/>
        </w:rPr>
        <w:t>defence</w:t>
      </w:r>
      <w:proofErr w:type="spellEnd"/>
      <w:r>
        <w:rPr>
          <w:rFonts w:ascii="Times New Roman" w:eastAsia="Times New Roman" w:hAnsi="Times New Roman" w:cs="Times New Roman"/>
          <w:color w:val="000000"/>
          <w:sz w:val="24"/>
          <w:szCs w:val="24"/>
        </w:rPr>
        <w:t xml:space="preserve"> strategy, other metabolites showed clear tissue-dependent sequestration. Steroids were identified exclusively in leaf extracts, likely as polar glycosides, reflecting the leaf's role as a primary metabolic hub </w:t>
      </w:r>
      <w:r>
        <w:rPr>
          <w:rFonts w:ascii="Times New Roman" w:eastAsia="Times New Roman" w:hAnsi="Times New Roman" w:cs="Times New Roman"/>
          <w:color w:val="000000"/>
          <w:sz w:val="24"/>
          <w:szCs w:val="24"/>
        </w:rPr>
        <w:t xml:space="preserve">for the biosynthesis of structural and </w:t>
      </w:r>
      <w:proofErr w:type="spellStart"/>
      <w:r>
        <w:rPr>
          <w:rFonts w:ascii="Times New Roman" w:eastAsia="Times New Roman" w:hAnsi="Times New Roman" w:cs="Times New Roman"/>
          <w:color w:val="000000"/>
          <w:sz w:val="24"/>
          <w:szCs w:val="24"/>
        </w:rPr>
        <w:t>signalling</w:t>
      </w:r>
      <w:proofErr w:type="spellEnd"/>
      <w:r>
        <w:rPr>
          <w:rFonts w:ascii="Times New Roman" w:eastAsia="Times New Roman" w:hAnsi="Times New Roman" w:cs="Times New Roman"/>
          <w:color w:val="000000"/>
          <w:sz w:val="24"/>
          <w:szCs w:val="24"/>
        </w:rPr>
        <w:t xml:space="preserve"> molecules. By contrast, the absence of steroids in flowers suggests strategic downregulation in reproductive tissues to </w:t>
      </w:r>
      <w:proofErr w:type="spellStart"/>
      <w:r>
        <w:rPr>
          <w:rFonts w:ascii="Times New Roman" w:eastAsia="Times New Roman" w:hAnsi="Times New Roman" w:cs="Times New Roman"/>
          <w:color w:val="000000"/>
          <w:sz w:val="24"/>
          <w:szCs w:val="24"/>
        </w:rPr>
        <w:t>prioritise</w:t>
      </w:r>
      <w:proofErr w:type="spellEnd"/>
      <w:r>
        <w:rPr>
          <w:rFonts w:ascii="Times New Roman" w:eastAsia="Times New Roman" w:hAnsi="Times New Roman" w:cs="Times New Roman"/>
          <w:color w:val="000000"/>
          <w:sz w:val="24"/>
          <w:szCs w:val="24"/>
        </w:rPr>
        <w:t xml:space="preserve"> other pathways [64]. Conversely, tannins were more consistent in floral ext</w:t>
      </w:r>
      <w:r>
        <w:rPr>
          <w:rFonts w:ascii="Times New Roman" w:eastAsia="Times New Roman" w:hAnsi="Times New Roman" w:cs="Times New Roman"/>
          <w:color w:val="000000"/>
          <w:sz w:val="24"/>
          <w:szCs w:val="24"/>
        </w:rPr>
        <w:t xml:space="preserve">racts, likely serving as chemical barriers to protect the germline from UV stress and pathogens [65]. Furthermore, the </w:t>
      </w:r>
      <w:proofErr w:type="spellStart"/>
      <w:r>
        <w:rPr>
          <w:rFonts w:ascii="Times New Roman" w:eastAsia="Times New Roman" w:hAnsi="Times New Roman" w:cs="Times New Roman"/>
          <w:color w:val="000000"/>
          <w:sz w:val="24"/>
          <w:szCs w:val="24"/>
        </w:rPr>
        <w:t>localisation</w:t>
      </w:r>
      <w:proofErr w:type="spellEnd"/>
      <w:r>
        <w:rPr>
          <w:rFonts w:ascii="Times New Roman" w:eastAsia="Times New Roman" w:hAnsi="Times New Roman" w:cs="Times New Roman"/>
          <w:color w:val="000000"/>
          <w:sz w:val="24"/>
          <w:szCs w:val="24"/>
        </w:rPr>
        <w:t xml:space="preserve"> of terpenoids in n-hexane fractions across both tissues confirms their conserved role as lipophilic </w:t>
      </w:r>
      <w:proofErr w:type="spellStart"/>
      <w:r>
        <w:rPr>
          <w:rFonts w:ascii="Times New Roman" w:eastAsia="Times New Roman" w:hAnsi="Times New Roman" w:cs="Times New Roman"/>
          <w:color w:val="000000"/>
          <w:sz w:val="24"/>
          <w:szCs w:val="24"/>
        </w:rPr>
        <w:t>defence</w:t>
      </w:r>
      <w:proofErr w:type="spellEnd"/>
      <w:r>
        <w:rPr>
          <w:rFonts w:ascii="Times New Roman" w:eastAsia="Times New Roman" w:hAnsi="Times New Roman" w:cs="Times New Roman"/>
          <w:color w:val="000000"/>
          <w:sz w:val="24"/>
          <w:szCs w:val="24"/>
        </w:rPr>
        <w:t xml:space="preserve"> agents. These fi</w:t>
      </w:r>
      <w:r>
        <w:rPr>
          <w:rFonts w:ascii="Times New Roman" w:eastAsia="Times New Roman" w:hAnsi="Times New Roman" w:cs="Times New Roman"/>
          <w:color w:val="000000"/>
          <w:sz w:val="24"/>
          <w:szCs w:val="24"/>
        </w:rPr>
        <w:t xml:space="preserve">ndings </w:t>
      </w:r>
      <w:proofErr w:type="spellStart"/>
      <w:r>
        <w:rPr>
          <w:rFonts w:ascii="Times New Roman" w:eastAsia="Times New Roman" w:hAnsi="Times New Roman" w:cs="Times New Roman"/>
          <w:color w:val="000000"/>
          <w:sz w:val="24"/>
          <w:szCs w:val="24"/>
        </w:rPr>
        <w:t>characterise</w:t>
      </w:r>
      <w:proofErr w:type="spellEnd"/>
      <w:r>
        <w:rPr>
          <w:rFonts w:ascii="Times New Roman" w:eastAsia="Times New Roman" w:hAnsi="Times New Roman" w:cs="Times New Roman"/>
          <w:color w:val="000000"/>
          <w:sz w:val="24"/>
          <w:szCs w:val="24"/>
        </w:rPr>
        <w:t xml:space="preserve"> the leaves as a superior source for steroidal isolation, while the floral profile is more </w:t>
      </w:r>
      <w:proofErr w:type="spellStart"/>
      <w:r>
        <w:rPr>
          <w:rFonts w:ascii="Times New Roman" w:eastAsia="Times New Roman" w:hAnsi="Times New Roman" w:cs="Times New Roman"/>
          <w:color w:val="000000"/>
          <w:sz w:val="24"/>
          <w:szCs w:val="24"/>
        </w:rPr>
        <w:t>specialised</w:t>
      </w:r>
      <w:proofErr w:type="spellEnd"/>
      <w:r>
        <w:rPr>
          <w:rFonts w:ascii="Times New Roman" w:eastAsia="Times New Roman" w:hAnsi="Times New Roman" w:cs="Times New Roman"/>
          <w:color w:val="000000"/>
          <w:sz w:val="24"/>
          <w:szCs w:val="24"/>
        </w:rPr>
        <w:t xml:space="preserve"> for concentrated phenolic applications.</w:t>
      </w:r>
    </w:p>
    <w:p w14:paraId="67F85BC7" w14:textId="77777777" w:rsidR="00A52713" w:rsidRDefault="00A52713">
      <w:pPr>
        <w:spacing w:line="480" w:lineRule="auto"/>
        <w:jc w:val="both"/>
        <w:rPr>
          <w:rFonts w:ascii="Times New Roman" w:eastAsia="Times New Roman" w:hAnsi="Times New Roman" w:cs="Times New Roman"/>
          <w:b/>
          <w:bCs/>
          <w:sz w:val="24"/>
          <w:szCs w:val="24"/>
        </w:rPr>
      </w:pPr>
    </w:p>
    <w:p w14:paraId="3DE5CE50"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 Functional Application and Activity</w:t>
      </w:r>
    </w:p>
    <w:p w14:paraId="3428B7EB"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functional Applications of </w:t>
      </w:r>
      <w:r>
        <w:rPr>
          <w:rFonts w:ascii="Times New Roman" w:eastAsia="Times New Roman" w:hAnsi="Times New Roman" w:cs="Times New Roman"/>
          <w:i/>
          <w:iCs/>
          <w:sz w:val="24"/>
          <w:szCs w:val="24"/>
        </w:rPr>
        <w:t xml:space="preserve">Ixora Coccinea </w:t>
      </w:r>
      <w:r>
        <w:rPr>
          <w:rFonts w:ascii="Times New Roman" w:eastAsia="Times New Roman" w:hAnsi="Times New Roman" w:cs="Times New Roman"/>
          <w:sz w:val="24"/>
          <w:szCs w:val="24"/>
        </w:rPr>
        <w:t>extract</w:t>
      </w:r>
      <w:r>
        <w:rPr>
          <w:rFonts w:ascii="Times New Roman" w:eastAsia="Times New Roman" w:hAnsi="Times New Roman" w:cs="Times New Roman"/>
          <w:sz w:val="24"/>
          <w:szCs w:val="24"/>
        </w:rPr>
        <w:t xml:space="preserve"> were explored in </w:t>
      </w:r>
      <w:r>
        <w:rPr>
          <w:rFonts w:ascii="Times New Roman" w:eastAsia="Times New Roman" w:hAnsi="Times New Roman" w:cs="Times New Roman"/>
          <w:b/>
          <w:bCs/>
          <w:sz w:val="24"/>
          <w:szCs w:val="24"/>
        </w:rPr>
        <w:t>Fig. 1</w:t>
      </w:r>
      <w:r>
        <w:rPr>
          <w:rFonts w:ascii="Times New Roman" w:eastAsia="Times New Roman" w:hAnsi="Times New Roman" w:cs="Times New Roman"/>
          <w:sz w:val="24"/>
          <w:szCs w:val="24"/>
        </w:rPr>
        <w:t>, and the exponential uses and activity were described below.</w:t>
      </w:r>
    </w:p>
    <w:p w14:paraId="19247895" w14:textId="77777777" w:rsidR="00A52713" w:rsidRDefault="00A52713">
      <w:pPr>
        <w:spacing w:line="480" w:lineRule="auto"/>
        <w:jc w:val="both"/>
        <w:rPr>
          <w:rFonts w:ascii="Times New Roman" w:eastAsia="Times New Roman" w:hAnsi="Times New Roman" w:cs="Times New Roman"/>
          <w:b/>
          <w:bCs/>
          <w:sz w:val="24"/>
          <w:szCs w:val="24"/>
        </w:rPr>
      </w:pPr>
    </w:p>
    <w:p w14:paraId="2732A72D"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Antioxidant Activity</w:t>
      </w:r>
    </w:p>
    <w:p w14:paraId="5D4421EB"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exhibits potent antioxidant activity due to its high content of flavonoids (quercetin,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phenolic acids, and triterpenoids (</w:t>
      </w:r>
      <w:proofErr w:type="spellStart"/>
      <w:r>
        <w:rPr>
          <w:rFonts w:ascii="Times New Roman" w:eastAsia="Times New Roman" w:hAnsi="Times New Roman" w:cs="Times New Roman"/>
          <w:sz w:val="24"/>
          <w:szCs w:val="24"/>
        </w:rPr>
        <w:t>ursolic</w:t>
      </w:r>
      <w:proofErr w:type="spellEnd"/>
      <w:r>
        <w:rPr>
          <w:rFonts w:ascii="Times New Roman" w:eastAsia="Times New Roman" w:hAnsi="Times New Roman" w:cs="Times New Roman"/>
          <w:sz w:val="24"/>
          <w:szCs w:val="24"/>
        </w:rPr>
        <w:t xml:space="preserve"> acid, oleanolic acid). These compounds donate hydrogen atoms or electrons to neutralize reactive oxygen species (ROS) such as superoxide radicals, hydroxyl radicals, and peroxides. Additionally, the extract enhances endogenous antioxidant defense s</w:t>
      </w:r>
      <w:r>
        <w:rPr>
          <w:rFonts w:ascii="Times New Roman" w:eastAsia="Times New Roman" w:hAnsi="Times New Roman" w:cs="Times New Roman"/>
          <w:sz w:val="24"/>
          <w:szCs w:val="24"/>
        </w:rPr>
        <w:t>ystems by increasing reducing power and total antioxidant capacity. This activity plays a crucial role in preventing oxidative stress-mediated diseases, including neurodegeneration, diabetes, and cancer [66].</w:t>
      </w:r>
    </w:p>
    <w:p w14:paraId="19D61388" w14:textId="77777777" w:rsidR="00A52713" w:rsidRDefault="00A52713">
      <w:pPr>
        <w:spacing w:line="480" w:lineRule="auto"/>
        <w:jc w:val="both"/>
        <w:rPr>
          <w:rFonts w:ascii="Times New Roman" w:eastAsia="Times New Roman" w:hAnsi="Times New Roman" w:cs="Times New Roman"/>
          <w:sz w:val="24"/>
          <w:szCs w:val="24"/>
        </w:rPr>
      </w:pPr>
    </w:p>
    <w:p w14:paraId="44B8161B"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Antimicrobial Activity</w:t>
      </w:r>
    </w:p>
    <w:p w14:paraId="6534F182"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antimicrobial ef</w:t>
      </w:r>
      <w:r>
        <w:rPr>
          <w:rFonts w:ascii="Times New Roman" w:eastAsia="Times New Roman" w:hAnsi="Times New Roman" w:cs="Times New Roman"/>
          <w:sz w:val="24"/>
          <w:szCs w:val="24"/>
        </w:rPr>
        <w:t xml:space="preserve">fect of </w:t>
      </w:r>
      <w:r>
        <w:rPr>
          <w:rFonts w:ascii="Times New Roman" w:eastAsia="Times New Roman" w:hAnsi="Times New Roman" w:cs="Times New Roman"/>
          <w:i/>
          <w:iCs/>
          <w:sz w:val="24"/>
          <w:szCs w:val="24"/>
        </w:rPr>
        <w:t>I. coccinea</w:t>
      </w:r>
      <w:r>
        <w:rPr>
          <w:rFonts w:ascii="Times New Roman" w:eastAsia="Times New Roman" w:hAnsi="Times New Roman" w:cs="Times New Roman"/>
          <w:sz w:val="24"/>
          <w:szCs w:val="24"/>
        </w:rPr>
        <w:t xml:space="preserve"> is attributed to bioactive compounds like flavonoids, tannins, and terpenoids. These compounds disrupt microbial cell walls, alter membrane permeability, and inhibit essential enzymes, leading to microbial death. Extracts show broad-spe</w:t>
      </w:r>
      <w:r>
        <w:rPr>
          <w:rFonts w:ascii="Times New Roman" w:eastAsia="Times New Roman" w:hAnsi="Times New Roman" w:cs="Times New Roman"/>
          <w:sz w:val="24"/>
          <w:szCs w:val="24"/>
        </w:rPr>
        <w:t>ctrum activity against Gram-positive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and Gram-negative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bacteria, as well as fungi (</w:t>
      </w:r>
      <w:r>
        <w:rPr>
          <w:rFonts w:ascii="Times New Roman" w:eastAsia="Times New Roman" w:hAnsi="Times New Roman" w:cs="Times New Roman"/>
          <w:i/>
          <w:iCs/>
          <w:sz w:val="24"/>
          <w:szCs w:val="24"/>
        </w:rPr>
        <w:t>Candida albicans</w:t>
      </w:r>
      <w:r>
        <w:rPr>
          <w:rFonts w:ascii="Times New Roman" w:eastAsia="Times New Roman" w:hAnsi="Times New Roman" w:cs="Times New Roman"/>
          <w:sz w:val="24"/>
          <w:szCs w:val="24"/>
        </w:rPr>
        <w:t>). The presence of phenolic compounds also interferes with microbial protein synthesis, ma</w:t>
      </w:r>
      <w:r>
        <w:rPr>
          <w:rFonts w:ascii="Times New Roman" w:eastAsia="Times New Roman" w:hAnsi="Times New Roman" w:cs="Times New Roman"/>
          <w:sz w:val="24"/>
          <w:szCs w:val="24"/>
        </w:rPr>
        <w:t>king the plant a promising candidate against antibiotic-resistant strains [68].</w:t>
      </w:r>
    </w:p>
    <w:p w14:paraId="3B21F10D" w14:textId="77777777" w:rsidR="00A52713" w:rsidRDefault="00A52713">
      <w:pPr>
        <w:spacing w:line="480" w:lineRule="auto"/>
        <w:jc w:val="both"/>
        <w:rPr>
          <w:rFonts w:ascii="Times New Roman" w:eastAsia="Times New Roman" w:hAnsi="Times New Roman" w:cs="Times New Roman"/>
          <w:sz w:val="24"/>
          <w:szCs w:val="24"/>
        </w:rPr>
      </w:pPr>
    </w:p>
    <w:p w14:paraId="20295DFC"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Anti-Inflammatory Activity</w:t>
      </w:r>
    </w:p>
    <w:p w14:paraId="6E07535A"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anti-inflammatory activity involves inhibition of key inflammatory mediators such as prostaglandins, leukotrienes, histamines, and cytokines.</w:t>
      </w:r>
      <w:r>
        <w:rPr>
          <w:rFonts w:ascii="Times New Roman" w:eastAsia="Times New Roman" w:hAnsi="Times New Roman" w:cs="Times New Roman"/>
          <w:sz w:val="24"/>
          <w:szCs w:val="24"/>
        </w:rPr>
        <w:t xml:space="preserve"> The plant extracts may inhibit cyclooxygenase (COX) and lipoxygenase (LOX) pathways, thereby reducing the production of inflammatory prostaglandins. Additionally, its antioxidant property reduces oxidative stress-</w:t>
      </w:r>
      <w:r>
        <w:rPr>
          <w:rFonts w:ascii="Times New Roman" w:eastAsia="Times New Roman" w:hAnsi="Times New Roman" w:cs="Times New Roman"/>
          <w:sz w:val="24"/>
          <w:szCs w:val="24"/>
        </w:rPr>
        <w:lastRenderedPageBreak/>
        <w:t xml:space="preserve">induced inflammation. This dual mechanism </w:t>
      </w:r>
      <w:r>
        <w:rPr>
          <w:rFonts w:ascii="Times New Roman" w:eastAsia="Times New Roman" w:hAnsi="Times New Roman" w:cs="Times New Roman"/>
          <w:sz w:val="24"/>
          <w:szCs w:val="24"/>
        </w:rPr>
        <w:t>makes it effective in treating inflammatory disorders such as arthritis, skin inflammation, and tissue injury [67].</w:t>
      </w:r>
    </w:p>
    <w:p w14:paraId="2A15967D" w14:textId="77777777" w:rsidR="00A52713" w:rsidRDefault="00A52713">
      <w:pPr>
        <w:spacing w:line="480" w:lineRule="auto"/>
        <w:jc w:val="both"/>
        <w:rPr>
          <w:rFonts w:ascii="Times New Roman" w:eastAsia="Times New Roman" w:hAnsi="Times New Roman" w:cs="Times New Roman"/>
          <w:sz w:val="24"/>
          <w:szCs w:val="24"/>
        </w:rPr>
      </w:pPr>
    </w:p>
    <w:p w14:paraId="193AF761"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Antidiarrheal Activity</w:t>
      </w:r>
    </w:p>
    <w:p w14:paraId="06310009"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antidiarrheal effect is mediated through multiple mechanisms, including inhibition of gastrointestinal motili</w:t>
      </w:r>
      <w:r>
        <w:rPr>
          <w:rFonts w:ascii="Times New Roman" w:eastAsia="Times New Roman" w:hAnsi="Times New Roman" w:cs="Times New Roman"/>
          <w:sz w:val="24"/>
          <w:szCs w:val="24"/>
        </w:rPr>
        <w:t xml:space="preserve">ty and reduction of intestinal secretion. The extract reduces the propulsion of intestinal contents (as observed in charcoal meal tests) and decreases </w:t>
      </w:r>
      <w:proofErr w:type="spellStart"/>
      <w:r>
        <w:rPr>
          <w:rFonts w:ascii="Times New Roman" w:eastAsia="Times New Roman" w:hAnsi="Times New Roman" w:cs="Times New Roman"/>
          <w:sz w:val="24"/>
          <w:szCs w:val="24"/>
        </w:rPr>
        <w:t>enteropooling</w:t>
      </w:r>
      <w:proofErr w:type="spellEnd"/>
      <w:r>
        <w:rPr>
          <w:rFonts w:ascii="Times New Roman" w:eastAsia="Times New Roman" w:hAnsi="Times New Roman" w:cs="Times New Roman"/>
          <w:sz w:val="24"/>
          <w:szCs w:val="24"/>
        </w:rPr>
        <w:t xml:space="preserve"> induced by castor oil. Tannins present in the plant may also form protein-tannate complexes</w:t>
      </w:r>
      <w:r>
        <w:rPr>
          <w:rFonts w:ascii="Times New Roman" w:eastAsia="Times New Roman" w:hAnsi="Times New Roman" w:cs="Times New Roman"/>
          <w:sz w:val="24"/>
          <w:szCs w:val="24"/>
        </w:rPr>
        <w:t xml:space="preserve">, reducing intestinal irritation and fluid loss. These mechanisms collectively validate its traditional use in treating diarrhea and dysentery [69]. </w:t>
      </w:r>
    </w:p>
    <w:p w14:paraId="20DB0ACD" w14:textId="77777777" w:rsidR="00A52713" w:rsidRDefault="00A52713">
      <w:pPr>
        <w:spacing w:line="480" w:lineRule="auto"/>
        <w:jc w:val="both"/>
        <w:rPr>
          <w:rFonts w:ascii="Times New Roman" w:eastAsia="Times New Roman" w:hAnsi="Times New Roman" w:cs="Times New Roman"/>
          <w:sz w:val="24"/>
          <w:szCs w:val="24"/>
        </w:rPr>
      </w:pPr>
    </w:p>
    <w:p w14:paraId="0E3A106D"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Anthelmintic Activity</w:t>
      </w:r>
    </w:p>
    <w:p w14:paraId="6494D0AE"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anthelmintic activity is primarily due to phytochemicals such as tannins and alkaloids, which interfere with the energy metabolism of parasites. These compounds cause paralysis by affecting neuromuscular coordination and eventually lead to the death of</w:t>
      </w:r>
      <w:r>
        <w:rPr>
          <w:rFonts w:ascii="Times New Roman" w:eastAsia="Times New Roman" w:hAnsi="Times New Roman" w:cs="Times New Roman"/>
          <w:sz w:val="24"/>
          <w:szCs w:val="24"/>
        </w:rPr>
        <w:t xml:space="preserve"> the worms. Experimental studies using earthworms demonstrate that chloroform extracts show faster paralysis and death compared to other extracts, indicating strong antiparasitic potential [70]. </w:t>
      </w:r>
    </w:p>
    <w:p w14:paraId="3C168E0F" w14:textId="77777777" w:rsidR="00A52713" w:rsidRDefault="00A52713">
      <w:pPr>
        <w:spacing w:line="480" w:lineRule="auto"/>
        <w:jc w:val="both"/>
        <w:rPr>
          <w:rFonts w:ascii="Times New Roman" w:eastAsia="Times New Roman" w:hAnsi="Times New Roman" w:cs="Times New Roman"/>
          <w:b/>
          <w:bCs/>
          <w:sz w:val="24"/>
          <w:szCs w:val="24"/>
        </w:rPr>
      </w:pPr>
    </w:p>
    <w:p w14:paraId="4854B00A"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Anticancer (antitumor) Activity</w:t>
      </w:r>
    </w:p>
    <w:p w14:paraId="73F23A42"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Its anticancer potential</w:t>
      </w:r>
      <w:r>
        <w:rPr>
          <w:rFonts w:ascii="Times New Roman" w:eastAsia="Times New Roman" w:hAnsi="Times New Roman" w:cs="Times New Roman"/>
          <w:sz w:val="24"/>
          <w:szCs w:val="24"/>
        </w:rPr>
        <w:t xml:space="preserve"> is mainly due to the presence of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a well-known topoisomerase I inhibitor. This compound prevents DNA replication in rapidly dividing cells, leading to apoptosis (programmed cell death). Additionally, flavonoids and triterpenoids contribute to</w:t>
      </w:r>
      <w:r>
        <w:rPr>
          <w:rFonts w:ascii="Times New Roman" w:eastAsia="Times New Roman" w:hAnsi="Times New Roman" w:cs="Times New Roman"/>
          <w:sz w:val="24"/>
          <w:szCs w:val="24"/>
        </w:rPr>
        <w:t xml:space="preserve"> anticancer effects by inducing oxidative stress in cancer cells and inhibiting angiogenesis. Experimental studies also show cytotoxic effects against melanoma and other tumor cell lines, highlighting its pharmaceutical importance [71].</w:t>
      </w:r>
    </w:p>
    <w:p w14:paraId="2EB1F2E2" w14:textId="77777777" w:rsidR="00A52713" w:rsidRDefault="00703B2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14:anchorId="247D1563" wp14:editId="6DAA2CE9">
            <wp:extent cx="3909670" cy="387147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909670" cy="3871474"/>
                    </a:xfrm>
                    <a:prstGeom prst="rect">
                      <a:avLst/>
                    </a:prstGeom>
                    <a:ln/>
                  </pic:spPr>
                </pic:pic>
              </a:graphicData>
            </a:graphic>
          </wp:inline>
        </w:drawing>
      </w:r>
    </w:p>
    <w:p w14:paraId="7BBF9A25"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 4: </w:t>
      </w:r>
      <w:r>
        <w:rPr>
          <w:rFonts w:ascii="Times New Roman" w:eastAsia="Times New Roman" w:hAnsi="Times New Roman" w:cs="Times New Roman"/>
          <w:sz w:val="24"/>
          <w:szCs w:val="24"/>
        </w:rPr>
        <w:t xml:space="preserve">The functional Applications of </w:t>
      </w:r>
      <w:r>
        <w:rPr>
          <w:rFonts w:ascii="Times New Roman" w:eastAsia="Times New Roman" w:hAnsi="Times New Roman" w:cs="Times New Roman"/>
          <w:i/>
          <w:iCs/>
          <w:sz w:val="24"/>
          <w:szCs w:val="24"/>
        </w:rPr>
        <w:t xml:space="preserve">Ixora Coccinea </w:t>
      </w:r>
      <w:r>
        <w:rPr>
          <w:rFonts w:ascii="Times New Roman" w:eastAsia="Times New Roman" w:hAnsi="Times New Roman" w:cs="Times New Roman"/>
          <w:sz w:val="24"/>
          <w:szCs w:val="24"/>
        </w:rPr>
        <w:t>extract.</w:t>
      </w:r>
    </w:p>
    <w:p w14:paraId="008979AD" w14:textId="77777777" w:rsidR="00A52713" w:rsidRDefault="00A52713">
      <w:pPr>
        <w:spacing w:line="480" w:lineRule="auto"/>
        <w:jc w:val="both"/>
        <w:rPr>
          <w:rFonts w:ascii="Times New Roman" w:eastAsia="Times New Roman" w:hAnsi="Times New Roman" w:cs="Times New Roman"/>
          <w:sz w:val="24"/>
          <w:szCs w:val="24"/>
        </w:rPr>
      </w:pPr>
    </w:p>
    <w:p w14:paraId="350D9B9E"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Antileishmanial Activity</w:t>
      </w:r>
    </w:p>
    <w:p w14:paraId="6617D7F6"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exhibits significant inhibitory effects against </w:t>
      </w:r>
      <w:r>
        <w:rPr>
          <w:rFonts w:ascii="Times New Roman" w:eastAsia="Times New Roman" w:hAnsi="Times New Roman" w:cs="Times New Roman"/>
          <w:i/>
          <w:iCs/>
          <w:sz w:val="24"/>
          <w:szCs w:val="24"/>
        </w:rPr>
        <w:t xml:space="preserve">Leishmania </w:t>
      </w:r>
      <w:proofErr w:type="spellStart"/>
      <w:r>
        <w:rPr>
          <w:rFonts w:ascii="Times New Roman" w:eastAsia="Times New Roman" w:hAnsi="Times New Roman" w:cs="Times New Roman"/>
          <w:i/>
          <w:iCs/>
          <w:sz w:val="24"/>
          <w:szCs w:val="24"/>
        </w:rPr>
        <w:t>donovani</w:t>
      </w:r>
      <w:proofErr w:type="spellEnd"/>
      <w:r>
        <w:rPr>
          <w:rFonts w:ascii="Times New Roman" w:eastAsia="Times New Roman" w:hAnsi="Times New Roman" w:cs="Times New Roman"/>
          <w:sz w:val="24"/>
          <w:szCs w:val="24"/>
        </w:rPr>
        <w:t xml:space="preserve"> promastigotes. The mechanism is likely related to the disruption of parasite mitochondrial fun</w:t>
      </w:r>
      <w:r>
        <w:rPr>
          <w:rFonts w:ascii="Times New Roman" w:eastAsia="Times New Roman" w:hAnsi="Times New Roman" w:cs="Times New Roman"/>
          <w:sz w:val="24"/>
          <w:szCs w:val="24"/>
        </w:rPr>
        <w:t>ction and induction of oxidative stress within the parasite cells. Methanolic extracts show higher activity, suggesting the involvement of polar bioactive compounds. This activity is particularly important for developing low-cost treatments for kala-azar i</w:t>
      </w:r>
      <w:r>
        <w:rPr>
          <w:rFonts w:ascii="Times New Roman" w:eastAsia="Times New Roman" w:hAnsi="Times New Roman" w:cs="Times New Roman"/>
          <w:sz w:val="24"/>
          <w:szCs w:val="24"/>
        </w:rPr>
        <w:t>n endemic regions [72].</w:t>
      </w:r>
    </w:p>
    <w:p w14:paraId="3BC4DC5C" w14:textId="77777777" w:rsidR="00A52713" w:rsidRDefault="00A52713">
      <w:pPr>
        <w:spacing w:line="480" w:lineRule="auto"/>
        <w:jc w:val="both"/>
        <w:rPr>
          <w:rFonts w:ascii="Times New Roman" w:eastAsia="Times New Roman" w:hAnsi="Times New Roman" w:cs="Times New Roman"/>
          <w:sz w:val="24"/>
          <w:szCs w:val="24"/>
        </w:rPr>
      </w:pPr>
    </w:p>
    <w:p w14:paraId="0A468B71"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Wound healing Activity</w:t>
      </w:r>
    </w:p>
    <w:p w14:paraId="4F60359B"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wound healing potential of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associated with enhanced collagen synthesis, increased hydroxyproline content, and improved cross-linking of collagen fibers. These changes lead to increase</w:t>
      </w:r>
      <w:r>
        <w:rPr>
          <w:rFonts w:ascii="Times New Roman" w:eastAsia="Times New Roman" w:hAnsi="Times New Roman" w:cs="Times New Roman"/>
          <w:sz w:val="24"/>
          <w:szCs w:val="24"/>
        </w:rPr>
        <w:t xml:space="preserve">d tensile strength and faster wound contraction. The plant also promotes angiogenesis and epithelialization, which are essential steps in tissue regeneration. Its </w:t>
      </w:r>
      <w:r>
        <w:rPr>
          <w:rFonts w:ascii="Times New Roman" w:eastAsia="Times New Roman" w:hAnsi="Times New Roman" w:cs="Times New Roman"/>
          <w:sz w:val="24"/>
          <w:szCs w:val="24"/>
        </w:rPr>
        <w:lastRenderedPageBreak/>
        <w:t>antimicrobial action further prevents infection, making it effective in both acute and chroni</w:t>
      </w:r>
      <w:r>
        <w:rPr>
          <w:rFonts w:ascii="Times New Roman" w:eastAsia="Times New Roman" w:hAnsi="Times New Roman" w:cs="Times New Roman"/>
          <w:sz w:val="24"/>
          <w:szCs w:val="24"/>
        </w:rPr>
        <w:t>c wounds [73].</w:t>
      </w:r>
    </w:p>
    <w:p w14:paraId="38F5670E" w14:textId="77777777" w:rsidR="00A52713" w:rsidRDefault="00A52713">
      <w:pPr>
        <w:spacing w:line="480" w:lineRule="auto"/>
        <w:jc w:val="both"/>
        <w:rPr>
          <w:rFonts w:ascii="Times New Roman" w:eastAsia="Times New Roman" w:hAnsi="Times New Roman" w:cs="Times New Roman"/>
          <w:sz w:val="24"/>
          <w:szCs w:val="24"/>
        </w:rPr>
      </w:pPr>
    </w:p>
    <w:p w14:paraId="397F6592"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9. Antidiabetic</w:t>
      </w:r>
      <w:r>
        <w:rPr>
          <w:rFonts w:ascii="Times New Roman" w:eastAsia="Times New Roman" w:hAnsi="Times New Roman" w:cs="Times New Roman"/>
          <w:b/>
          <w:bCs/>
          <w:sz w:val="24"/>
          <w:szCs w:val="24"/>
        </w:rPr>
        <w:t xml:space="preserve"> and hypolipidemic Activity</w:t>
      </w:r>
    </w:p>
    <w:p w14:paraId="67685194"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hypoglycemic effect may be due to stimulation of insulin secretion, increased glucose uptake by peripheral tissues, or inhibition of carbohydrate metabolism enzymes. The plant also improves lip</w:t>
      </w:r>
      <w:r>
        <w:rPr>
          <w:rFonts w:ascii="Times New Roman" w:eastAsia="Times New Roman" w:hAnsi="Times New Roman" w:cs="Times New Roman"/>
          <w:sz w:val="24"/>
          <w:szCs w:val="24"/>
        </w:rPr>
        <w:t>id metabolism by reducing serum cholesterol, triglycerides, and LDL levels while increasing HDL. These combined effects make it beneficial in managing diabetes and preventing associated cardiovascular complications [66, 74].</w:t>
      </w:r>
    </w:p>
    <w:p w14:paraId="280E75CE" w14:textId="77777777" w:rsidR="00A52713" w:rsidRDefault="00A52713">
      <w:pPr>
        <w:spacing w:line="480" w:lineRule="auto"/>
        <w:jc w:val="both"/>
        <w:rPr>
          <w:rFonts w:ascii="Times New Roman" w:eastAsia="Times New Roman" w:hAnsi="Times New Roman" w:cs="Times New Roman"/>
          <w:sz w:val="24"/>
          <w:szCs w:val="24"/>
        </w:rPr>
      </w:pPr>
    </w:p>
    <w:p w14:paraId="4DCA2DE9"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Analgesic (antinociceptive</w:t>
      </w:r>
      <w:r>
        <w:rPr>
          <w:rFonts w:ascii="Times New Roman" w:eastAsia="Times New Roman" w:hAnsi="Times New Roman" w:cs="Times New Roman"/>
          <w:b/>
          <w:bCs/>
          <w:sz w:val="24"/>
          <w:szCs w:val="24"/>
        </w:rPr>
        <w:t>) Activity</w:t>
      </w:r>
    </w:p>
    <w:p w14:paraId="605027D2"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analgesic activity is mediated through the inhibition of pain mediators such as prostaglandins and substance P. The plant may act on both central and peripheral pain pathways, reducing pain perception. This effect is supported by experimenta</w:t>
      </w:r>
      <w:r>
        <w:rPr>
          <w:rFonts w:ascii="Times New Roman" w:eastAsia="Times New Roman" w:hAnsi="Times New Roman" w:cs="Times New Roman"/>
          <w:sz w:val="24"/>
          <w:szCs w:val="24"/>
        </w:rPr>
        <w:t>l models showing decreased response to painful stimuli, indicating its potential as a natural pain reliever [67].</w:t>
      </w:r>
    </w:p>
    <w:p w14:paraId="7E149DDE" w14:textId="77777777" w:rsidR="00A52713" w:rsidRDefault="00A52713">
      <w:pPr>
        <w:spacing w:line="480" w:lineRule="auto"/>
        <w:jc w:val="both"/>
        <w:rPr>
          <w:rFonts w:ascii="Times New Roman" w:eastAsia="Times New Roman" w:hAnsi="Times New Roman" w:cs="Times New Roman"/>
          <w:sz w:val="24"/>
          <w:szCs w:val="24"/>
        </w:rPr>
      </w:pPr>
    </w:p>
    <w:p w14:paraId="77F95424"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Hepatoprotective Activity</w:t>
      </w:r>
    </w:p>
    <w:p w14:paraId="331DEB14"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hepatoprotective effect is attributed to antioxidant and membrane-stabilizing properties. The plant reduces</w:t>
      </w:r>
      <w:r>
        <w:rPr>
          <w:rFonts w:ascii="Times New Roman" w:eastAsia="Times New Roman" w:hAnsi="Times New Roman" w:cs="Times New Roman"/>
          <w:sz w:val="24"/>
          <w:szCs w:val="24"/>
        </w:rPr>
        <w:t xml:space="preserve"> liver enzyme levels (AST, ALT) and prevents lipid peroxidation in liver tissues. It protects hepatocytes from toxin-induced damage and supports the regeneration of liver cells, making it useful in liver disorders such as hepatitis and drug-induced toxicit</w:t>
      </w:r>
      <w:r>
        <w:rPr>
          <w:rFonts w:ascii="Times New Roman" w:eastAsia="Times New Roman" w:hAnsi="Times New Roman" w:cs="Times New Roman"/>
          <w:sz w:val="24"/>
          <w:szCs w:val="24"/>
        </w:rPr>
        <w:t>y [67].</w:t>
      </w:r>
    </w:p>
    <w:p w14:paraId="1DD03DCD" w14:textId="77777777" w:rsidR="00A52713" w:rsidRDefault="00A52713">
      <w:pPr>
        <w:spacing w:line="480" w:lineRule="auto"/>
        <w:jc w:val="both"/>
        <w:rPr>
          <w:rFonts w:ascii="Times New Roman" w:eastAsia="Times New Roman" w:hAnsi="Times New Roman" w:cs="Times New Roman"/>
          <w:sz w:val="24"/>
          <w:szCs w:val="24"/>
        </w:rPr>
      </w:pPr>
    </w:p>
    <w:p w14:paraId="58DFABA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Gastroprotective Activity</w:t>
      </w:r>
    </w:p>
    <w:p w14:paraId="17C8F8C4"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protects the gastric mucosa by enhancing mucus secretion, reducing acid production, and neutralizing free radicals. It also inhibits ulcer formation by strengthening the stomach lining </w:t>
      </w:r>
      <w:r>
        <w:rPr>
          <w:rFonts w:ascii="Times New Roman" w:eastAsia="Times New Roman" w:hAnsi="Times New Roman" w:cs="Times New Roman"/>
          <w:sz w:val="24"/>
          <w:szCs w:val="24"/>
        </w:rPr>
        <w:lastRenderedPageBreak/>
        <w:t xml:space="preserve">and promoting healing </w:t>
      </w:r>
      <w:r>
        <w:rPr>
          <w:rFonts w:ascii="Times New Roman" w:eastAsia="Times New Roman" w:hAnsi="Times New Roman" w:cs="Times New Roman"/>
          <w:sz w:val="24"/>
          <w:szCs w:val="24"/>
        </w:rPr>
        <w:t>of existing ulcers. These effects are closely linked to its antioxidant and anti-inflammatory properties [67].</w:t>
      </w:r>
    </w:p>
    <w:p w14:paraId="13FC3B8A" w14:textId="77777777" w:rsidR="00A52713" w:rsidRDefault="00A52713">
      <w:pPr>
        <w:spacing w:line="480" w:lineRule="auto"/>
        <w:jc w:val="both"/>
        <w:rPr>
          <w:rFonts w:ascii="Times New Roman" w:eastAsia="Times New Roman" w:hAnsi="Times New Roman" w:cs="Times New Roman"/>
          <w:sz w:val="24"/>
          <w:szCs w:val="24"/>
        </w:rPr>
      </w:pPr>
    </w:p>
    <w:p w14:paraId="4E84E9C9"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Antimutagenic Activity</w:t>
      </w:r>
    </w:p>
    <w:p w14:paraId="5C0996E4"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antimutagenic property involves the protection of genetic material from damage caused by mutagens such as </w:t>
      </w:r>
      <w:r>
        <w:rPr>
          <w:rFonts w:ascii="Times New Roman" w:eastAsia="Times New Roman" w:hAnsi="Times New Roman" w:cs="Times New Roman"/>
          <w:sz w:val="24"/>
          <w:szCs w:val="24"/>
        </w:rPr>
        <w:t>chemicals and radiation. Flavonoids and phenolic compounds stabilize DNA structure and reduce mutation rates, thereby lowering the risk of cancer and genetic disorders [67].</w:t>
      </w:r>
    </w:p>
    <w:p w14:paraId="76EE7E9E" w14:textId="77777777" w:rsidR="00A52713" w:rsidRDefault="00A52713">
      <w:pPr>
        <w:spacing w:line="480" w:lineRule="auto"/>
        <w:jc w:val="both"/>
        <w:rPr>
          <w:rFonts w:ascii="Times New Roman" w:eastAsia="Times New Roman" w:hAnsi="Times New Roman" w:cs="Times New Roman"/>
          <w:sz w:val="24"/>
          <w:szCs w:val="24"/>
        </w:rPr>
      </w:pPr>
    </w:p>
    <w:p w14:paraId="367C72C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Chemoprotective Activity</w:t>
      </w:r>
    </w:p>
    <w:p w14:paraId="5F4C0E0A"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protects normal cells from the toxic effec</w:t>
      </w:r>
      <w:r>
        <w:rPr>
          <w:rFonts w:ascii="Times New Roman" w:eastAsia="Times New Roman" w:hAnsi="Times New Roman" w:cs="Times New Roman"/>
          <w:sz w:val="24"/>
          <w:szCs w:val="24"/>
        </w:rPr>
        <w:t>ts of chemotherapeutic agents and environmental toxins. It enhances cellular defense mechanisms, reduces oxidative damage, and improves the survival of healthy cells during exposure to harmful substances [67].</w:t>
      </w:r>
    </w:p>
    <w:p w14:paraId="03C375FF" w14:textId="77777777" w:rsidR="00A52713" w:rsidRDefault="00A52713">
      <w:pPr>
        <w:spacing w:line="480" w:lineRule="auto"/>
        <w:jc w:val="both"/>
        <w:rPr>
          <w:rFonts w:ascii="Times New Roman" w:eastAsia="Times New Roman" w:hAnsi="Times New Roman" w:cs="Times New Roman"/>
          <w:sz w:val="24"/>
          <w:szCs w:val="24"/>
        </w:rPr>
      </w:pPr>
    </w:p>
    <w:p w14:paraId="7C925B60"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Dermatological Applications</w:t>
      </w:r>
    </w:p>
    <w:p w14:paraId="15C8645E"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its antimicrobial, anti-inflammatory, and antioxidant properties,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widely used in treating skin conditions such as eczema, boils, ulcers, and infections. It promotes skin regeneration and reduces irritation and redness, making it va</w:t>
      </w:r>
      <w:r>
        <w:rPr>
          <w:rFonts w:ascii="Times New Roman" w:eastAsia="Times New Roman" w:hAnsi="Times New Roman" w:cs="Times New Roman"/>
          <w:sz w:val="24"/>
          <w:szCs w:val="24"/>
        </w:rPr>
        <w:t>luable in dermatological treatments [67].</w:t>
      </w:r>
    </w:p>
    <w:p w14:paraId="43BF329B" w14:textId="77777777" w:rsidR="00A52713" w:rsidRDefault="00A52713">
      <w:pPr>
        <w:spacing w:line="480" w:lineRule="auto"/>
        <w:jc w:val="both"/>
        <w:rPr>
          <w:rFonts w:ascii="Times New Roman" w:eastAsia="Times New Roman" w:hAnsi="Times New Roman" w:cs="Times New Roman"/>
          <w:sz w:val="24"/>
          <w:szCs w:val="24"/>
        </w:rPr>
      </w:pPr>
    </w:p>
    <w:p w14:paraId="1905309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 Gastrointestinal Applications</w:t>
      </w:r>
    </w:p>
    <w:p w14:paraId="7725C0E2"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Traditionally, the plant is used for treating digestive disorders such as diarrhea, dysentery, nausea, and anorexia. Root decoctions act as stomachic agents, improving digestion a</w:t>
      </w:r>
      <w:r>
        <w:rPr>
          <w:rFonts w:ascii="Times New Roman" w:eastAsia="Times New Roman" w:hAnsi="Times New Roman" w:cs="Times New Roman"/>
          <w:sz w:val="24"/>
          <w:szCs w:val="24"/>
        </w:rPr>
        <w:t>nd appetite, while tannins help reduce intestinal inflammation [69].</w:t>
      </w:r>
    </w:p>
    <w:p w14:paraId="7E65887F" w14:textId="77777777" w:rsidR="00A52713" w:rsidRDefault="00A52713">
      <w:pPr>
        <w:spacing w:line="480" w:lineRule="auto"/>
        <w:jc w:val="both"/>
        <w:rPr>
          <w:rFonts w:ascii="Times New Roman" w:eastAsia="Times New Roman" w:hAnsi="Times New Roman" w:cs="Times New Roman"/>
          <w:sz w:val="24"/>
          <w:szCs w:val="24"/>
        </w:rPr>
      </w:pPr>
    </w:p>
    <w:p w14:paraId="18326DA5"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Respiratory Applications</w:t>
      </w:r>
    </w:p>
    <w:p w14:paraId="61A51002"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Ixora coccinea</w:t>
      </w:r>
      <w:r>
        <w:rPr>
          <w:rFonts w:ascii="Times New Roman" w:eastAsia="Times New Roman" w:hAnsi="Times New Roman" w:cs="Times New Roman"/>
          <w:sz w:val="24"/>
          <w:szCs w:val="24"/>
        </w:rPr>
        <w:t xml:space="preserve"> is traditionally used in respiratory conditions such as catarrhal bronchitis and related disorders. The flowers and roots are specifically men</w:t>
      </w:r>
      <w:r>
        <w:rPr>
          <w:rFonts w:ascii="Times New Roman" w:eastAsia="Times New Roman" w:hAnsi="Times New Roman" w:cs="Times New Roman"/>
          <w:sz w:val="24"/>
          <w:szCs w:val="24"/>
        </w:rPr>
        <w:t>tioned in the treatment of bronchial problems. This use is supported by its anti-inflammatory activity, which helps reduce irritation and swelling in the respiratory tract. Since inflammation is a major factor in bronchitis, this property contributes to sy</w:t>
      </w:r>
      <w:r>
        <w:rPr>
          <w:rFonts w:ascii="Times New Roman" w:eastAsia="Times New Roman" w:hAnsi="Times New Roman" w:cs="Times New Roman"/>
          <w:sz w:val="24"/>
          <w:szCs w:val="24"/>
        </w:rPr>
        <w:t>mptom relief [69].</w:t>
      </w:r>
    </w:p>
    <w:p w14:paraId="1463F7FE" w14:textId="77777777" w:rsidR="00A52713" w:rsidRDefault="00A52713">
      <w:pPr>
        <w:spacing w:line="480" w:lineRule="auto"/>
        <w:jc w:val="both"/>
        <w:rPr>
          <w:rFonts w:ascii="Times New Roman" w:eastAsia="Times New Roman" w:hAnsi="Times New Roman" w:cs="Times New Roman"/>
          <w:sz w:val="24"/>
          <w:szCs w:val="24"/>
        </w:rPr>
      </w:pPr>
    </w:p>
    <w:p w14:paraId="5A2D87E4"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 Reproductive Health Applications</w:t>
      </w:r>
    </w:p>
    <w:p w14:paraId="1FC30DA5"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used in traditional medicine for treating menstrual disorders such as dysmenorrhea and conditions like leucorrhoea. Its astringent and anti-inflammatory properties help regulate rep</w:t>
      </w:r>
      <w:r>
        <w:rPr>
          <w:rFonts w:ascii="Times New Roman" w:eastAsia="Times New Roman" w:hAnsi="Times New Roman" w:cs="Times New Roman"/>
          <w:sz w:val="24"/>
          <w:szCs w:val="24"/>
        </w:rPr>
        <w:t>roductive health [69].</w:t>
      </w:r>
    </w:p>
    <w:p w14:paraId="18EF484A" w14:textId="77777777" w:rsidR="00A52713" w:rsidRDefault="00A52713">
      <w:pPr>
        <w:spacing w:line="480" w:lineRule="auto"/>
        <w:jc w:val="both"/>
        <w:rPr>
          <w:rFonts w:ascii="Times New Roman" w:eastAsia="Times New Roman" w:hAnsi="Times New Roman" w:cs="Times New Roman"/>
          <w:sz w:val="24"/>
          <w:szCs w:val="24"/>
        </w:rPr>
      </w:pPr>
    </w:p>
    <w:p w14:paraId="2EB4EE1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 Sedative Activity</w:t>
      </w:r>
    </w:p>
    <w:p w14:paraId="6E1EAC76"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exhibits mild sedative properties, helping to relieve hiccups, nausea, and restlessness. It may act on the central nervous system to produce calming effects, improving comfort and relaxation [67].</w:t>
      </w:r>
    </w:p>
    <w:p w14:paraId="29CB2F58" w14:textId="77777777" w:rsidR="00A52713" w:rsidRDefault="00A52713">
      <w:pPr>
        <w:spacing w:line="480" w:lineRule="auto"/>
        <w:jc w:val="both"/>
        <w:rPr>
          <w:rFonts w:ascii="Times New Roman" w:eastAsia="Times New Roman" w:hAnsi="Times New Roman" w:cs="Times New Roman"/>
          <w:sz w:val="24"/>
          <w:szCs w:val="24"/>
        </w:rPr>
      </w:pPr>
    </w:p>
    <w:p w14:paraId="72E3FBD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 Anti-asthmatic Activity</w:t>
      </w:r>
    </w:p>
    <w:p w14:paraId="2F413BC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shows potential in managing asthma due to its combined anti-inflammatory, antioxidant, and anti-allergic properties. Asthma is mainly characterized by airway inflammation, bronchoconstriction, and hypersensitivity. </w:t>
      </w:r>
      <w:r>
        <w:rPr>
          <w:rFonts w:ascii="Times New Roman" w:eastAsia="Times New Roman" w:hAnsi="Times New Roman" w:cs="Times New Roman"/>
          <w:sz w:val="24"/>
          <w:szCs w:val="24"/>
        </w:rPr>
        <w:t>The plant helps reduce inflammation in bronchial tissues by suppressing mediators such as histamine and prostaglandins. Its antioxidant compounds protect lung tissues from oxidative damage, which is a major factor in chronic asthma. Additionally, it may re</w:t>
      </w:r>
      <w:r>
        <w:rPr>
          <w:rFonts w:ascii="Times New Roman" w:eastAsia="Times New Roman" w:hAnsi="Times New Roman" w:cs="Times New Roman"/>
          <w:sz w:val="24"/>
          <w:szCs w:val="24"/>
        </w:rPr>
        <w:t>lax bronchial smooth muscles, improving airflow and reducing breathing difficulty [75]</w:t>
      </w:r>
    </w:p>
    <w:p w14:paraId="749EFEA8" w14:textId="77777777" w:rsidR="00A52713" w:rsidRDefault="00A52713">
      <w:pPr>
        <w:spacing w:line="480" w:lineRule="auto"/>
        <w:jc w:val="both"/>
        <w:rPr>
          <w:rFonts w:ascii="Times New Roman" w:eastAsia="Times New Roman" w:hAnsi="Times New Roman" w:cs="Times New Roman"/>
          <w:sz w:val="24"/>
          <w:szCs w:val="24"/>
        </w:rPr>
      </w:pPr>
    </w:p>
    <w:p w14:paraId="129C6A2C"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 Analgesic (pain-relieving) Activity</w:t>
      </w:r>
    </w:p>
    <w:p w14:paraId="15A1C645"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analgesic effect of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associated with its ability to inhibit pain-inducing mediators such as prostaglandins </w:t>
      </w:r>
      <w:r>
        <w:rPr>
          <w:rFonts w:ascii="Times New Roman" w:eastAsia="Times New Roman" w:hAnsi="Times New Roman" w:cs="Times New Roman"/>
          <w:sz w:val="24"/>
          <w:szCs w:val="24"/>
        </w:rPr>
        <w:t>and bradykinins. These compounds are released during tissue injury and inflammation. By reducing their production, the plant decreases the sensation of pain. It may act through both peripheral pathways (at the site of injury) and central pathways (within t</w:t>
      </w:r>
      <w:r>
        <w:rPr>
          <w:rFonts w:ascii="Times New Roman" w:eastAsia="Times New Roman" w:hAnsi="Times New Roman" w:cs="Times New Roman"/>
          <w:sz w:val="24"/>
          <w:szCs w:val="24"/>
        </w:rPr>
        <w:t>he nervous system), making it useful in managing inflammatory pain conditions [66, 67].</w:t>
      </w:r>
    </w:p>
    <w:p w14:paraId="7A4005F3" w14:textId="77777777" w:rsidR="00A52713" w:rsidRDefault="00A52713">
      <w:pPr>
        <w:spacing w:line="480" w:lineRule="auto"/>
        <w:jc w:val="both"/>
        <w:rPr>
          <w:rFonts w:ascii="Times New Roman" w:eastAsia="Times New Roman" w:hAnsi="Times New Roman" w:cs="Times New Roman"/>
          <w:sz w:val="24"/>
          <w:szCs w:val="24"/>
        </w:rPr>
      </w:pPr>
    </w:p>
    <w:p w14:paraId="0531470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Antipyretic Activity</w:t>
      </w:r>
    </w:p>
    <w:p w14:paraId="4E7E5B83"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not extensively studied experimentally,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traditionally used in conditions involving fever. Its antipyretic potential</w:t>
      </w:r>
      <w:r>
        <w:rPr>
          <w:rFonts w:ascii="Times New Roman" w:eastAsia="Times New Roman" w:hAnsi="Times New Roman" w:cs="Times New Roman"/>
          <w:sz w:val="24"/>
          <w:szCs w:val="24"/>
        </w:rPr>
        <w:t xml:space="preserve"> is likely linked to its anti-inflammatory action, as fever is regulated by inflammatory mediators acting on the hypothalamus. By reducing these mediators, the plant may help normalize body temperature and reduce fever symptoms [67].</w:t>
      </w:r>
    </w:p>
    <w:p w14:paraId="6089A27B" w14:textId="77777777" w:rsidR="00A52713" w:rsidRDefault="00A52713">
      <w:pPr>
        <w:spacing w:line="480" w:lineRule="auto"/>
        <w:jc w:val="both"/>
        <w:rPr>
          <w:rFonts w:ascii="Times New Roman" w:eastAsia="Times New Roman" w:hAnsi="Times New Roman" w:cs="Times New Roman"/>
          <w:sz w:val="24"/>
          <w:szCs w:val="24"/>
        </w:rPr>
      </w:pPr>
    </w:p>
    <w:p w14:paraId="1B2B261F"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Cytotoxic </w:t>
      </w:r>
      <w:r>
        <w:rPr>
          <w:rFonts w:ascii="Times New Roman" w:eastAsia="Times New Roman" w:hAnsi="Times New Roman" w:cs="Times New Roman"/>
          <w:b/>
          <w:bCs/>
          <w:sz w:val="24"/>
          <w:szCs w:val="24"/>
        </w:rPr>
        <w:t>Activity</w:t>
      </w:r>
    </w:p>
    <w:p w14:paraId="61623A24"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Ixora Nigricans </w:t>
      </w:r>
      <w:r>
        <w:rPr>
          <w:rFonts w:ascii="Times New Roman" w:eastAsia="Times New Roman" w:hAnsi="Times New Roman" w:cs="Times New Roman"/>
          <w:sz w:val="24"/>
          <w:szCs w:val="24"/>
        </w:rPr>
        <w:t xml:space="preserve">contains compounds such as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xml:space="preserve"> and flavonoids that interfere with cellular replication and metabolic processes. These compounds can induce apoptosis (programmed cell death) in cancer cells and inhibit their proliferation. </w:t>
      </w:r>
      <w:r>
        <w:rPr>
          <w:rFonts w:ascii="Times New Roman" w:eastAsia="Times New Roman" w:hAnsi="Times New Roman" w:cs="Times New Roman"/>
          <w:sz w:val="24"/>
          <w:szCs w:val="24"/>
        </w:rPr>
        <w:t>This makes the plant valuable in screening for anticancer drugs and understanding mechanisms of cell death. [66, 68, 75].</w:t>
      </w:r>
    </w:p>
    <w:p w14:paraId="105D70D7" w14:textId="77777777" w:rsidR="00A52713" w:rsidRDefault="00A52713">
      <w:pPr>
        <w:spacing w:line="480" w:lineRule="auto"/>
        <w:jc w:val="both"/>
        <w:rPr>
          <w:rFonts w:ascii="Times New Roman" w:eastAsia="Times New Roman" w:hAnsi="Times New Roman" w:cs="Times New Roman"/>
          <w:sz w:val="24"/>
          <w:szCs w:val="24"/>
        </w:rPr>
      </w:pPr>
    </w:p>
    <w:p w14:paraId="6BBEA1F3"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Anti-</w:t>
      </w:r>
      <w:proofErr w:type="spellStart"/>
      <w:r>
        <w:rPr>
          <w:rFonts w:ascii="Times New Roman" w:eastAsia="Times New Roman" w:hAnsi="Times New Roman" w:cs="Times New Roman"/>
          <w:b/>
          <w:bCs/>
          <w:sz w:val="24"/>
          <w:szCs w:val="24"/>
        </w:rPr>
        <w:t>tumour</w:t>
      </w:r>
      <w:proofErr w:type="spellEnd"/>
      <w:r>
        <w:rPr>
          <w:rFonts w:ascii="Times New Roman" w:eastAsia="Times New Roman" w:hAnsi="Times New Roman" w:cs="Times New Roman"/>
          <w:b/>
          <w:bCs/>
          <w:sz w:val="24"/>
          <w:szCs w:val="24"/>
        </w:rPr>
        <w:t xml:space="preserve"> Activity</w:t>
      </w:r>
    </w:p>
    <w:p w14:paraId="0B57C9D0"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cytotoxic effects,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has been shown to suppress tumor growth in experimental mod</w:t>
      </w:r>
      <w:r>
        <w:rPr>
          <w:rFonts w:ascii="Times New Roman" w:eastAsia="Times New Roman" w:hAnsi="Times New Roman" w:cs="Times New Roman"/>
          <w:sz w:val="24"/>
          <w:szCs w:val="24"/>
        </w:rPr>
        <w:t>els. It works by inhibiting uncontrolled cell division, reducing tumor size, and preventing metastasis. The plant may also block angiogenesis (formation of new blood vessels), which tumors need for growth and survival. These properties highlight its potent</w:t>
      </w:r>
      <w:r>
        <w:rPr>
          <w:rFonts w:ascii="Times New Roman" w:eastAsia="Times New Roman" w:hAnsi="Times New Roman" w:cs="Times New Roman"/>
          <w:sz w:val="24"/>
          <w:szCs w:val="24"/>
        </w:rPr>
        <w:t>ial role in cancer therapy [71].</w:t>
      </w:r>
    </w:p>
    <w:p w14:paraId="41E5DEA5" w14:textId="77777777" w:rsidR="00A52713" w:rsidRDefault="00A52713">
      <w:pPr>
        <w:spacing w:line="480" w:lineRule="auto"/>
        <w:jc w:val="both"/>
        <w:rPr>
          <w:rFonts w:ascii="Times New Roman" w:eastAsia="Times New Roman" w:hAnsi="Times New Roman" w:cs="Times New Roman"/>
          <w:sz w:val="24"/>
          <w:szCs w:val="24"/>
        </w:rPr>
      </w:pPr>
    </w:p>
    <w:p w14:paraId="2A9B2E9E"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Cardioprotective Activity</w:t>
      </w:r>
    </w:p>
    <w:p w14:paraId="1E58329A"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cardioprotective effect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is mainly due to its antioxidant and lipid-lowering properties. It protects heart tissues from oxidative stress and prevents damage caused by tox</w:t>
      </w:r>
      <w:r>
        <w:rPr>
          <w:rFonts w:ascii="Times New Roman" w:eastAsia="Times New Roman" w:hAnsi="Times New Roman" w:cs="Times New Roman"/>
          <w:sz w:val="24"/>
          <w:szCs w:val="24"/>
        </w:rPr>
        <w:t>ic agents such as drugs or free radicals. By improving lipid profiles and reducing cholesterol levels, the plant may also help prevent cardiovascular diseases like atherosclerosis and heart failure [66].</w:t>
      </w:r>
    </w:p>
    <w:p w14:paraId="3899F132" w14:textId="77777777" w:rsidR="00A52713" w:rsidRDefault="00A52713">
      <w:pPr>
        <w:spacing w:line="480" w:lineRule="auto"/>
        <w:jc w:val="both"/>
        <w:rPr>
          <w:rFonts w:ascii="Times New Roman" w:eastAsia="Times New Roman" w:hAnsi="Times New Roman" w:cs="Times New Roman"/>
          <w:sz w:val="24"/>
          <w:szCs w:val="24"/>
        </w:rPr>
      </w:pPr>
    </w:p>
    <w:p w14:paraId="04C6EE4C"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Anti-ulcer Activity</w:t>
      </w:r>
    </w:p>
    <w:p w14:paraId="5EB098F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plays an important role in protecting the stomach lining against ulcer formation. It reduces gastric acid secretion while increasing mucus production, which acts as a protective barrier. Its antioxidant activity also helps neutralize free radicals that da</w:t>
      </w:r>
      <w:r>
        <w:rPr>
          <w:rFonts w:ascii="Times New Roman" w:eastAsia="Times New Roman" w:hAnsi="Times New Roman" w:cs="Times New Roman"/>
          <w:sz w:val="24"/>
          <w:szCs w:val="24"/>
        </w:rPr>
        <w:t>mage gastric tissues. As a result, it not only prevents ulcer formation but also promotes the healing of existing ulcers [66, 75].</w:t>
      </w:r>
    </w:p>
    <w:p w14:paraId="37EA621A" w14:textId="77777777" w:rsidR="00A52713" w:rsidRDefault="00A52713">
      <w:pPr>
        <w:spacing w:line="480" w:lineRule="auto"/>
        <w:jc w:val="both"/>
        <w:rPr>
          <w:rFonts w:ascii="Times New Roman" w:eastAsia="Times New Roman" w:hAnsi="Times New Roman" w:cs="Times New Roman"/>
          <w:sz w:val="24"/>
          <w:szCs w:val="24"/>
        </w:rPr>
      </w:pPr>
    </w:p>
    <w:p w14:paraId="35C255C3"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 Nanoparticle biosynthesis Application</w:t>
      </w:r>
    </w:p>
    <w:p w14:paraId="7B60FD44"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has a modern application in green nanotechnology. Its phytochemicals act</w:t>
      </w:r>
      <w:r>
        <w:rPr>
          <w:rFonts w:ascii="Times New Roman" w:eastAsia="Times New Roman" w:hAnsi="Times New Roman" w:cs="Times New Roman"/>
          <w:sz w:val="24"/>
          <w:szCs w:val="24"/>
        </w:rPr>
        <w:t xml:space="preserve"> as natural reducing and stabilizing agents in the synthesis of metal nanoparticles, such as gold nanoparticles. These biomolecules convert metal ions into nanoscale particles and prevent their aggregation. The resulting nanoparticles show enhanced antimic</w:t>
      </w:r>
      <w:r>
        <w:rPr>
          <w:rFonts w:ascii="Times New Roman" w:eastAsia="Times New Roman" w:hAnsi="Times New Roman" w:cs="Times New Roman"/>
          <w:sz w:val="24"/>
          <w:szCs w:val="24"/>
        </w:rPr>
        <w:t>robial and biomedical properties, making them useful in drug delivery, diagnostics, and therapeutic applications [66, 75].</w:t>
      </w:r>
    </w:p>
    <w:p w14:paraId="52E11B54" w14:textId="77777777" w:rsidR="00A52713" w:rsidRDefault="00A52713">
      <w:pPr>
        <w:spacing w:line="480" w:lineRule="auto"/>
        <w:jc w:val="both"/>
        <w:rPr>
          <w:rFonts w:ascii="Times New Roman" w:eastAsia="Times New Roman" w:hAnsi="Times New Roman" w:cs="Times New Roman"/>
          <w:sz w:val="24"/>
          <w:szCs w:val="24"/>
        </w:rPr>
      </w:pPr>
    </w:p>
    <w:p w14:paraId="20E248A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Neuroprotective Activity</w:t>
      </w:r>
    </w:p>
    <w:p w14:paraId="2409C7B2"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protects neurons from damage caused by oxidative stress, toxins, and neurodegenerative </w:t>
      </w:r>
      <w:r>
        <w:rPr>
          <w:rFonts w:ascii="Times New Roman" w:eastAsia="Times New Roman" w:hAnsi="Times New Roman" w:cs="Times New Roman"/>
          <w:sz w:val="24"/>
          <w:szCs w:val="24"/>
        </w:rPr>
        <w:t xml:space="preserve">processes. Its antioxidant compounds prevent neuronal cell death and maintain </w:t>
      </w:r>
      <w:r>
        <w:rPr>
          <w:rFonts w:ascii="Times New Roman" w:eastAsia="Times New Roman" w:hAnsi="Times New Roman" w:cs="Times New Roman"/>
          <w:sz w:val="24"/>
          <w:szCs w:val="24"/>
        </w:rPr>
        <w:lastRenderedPageBreak/>
        <w:t>cellular integrity in the brain. This activity suggests potential applications in conditions such as Alzheimer’s disease, Parkinson’s disease, and other neurodegenerative disorde</w:t>
      </w:r>
      <w:r>
        <w:rPr>
          <w:rFonts w:ascii="Times New Roman" w:eastAsia="Times New Roman" w:hAnsi="Times New Roman" w:cs="Times New Roman"/>
          <w:sz w:val="24"/>
          <w:szCs w:val="24"/>
        </w:rPr>
        <w:t>rs [66].</w:t>
      </w:r>
    </w:p>
    <w:p w14:paraId="263EC4C4" w14:textId="77777777" w:rsidR="00A52713" w:rsidRDefault="00A52713">
      <w:pPr>
        <w:spacing w:line="480" w:lineRule="auto"/>
        <w:jc w:val="both"/>
        <w:rPr>
          <w:rFonts w:ascii="Times New Roman" w:eastAsia="Times New Roman" w:hAnsi="Times New Roman" w:cs="Times New Roman"/>
          <w:sz w:val="24"/>
          <w:szCs w:val="24"/>
        </w:rPr>
      </w:pPr>
    </w:p>
    <w:p w14:paraId="510F6985"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 Anxiolytic Activity</w:t>
      </w:r>
    </w:p>
    <w:p w14:paraId="574FF6B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exhibits anxiolytic (anti-anxiety) effects by influencing neurotransmitter activity in the brain. It may enhance inhibitory neurotransmitters such as GABA, leading to a calming effect. This helps reduce stress, a</w:t>
      </w:r>
      <w:r>
        <w:rPr>
          <w:rFonts w:ascii="Times New Roman" w:eastAsia="Times New Roman" w:hAnsi="Times New Roman" w:cs="Times New Roman"/>
          <w:sz w:val="24"/>
          <w:szCs w:val="24"/>
        </w:rPr>
        <w:t>nxiety, and nervous tension, making it useful in managing psychological conditions [66].</w:t>
      </w:r>
    </w:p>
    <w:p w14:paraId="31B9D8A7" w14:textId="77777777" w:rsidR="00A52713" w:rsidRDefault="00A52713">
      <w:pPr>
        <w:spacing w:line="480" w:lineRule="auto"/>
        <w:jc w:val="both"/>
        <w:rPr>
          <w:rFonts w:ascii="Times New Roman" w:eastAsia="Times New Roman" w:hAnsi="Times New Roman" w:cs="Times New Roman"/>
          <w:sz w:val="24"/>
          <w:szCs w:val="24"/>
        </w:rPr>
      </w:pPr>
    </w:p>
    <w:p w14:paraId="41B93B49"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 </w:t>
      </w:r>
      <w:proofErr w:type="spellStart"/>
      <w:r>
        <w:rPr>
          <w:rFonts w:ascii="Times New Roman" w:eastAsia="Times New Roman" w:hAnsi="Times New Roman" w:cs="Times New Roman"/>
          <w:b/>
          <w:bCs/>
          <w:sz w:val="24"/>
          <w:szCs w:val="24"/>
        </w:rPr>
        <w:t>Antityrosinase</w:t>
      </w:r>
      <w:proofErr w:type="spellEnd"/>
      <w:r>
        <w:rPr>
          <w:rFonts w:ascii="Times New Roman" w:eastAsia="Times New Roman" w:hAnsi="Times New Roman" w:cs="Times New Roman"/>
          <w:b/>
          <w:bCs/>
          <w:sz w:val="24"/>
          <w:szCs w:val="24"/>
        </w:rPr>
        <w:t xml:space="preserve"> Activity (</w:t>
      </w:r>
      <w:proofErr w:type="spellStart"/>
      <w:r>
        <w:rPr>
          <w:rFonts w:ascii="Times New Roman" w:eastAsia="Times New Roman" w:hAnsi="Times New Roman" w:cs="Times New Roman"/>
          <w:b/>
          <w:bCs/>
          <w:sz w:val="24"/>
          <w:szCs w:val="24"/>
        </w:rPr>
        <w:t>antiresinase</w:t>
      </w:r>
      <w:proofErr w:type="spellEnd"/>
      <w:r>
        <w:rPr>
          <w:rFonts w:ascii="Times New Roman" w:eastAsia="Times New Roman" w:hAnsi="Times New Roman" w:cs="Times New Roman"/>
          <w:b/>
          <w:bCs/>
          <w:sz w:val="24"/>
          <w:szCs w:val="24"/>
        </w:rPr>
        <w:t>)</w:t>
      </w:r>
    </w:p>
    <w:p w14:paraId="7A243755"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inhibits tyrosinase, an enzyme responsible for melanin production in the skin. By reducing melanin synthesis</w:t>
      </w:r>
      <w:r>
        <w:rPr>
          <w:rFonts w:ascii="Times New Roman" w:eastAsia="Times New Roman" w:hAnsi="Times New Roman" w:cs="Times New Roman"/>
          <w:sz w:val="24"/>
          <w:szCs w:val="24"/>
        </w:rPr>
        <w:t>, the plant can be used in cosmetic applications such as skin lightening and treatment of hyperpigmentation disorders. This activity is also important in preventing enzymatic browning in biological systems [66].</w:t>
      </w:r>
    </w:p>
    <w:p w14:paraId="5A6BB396" w14:textId="77777777" w:rsidR="00A52713" w:rsidRDefault="00A52713">
      <w:pPr>
        <w:spacing w:line="480" w:lineRule="auto"/>
        <w:jc w:val="both"/>
        <w:rPr>
          <w:rFonts w:ascii="Times New Roman" w:eastAsia="Times New Roman" w:hAnsi="Times New Roman" w:cs="Times New Roman"/>
          <w:sz w:val="24"/>
          <w:szCs w:val="24"/>
        </w:rPr>
      </w:pPr>
    </w:p>
    <w:p w14:paraId="70D55722"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 Antineoplastic Activity</w:t>
      </w:r>
    </w:p>
    <w:p w14:paraId="437CA4CB"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Antineoplastic </w:t>
      </w:r>
      <w:r>
        <w:rPr>
          <w:rFonts w:ascii="Times New Roman" w:eastAsia="Times New Roman" w:hAnsi="Times New Roman" w:cs="Times New Roman"/>
          <w:sz w:val="24"/>
          <w:szCs w:val="24"/>
        </w:rPr>
        <w:t xml:space="preserve">activity refers to the overall ability to prevent, inhibit, or treat cancer.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demonstrates this through multiple mechanisms, including antioxidant protection, inhibition of tumor cell growth, induction of apoptosis, and prevention of metastas</w:t>
      </w:r>
      <w:r>
        <w:rPr>
          <w:rFonts w:ascii="Times New Roman" w:eastAsia="Times New Roman" w:hAnsi="Times New Roman" w:cs="Times New Roman"/>
          <w:sz w:val="24"/>
          <w:szCs w:val="24"/>
        </w:rPr>
        <w:t>is. This broad-spectrum anticancer potential makes it a promising candidate for future drug development [66, 67, 68].</w:t>
      </w:r>
    </w:p>
    <w:p w14:paraId="1FCAD9E3" w14:textId="77777777" w:rsidR="00A52713" w:rsidRDefault="00A52713">
      <w:pPr>
        <w:spacing w:line="480" w:lineRule="auto"/>
        <w:jc w:val="both"/>
        <w:rPr>
          <w:rFonts w:ascii="Times New Roman" w:eastAsia="Times New Roman" w:hAnsi="Times New Roman" w:cs="Times New Roman"/>
          <w:sz w:val="24"/>
          <w:szCs w:val="24"/>
        </w:rPr>
      </w:pPr>
    </w:p>
    <w:p w14:paraId="4415A0A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 Conclusion</w:t>
      </w:r>
    </w:p>
    <w:p w14:paraId="0CC0C93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establishes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L. as a rich source of bioactive metabolites, characterized by significant partitioning between foliar and floral tissues. The ubiquitous presence of alkaloids </w:t>
      </w:r>
      <w:r>
        <w:rPr>
          <w:rFonts w:ascii="Times New Roman" w:eastAsia="Times New Roman" w:hAnsi="Times New Roman" w:cs="Times New Roman"/>
          <w:sz w:val="24"/>
          <w:szCs w:val="24"/>
        </w:rPr>
        <w:lastRenderedPageBreak/>
        <w:t>suggests broad pharmacological potential, while the exclusive localization of steroids in the l</w:t>
      </w:r>
      <w:r>
        <w:rPr>
          <w:rFonts w:ascii="Times New Roman" w:eastAsia="Times New Roman" w:hAnsi="Times New Roman" w:cs="Times New Roman"/>
          <w:sz w:val="24"/>
          <w:szCs w:val="24"/>
        </w:rPr>
        <w:t>eaves and the consistent tannin profile in the flowers highlight organ-specific biosynthetic strategies. These findings provide a strategic roadmap for targeted drug discovery and the green synthesis of nanoparticles, identifying leaves as optimal for ster</w:t>
      </w:r>
      <w:r>
        <w:rPr>
          <w:rFonts w:ascii="Times New Roman" w:eastAsia="Times New Roman" w:hAnsi="Times New Roman" w:cs="Times New Roman"/>
          <w:sz w:val="24"/>
          <w:szCs w:val="24"/>
        </w:rPr>
        <w:t>oidal recovery and flowers for phenolic applications. Future research should focus on the quantitative characterization and bioactivity evaluation of these identified constituents to fully realize their therapeutic and industrial utility.</w:t>
      </w:r>
    </w:p>
    <w:p w14:paraId="5AF3EC57" w14:textId="77777777" w:rsidR="00A52713" w:rsidRDefault="00A52713">
      <w:pPr>
        <w:spacing w:line="480" w:lineRule="auto"/>
        <w:jc w:val="both"/>
        <w:rPr>
          <w:rFonts w:ascii="Times New Roman" w:eastAsia="Times New Roman" w:hAnsi="Times New Roman" w:cs="Times New Roman"/>
          <w:sz w:val="24"/>
          <w:szCs w:val="24"/>
        </w:rPr>
      </w:pPr>
    </w:p>
    <w:p w14:paraId="5ABEA9A2" w14:textId="77777777" w:rsidR="00A52713" w:rsidRDefault="00703B2E">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Conflicts of Int</w:t>
      </w:r>
      <w:r>
        <w:rPr>
          <w:rFonts w:ascii="Times New Roman" w:eastAsia="Times New Roman" w:hAnsi="Times New Roman" w:cs="Times New Roman"/>
          <w:b/>
          <w:bCs/>
          <w:color w:val="000000"/>
          <w:sz w:val="24"/>
          <w:szCs w:val="24"/>
        </w:rPr>
        <w:t>erest</w:t>
      </w:r>
    </w:p>
    <w:p w14:paraId="5F7E987F" w14:textId="77777777" w:rsidR="00A52713" w:rsidRDefault="00703B2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authors declared that there are no known conflicts or financial interests that could influence this manuscript.</w:t>
      </w:r>
    </w:p>
    <w:p w14:paraId="16AD2884" w14:textId="77777777" w:rsidR="00A52713" w:rsidRDefault="00A52713">
      <w:pPr>
        <w:spacing w:line="480" w:lineRule="auto"/>
        <w:jc w:val="both"/>
        <w:rPr>
          <w:rFonts w:ascii="Times New Roman" w:eastAsia="Times New Roman" w:hAnsi="Times New Roman" w:cs="Times New Roman"/>
          <w:color w:val="374151"/>
          <w:sz w:val="24"/>
          <w:szCs w:val="24"/>
        </w:rPr>
      </w:pPr>
    </w:p>
    <w:p w14:paraId="24BCD4D2" w14:textId="77777777" w:rsidR="00A52713" w:rsidRDefault="00A52713">
      <w:pPr>
        <w:spacing w:line="480" w:lineRule="auto"/>
        <w:jc w:val="both"/>
        <w:rPr>
          <w:rFonts w:ascii="Times New Roman" w:eastAsia="Times New Roman" w:hAnsi="Times New Roman" w:cs="Times New Roman"/>
          <w:color w:val="000000"/>
          <w:sz w:val="24"/>
          <w:szCs w:val="24"/>
        </w:rPr>
      </w:pPr>
      <w:bookmarkStart w:id="0" w:name="_GoBack"/>
      <w:bookmarkEnd w:id="0"/>
    </w:p>
    <w:p w14:paraId="7B3D4F62" w14:textId="77777777" w:rsidR="00A52713" w:rsidRDefault="00703B2E">
      <w:pPr>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w:t>
      </w:r>
      <w:r>
        <w:rPr>
          <w:rFonts w:ascii="Times New Roman" w:eastAsia="Times New Roman" w:hAnsi="Times New Roman" w:cs="Times New Roman"/>
          <w:b/>
          <w:bCs/>
          <w:color w:val="000000"/>
          <w:sz w:val="24"/>
          <w:szCs w:val="24"/>
        </w:rPr>
        <w:t>ta Availability</w:t>
      </w:r>
    </w:p>
    <w:p w14:paraId="7A1B4D4C"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will be available on request.</w:t>
      </w:r>
    </w:p>
    <w:p w14:paraId="04714FA1" w14:textId="77777777" w:rsidR="00A52713" w:rsidRDefault="00A52713">
      <w:pPr>
        <w:spacing w:line="480" w:lineRule="auto"/>
        <w:jc w:val="both"/>
        <w:rPr>
          <w:rFonts w:ascii="Times New Roman" w:eastAsia="Times New Roman" w:hAnsi="Times New Roman" w:cs="Times New Roman"/>
          <w:color w:val="000000"/>
          <w:sz w:val="24"/>
          <w:szCs w:val="24"/>
        </w:rPr>
      </w:pPr>
    </w:p>
    <w:p w14:paraId="6625D1DD" w14:textId="77777777" w:rsidR="00A52713" w:rsidRDefault="00A52713">
      <w:pPr>
        <w:spacing w:before="166" w:after="166" w:line="276" w:lineRule="auto"/>
        <w:jc w:val="both"/>
        <w:rPr>
          <w:rFonts w:ascii="Times New Roman" w:eastAsia="Times New Roman" w:hAnsi="Times New Roman" w:cs="Times New Roman"/>
          <w:sz w:val="24"/>
          <w:szCs w:val="24"/>
        </w:rPr>
      </w:pPr>
    </w:p>
    <w:p w14:paraId="53F103C5" w14:textId="77777777" w:rsidR="00A52713" w:rsidRDefault="00703B2E">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602A9067" w14:textId="77777777" w:rsidR="00A52713" w:rsidRDefault="00A52713">
      <w:pPr>
        <w:spacing w:line="276" w:lineRule="auto"/>
        <w:jc w:val="both"/>
        <w:rPr>
          <w:rFonts w:ascii="Times New Roman" w:eastAsia="Times New Roman" w:hAnsi="Times New Roman" w:cs="Times New Roman"/>
          <w:b/>
          <w:bCs/>
          <w:sz w:val="24"/>
          <w:szCs w:val="24"/>
        </w:rPr>
      </w:pPr>
    </w:p>
    <w:p w14:paraId="5BF2B893"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Baliga</w:t>
      </w:r>
      <w:proofErr w:type="spellEnd"/>
      <w:r>
        <w:rPr>
          <w:rFonts w:ascii="Times New Roman" w:eastAsia="Times New Roman" w:hAnsi="Times New Roman" w:cs="Times New Roman"/>
          <w:sz w:val="24"/>
          <w:szCs w:val="24"/>
        </w:rPr>
        <w:t xml:space="preserve">, M. S., &amp; Kurian, P. J. (2012). Ixora coccinea Linn.: Traditional uses, phytochemistry    and pharmacology. Chinese journal of integrative medicine, </w:t>
      </w:r>
      <w:r>
        <w:rPr>
          <w:rFonts w:ascii="Times New Roman" w:eastAsia="Times New Roman" w:hAnsi="Times New Roman" w:cs="Times New Roman"/>
          <w:sz w:val="24"/>
          <w:szCs w:val="24"/>
        </w:rPr>
        <w:t>18(1), 72-79.</w:t>
      </w:r>
    </w:p>
    <w:p w14:paraId="099FD498"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Von </w:t>
      </w:r>
      <w:proofErr w:type="spellStart"/>
      <w:r>
        <w:rPr>
          <w:rFonts w:ascii="Times New Roman" w:eastAsia="Times New Roman" w:hAnsi="Times New Roman" w:cs="Times New Roman"/>
          <w:sz w:val="24"/>
          <w:szCs w:val="24"/>
        </w:rPr>
        <w:t>Rintelen</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Arida</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Häuser</w:t>
      </w:r>
      <w:proofErr w:type="spellEnd"/>
      <w:r>
        <w:rPr>
          <w:rFonts w:ascii="Times New Roman" w:eastAsia="Times New Roman" w:hAnsi="Times New Roman" w:cs="Times New Roman"/>
          <w:sz w:val="24"/>
          <w:szCs w:val="24"/>
        </w:rPr>
        <w:t>, C. (2017). A review of biodiversity-related issues and challenges in megadiverse Indonesia and other Southeast Asian countries. Research Ideas and Outcomes, 3, e20860.</w:t>
      </w:r>
    </w:p>
    <w:p w14:paraId="53AB81FE"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MARAIA, H. E. O. (2017). </w:t>
      </w:r>
      <w:r>
        <w:rPr>
          <w:rFonts w:ascii="Times New Roman" w:eastAsia="Times New Roman" w:hAnsi="Times New Roman" w:cs="Times New Roman"/>
          <w:sz w:val="24"/>
          <w:szCs w:val="24"/>
        </w:rPr>
        <w:t xml:space="preserve">INVESTIGATING ASPECTS OF NICHE PARTITIONING IN IXORA </w:t>
      </w:r>
      <w:proofErr w:type="gramStart"/>
      <w:r>
        <w:rPr>
          <w:rFonts w:ascii="Times New Roman" w:eastAsia="Times New Roman" w:hAnsi="Times New Roman" w:cs="Times New Roman"/>
          <w:sz w:val="24"/>
          <w:szCs w:val="24"/>
        </w:rPr>
        <w:t>L.(</w:t>
      </w:r>
      <w:proofErr w:type="gramEnd"/>
      <w:r>
        <w:rPr>
          <w:rFonts w:ascii="Times New Roman" w:eastAsia="Times New Roman" w:hAnsi="Times New Roman" w:cs="Times New Roman"/>
          <w:sz w:val="24"/>
          <w:szCs w:val="24"/>
        </w:rPr>
        <w:t>RUBIACEAE), ITS SPATIAL AND MORPHOLOGICAL DIVERSITY IN PAPUASIA (Doctoral dissertation, University of Technology).</w:t>
      </w:r>
    </w:p>
    <w:p w14:paraId="75A6BEA5"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Baliga</w:t>
      </w:r>
      <w:proofErr w:type="spellEnd"/>
      <w:r>
        <w:rPr>
          <w:rFonts w:ascii="Times New Roman" w:eastAsia="Times New Roman" w:hAnsi="Times New Roman" w:cs="Times New Roman"/>
          <w:sz w:val="24"/>
          <w:szCs w:val="24"/>
        </w:rPr>
        <w:t>, M. S., &amp; Kurian, P. J. (2012). Ixora coccinea Linn.: Traditional uses, p</w:t>
      </w:r>
      <w:r>
        <w:rPr>
          <w:rFonts w:ascii="Times New Roman" w:eastAsia="Times New Roman" w:hAnsi="Times New Roman" w:cs="Times New Roman"/>
          <w:sz w:val="24"/>
          <w:szCs w:val="24"/>
        </w:rPr>
        <w:t>hytochemistry and pharmacology. Chinese journal of integrative medicine, 18(1), 72-79.</w:t>
      </w:r>
    </w:p>
    <w:p w14:paraId="18ECA3D3"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Rahman, M., Chowdhury, U., &amp; Humaira, T. (2025). Phytochemical composition and bioactivity assessment of Ixora nigricans R. Br. ex Wight &amp; </w:t>
      </w:r>
      <w:proofErr w:type="spellStart"/>
      <w:r>
        <w:rPr>
          <w:rFonts w:ascii="Times New Roman" w:eastAsia="Times New Roman" w:hAnsi="Times New Roman" w:cs="Times New Roman"/>
          <w:sz w:val="24"/>
          <w:szCs w:val="24"/>
        </w:rPr>
        <w:t>Arn</w:t>
      </w:r>
      <w:proofErr w:type="spellEnd"/>
      <w:r>
        <w:rPr>
          <w:rFonts w:ascii="Times New Roman" w:eastAsia="Times New Roman" w:hAnsi="Times New Roman" w:cs="Times New Roman"/>
          <w:sz w:val="24"/>
          <w:szCs w:val="24"/>
        </w:rPr>
        <w:t>. leaf extract. Chitta</w:t>
      </w:r>
      <w:r>
        <w:rPr>
          <w:rFonts w:ascii="Times New Roman" w:eastAsia="Times New Roman" w:hAnsi="Times New Roman" w:cs="Times New Roman"/>
          <w:sz w:val="24"/>
          <w:szCs w:val="24"/>
        </w:rPr>
        <w:t>gong University Journal of Biological Sciences, 1-6.</w:t>
      </w:r>
    </w:p>
    <w:p w14:paraId="49558E13"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Nadeem, R., Imran, M., Saeed, Z., Pervaiz, M., &amp; Younas, U. (2025). Exploring the therapeutic potential of Ixora extract: a comprehensive review of mediated studies. Advances in Traditional Medicine</w:t>
      </w:r>
      <w:r>
        <w:rPr>
          <w:rFonts w:ascii="Times New Roman" w:eastAsia="Times New Roman" w:hAnsi="Times New Roman" w:cs="Times New Roman"/>
          <w:sz w:val="24"/>
          <w:szCs w:val="24"/>
        </w:rPr>
        <w:t>, 25(1), 107-144.</w:t>
      </w:r>
    </w:p>
    <w:p w14:paraId="7238401F"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Bharathy</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Thanikachalam</w:t>
      </w:r>
      <w:proofErr w:type="spellEnd"/>
      <w:r>
        <w:rPr>
          <w:rFonts w:ascii="Times New Roman" w:eastAsia="Times New Roman" w:hAnsi="Times New Roman" w:cs="Times New Roman"/>
          <w:sz w:val="24"/>
          <w:szCs w:val="24"/>
        </w:rPr>
        <w:t xml:space="preserve">, P. V., </w:t>
      </w:r>
      <w:proofErr w:type="spellStart"/>
      <w:r>
        <w:rPr>
          <w:rFonts w:ascii="Times New Roman" w:eastAsia="Times New Roman" w:hAnsi="Times New Roman" w:cs="Times New Roman"/>
          <w:sz w:val="24"/>
          <w:szCs w:val="24"/>
        </w:rPr>
        <w:t>Shoban</w:t>
      </w:r>
      <w:proofErr w:type="spellEnd"/>
      <w:r>
        <w:rPr>
          <w:rFonts w:ascii="Times New Roman" w:eastAsia="Times New Roman" w:hAnsi="Times New Roman" w:cs="Times New Roman"/>
          <w:sz w:val="24"/>
          <w:szCs w:val="24"/>
        </w:rPr>
        <w:t xml:space="preserve">, A. N., </w:t>
      </w:r>
      <w:proofErr w:type="spellStart"/>
      <w:r>
        <w:rPr>
          <w:rFonts w:ascii="Times New Roman" w:eastAsia="Times New Roman" w:hAnsi="Times New Roman" w:cs="Times New Roman"/>
          <w:sz w:val="24"/>
          <w:szCs w:val="24"/>
        </w:rPr>
        <w:t>Himayavendhan</w:t>
      </w:r>
      <w:proofErr w:type="spellEnd"/>
      <w:r>
        <w:rPr>
          <w:rFonts w:ascii="Times New Roman" w:eastAsia="Times New Roman" w:hAnsi="Times New Roman" w:cs="Times New Roman"/>
          <w:sz w:val="24"/>
          <w:szCs w:val="24"/>
        </w:rPr>
        <w:t xml:space="preserve">, H. V., </w:t>
      </w:r>
      <w:proofErr w:type="spellStart"/>
      <w:r>
        <w:rPr>
          <w:rFonts w:ascii="Times New Roman" w:eastAsia="Times New Roman" w:hAnsi="Times New Roman" w:cs="Times New Roman"/>
          <w:sz w:val="24"/>
          <w:szCs w:val="24"/>
        </w:rPr>
        <w:t>Shoban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Himayavendhan</w:t>
      </w:r>
      <w:proofErr w:type="spellEnd"/>
      <w:r>
        <w:rPr>
          <w:rFonts w:ascii="Times New Roman" w:eastAsia="Times New Roman" w:hAnsi="Times New Roman" w:cs="Times New Roman"/>
          <w:sz w:val="24"/>
          <w:szCs w:val="24"/>
        </w:rPr>
        <w:t xml:space="preserve">, H. (2024). Floral Fusion: Unravelling the Potent Blend of Ixora coccinea and Rhododendron </w:t>
      </w:r>
      <w:proofErr w:type="spellStart"/>
      <w:r>
        <w:rPr>
          <w:rFonts w:ascii="Times New Roman" w:eastAsia="Times New Roman" w:hAnsi="Times New Roman" w:cs="Times New Roman"/>
          <w:sz w:val="24"/>
          <w:szCs w:val="24"/>
        </w:rPr>
        <w:t>arboreum</w:t>
      </w:r>
      <w:proofErr w:type="spellEnd"/>
      <w:r>
        <w:rPr>
          <w:rFonts w:ascii="Times New Roman" w:eastAsia="Times New Roman" w:hAnsi="Times New Roman" w:cs="Times New Roman"/>
          <w:sz w:val="24"/>
          <w:szCs w:val="24"/>
        </w:rPr>
        <w:t xml:space="preserve"> for Health and Safety Benefits. </w:t>
      </w:r>
      <w:proofErr w:type="spellStart"/>
      <w:r>
        <w:rPr>
          <w:rFonts w:ascii="Times New Roman" w:eastAsia="Times New Roman" w:hAnsi="Times New Roman" w:cs="Times New Roman"/>
          <w:sz w:val="24"/>
          <w:szCs w:val="24"/>
        </w:rPr>
        <w:t>Cureus</w:t>
      </w:r>
      <w:proofErr w:type="spellEnd"/>
      <w:r>
        <w:rPr>
          <w:rFonts w:ascii="Times New Roman" w:eastAsia="Times New Roman" w:hAnsi="Times New Roman" w:cs="Times New Roman"/>
          <w:sz w:val="24"/>
          <w:szCs w:val="24"/>
        </w:rPr>
        <w:t>, 16(9).</w:t>
      </w:r>
    </w:p>
    <w:p w14:paraId="7300E191"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Ansari, P., </w:t>
      </w:r>
      <w:proofErr w:type="spellStart"/>
      <w:r>
        <w:rPr>
          <w:rFonts w:ascii="Times New Roman" w:eastAsia="Times New Roman" w:hAnsi="Times New Roman" w:cs="Times New Roman"/>
          <w:sz w:val="24"/>
          <w:szCs w:val="24"/>
        </w:rPr>
        <w:t>Shofiul</w:t>
      </w:r>
      <w:proofErr w:type="spellEnd"/>
      <w:r>
        <w:rPr>
          <w:rFonts w:ascii="Times New Roman" w:eastAsia="Times New Roman" w:hAnsi="Times New Roman" w:cs="Times New Roman"/>
          <w:sz w:val="24"/>
          <w:szCs w:val="24"/>
        </w:rPr>
        <w:t xml:space="preserve">, A. J., </w:t>
      </w:r>
      <w:proofErr w:type="spellStart"/>
      <w:r>
        <w:rPr>
          <w:rFonts w:ascii="Times New Roman" w:eastAsia="Times New Roman" w:hAnsi="Times New Roman" w:cs="Times New Roman"/>
          <w:sz w:val="24"/>
          <w:szCs w:val="24"/>
        </w:rPr>
        <w:t>Sarker</w:t>
      </w:r>
      <w:proofErr w:type="spellEnd"/>
      <w:r>
        <w:rPr>
          <w:rFonts w:ascii="Times New Roman" w:eastAsia="Times New Roman" w:hAnsi="Times New Roman" w:cs="Times New Roman"/>
          <w:sz w:val="24"/>
          <w:szCs w:val="24"/>
        </w:rPr>
        <w:t xml:space="preserve">, S. M., </w:t>
      </w:r>
      <w:proofErr w:type="spellStart"/>
      <w:r>
        <w:rPr>
          <w:rFonts w:ascii="Times New Roman" w:eastAsia="Times New Roman" w:hAnsi="Times New Roman" w:cs="Times New Roman"/>
          <w:sz w:val="24"/>
          <w:szCs w:val="24"/>
        </w:rPr>
        <w:t>Kallol</w:t>
      </w:r>
      <w:proofErr w:type="spellEnd"/>
      <w:r>
        <w:rPr>
          <w:rFonts w:ascii="Times New Roman" w:eastAsia="Times New Roman" w:hAnsi="Times New Roman" w:cs="Times New Roman"/>
          <w:sz w:val="24"/>
          <w:szCs w:val="24"/>
        </w:rPr>
        <w:t xml:space="preserve">, K. M., </w:t>
      </w:r>
      <w:proofErr w:type="spellStart"/>
      <w:r>
        <w:rPr>
          <w:rFonts w:ascii="Times New Roman" w:eastAsia="Times New Roman" w:hAnsi="Times New Roman" w:cs="Times New Roman"/>
          <w:sz w:val="24"/>
          <w:szCs w:val="24"/>
        </w:rPr>
        <w:t>Zareen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Tasnim</w:t>
      </w:r>
      <w:proofErr w:type="spellEnd"/>
      <w:r>
        <w:rPr>
          <w:rFonts w:ascii="Times New Roman" w:eastAsia="Times New Roman" w:hAnsi="Times New Roman" w:cs="Times New Roman"/>
          <w:sz w:val="24"/>
          <w:szCs w:val="24"/>
        </w:rPr>
        <w:t xml:space="preserve">, T., ... &amp; </w:t>
      </w:r>
      <w:proofErr w:type="spellStart"/>
      <w:r>
        <w:rPr>
          <w:rFonts w:ascii="Times New Roman" w:eastAsia="Times New Roman" w:hAnsi="Times New Roman" w:cs="Times New Roman"/>
          <w:sz w:val="24"/>
          <w:szCs w:val="24"/>
        </w:rPr>
        <w:t>Sarmin</w:t>
      </w:r>
      <w:proofErr w:type="spellEnd"/>
      <w:r>
        <w:rPr>
          <w:rFonts w:ascii="Times New Roman" w:eastAsia="Times New Roman" w:hAnsi="Times New Roman" w:cs="Times New Roman"/>
          <w:sz w:val="24"/>
          <w:szCs w:val="24"/>
        </w:rPr>
        <w:t>, B. (2015). Potential investigation of anti-inflammatory and anti-oxidative properties of ethanolic extract of Ixora nigricans leaves. </w:t>
      </w:r>
      <w:r>
        <w:rPr>
          <w:rFonts w:ascii="Times New Roman" w:eastAsia="Times New Roman" w:hAnsi="Times New Roman" w:cs="Times New Roman"/>
          <w:i/>
          <w:iCs/>
          <w:sz w:val="24"/>
          <w:szCs w:val="24"/>
        </w:rPr>
        <w:t>IJPR</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(4), 104.</w:t>
      </w:r>
    </w:p>
    <w:p w14:paraId="03DA5EB5"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Stark, T. D., </w:t>
      </w:r>
      <w:proofErr w:type="spellStart"/>
      <w:r>
        <w:rPr>
          <w:rFonts w:ascii="Times New Roman" w:eastAsia="Times New Roman" w:hAnsi="Times New Roman" w:cs="Times New Roman"/>
          <w:sz w:val="24"/>
          <w:szCs w:val="24"/>
        </w:rPr>
        <w:t>Mtui</w:t>
      </w:r>
      <w:proofErr w:type="spellEnd"/>
      <w:r>
        <w:rPr>
          <w:rFonts w:ascii="Times New Roman" w:eastAsia="Times New Roman" w:hAnsi="Times New Roman" w:cs="Times New Roman"/>
          <w:sz w:val="24"/>
          <w:szCs w:val="24"/>
        </w:rPr>
        <w:t xml:space="preserve">, D. J., &amp; </w:t>
      </w:r>
      <w:proofErr w:type="spellStart"/>
      <w:r>
        <w:rPr>
          <w:rFonts w:ascii="Times New Roman" w:eastAsia="Times New Roman" w:hAnsi="Times New Roman" w:cs="Times New Roman"/>
          <w:sz w:val="24"/>
          <w:szCs w:val="24"/>
        </w:rPr>
        <w:t>Balemba</w:t>
      </w:r>
      <w:proofErr w:type="spellEnd"/>
      <w:r>
        <w:rPr>
          <w:rFonts w:ascii="Times New Roman" w:eastAsia="Times New Roman" w:hAnsi="Times New Roman" w:cs="Times New Roman"/>
          <w:sz w:val="24"/>
          <w:szCs w:val="24"/>
        </w:rPr>
        <w:t>, O. B. (2013). Ethnopharmacological survey of plants used in the traditional treatment of gastrointestinal pain, inflammation and diarrhea in Africa: future perspectives for integration into modern medic</w:t>
      </w:r>
      <w:r>
        <w:rPr>
          <w:rFonts w:ascii="Times New Roman" w:eastAsia="Times New Roman" w:hAnsi="Times New Roman" w:cs="Times New Roman"/>
          <w:sz w:val="24"/>
          <w:szCs w:val="24"/>
        </w:rPr>
        <w:t>ine. </w:t>
      </w:r>
      <w:r>
        <w:rPr>
          <w:rFonts w:ascii="Times New Roman" w:eastAsia="Times New Roman" w:hAnsi="Times New Roman" w:cs="Times New Roman"/>
          <w:i/>
          <w:iCs/>
          <w:sz w:val="24"/>
          <w:szCs w:val="24"/>
        </w:rPr>
        <w:t>Animals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158-227.</w:t>
      </w:r>
    </w:p>
    <w:p w14:paraId="6B6FEFF0"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Rahman, M., Chowdhury, U., &amp; Humaira, T. (2025). Phytochemical composition and bioactivity assessment of Ixora nigricans R. Br. ex Wight &amp; </w:t>
      </w:r>
      <w:proofErr w:type="spellStart"/>
      <w:r>
        <w:rPr>
          <w:rFonts w:ascii="Times New Roman" w:eastAsia="Times New Roman" w:hAnsi="Times New Roman" w:cs="Times New Roman"/>
          <w:sz w:val="24"/>
          <w:szCs w:val="24"/>
        </w:rPr>
        <w:t>Arn</w:t>
      </w:r>
      <w:proofErr w:type="spellEnd"/>
      <w:r>
        <w:rPr>
          <w:rFonts w:ascii="Times New Roman" w:eastAsia="Times New Roman" w:hAnsi="Times New Roman" w:cs="Times New Roman"/>
          <w:sz w:val="24"/>
          <w:szCs w:val="24"/>
        </w:rPr>
        <w:t>. leaf extract. </w:t>
      </w:r>
      <w:r>
        <w:rPr>
          <w:rFonts w:ascii="Times New Roman" w:eastAsia="Times New Roman" w:hAnsi="Times New Roman" w:cs="Times New Roman"/>
          <w:i/>
          <w:iCs/>
          <w:sz w:val="24"/>
          <w:szCs w:val="24"/>
        </w:rPr>
        <w:t>Chittagong University Journal of Biological Sciences</w:t>
      </w:r>
      <w:r>
        <w:rPr>
          <w:rFonts w:ascii="Times New Roman" w:eastAsia="Times New Roman" w:hAnsi="Times New Roman" w:cs="Times New Roman"/>
          <w:sz w:val="24"/>
          <w:szCs w:val="24"/>
        </w:rPr>
        <w:t>, 1-6.</w:t>
      </w:r>
    </w:p>
    <w:p w14:paraId="4054AE24"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Karthik, K., Ganga, M., Reshma, R., &amp; </w:t>
      </w:r>
      <w:proofErr w:type="spellStart"/>
      <w:r>
        <w:rPr>
          <w:rFonts w:ascii="Times New Roman" w:eastAsia="Times New Roman" w:hAnsi="Times New Roman" w:cs="Times New Roman"/>
          <w:sz w:val="24"/>
          <w:szCs w:val="24"/>
        </w:rPr>
        <w:t>Visalakshi</w:t>
      </w:r>
      <w:proofErr w:type="spellEnd"/>
      <w:r>
        <w:rPr>
          <w:rFonts w:ascii="Times New Roman" w:eastAsia="Times New Roman" w:hAnsi="Times New Roman" w:cs="Times New Roman"/>
          <w:sz w:val="24"/>
          <w:szCs w:val="24"/>
        </w:rPr>
        <w:t>, M. (2025). OPTIMIZING MICRONUTRIENT USE FOR ENHANCED FLOWERING AND YIELD IN IXORA. </w:t>
      </w:r>
      <w:r>
        <w:rPr>
          <w:rFonts w:ascii="Times New Roman" w:eastAsia="Times New Roman" w:hAnsi="Times New Roman" w:cs="Times New Roman"/>
          <w:i/>
          <w:iCs/>
          <w:sz w:val="24"/>
          <w:szCs w:val="24"/>
        </w:rPr>
        <w:t>Plant Archives (09725210)</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(1).</w:t>
      </w:r>
    </w:p>
    <w:p w14:paraId="0BA980E9"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Karthik, K., Ganga, M., </w:t>
      </w:r>
      <w:proofErr w:type="spellStart"/>
      <w:r>
        <w:rPr>
          <w:rFonts w:ascii="Times New Roman" w:eastAsia="Times New Roman" w:hAnsi="Times New Roman" w:cs="Times New Roman"/>
          <w:sz w:val="24"/>
          <w:szCs w:val="24"/>
        </w:rPr>
        <w:t>Sumera</w:t>
      </w:r>
      <w:proofErr w:type="spellEnd"/>
      <w:r>
        <w:rPr>
          <w:rFonts w:ascii="Times New Roman" w:eastAsia="Times New Roman" w:hAnsi="Times New Roman" w:cs="Times New Roman"/>
          <w:sz w:val="24"/>
          <w:szCs w:val="24"/>
        </w:rPr>
        <w:t>, S., &amp; Venkata Sai Chakradhar Reddy, D. (2025, No</w:t>
      </w:r>
      <w:r>
        <w:rPr>
          <w:rFonts w:ascii="Times New Roman" w:eastAsia="Times New Roman" w:hAnsi="Times New Roman" w:cs="Times New Roman"/>
          <w:sz w:val="24"/>
          <w:szCs w:val="24"/>
        </w:rPr>
        <w:t>vember). Role of Micronutrients in Enhancing Floral Quality and Postharvest Shelf Life in Ixora. In </w:t>
      </w:r>
      <w:r>
        <w:rPr>
          <w:rFonts w:ascii="Times New Roman" w:eastAsia="Times New Roman" w:hAnsi="Times New Roman" w:cs="Times New Roman"/>
          <w:i/>
          <w:iCs/>
          <w:sz w:val="24"/>
          <w:szCs w:val="24"/>
        </w:rPr>
        <w:t>Biology and Life Sciences Forum</w:t>
      </w:r>
      <w:r>
        <w:rPr>
          <w:rFonts w:ascii="Times New Roman" w:eastAsia="Times New Roman" w:hAnsi="Times New Roman" w:cs="Times New Roman"/>
          <w:sz w:val="24"/>
          <w:szCs w:val="24"/>
        </w:rPr>
        <w:t> (Vol. 47, No. 1, p. 6). MDPI.</w:t>
      </w:r>
    </w:p>
    <w:p w14:paraId="00C3185B"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Karthik, K., Ganga, M., &amp; </w:t>
      </w:r>
      <w:proofErr w:type="spellStart"/>
      <w:r>
        <w:rPr>
          <w:rFonts w:ascii="Times New Roman" w:eastAsia="Times New Roman" w:hAnsi="Times New Roman" w:cs="Times New Roman"/>
          <w:sz w:val="24"/>
          <w:szCs w:val="24"/>
        </w:rPr>
        <w:t>Visalakshi</w:t>
      </w:r>
      <w:proofErr w:type="spellEnd"/>
      <w:r>
        <w:rPr>
          <w:rFonts w:ascii="Times New Roman" w:eastAsia="Times New Roman" w:hAnsi="Times New Roman" w:cs="Times New Roman"/>
          <w:sz w:val="24"/>
          <w:szCs w:val="24"/>
        </w:rPr>
        <w:t>, M. (2025). Impact of Micronutrients on Floral Qual</w:t>
      </w:r>
      <w:r>
        <w:rPr>
          <w:rFonts w:ascii="Times New Roman" w:eastAsia="Times New Roman" w:hAnsi="Times New Roman" w:cs="Times New Roman"/>
          <w:sz w:val="24"/>
          <w:szCs w:val="24"/>
        </w:rPr>
        <w:t>ity, Plant Physiology and Shelf life of Ixora coccinea. </w:t>
      </w:r>
      <w:r>
        <w:rPr>
          <w:rFonts w:ascii="Times New Roman" w:eastAsia="Times New Roman" w:hAnsi="Times New Roman" w:cs="Times New Roman"/>
          <w:i/>
          <w:iCs/>
          <w:sz w:val="24"/>
          <w:szCs w:val="24"/>
        </w:rPr>
        <w:t>Journal of Experimental Agriculture International</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47</w:t>
      </w:r>
      <w:r>
        <w:rPr>
          <w:rFonts w:ascii="Times New Roman" w:eastAsia="Times New Roman" w:hAnsi="Times New Roman" w:cs="Times New Roman"/>
          <w:sz w:val="24"/>
          <w:szCs w:val="24"/>
        </w:rPr>
        <w:t>(8), 377-385.</w:t>
      </w:r>
    </w:p>
    <w:p w14:paraId="578A06E4"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Biozid</w:t>
      </w:r>
      <w:proofErr w:type="spellEnd"/>
      <w:r>
        <w:rPr>
          <w:rFonts w:ascii="Times New Roman" w:eastAsia="Times New Roman" w:hAnsi="Times New Roman" w:cs="Times New Roman"/>
          <w:sz w:val="24"/>
          <w:szCs w:val="24"/>
        </w:rPr>
        <w:t xml:space="preserve">, M. S., Chowdhury, A. I., Mazumdar, M. M. U., Chowdhury, S., &amp; </w:t>
      </w:r>
      <w:proofErr w:type="spellStart"/>
      <w:r>
        <w:rPr>
          <w:rFonts w:ascii="Times New Roman" w:eastAsia="Times New Roman" w:hAnsi="Times New Roman" w:cs="Times New Roman"/>
          <w:sz w:val="24"/>
          <w:szCs w:val="24"/>
        </w:rPr>
        <w:t>Chowdury</w:t>
      </w:r>
      <w:proofErr w:type="spellEnd"/>
      <w:r>
        <w:rPr>
          <w:rFonts w:ascii="Times New Roman" w:eastAsia="Times New Roman" w:hAnsi="Times New Roman" w:cs="Times New Roman"/>
          <w:sz w:val="24"/>
          <w:szCs w:val="24"/>
        </w:rPr>
        <w:t>, M. I. A. (2015). Anti-arthritic an</w:t>
      </w:r>
      <w:r>
        <w:rPr>
          <w:rFonts w:ascii="Times New Roman" w:eastAsia="Times New Roman" w:hAnsi="Times New Roman" w:cs="Times New Roman"/>
          <w:sz w:val="24"/>
          <w:szCs w:val="24"/>
        </w:rPr>
        <w:t>d cytotoxic effects of methanolic extract of Ixora nigricans leaf. </w:t>
      </w:r>
      <w:r>
        <w:rPr>
          <w:rFonts w:ascii="Times New Roman" w:eastAsia="Times New Roman" w:hAnsi="Times New Roman" w:cs="Times New Roman"/>
          <w:i/>
          <w:iCs/>
          <w:sz w:val="24"/>
          <w:szCs w:val="24"/>
        </w:rPr>
        <w:t>Journal of Medicinal Plants Research</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(25), 719-723.</w:t>
      </w:r>
    </w:p>
    <w:p w14:paraId="65373CA2"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Indu</w:t>
      </w:r>
      <w:proofErr w:type="spellEnd"/>
      <w:r>
        <w:rPr>
          <w:rFonts w:ascii="Times New Roman" w:eastAsia="Times New Roman" w:hAnsi="Times New Roman" w:cs="Times New Roman"/>
          <w:sz w:val="24"/>
          <w:szCs w:val="24"/>
        </w:rPr>
        <w:t xml:space="preserve">, C. R., </w:t>
      </w:r>
      <w:proofErr w:type="spellStart"/>
      <w:r>
        <w:rPr>
          <w:rFonts w:ascii="Times New Roman" w:eastAsia="Times New Roman" w:hAnsi="Times New Roman" w:cs="Times New Roman"/>
          <w:sz w:val="24"/>
          <w:szCs w:val="24"/>
        </w:rPr>
        <w:t>Neelavathi</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Masilamani</w:t>
      </w:r>
      <w:proofErr w:type="spellEnd"/>
      <w:r>
        <w:rPr>
          <w:rFonts w:ascii="Times New Roman" w:eastAsia="Times New Roman" w:hAnsi="Times New Roman" w:cs="Times New Roman"/>
          <w:sz w:val="24"/>
          <w:szCs w:val="24"/>
        </w:rPr>
        <w:t>, P. (2025). Studies on optimization of spacing and nutrient levels on growth and flower</w:t>
      </w:r>
      <w:r>
        <w:rPr>
          <w:rFonts w:ascii="Times New Roman" w:eastAsia="Times New Roman" w:hAnsi="Times New Roman" w:cs="Times New Roman"/>
          <w:sz w:val="24"/>
          <w:szCs w:val="24"/>
        </w:rPr>
        <w:t xml:space="preserve"> yield of Ixora (Ixora coccinea L.).</w:t>
      </w:r>
    </w:p>
    <w:p w14:paraId="131DF60F"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[16]. Karthik, K., Ganga, M., </w:t>
      </w:r>
      <w:proofErr w:type="spellStart"/>
      <w:r>
        <w:rPr>
          <w:rFonts w:ascii="Times New Roman" w:eastAsia="Times New Roman" w:hAnsi="Times New Roman" w:cs="Times New Roman"/>
          <w:sz w:val="24"/>
          <w:szCs w:val="24"/>
        </w:rPr>
        <w:t>Visalakshi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Chitdeshwari</w:t>
      </w:r>
      <w:proofErr w:type="spellEnd"/>
      <w:r>
        <w:rPr>
          <w:rFonts w:ascii="Times New Roman" w:eastAsia="Times New Roman" w:hAnsi="Times New Roman" w:cs="Times New Roman"/>
          <w:sz w:val="24"/>
          <w:szCs w:val="24"/>
        </w:rPr>
        <w:t>, T. (2022). Response of Ixora (Ixora spp.) varieties to foliar application of micronutrients. </w:t>
      </w:r>
      <w:r>
        <w:rPr>
          <w:rFonts w:ascii="Times New Roman" w:eastAsia="Times New Roman" w:hAnsi="Times New Roman" w:cs="Times New Roman"/>
          <w:i/>
          <w:iCs/>
          <w:sz w:val="24"/>
          <w:szCs w:val="24"/>
        </w:rPr>
        <w:t xml:space="preserve">The Pharma </w:t>
      </w:r>
      <w:proofErr w:type="spellStart"/>
      <w:r>
        <w:rPr>
          <w:rFonts w:ascii="Times New Roman" w:eastAsia="Times New Roman" w:hAnsi="Times New Roman" w:cs="Times New Roman"/>
          <w:i/>
          <w:iCs/>
          <w:sz w:val="24"/>
          <w:szCs w:val="24"/>
        </w:rPr>
        <w:t>Innovafion</w:t>
      </w:r>
      <w:proofErr w:type="spellEnd"/>
      <w:r>
        <w:rPr>
          <w:rFonts w:ascii="Times New Roman" w:eastAsia="Times New Roman" w:hAnsi="Times New Roman" w:cs="Times New Roman"/>
          <w:i/>
          <w:iCs/>
          <w:sz w:val="24"/>
          <w:szCs w:val="24"/>
        </w:rPr>
        <w:t xml:space="preserve"> Journal</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(7), 2741-2745.</w:t>
      </w:r>
    </w:p>
    <w:p w14:paraId="7F7563CE"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Akilan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 </w:t>
      </w:r>
      <w:proofErr w:type="spellStart"/>
      <w:r>
        <w:rPr>
          <w:rFonts w:ascii="Times New Roman" w:eastAsia="Times New Roman" w:hAnsi="Times New Roman" w:cs="Times New Roman"/>
          <w:sz w:val="24"/>
          <w:szCs w:val="24"/>
        </w:rPr>
        <w:t>Visalakshi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Manikanda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Boopathi</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Sathiyamurthy</w:t>
      </w:r>
      <w:proofErr w:type="spellEnd"/>
      <w:r>
        <w:rPr>
          <w:rFonts w:ascii="Times New Roman" w:eastAsia="Times New Roman" w:hAnsi="Times New Roman" w:cs="Times New Roman"/>
          <w:sz w:val="24"/>
          <w:szCs w:val="24"/>
        </w:rPr>
        <w:t>, V. A., &amp; Vanitha, K. (2024). Assessment of genetic diversity among Ixora genotypes through morphological and RAPD molecular marker analysis. </w:t>
      </w:r>
      <w:r>
        <w:rPr>
          <w:rFonts w:ascii="Times New Roman" w:eastAsia="Times New Roman" w:hAnsi="Times New Roman" w:cs="Times New Roman"/>
          <w:i/>
          <w:iCs/>
          <w:sz w:val="24"/>
          <w:szCs w:val="24"/>
        </w:rPr>
        <w:t>PLANT SCIENCE</w:t>
      </w:r>
      <w:r>
        <w:rPr>
          <w:rFonts w:ascii="Times New Roman" w:eastAsia="Times New Roman" w:hAnsi="Times New Roman" w:cs="Times New Roman"/>
          <w:sz w:val="24"/>
          <w:szCs w:val="24"/>
        </w:rPr>
        <w:t>.</w:t>
      </w:r>
    </w:p>
    <w:p w14:paraId="5582C52E"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Nadeem, R., Imran, M., Saeed, Z., P</w:t>
      </w:r>
      <w:r>
        <w:rPr>
          <w:rFonts w:ascii="Times New Roman" w:eastAsia="Times New Roman" w:hAnsi="Times New Roman" w:cs="Times New Roman"/>
          <w:sz w:val="24"/>
          <w:szCs w:val="24"/>
        </w:rPr>
        <w:t>ervaiz, M., &amp; Younas, U. (2025). Exploring the therapeutic potential of Ixora extract: a comprehensive review of mediated studies. </w:t>
      </w:r>
      <w:r>
        <w:rPr>
          <w:rFonts w:ascii="Times New Roman" w:eastAsia="Times New Roman" w:hAnsi="Times New Roman" w:cs="Times New Roman"/>
          <w:i/>
          <w:iCs/>
          <w:sz w:val="24"/>
          <w:szCs w:val="24"/>
        </w:rPr>
        <w:t>Advances in Traditional Medicine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(1), 107-144.</w:t>
      </w:r>
    </w:p>
    <w:p w14:paraId="14D34C8E"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Karthik, K., Ganga, M., </w:t>
      </w:r>
      <w:proofErr w:type="spellStart"/>
      <w:r>
        <w:rPr>
          <w:rFonts w:ascii="Times New Roman" w:eastAsia="Times New Roman" w:hAnsi="Times New Roman" w:cs="Times New Roman"/>
          <w:sz w:val="24"/>
          <w:szCs w:val="24"/>
        </w:rPr>
        <w:t>Sumera</w:t>
      </w:r>
      <w:proofErr w:type="spellEnd"/>
      <w:r>
        <w:rPr>
          <w:rFonts w:ascii="Times New Roman" w:eastAsia="Times New Roman" w:hAnsi="Times New Roman" w:cs="Times New Roman"/>
          <w:sz w:val="24"/>
          <w:szCs w:val="24"/>
        </w:rPr>
        <w:t xml:space="preserve">, S., &amp; Venkata Sai Chakradhar Reddy, </w:t>
      </w:r>
      <w:r>
        <w:rPr>
          <w:rFonts w:ascii="Times New Roman" w:eastAsia="Times New Roman" w:hAnsi="Times New Roman" w:cs="Times New Roman"/>
          <w:sz w:val="24"/>
          <w:szCs w:val="24"/>
        </w:rPr>
        <w:t>D. (2025, November). Role of Micronutrients in Enhancing Floral Quality and Postharvest Shelf Life in Ixora. In </w:t>
      </w:r>
      <w:r>
        <w:rPr>
          <w:rFonts w:ascii="Times New Roman" w:eastAsia="Times New Roman" w:hAnsi="Times New Roman" w:cs="Times New Roman"/>
          <w:i/>
          <w:iCs/>
          <w:sz w:val="24"/>
          <w:szCs w:val="24"/>
        </w:rPr>
        <w:t>Biology and Life Sciences Forum</w:t>
      </w:r>
      <w:r>
        <w:rPr>
          <w:rFonts w:ascii="Times New Roman" w:eastAsia="Times New Roman" w:hAnsi="Times New Roman" w:cs="Times New Roman"/>
          <w:sz w:val="24"/>
          <w:szCs w:val="24"/>
        </w:rPr>
        <w:t> (Vol. 47, No. 1, p. 6). MDPI.</w:t>
      </w:r>
    </w:p>
    <w:p w14:paraId="092CAB12" w14:textId="77777777" w:rsidR="00A52713" w:rsidRDefault="00703B2E">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[20]. C. Giannini, M. </w:t>
      </w:r>
      <w:proofErr w:type="spellStart"/>
      <w:r>
        <w:rPr>
          <w:rFonts w:ascii="Times New Roman" w:eastAsia="Times New Roman" w:hAnsi="Times New Roman" w:cs="Times New Roman"/>
          <w:color w:val="000000"/>
          <w:sz w:val="24"/>
          <w:szCs w:val="24"/>
        </w:rPr>
        <w:t>Ladisa</w:t>
      </w:r>
      <w:proofErr w:type="spellEnd"/>
      <w:r>
        <w:rPr>
          <w:rFonts w:ascii="Times New Roman" w:eastAsia="Times New Roman" w:hAnsi="Times New Roman" w:cs="Times New Roman"/>
          <w:color w:val="000000"/>
          <w:sz w:val="24"/>
          <w:szCs w:val="24"/>
        </w:rPr>
        <w:t xml:space="preserve">, D. Altamura, D. </w:t>
      </w:r>
      <w:proofErr w:type="spellStart"/>
      <w:r>
        <w:rPr>
          <w:rFonts w:ascii="Times New Roman" w:eastAsia="Times New Roman" w:hAnsi="Times New Roman" w:cs="Times New Roman"/>
          <w:color w:val="000000"/>
          <w:sz w:val="24"/>
          <w:szCs w:val="24"/>
        </w:rPr>
        <w:t>Siliqi</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Sibillano</w:t>
      </w:r>
      <w:proofErr w:type="spellEnd"/>
      <w:r>
        <w:rPr>
          <w:rFonts w:ascii="Times New Roman" w:eastAsia="Times New Roman" w:hAnsi="Times New Roman" w:cs="Times New Roman"/>
          <w:color w:val="000000"/>
          <w:sz w:val="24"/>
          <w:szCs w:val="24"/>
        </w:rPr>
        <w:t>, and L. De Caro</w:t>
      </w:r>
      <w:r>
        <w:rPr>
          <w:rFonts w:ascii="Times New Roman" w:eastAsia="Times New Roman" w:hAnsi="Times New Roman" w:cs="Times New Roman"/>
          <w:color w:val="000000"/>
          <w:sz w:val="24"/>
          <w:szCs w:val="24"/>
        </w:rPr>
        <w:t xml:space="preserve">, X-ray Diffraction: A powerful technique for the multiple-length-scale structural analysis of nanomaterials, Aug. 01, 2016, MDPI AG.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10.3390/cryst6080087.</w:t>
      </w:r>
    </w:p>
    <w:p w14:paraId="11AB8FF5" w14:textId="77777777" w:rsidR="00A52713" w:rsidRDefault="00703B2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S.I. Sadia, </w:t>
      </w:r>
      <w:r>
        <w:rPr>
          <w:rFonts w:ascii="Times New Roman" w:eastAsia="Times New Roman" w:hAnsi="Times New Roman" w:cs="Times New Roman"/>
          <w:i/>
          <w:iCs/>
          <w:color w:val="000000"/>
          <w:sz w:val="24"/>
          <w:szCs w:val="24"/>
        </w:rPr>
        <w:t xml:space="preserve">et </w:t>
      </w:r>
      <w:proofErr w:type="spellStart"/>
      <w:proofErr w:type="gramStart"/>
      <w:r>
        <w:rPr>
          <w:rFonts w:ascii="Times New Roman" w:eastAsia="Times New Roman" w:hAnsi="Times New Roman" w:cs="Times New Roman"/>
          <w:i/>
          <w:iCs/>
          <w:color w:val="000000"/>
          <w:sz w:val="24"/>
          <w:szCs w:val="24"/>
        </w:rPr>
        <w:t>al.</w:t>
      </w:r>
      <w:r>
        <w:rPr>
          <w:rFonts w:ascii="Times New Roman" w:eastAsia="Times New Roman" w:hAnsi="Times New Roman" w:cs="Times New Roman"/>
          <w:color w:val="000000"/>
          <w:sz w:val="24"/>
          <w:szCs w:val="24"/>
        </w:rPr>
        <w:t>Green</w:t>
      </w:r>
      <w:proofErr w:type="spellEnd"/>
      <w:proofErr w:type="gramEnd"/>
      <w:r>
        <w:rPr>
          <w:rFonts w:ascii="Times New Roman" w:eastAsia="Times New Roman" w:hAnsi="Times New Roman" w:cs="Times New Roman"/>
          <w:color w:val="000000"/>
          <w:sz w:val="24"/>
          <w:szCs w:val="24"/>
        </w:rPr>
        <w:t xml:space="preserve"> synthesis of crystalline silver nanoparticle by bio-mediated plan</w:t>
      </w:r>
      <w:r>
        <w:rPr>
          <w:rFonts w:ascii="Times New Roman" w:eastAsia="Times New Roman" w:hAnsi="Times New Roman" w:cs="Times New Roman"/>
          <w:color w:val="000000"/>
          <w:sz w:val="24"/>
          <w:szCs w:val="24"/>
        </w:rPr>
        <w:t>t extract: A critical perspective analysis, Elsevier B.V (2024), </w:t>
      </w:r>
      <w:hyperlink r:id="rId17">
        <w:r>
          <w:rPr>
            <w:rFonts w:ascii="Times New Roman" w:eastAsia="Times New Roman" w:hAnsi="Times New Roman" w:cs="Times New Roman"/>
            <w:color w:val="000000"/>
            <w:sz w:val="24"/>
            <w:szCs w:val="24"/>
          </w:rPr>
          <w:t>10.1016/j.nanoso.2024.101272</w:t>
        </w:r>
      </w:hyperlink>
      <w:r>
        <w:rPr>
          <w:rFonts w:ascii="Times New Roman" w:eastAsia="Times New Roman" w:hAnsi="Times New Roman" w:cs="Times New Roman"/>
          <w:color w:val="000000"/>
          <w:sz w:val="24"/>
          <w:szCs w:val="24"/>
        </w:rPr>
        <w:t xml:space="preserve"> </w:t>
      </w:r>
    </w:p>
    <w:p w14:paraId="7DBE693D" w14:textId="77777777" w:rsidR="00A52713" w:rsidRDefault="00A52713">
      <w:pPr>
        <w:spacing w:line="360" w:lineRule="auto"/>
        <w:jc w:val="both"/>
        <w:rPr>
          <w:rFonts w:ascii="Times New Roman" w:eastAsia="Times New Roman" w:hAnsi="Times New Roman" w:cs="Times New Roman"/>
          <w:color w:val="000000"/>
          <w:sz w:val="24"/>
          <w:szCs w:val="24"/>
        </w:rPr>
      </w:pPr>
    </w:p>
    <w:p w14:paraId="0CD8550E" w14:textId="77777777" w:rsidR="00A52713" w:rsidRDefault="00703B2E">
      <w:pPr>
        <w:spacing w:after="240" w:line="360" w:lineRule="auto"/>
        <w:jc w:val="both"/>
        <w:rPr>
          <w:rFonts w:ascii="Times New Roman" w:eastAsia="Times New Roman" w:hAnsi="Times New Roman" w:cs="Times New Roman"/>
          <w:color w:val="000000"/>
          <w:sz w:val="24"/>
          <w:szCs w:val="24"/>
        </w:rPr>
      </w:pPr>
      <w:hyperlink r:id="rId18" w:anchor="bbib20">
        <w:r>
          <w:rPr>
            <w:rFonts w:ascii="Times New Roman" w:eastAsia="Times New Roman" w:hAnsi="Times New Roman" w:cs="Times New Roman"/>
            <w:color w:val="000000"/>
            <w:sz w:val="24"/>
            <w:szCs w:val="24"/>
          </w:rPr>
          <w:t>[22]</w:t>
        </w:r>
      </w:hyperlink>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Alam</w:t>
      </w:r>
      <w:proofErr w:type="spellEnd"/>
      <w:r>
        <w:rPr>
          <w:rFonts w:ascii="Times New Roman" w:eastAsia="Times New Roman" w:hAnsi="Times New Roman" w:cs="Times New Roman"/>
          <w:color w:val="000000"/>
          <w:sz w:val="24"/>
          <w:szCs w:val="24"/>
        </w:rPr>
        <w:t xml:space="preserve">, S. Ahmed, R. </w:t>
      </w:r>
      <w:proofErr w:type="spellStart"/>
      <w:r>
        <w:rPr>
          <w:rFonts w:ascii="Times New Roman" w:eastAsia="Times New Roman" w:hAnsi="Times New Roman" w:cs="Times New Roman"/>
          <w:color w:val="000000"/>
          <w:sz w:val="24"/>
          <w:szCs w:val="24"/>
        </w:rPr>
        <w:t>Bishwas</w:t>
      </w:r>
      <w:proofErr w:type="spellEnd"/>
      <w:r>
        <w:rPr>
          <w:rFonts w:ascii="Times New Roman" w:eastAsia="Times New Roman" w:hAnsi="Times New Roman" w:cs="Times New Roman"/>
          <w:color w:val="000000"/>
          <w:sz w:val="24"/>
          <w:szCs w:val="24"/>
        </w:rPr>
        <w:t xml:space="preserve">, … S. M.-S. A. J. of, and undefined 2024, X-ray Crystallographic Diffraction Study by Whole Powder Pattern Fitting (WPPF) Method: Refinement of Crystalline Nanostructure Polymorphs TiO2, Elsevier. M. </w:t>
      </w:r>
      <w:proofErr w:type="spellStart"/>
      <w:r>
        <w:rPr>
          <w:rFonts w:ascii="Times New Roman" w:eastAsia="Times New Roman" w:hAnsi="Times New Roman" w:cs="Times New Roman"/>
          <w:color w:val="000000"/>
          <w:sz w:val="24"/>
          <w:szCs w:val="24"/>
        </w:rPr>
        <w:t>Alam</w:t>
      </w:r>
      <w:proofErr w:type="spellEnd"/>
      <w:r>
        <w:rPr>
          <w:rFonts w:ascii="Times New Roman" w:eastAsia="Times New Roman" w:hAnsi="Times New Roman" w:cs="Times New Roman"/>
          <w:color w:val="000000"/>
          <w:sz w:val="24"/>
          <w:szCs w:val="24"/>
        </w:rPr>
        <w:t xml:space="preserve">, S Ahmed, RK </w:t>
      </w:r>
      <w:proofErr w:type="spellStart"/>
      <w:r>
        <w:rPr>
          <w:rFonts w:ascii="Times New Roman" w:eastAsia="Times New Roman" w:hAnsi="Times New Roman" w:cs="Times New Roman"/>
          <w:color w:val="000000"/>
          <w:sz w:val="24"/>
          <w:szCs w:val="24"/>
        </w:rPr>
        <w:t>Bishwas</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Mostofa</w:t>
      </w:r>
      <w:proofErr w:type="spellEnd"/>
      <w:r>
        <w:rPr>
          <w:rFonts w:ascii="Times New Roman" w:eastAsia="Times New Roman" w:hAnsi="Times New Roman" w:cs="Times New Roman"/>
          <w:color w:val="000000"/>
          <w:sz w:val="24"/>
          <w:szCs w:val="24"/>
        </w:rPr>
        <w:t>, S. A. Jahan. South African Journal of Chemical Engineering, 2024•Elsevier, Accessed: Nov. 06, 2024. [Online]. Available: </w:t>
      </w:r>
      <w:hyperlink r:id="rId19">
        <w:r>
          <w:rPr>
            <w:rFonts w:ascii="Times New Roman" w:eastAsia="Times New Roman" w:hAnsi="Times New Roman" w:cs="Times New Roman"/>
            <w:color w:val="000000"/>
            <w:sz w:val="24"/>
            <w:szCs w:val="24"/>
          </w:rPr>
          <w:t>〈https://www.sciencedirect.c</w:t>
        </w:r>
        <w:r>
          <w:rPr>
            <w:rFonts w:ascii="Times New Roman" w:eastAsia="Times New Roman" w:hAnsi="Times New Roman" w:cs="Times New Roman"/>
            <w:color w:val="000000"/>
            <w:sz w:val="24"/>
            <w:szCs w:val="24"/>
          </w:rPr>
          <w:t>om/science/article/pii/S1026918524001252〉</w:t>
        </w:r>
      </w:hyperlink>
      <w:r>
        <w:rPr>
          <w:rFonts w:ascii="Times New Roman" w:eastAsia="Times New Roman" w:hAnsi="Times New Roman" w:cs="Times New Roman"/>
          <w:color w:val="000000"/>
          <w:sz w:val="24"/>
          <w:szCs w:val="24"/>
        </w:rPr>
        <w:t>.</w:t>
      </w:r>
    </w:p>
    <w:p w14:paraId="6243B25B" w14:textId="77777777"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M. </w:t>
      </w:r>
      <w:proofErr w:type="spellStart"/>
      <w:r>
        <w:rPr>
          <w:rFonts w:ascii="Times New Roman" w:eastAsia="Times New Roman" w:hAnsi="Times New Roman" w:cs="Times New Roman"/>
          <w:color w:val="000000"/>
          <w:sz w:val="24"/>
          <w:szCs w:val="24"/>
        </w:rPr>
        <w:t>Umalas</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Electron beam induced growth of silver </w:t>
      </w:r>
      <w:proofErr w:type="spellStart"/>
      <w:r>
        <w:rPr>
          <w:rFonts w:ascii="Times New Roman" w:eastAsia="Times New Roman" w:hAnsi="Times New Roman" w:cs="Times New Roman"/>
          <w:color w:val="000000"/>
          <w:sz w:val="24"/>
          <w:szCs w:val="24"/>
        </w:rPr>
        <w:t>nanowhiskers</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Cryst</w:t>
      </w:r>
      <w:proofErr w:type="spellEnd"/>
      <w:r>
        <w:rPr>
          <w:rFonts w:ascii="Times New Roman" w:eastAsia="Times New Roman" w:hAnsi="Times New Roman" w:cs="Times New Roman"/>
          <w:color w:val="000000"/>
          <w:sz w:val="24"/>
          <w:szCs w:val="24"/>
        </w:rPr>
        <w:t>. Growth, 410 (2015), pp. 63-68, </w:t>
      </w:r>
      <w:hyperlink r:id="rId20">
        <w:r>
          <w:rPr>
            <w:rFonts w:ascii="Times New Roman" w:eastAsia="Times New Roman" w:hAnsi="Times New Roman" w:cs="Times New Roman"/>
            <w:color w:val="000000"/>
            <w:sz w:val="24"/>
            <w:szCs w:val="24"/>
          </w:rPr>
          <w:t>10.1016/J.JCRYSGRO.2014.10.021</w:t>
        </w:r>
      </w:hyperlink>
    </w:p>
    <w:p w14:paraId="5A1E36B5" w14:textId="77777777"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M. Tabassum, M.A. Alam, S. Mostofa, R.K. Bishwas, D. Sarkar, S.A. Jahan Synthesis and crystallinity integration of copper nanoparticles by reaction medium J. </w:t>
      </w:r>
      <w:proofErr w:type="spellStart"/>
      <w:r>
        <w:rPr>
          <w:rFonts w:ascii="Times New Roman" w:eastAsia="Times New Roman" w:hAnsi="Times New Roman" w:cs="Times New Roman"/>
          <w:color w:val="000000"/>
          <w:sz w:val="24"/>
          <w:szCs w:val="24"/>
        </w:rPr>
        <w:t>Cryst</w:t>
      </w:r>
      <w:proofErr w:type="spellEnd"/>
      <w:r>
        <w:rPr>
          <w:rFonts w:ascii="Times New Roman" w:eastAsia="Times New Roman" w:hAnsi="Times New Roman" w:cs="Times New Roman"/>
          <w:color w:val="000000"/>
          <w:sz w:val="24"/>
          <w:szCs w:val="24"/>
        </w:rPr>
        <w:t>. Growth, 626 (2024), Article 127486, </w:t>
      </w:r>
      <w:hyperlink r:id="rId21">
        <w:r>
          <w:rPr>
            <w:rFonts w:ascii="Times New Roman" w:eastAsia="Times New Roman" w:hAnsi="Times New Roman" w:cs="Times New Roman"/>
            <w:color w:val="000000"/>
            <w:sz w:val="24"/>
            <w:szCs w:val="24"/>
          </w:rPr>
          <w:t>10.1016/J.JCRYSGRO.2023.127486</w:t>
        </w:r>
      </w:hyperlink>
    </w:p>
    <w:p w14:paraId="54259BF0" w14:textId="77777777"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[25]. U. </w:t>
      </w:r>
      <w:proofErr w:type="spellStart"/>
      <w:r>
        <w:rPr>
          <w:rFonts w:ascii="Times New Roman" w:eastAsia="Times New Roman" w:hAnsi="Times New Roman" w:cs="Times New Roman"/>
          <w:color w:val="000000"/>
          <w:sz w:val="24"/>
          <w:szCs w:val="24"/>
        </w:rPr>
        <w:t>Holzwarth</w:t>
      </w:r>
      <w:proofErr w:type="spellEnd"/>
      <w:r>
        <w:rPr>
          <w:rFonts w:ascii="Times New Roman" w:eastAsia="Times New Roman" w:hAnsi="Times New Roman" w:cs="Times New Roman"/>
          <w:color w:val="000000"/>
          <w:sz w:val="24"/>
          <w:szCs w:val="24"/>
        </w:rPr>
        <w:t xml:space="preserve"> and N. Gibson, The Scherrer equation versus the ‘Debye-Scherrer equation,’ Nature Nanotechnology 2011 6:9, vol. 6, no. 9, pp. 534–534, Aug. 2011,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10.1038/nnano.2011.145.</w:t>
      </w:r>
    </w:p>
    <w:p w14:paraId="41DC2C64" w14:textId="77777777"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r>
        <w:rPr>
          <w:rFonts w:ascii="Times New Roman" w:eastAsia="Times New Roman" w:hAnsi="Times New Roman" w:cs="Times New Roman"/>
          <w:color w:val="222222"/>
          <w:sz w:val="24"/>
          <w:szCs w:val="24"/>
          <w:highlight w:val="white"/>
        </w:rPr>
        <w:t>Kaur, H</w:t>
      </w:r>
      <w:r>
        <w:rPr>
          <w:rFonts w:ascii="Times New Roman" w:eastAsia="Times New Roman" w:hAnsi="Times New Roman" w:cs="Times New Roman"/>
          <w:color w:val="222222"/>
          <w:sz w:val="24"/>
          <w:szCs w:val="24"/>
          <w:highlight w:val="white"/>
        </w:rPr>
        <w:t xml:space="preserve">., Kumar, S. and </w:t>
      </w:r>
      <w:proofErr w:type="spellStart"/>
      <w:r>
        <w:rPr>
          <w:rFonts w:ascii="Times New Roman" w:eastAsia="Times New Roman" w:hAnsi="Times New Roman" w:cs="Times New Roman"/>
          <w:color w:val="222222"/>
          <w:sz w:val="24"/>
          <w:szCs w:val="24"/>
          <w:highlight w:val="white"/>
        </w:rPr>
        <w:t>Bouzid</w:t>
      </w:r>
      <w:proofErr w:type="spellEnd"/>
      <w:r>
        <w:rPr>
          <w:rFonts w:ascii="Times New Roman" w:eastAsia="Times New Roman" w:hAnsi="Times New Roman" w:cs="Times New Roman"/>
          <w:color w:val="222222"/>
          <w:sz w:val="24"/>
          <w:szCs w:val="24"/>
          <w:highlight w:val="white"/>
        </w:rPr>
        <w:t>, G., 2024. Exploring the role of different phytochemicals on the morphological variations of metal and metal oxide nanomaterials for biomedical application. </w:t>
      </w:r>
      <w:r>
        <w:rPr>
          <w:rFonts w:ascii="Times New Roman" w:eastAsia="Times New Roman" w:hAnsi="Times New Roman" w:cs="Times New Roman"/>
          <w:i/>
          <w:iCs/>
          <w:color w:val="222222"/>
          <w:sz w:val="24"/>
          <w:szCs w:val="24"/>
          <w:highlight w:val="white"/>
        </w:rPr>
        <w:t>Interactions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245</w:t>
      </w:r>
      <w:r>
        <w:rPr>
          <w:rFonts w:ascii="Times New Roman" w:eastAsia="Times New Roman" w:hAnsi="Times New Roman" w:cs="Times New Roman"/>
          <w:color w:val="222222"/>
          <w:sz w:val="24"/>
          <w:szCs w:val="24"/>
          <w:highlight w:val="white"/>
        </w:rPr>
        <w:t>(1), p.234.</w:t>
      </w:r>
    </w:p>
    <w:p w14:paraId="369FC8E0"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 xml:space="preserve">[27]. </w:t>
      </w:r>
      <w:r>
        <w:rPr>
          <w:rFonts w:ascii="Times New Roman" w:eastAsia="Times New Roman" w:hAnsi="Times New Roman" w:cs="Times New Roman"/>
          <w:color w:val="222222"/>
          <w:sz w:val="24"/>
          <w:szCs w:val="24"/>
          <w:highlight w:val="white"/>
        </w:rPr>
        <w:t xml:space="preserve">Yadav, S., Nadar, T., </w:t>
      </w:r>
      <w:proofErr w:type="spellStart"/>
      <w:r>
        <w:rPr>
          <w:rFonts w:ascii="Times New Roman" w:eastAsia="Times New Roman" w:hAnsi="Times New Roman" w:cs="Times New Roman"/>
          <w:color w:val="222222"/>
          <w:sz w:val="24"/>
          <w:szCs w:val="24"/>
          <w:highlight w:val="white"/>
        </w:rPr>
        <w:t>Lakkakula</w:t>
      </w:r>
      <w:proofErr w:type="spellEnd"/>
      <w:r>
        <w:rPr>
          <w:rFonts w:ascii="Times New Roman" w:eastAsia="Times New Roman" w:hAnsi="Times New Roman" w:cs="Times New Roman"/>
          <w:color w:val="222222"/>
          <w:sz w:val="24"/>
          <w:szCs w:val="24"/>
          <w:highlight w:val="white"/>
        </w:rPr>
        <w:t xml:space="preserve">, J. and </w:t>
      </w:r>
      <w:proofErr w:type="spellStart"/>
      <w:r>
        <w:rPr>
          <w:rFonts w:ascii="Times New Roman" w:eastAsia="Times New Roman" w:hAnsi="Times New Roman" w:cs="Times New Roman"/>
          <w:color w:val="222222"/>
          <w:sz w:val="24"/>
          <w:szCs w:val="24"/>
          <w:highlight w:val="white"/>
        </w:rPr>
        <w:t>Wagh</w:t>
      </w:r>
      <w:proofErr w:type="spellEnd"/>
      <w:r>
        <w:rPr>
          <w:rFonts w:ascii="Times New Roman" w:eastAsia="Times New Roman" w:hAnsi="Times New Roman" w:cs="Times New Roman"/>
          <w:color w:val="222222"/>
          <w:sz w:val="24"/>
          <w:szCs w:val="24"/>
          <w:highlight w:val="white"/>
        </w:rPr>
        <w:t>, N.S., 2024. Biogenic synthesis of nanomaterials: bioactive compounds as reducing, and capping agents. In </w:t>
      </w:r>
      <w:r>
        <w:rPr>
          <w:rFonts w:ascii="Times New Roman" w:eastAsia="Times New Roman" w:hAnsi="Times New Roman" w:cs="Times New Roman"/>
          <w:i/>
          <w:iCs/>
          <w:color w:val="222222"/>
          <w:sz w:val="24"/>
          <w:szCs w:val="24"/>
          <w:highlight w:val="white"/>
        </w:rPr>
        <w:t>Biogenic nanomaterials for environmental sustainability: principles, practices, and opportunities</w:t>
      </w:r>
      <w:r>
        <w:rPr>
          <w:rFonts w:ascii="Times New Roman" w:eastAsia="Times New Roman" w:hAnsi="Times New Roman" w:cs="Times New Roman"/>
          <w:color w:val="222222"/>
          <w:sz w:val="24"/>
          <w:szCs w:val="24"/>
          <w:highlight w:val="white"/>
        </w:rPr>
        <w:t> (pp. 147-188). Cham: Springer International Pub</w:t>
      </w:r>
      <w:r>
        <w:rPr>
          <w:rFonts w:ascii="Times New Roman" w:eastAsia="Times New Roman" w:hAnsi="Times New Roman" w:cs="Times New Roman"/>
          <w:color w:val="222222"/>
          <w:sz w:val="24"/>
          <w:szCs w:val="24"/>
          <w:highlight w:val="white"/>
        </w:rPr>
        <w:t>lishing.</w:t>
      </w:r>
    </w:p>
    <w:p w14:paraId="2AEA1D55"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[28]. Lu, Y.C., Lu, Y. and Fan, X., 2020. Structure and characteristics of lignin. In </w:t>
      </w:r>
      <w:r>
        <w:rPr>
          <w:rFonts w:ascii="Times New Roman" w:eastAsia="Times New Roman" w:hAnsi="Times New Roman" w:cs="Times New Roman"/>
          <w:i/>
          <w:iCs/>
          <w:color w:val="222222"/>
          <w:sz w:val="24"/>
          <w:szCs w:val="24"/>
          <w:highlight w:val="white"/>
        </w:rPr>
        <w:t>Lignin: biosynthesis and transformation for industrial applications</w:t>
      </w:r>
      <w:r>
        <w:rPr>
          <w:rFonts w:ascii="Times New Roman" w:eastAsia="Times New Roman" w:hAnsi="Times New Roman" w:cs="Times New Roman"/>
          <w:color w:val="222222"/>
          <w:sz w:val="24"/>
          <w:szCs w:val="24"/>
          <w:highlight w:val="white"/>
        </w:rPr>
        <w:t> (pp. 17-75). Cham: Springer International Publishing.</w:t>
      </w:r>
    </w:p>
    <w:p w14:paraId="72740531"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[29]. </w:t>
      </w:r>
      <w:proofErr w:type="spellStart"/>
      <w:r>
        <w:rPr>
          <w:rFonts w:ascii="Times New Roman" w:eastAsia="Times New Roman" w:hAnsi="Times New Roman" w:cs="Times New Roman"/>
          <w:color w:val="222222"/>
          <w:sz w:val="24"/>
          <w:szCs w:val="24"/>
          <w:highlight w:val="white"/>
        </w:rPr>
        <w:t>Anik</w:t>
      </w:r>
      <w:proofErr w:type="spellEnd"/>
      <w:r>
        <w:rPr>
          <w:rFonts w:ascii="Times New Roman" w:eastAsia="Times New Roman" w:hAnsi="Times New Roman" w:cs="Times New Roman"/>
          <w:color w:val="222222"/>
          <w:sz w:val="24"/>
          <w:szCs w:val="24"/>
          <w:highlight w:val="white"/>
        </w:rPr>
        <w:t xml:space="preserve">, F.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M. M. H., Mohsin, M., &amp; Jahan, S. A. (2025). Effect of Hydrolysis Catalyst and Photo-catalysis Performance Exploration of Rutile Nanocrystal Derived from Screen Printing Waste: A Waste to Wealth Approach. Chemistry of Inorganic Materials,</w:t>
      </w:r>
      <w:r>
        <w:rPr>
          <w:rFonts w:ascii="Times New Roman" w:eastAsia="Times New Roman" w:hAnsi="Times New Roman" w:cs="Times New Roman"/>
          <w:color w:val="222222"/>
          <w:sz w:val="24"/>
          <w:szCs w:val="24"/>
          <w:highlight w:val="white"/>
        </w:rPr>
        <w:t xml:space="preserve"> 100131.</w:t>
      </w:r>
    </w:p>
    <w:p w14:paraId="67F8154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proofErr w:type="gramStart"/>
      <w:r>
        <w:rPr>
          <w:rFonts w:ascii="Times New Roman" w:eastAsia="Times New Roman" w:hAnsi="Times New Roman" w:cs="Times New Roman"/>
          <w:color w:val="222222"/>
          <w:sz w:val="24"/>
          <w:szCs w:val="24"/>
          <w:highlight w:val="white"/>
        </w:rPr>
        <w:t>30]</w:t>
      </w:r>
      <w:proofErr w:type="spellStart"/>
      <w:r>
        <w:rPr>
          <w:rFonts w:ascii="Times New Roman" w:eastAsia="Times New Roman" w:hAnsi="Times New Roman" w:cs="Times New Roman"/>
          <w:color w:val="222222"/>
          <w:sz w:val="24"/>
          <w:szCs w:val="24"/>
          <w:highlight w:val="white"/>
        </w:rPr>
        <w:t>Alam</w:t>
      </w:r>
      <w:proofErr w:type="spellEnd"/>
      <w:proofErr w:type="gramEnd"/>
      <w:r>
        <w:rPr>
          <w:rFonts w:ascii="Times New Roman" w:eastAsia="Times New Roman" w:hAnsi="Times New Roman" w:cs="Times New Roman"/>
          <w:color w:val="222222"/>
          <w:sz w:val="24"/>
          <w:szCs w:val="24"/>
          <w:highlight w:val="white"/>
        </w:rPr>
        <w:t xml:space="preserve">, M. A., Shishir, M. K. H., </w:t>
      </w:r>
      <w:proofErr w:type="spellStart"/>
      <w:r>
        <w:rPr>
          <w:rFonts w:ascii="Times New Roman" w:eastAsia="Times New Roman" w:hAnsi="Times New Roman" w:cs="Times New Roman"/>
          <w:color w:val="222222"/>
          <w:sz w:val="24"/>
          <w:szCs w:val="24"/>
          <w:highlight w:val="white"/>
        </w:rPr>
        <w:t>Podder</w:t>
      </w:r>
      <w:proofErr w:type="spellEnd"/>
      <w:r>
        <w:rPr>
          <w:rFonts w:ascii="Times New Roman" w:eastAsia="Times New Roman" w:hAnsi="Times New Roman" w:cs="Times New Roman"/>
          <w:color w:val="222222"/>
          <w:sz w:val="24"/>
          <w:szCs w:val="24"/>
          <w:highlight w:val="white"/>
        </w:rPr>
        <w:t xml:space="preserve">, U., Hasan, M. R., </w:t>
      </w:r>
      <w:proofErr w:type="spellStart"/>
      <w:r>
        <w:rPr>
          <w:rFonts w:ascii="Times New Roman" w:eastAsia="Times New Roman" w:hAnsi="Times New Roman" w:cs="Times New Roman"/>
          <w:color w:val="222222"/>
          <w:sz w:val="24"/>
          <w:szCs w:val="24"/>
          <w:highlight w:val="white"/>
        </w:rPr>
        <w:t>Rahaman</w:t>
      </w:r>
      <w:proofErr w:type="spellEnd"/>
      <w:r>
        <w:rPr>
          <w:rFonts w:ascii="Times New Roman" w:eastAsia="Times New Roman" w:hAnsi="Times New Roman" w:cs="Times New Roman"/>
          <w:color w:val="222222"/>
          <w:sz w:val="24"/>
          <w:szCs w:val="24"/>
          <w:highlight w:val="white"/>
        </w:rPr>
        <w:t xml:space="preserve">, M. A., Islam, M. T., &amp; Rahman, A. (2026). Crystallographic bibliography of Co-precipitate derived (311) </w:t>
      </w:r>
      <w:proofErr w:type="spellStart"/>
      <w:r>
        <w:rPr>
          <w:rFonts w:ascii="Times New Roman" w:eastAsia="Times New Roman" w:hAnsi="Times New Roman" w:cs="Times New Roman"/>
          <w:color w:val="222222"/>
          <w:sz w:val="24"/>
          <w:szCs w:val="24"/>
          <w:highlight w:val="white"/>
        </w:rPr>
        <w:t>Guite</w:t>
      </w:r>
      <w:proofErr w:type="spellEnd"/>
      <w:r>
        <w:rPr>
          <w:rFonts w:ascii="Times New Roman" w:eastAsia="Times New Roman" w:hAnsi="Times New Roman" w:cs="Times New Roman"/>
          <w:color w:val="222222"/>
          <w:sz w:val="24"/>
          <w:szCs w:val="24"/>
          <w:highlight w:val="white"/>
        </w:rPr>
        <w:t xml:space="preserve"> (Co3O4) crystalline materials. Next Nanotechnology, 9, 100392.</w:t>
      </w:r>
    </w:p>
    <w:p w14:paraId="3355DF0D"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[31</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w:t>
      </w:r>
      <w:proofErr w:type="spellStart"/>
      <w:r>
        <w:rPr>
          <w:rFonts w:ascii="Times New Roman" w:eastAsia="Times New Roman" w:hAnsi="Times New Roman" w:cs="Times New Roman"/>
          <w:color w:val="222222"/>
          <w:sz w:val="24"/>
          <w:szCs w:val="24"/>
          <w:highlight w:val="white"/>
        </w:rPr>
        <w:t>Anik</w:t>
      </w:r>
      <w:proofErr w:type="spellEnd"/>
      <w:r>
        <w:rPr>
          <w:rFonts w:ascii="Times New Roman" w:eastAsia="Times New Roman" w:hAnsi="Times New Roman" w:cs="Times New Roman"/>
          <w:color w:val="222222"/>
          <w:sz w:val="24"/>
          <w:szCs w:val="24"/>
          <w:highlight w:val="white"/>
        </w:rPr>
        <w:t xml:space="preserve">, F. K., Ahmed, S., Aman, S., </w:t>
      </w:r>
      <w:proofErr w:type="spellStart"/>
      <w:r>
        <w:rPr>
          <w:rFonts w:ascii="Times New Roman" w:eastAsia="Times New Roman" w:hAnsi="Times New Roman" w:cs="Times New Roman"/>
          <w:color w:val="222222"/>
          <w:sz w:val="24"/>
          <w:szCs w:val="24"/>
          <w:highlight w:val="white"/>
        </w:rPr>
        <w:t>Podder</w:t>
      </w:r>
      <w:proofErr w:type="spellEnd"/>
      <w:r>
        <w:rPr>
          <w:rFonts w:ascii="Times New Roman" w:eastAsia="Times New Roman" w:hAnsi="Times New Roman" w:cs="Times New Roman"/>
          <w:color w:val="222222"/>
          <w:sz w:val="24"/>
          <w:szCs w:val="24"/>
          <w:highlight w:val="white"/>
        </w:rPr>
        <w:t xml:space="preserve">, U.,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Crystallographic investigation of PVA@ PLA nanocomposite film by X-ray diffraction: insight from high resolution TEM. Journal of Engineering Resear</w:t>
      </w:r>
      <w:r>
        <w:rPr>
          <w:rFonts w:ascii="Times New Roman" w:eastAsia="Times New Roman" w:hAnsi="Times New Roman" w:cs="Times New Roman"/>
          <w:color w:val="222222"/>
          <w:sz w:val="24"/>
          <w:szCs w:val="24"/>
          <w:highlight w:val="white"/>
        </w:rPr>
        <w:t>ch and Reports, 27(3), 310-327.</w:t>
      </w:r>
    </w:p>
    <w:p w14:paraId="005AB26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[32]. Hossain, J.,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Ahmed, S., Sadia, S. I., Shishir, M. K. H.,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(2025). Reinforcement of Biodegradable PLA-PVA Composite Films with Carbon Nanotubes: Mechanical and Thermal </w:t>
      </w:r>
      <w:r>
        <w:rPr>
          <w:rFonts w:ascii="Times New Roman" w:eastAsia="Times New Roman" w:hAnsi="Times New Roman" w:cs="Times New Roman"/>
          <w:color w:val="222222"/>
          <w:sz w:val="24"/>
          <w:szCs w:val="24"/>
          <w:highlight w:val="white"/>
        </w:rPr>
        <w:t>Property Analysis. Journal of Materials Science Research and Reviews, 8(1), 110-123.</w:t>
      </w:r>
    </w:p>
    <w:p w14:paraId="327B6B4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[33]. Tabassum, S., Hossain, M. S.,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M. M. H., Uddin, M. N., &amp; Ahmed, S. (2025). Green synthesis of nano-Ag2O using Moringa oleifera leaves for efficient photocata</w:t>
      </w:r>
      <w:r>
        <w:rPr>
          <w:rFonts w:ascii="Times New Roman" w:eastAsia="Times New Roman" w:hAnsi="Times New Roman" w:cs="Times New Roman"/>
          <w:color w:val="222222"/>
          <w:sz w:val="24"/>
          <w:szCs w:val="24"/>
          <w:highlight w:val="white"/>
        </w:rPr>
        <w:t>lytic and antimicrobial applications. New Journal of Chemistry, 49(4), 1301-1313.</w:t>
      </w:r>
    </w:p>
    <w:p w14:paraId="43CFED78"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[34].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Hasan, M., Hossain, M. K., Ahmed, S., Eva, T. N., Lima, M. N. J.,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(2025). Heavy metal contamination in </w:t>
      </w:r>
      <w:proofErr w:type="spellStart"/>
      <w:r>
        <w:rPr>
          <w:rFonts w:ascii="Times New Roman" w:eastAsia="Times New Roman" w:hAnsi="Times New Roman" w:cs="Times New Roman"/>
          <w:color w:val="222222"/>
          <w:sz w:val="24"/>
          <w:szCs w:val="24"/>
          <w:highlight w:val="white"/>
        </w:rPr>
        <w:t>Pangas</w:t>
      </w:r>
      <w:proofErr w:type="spellEnd"/>
      <w:r>
        <w:rPr>
          <w:rFonts w:ascii="Times New Roman" w:eastAsia="Times New Roman" w:hAnsi="Times New Roman" w:cs="Times New Roman"/>
          <w:color w:val="222222"/>
          <w:sz w:val="24"/>
          <w:szCs w:val="24"/>
          <w:highlight w:val="white"/>
        </w:rPr>
        <w:t xml:space="preserve"> Catfish of farm ponds</w:t>
      </w:r>
      <w:r>
        <w:rPr>
          <w:rFonts w:ascii="Times New Roman" w:eastAsia="Times New Roman" w:hAnsi="Times New Roman" w:cs="Times New Roman"/>
          <w:color w:val="222222"/>
          <w:sz w:val="24"/>
          <w:szCs w:val="24"/>
          <w:highlight w:val="white"/>
        </w:rPr>
        <w:t xml:space="preserve"> aquaculture in different locations in Bangladesh: A risk assessment study. Food Chemistry Advances, 8, 101044.</w:t>
      </w:r>
    </w:p>
    <w:p w14:paraId="1AD5F8ED"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[35].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w:t>
      </w:r>
      <w:proofErr w:type="spellStart"/>
      <w:r>
        <w:rPr>
          <w:rFonts w:ascii="Times New Roman" w:eastAsia="Times New Roman" w:hAnsi="Times New Roman" w:cs="Times New Roman"/>
          <w:color w:val="222222"/>
          <w:sz w:val="24"/>
          <w:szCs w:val="24"/>
          <w:highlight w:val="white"/>
        </w:rPr>
        <w:t>Tama</w:t>
      </w:r>
      <w:proofErr w:type="spellEnd"/>
      <w:r>
        <w:rPr>
          <w:rFonts w:ascii="Times New Roman" w:eastAsia="Times New Roman" w:hAnsi="Times New Roman" w:cs="Times New Roman"/>
          <w:color w:val="222222"/>
          <w:sz w:val="24"/>
          <w:szCs w:val="24"/>
          <w:highlight w:val="white"/>
        </w:rPr>
        <w:t xml:space="preserve">, R. T., Hossain, M. S., Hoque, N. S., Hossain, M. K., Lima, N. J.,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Physicochemical and M</w:t>
      </w:r>
      <w:r>
        <w:rPr>
          <w:rFonts w:ascii="Times New Roman" w:eastAsia="Times New Roman" w:hAnsi="Times New Roman" w:cs="Times New Roman"/>
          <w:color w:val="222222"/>
          <w:sz w:val="24"/>
          <w:szCs w:val="24"/>
          <w:highlight w:val="white"/>
        </w:rPr>
        <w:t>icrobiological Assessment of Low Rainfall and Extreme Weather Conditions: A Case Study on Tropic of Cancer in Bangladesh. Asian Journal of Research in Biochemistry, 15(2), 174-193.</w:t>
      </w:r>
    </w:p>
    <w:p w14:paraId="1DBB57E5"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[36].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Hossain, A., </w:t>
      </w:r>
      <w:proofErr w:type="spellStart"/>
      <w:r>
        <w:rPr>
          <w:rFonts w:ascii="Times New Roman" w:eastAsia="Times New Roman" w:hAnsi="Times New Roman" w:cs="Times New Roman"/>
          <w:color w:val="222222"/>
          <w:sz w:val="24"/>
          <w:szCs w:val="24"/>
          <w:highlight w:val="white"/>
        </w:rPr>
        <w:t>Kobir</w:t>
      </w:r>
      <w:proofErr w:type="spellEnd"/>
      <w:r>
        <w:rPr>
          <w:rFonts w:ascii="Times New Roman" w:eastAsia="Times New Roman" w:hAnsi="Times New Roman" w:cs="Times New Roman"/>
          <w:color w:val="222222"/>
          <w:sz w:val="24"/>
          <w:szCs w:val="24"/>
          <w:highlight w:val="white"/>
        </w:rPr>
        <w:t xml:space="preserve">, M. M., </w:t>
      </w:r>
      <w:proofErr w:type="spellStart"/>
      <w:r>
        <w:rPr>
          <w:rFonts w:ascii="Times New Roman" w:eastAsia="Times New Roman" w:hAnsi="Times New Roman" w:cs="Times New Roman"/>
          <w:color w:val="222222"/>
          <w:sz w:val="24"/>
          <w:szCs w:val="24"/>
          <w:highlight w:val="white"/>
        </w:rPr>
        <w:t>Hoda</w:t>
      </w:r>
      <w:proofErr w:type="spellEnd"/>
      <w:r>
        <w:rPr>
          <w:rFonts w:ascii="Times New Roman" w:eastAsia="Times New Roman" w:hAnsi="Times New Roman" w:cs="Times New Roman"/>
          <w:color w:val="222222"/>
          <w:sz w:val="24"/>
          <w:szCs w:val="24"/>
          <w:highlight w:val="white"/>
        </w:rPr>
        <w:t>, M. D., Ahamed, M.</w:t>
      </w:r>
      <w:r>
        <w:rPr>
          <w:rFonts w:ascii="Times New Roman" w:eastAsia="Times New Roman" w:hAnsi="Times New Roman" w:cs="Times New Roman"/>
          <w:color w:val="222222"/>
          <w:sz w:val="24"/>
          <w:szCs w:val="24"/>
          <w:highlight w:val="white"/>
        </w:rPr>
        <w:t xml:space="preserve"> R., Lima, M. N. J.,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Heavy metal intake by fishes of different river locations in Bangladesh: A comparative statistical review. Asian Journal of Fisheries and Aquatic Research, 26(6), 43-67.</w:t>
      </w:r>
    </w:p>
    <w:p w14:paraId="37279DB8"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[37]. Al-Mahmud, M. R., Shishir, M. K. </w:t>
      </w:r>
      <w:r>
        <w:rPr>
          <w:rFonts w:ascii="Times New Roman" w:eastAsia="Times New Roman" w:hAnsi="Times New Roman" w:cs="Times New Roman"/>
          <w:color w:val="222222"/>
          <w:sz w:val="24"/>
          <w:szCs w:val="24"/>
          <w:highlight w:val="white"/>
        </w:rPr>
        <w:t xml:space="preserve">H., Ahmed, S., Tabassum, S., Sadia, S. I.,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Stoichiometry crystallographic phase analysis and crystallinity integration of silver nanoparticles: A Rietveld refinement study. Journal of Crystal Growth, 643, 127815</w:t>
      </w:r>
      <w:r>
        <w:rPr>
          <w:rFonts w:ascii="Times New Roman" w:eastAsia="Times New Roman" w:hAnsi="Times New Roman" w:cs="Times New Roman"/>
          <w:color w:val="222222"/>
          <w:sz w:val="24"/>
          <w:szCs w:val="24"/>
          <w:highlight w:val="white"/>
        </w:rPr>
        <w:t>.</w:t>
      </w:r>
    </w:p>
    <w:p w14:paraId="05DA7829"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[38]. Ahmed, S., Shishir, M. K. H., Sadia, S. I., Al-Reza, S. M.,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w:t>
      </w:r>
      <w:proofErr w:type="spellStart"/>
      <w:r>
        <w:rPr>
          <w:rFonts w:ascii="Times New Roman" w:eastAsia="Times New Roman" w:hAnsi="Times New Roman" w:cs="Times New Roman"/>
          <w:color w:val="222222"/>
          <w:sz w:val="24"/>
          <w:szCs w:val="24"/>
          <w:highlight w:val="white"/>
        </w:rPr>
        <w:t>Aidid</w:t>
      </w:r>
      <w:proofErr w:type="spellEnd"/>
      <w:r>
        <w:rPr>
          <w:rFonts w:ascii="Times New Roman" w:eastAsia="Times New Roman" w:hAnsi="Times New Roman" w:cs="Times New Roman"/>
          <w:color w:val="222222"/>
          <w:sz w:val="24"/>
          <w:szCs w:val="24"/>
          <w:highlight w:val="white"/>
        </w:rPr>
        <w:t xml:space="preserve">, A. R.,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Crystallographic phase biographs of copper nanocrystalline material: A statistical perspective review. Nano-Structures &amp; Nano-Obj</w:t>
      </w:r>
      <w:r>
        <w:rPr>
          <w:rFonts w:ascii="Times New Roman" w:eastAsia="Times New Roman" w:hAnsi="Times New Roman" w:cs="Times New Roman"/>
          <w:color w:val="222222"/>
          <w:sz w:val="24"/>
          <w:szCs w:val="24"/>
          <w:highlight w:val="white"/>
        </w:rPr>
        <w:t>ects, 39, 101275.</w:t>
      </w:r>
    </w:p>
    <w:p w14:paraId="294067F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[39]. Shishir, M. K. H., Afrin, S.,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Eva, T. N., Tabassum, S., Ahmed, S.,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Crystalline copper nanomaterials for advanced ceramic: a comprehensive review for functional ceramic coating approaches.</w:t>
      </w:r>
      <w:r>
        <w:rPr>
          <w:rFonts w:ascii="Times New Roman" w:eastAsia="Times New Roman" w:hAnsi="Times New Roman" w:cs="Times New Roman"/>
          <w:color w:val="222222"/>
          <w:sz w:val="24"/>
          <w:szCs w:val="24"/>
          <w:highlight w:val="white"/>
        </w:rPr>
        <w:t xml:space="preserve"> Asian Journal of Advanced Research and Reports, 18(8), 13-34.</w:t>
      </w:r>
    </w:p>
    <w:p w14:paraId="26E1CCA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[40].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S., &amp; Jahan, S. A. (2024). Impact on preferred orientation and crystal strain behavior of nanocrystal anatase-TiO2 by X-ray diffraction technique. So</w:t>
      </w:r>
      <w:r>
        <w:rPr>
          <w:rFonts w:ascii="Times New Roman" w:eastAsia="Times New Roman" w:hAnsi="Times New Roman" w:cs="Times New Roman"/>
          <w:color w:val="222222"/>
          <w:sz w:val="24"/>
          <w:szCs w:val="24"/>
          <w:highlight w:val="white"/>
        </w:rPr>
        <w:t>uth African Journal of Chemical Engineering, 49, 348-352.</w:t>
      </w:r>
    </w:p>
    <w:p w14:paraId="3F7596B6"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[41].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Tabassum, M.,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R. K., Sarkar, D., &amp; Jahan, S. A. (2023). The effect of precursor concentration on the crystallinity synchronization of synthesized copper nano</w:t>
      </w:r>
      <w:r>
        <w:rPr>
          <w:rFonts w:ascii="Times New Roman" w:eastAsia="Times New Roman" w:hAnsi="Times New Roman" w:cs="Times New Roman"/>
          <w:color w:val="222222"/>
          <w:sz w:val="24"/>
          <w:szCs w:val="24"/>
          <w:highlight w:val="white"/>
        </w:rPr>
        <w:t>particles. Journal of Crystal Growth, 621, 127386.</w:t>
      </w:r>
    </w:p>
    <w:p w14:paraId="1D238EC0"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[42].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Ahmed, S.,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xml:space="preserve">, S., &amp; Jahan, S. A. (2025). X-ray crystallographic diffraction study by whole powder pattern fitting (WPPF) method: Refinement of crystalline </w:t>
      </w:r>
      <w:r>
        <w:rPr>
          <w:rFonts w:ascii="Times New Roman" w:eastAsia="Times New Roman" w:hAnsi="Times New Roman" w:cs="Times New Roman"/>
          <w:color w:val="222222"/>
          <w:sz w:val="24"/>
          <w:szCs w:val="24"/>
          <w:highlight w:val="white"/>
        </w:rPr>
        <w:t>nanostructure polymorphs TiO2. South African Journal of Chemical Engineering, 51, 68-77.</w:t>
      </w:r>
    </w:p>
    <w:p w14:paraId="78280BED"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[43].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w:t>
      </w:r>
      <w:proofErr w:type="spellStart"/>
      <w:r>
        <w:rPr>
          <w:rFonts w:ascii="Times New Roman" w:eastAsia="Times New Roman" w:hAnsi="Times New Roman" w:cs="Times New Roman"/>
          <w:color w:val="222222"/>
          <w:sz w:val="24"/>
          <w:szCs w:val="24"/>
          <w:highlight w:val="white"/>
        </w:rPr>
        <w:t>Podder</w:t>
      </w:r>
      <w:proofErr w:type="spellEnd"/>
      <w:r>
        <w:rPr>
          <w:rFonts w:ascii="Times New Roman" w:eastAsia="Times New Roman" w:hAnsi="Times New Roman" w:cs="Times New Roman"/>
          <w:color w:val="222222"/>
          <w:sz w:val="24"/>
          <w:szCs w:val="24"/>
          <w:highlight w:val="white"/>
        </w:rPr>
        <w:t xml:space="preserve">, U.,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Shishir, M. K. H., Miah, M. A. R., </w:t>
      </w:r>
      <w:proofErr w:type="spellStart"/>
      <w:r>
        <w:rPr>
          <w:rFonts w:ascii="Times New Roman" w:eastAsia="Times New Roman" w:hAnsi="Times New Roman" w:cs="Times New Roman"/>
          <w:color w:val="222222"/>
          <w:sz w:val="24"/>
          <w:szCs w:val="24"/>
          <w:highlight w:val="white"/>
        </w:rPr>
        <w:t>Anik</w:t>
      </w:r>
      <w:proofErr w:type="spellEnd"/>
      <w:r>
        <w:rPr>
          <w:rFonts w:ascii="Times New Roman" w:eastAsia="Times New Roman" w:hAnsi="Times New Roman" w:cs="Times New Roman"/>
          <w:color w:val="222222"/>
          <w:sz w:val="24"/>
          <w:szCs w:val="24"/>
          <w:highlight w:val="white"/>
        </w:rPr>
        <w:t>, F. K., ... &amp; Jahan, S. A. (2026). Critical perspective review on green synthesis</w:t>
      </w:r>
      <w:r>
        <w:rPr>
          <w:rFonts w:ascii="Times New Roman" w:eastAsia="Times New Roman" w:hAnsi="Times New Roman" w:cs="Times New Roman"/>
          <w:color w:val="222222"/>
          <w:sz w:val="24"/>
          <w:szCs w:val="24"/>
          <w:highlight w:val="white"/>
        </w:rPr>
        <w:t xml:space="preserve"> of zinc oxide nanoparticles: Explored wurtzite phase, characterization and </w:t>
      </w:r>
      <w:proofErr w:type="gramStart"/>
      <w:r>
        <w:rPr>
          <w:rFonts w:ascii="Times New Roman" w:eastAsia="Times New Roman" w:hAnsi="Times New Roman" w:cs="Times New Roman"/>
          <w:color w:val="222222"/>
          <w:sz w:val="24"/>
          <w:szCs w:val="24"/>
          <w:highlight w:val="white"/>
        </w:rPr>
        <w:t>real world</w:t>
      </w:r>
      <w:proofErr w:type="gramEnd"/>
      <w:r>
        <w:rPr>
          <w:rFonts w:ascii="Times New Roman" w:eastAsia="Times New Roman" w:hAnsi="Times New Roman" w:cs="Times New Roman"/>
          <w:color w:val="222222"/>
          <w:sz w:val="24"/>
          <w:szCs w:val="24"/>
          <w:highlight w:val="white"/>
        </w:rPr>
        <w:t xml:space="preserve"> applications. Next Nanotechnology, 9, 100412.</w:t>
      </w:r>
    </w:p>
    <w:p w14:paraId="335E7B6F"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[44].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Zannat</w:t>
      </w:r>
      <w:proofErr w:type="spellEnd"/>
      <w:r>
        <w:rPr>
          <w:rFonts w:ascii="Times New Roman" w:eastAsia="Times New Roman" w:hAnsi="Times New Roman" w:cs="Times New Roman"/>
          <w:color w:val="222222"/>
          <w:sz w:val="24"/>
          <w:szCs w:val="24"/>
          <w:highlight w:val="white"/>
        </w:rPr>
        <w:t>, F., &amp; Jahan, S. A. (2026). Crystallographic Exploration of Copper Nanocrystal by</w:t>
      </w:r>
      <w:r>
        <w:rPr>
          <w:rFonts w:ascii="Times New Roman" w:eastAsia="Times New Roman" w:hAnsi="Times New Roman" w:cs="Times New Roman"/>
          <w:color w:val="222222"/>
          <w:sz w:val="24"/>
          <w:szCs w:val="24"/>
          <w:highlight w:val="white"/>
        </w:rPr>
        <w:t xml:space="preserve"> X-ray and Selected Area Electron Diffraction Pattern: High Resolution Transmission Electron Microscopy Insight. Physics Letters A, 131391.</w:t>
      </w:r>
    </w:p>
    <w:p w14:paraId="4AB22060"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[45].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xml:space="preserve">, S., Ahmed, S., </w:t>
      </w:r>
      <w:proofErr w:type="spellStart"/>
      <w:r>
        <w:rPr>
          <w:rFonts w:ascii="Times New Roman" w:eastAsia="Times New Roman" w:hAnsi="Times New Roman" w:cs="Times New Roman"/>
          <w:color w:val="222222"/>
          <w:sz w:val="24"/>
          <w:szCs w:val="24"/>
          <w:highlight w:val="white"/>
        </w:rPr>
        <w:t>Zannat</w:t>
      </w:r>
      <w:proofErr w:type="spellEnd"/>
      <w:r>
        <w:rPr>
          <w:rFonts w:ascii="Times New Roman" w:eastAsia="Times New Roman" w:hAnsi="Times New Roman" w:cs="Times New Roman"/>
          <w:color w:val="222222"/>
          <w:sz w:val="24"/>
          <w:szCs w:val="24"/>
          <w:highlight w:val="white"/>
        </w:rPr>
        <w:t>, F., &amp; Jahan, S. A. (2026). Study of Sol-Gel Deriv</w:t>
      </w:r>
      <w:r>
        <w:rPr>
          <w:rFonts w:ascii="Times New Roman" w:eastAsia="Times New Roman" w:hAnsi="Times New Roman" w:cs="Times New Roman"/>
          <w:color w:val="222222"/>
          <w:sz w:val="24"/>
          <w:szCs w:val="24"/>
          <w:highlight w:val="white"/>
        </w:rPr>
        <w:t>ed Silver Nanoparticle (</w:t>
      </w:r>
      <w:proofErr w:type="spellStart"/>
      <w:r>
        <w:rPr>
          <w:rFonts w:ascii="Times New Roman" w:eastAsia="Times New Roman" w:hAnsi="Times New Roman" w:cs="Times New Roman"/>
          <w:color w:val="222222"/>
          <w:sz w:val="24"/>
          <w:szCs w:val="24"/>
          <w:highlight w:val="white"/>
        </w:rPr>
        <w:t>AgNPs</w:t>
      </w:r>
      <w:proofErr w:type="spellEnd"/>
      <w:r>
        <w:rPr>
          <w:rFonts w:ascii="Times New Roman" w:eastAsia="Times New Roman" w:hAnsi="Times New Roman" w:cs="Times New Roman"/>
          <w:color w:val="222222"/>
          <w:sz w:val="24"/>
          <w:szCs w:val="24"/>
          <w:highlight w:val="white"/>
        </w:rPr>
        <w:t>): X-ray Computed Crystal Growth Mechanism and Thermal Analysis. South African Journal of Chemical Engineering, 100839.</w:t>
      </w:r>
    </w:p>
    <w:p w14:paraId="2E90CE8E"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[46]. </w:t>
      </w:r>
      <w:proofErr w:type="spellStart"/>
      <w:r>
        <w:rPr>
          <w:rFonts w:ascii="Times New Roman" w:eastAsia="Times New Roman" w:hAnsi="Times New Roman" w:cs="Times New Roman"/>
          <w:color w:val="222222"/>
          <w:sz w:val="24"/>
          <w:szCs w:val="24"/>
          <w:highlight w:val="white"/>
        </w:rPr>
        <w:t>Anik</w:t>
      </w:r>
      <w:proofErr w:type="spellEnd"/>
      <w:r>
        <w:rPr>
          <w:rFonts w:ascii="Times New Roman" w:eastAsia="Times New Roman" w:hAnsi="Times New Roman" w:cs="Times New Roman"/>
          <w:color w:val="222222"/>
          <w:sz w:val="24"/>
          <w:szCs w:val="24"/>
          <w:highlight w:val="white"/>
        </w:rPr>
        <w:t xml:space="preserve">, F.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M. M. H., Mohsin, M., &amp; Jahan, S. A. (2025). Effec</w:t>
      </w:r>
      <w:r>
        <w:rPr>
          <w:rFonts w:ascii="Times New Roman" w:eastAsia="Times New Roman" w:hAnsi="Times New Roman" w:cs="Times New Roman"/>
          <w:color w:val="222222"/>
          <w:sz w:val="24"/>
          <w:szCs w:val="24"/>
          <w:highlight w:val="white"/>
        </w:rPr>
        <w:t>t of Hydrolysis Catalyst and Photo-catalysis Performance Exploration of Rutile Nanocrystal Derived from Screen Printing Waste: A Waste to Wealth Approach. Chemistry of Inorganic Materials, 100131.</w:t>
      </w:r>
    </w:p>
    <w:p w14:paraId="0450E299"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[47].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Ahashan</w:t>
      </w:r>
      <w:proofErr w:type="spellEnd"/>
      <w:r>
        <w:rPr>
          <w:rFonts w:ascii="Times New Roman" w:eastAsia="Times New Roman" w:hAnsi="Times New Roman" w:cs="Times New Roman"/>
          <w:color w:val="222222"/>
          <w:sz w:val="24"/>
          <w:szCs w:val="24"/>
          <w:highlight w:val="white"/>
        </w:rPr>
        <w:t>, S. M., Miah, M.</w:t>
      </w:r>
      <w:r>
        <w:rPr>
          <w:rFonts w:ascii="Times New Roman" w:eastAsia="Times New Roman" w:hAnsi="Times New Roman" w:cs="Times New Roman"/>
          <w:color w:val="222222"/>
          <w:sz w:val="24"/>
          <w:szCs w:val="24"/>
          <w:highlight w:val="white"/>
        </w:rPr>
        <w:t xml:space="preserve"> A. R., </w:t>
      </w:r>
      <w:proofErr w:type="spellStart"/>
      <w:r>
        <w:rPr>
          <w:rFonts w:ascii="Times New Roman" w:eastAsia="Times New Roman" w:hAnsi="Times New Roman" w:cs="Times New Roman"/>
          <w:color w:val="222222"/>
          <w:sz w:val="24"/>
          <w:szCs w:val="24"/>
          <w:highlight w:val="white"/>
        </w:rPr>
        <w:t>Rahaman</w:t>
      </w:r>
      <w:proofErr w:type="spellEnd"/>
      <w:r>
        <w:rPr>
          <w:rFonts w:ascii="Times New Roman" w:eastAsia="Times New Roman" w:hAnsi="Times New Roman" w:cs="Times New Roman"/>
          <w:color w:val="222222"/>
          <w:sz w:val="24"/>
          <w:szCs w:val="24"/>
          <w:highlight w:val="white"/>
        </w:rPr>
        <w:t>, M. A., Islam, M. T., ... &amp; Jahan, S. A. (2026). Crystallography Phase Analysis of Copper Oxide Nanocrystal by X-ray Diffraction and Selected Area Electron Diffraction: A Comprehensive Exploration. Materials Today Communications, 115057.</w:t>
      </w:r>
    </w:p>
    <w:p w14:paraId="2E11C639"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Pr>
          <w:rFonts w:ascii="Times New Roman" w:eastAsia="Times New Roman" w:hAnsi="Times New Roman" w:cs="Times New Roman"/>
          <w:color w:val="222222"/>
          <w:sz w:val="24"/>
          <w:szCs w:val="24"/>
          <w:highlight w:val="white"/>
        </w:rPr>
        <w:t xml:space="preserve">8]. Das, G., Hossain Shishir, M. K., </w:t>
      </w:r>
      <w:proofErr w:type="spellStart"/>
      <w:r>
        <w:rPr>
          <w:rFonts w:ascii="Times New Roman" w:eastAsia="Times New Roman" w:hAnsi="Times New Roman" w:cs="Times New Roman"/>
          <w:color w:val="222222"/>
          <w:sz w:val="24"/>
          <w:szCs w:val="24"/>
          <w:highlight w:val="white"/>
        </w:rPr>
        <w:t>Bayzid</w:t>
      </w:r>
      <w:proofErr w:type="spellEnd"/>
      <w:r>
        <w:rPr>
          <w:rFonts w:ascii="Times New Roman" w:eastAsia="Times New Roman" w:hAnsi="Times New Roman" w:cs="Times New Roman"/>
          <w:color w:val="222222"/>
          <w:sz w:val="24"/>
          <w:szCs w:val="24"/>
          <w:highlight w:val="white"/>
        </w:rPr>
        <w:t xml:space="preserve">, T., </w:t>
      </w:r>
      <w:proofErr w:type="spellStart"/>
      <w:r>
        <w:rPr>
          <w:rFonts w:ascii="Times New Roman" w:eastAsia="Times New Roman" w:hAnsi="Times New Roman" w:cs="Times New Roman"/>
          <w:color w:val="222222"/>
          <w:sz w:val="24"/>
          <w:szCs w:val="24"/>
          <w:highlight w:val="white"/>
        </w:rPr>
        <w:t>Mustak</w:t>
      </w:r>
      <w:proofErr w:type="spellEnd"/>
      <w:r>
        <w:rPr>
          <w:rFonts w:ascii="Times New Roman" w:eastAsia="Times New Roman" w:hAnsi="Times New Roman" w:cs="Times New Roman"/>
          <w:color w:val="222222"/>
          <w:sz w:val="24"/>
          <w:szCs w:val="24"/>
          <w:highlight w:val="white"/>
        </w:rPr>
        <w:t xml:space="preserve">, M.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Uddin, M. H., &amp; Khan, G. M. A. (2026). Valorization of Silk Waste Sericin Through Zinc Oxide Nanoparticles Biosynthesis for Toxic Dye Degradation. </w:t>
      </w:r>
      <w:proofErr w:type="spellStart"/>
      <w:r>
        <w:rPr>
          <w:rFonts w:ascii="Times New Roman" w:eastAsia="Times New Roman" w:hAnsi="Times New Roman" w:cs="Times New Roman"/>
          <w:color w:val="222222"/>
          <w:sz w:val="24"/>
          <w:szCs w:val="24"/>
          <w:highlight w:val="white"/>
        </w:rPr>
        <w:t>ChemistrySelect</w:t>
      </w:r>
      <w:proofErr w:type="spellEnd"/>
      <w:r>
        <w:rPr>
          <w:rFonts w:ascii="Times New Roman" w:eastAsia="Times New Roman" w:hAnsi="Times New Roman" w:cs="Times New Roman"/>
          <w:color w:val="222222"/>
          <w:sz w:val="24"/>
          <w:szCs w:val="24"/>
          <w:highlight w:val="white"/>
        </w:rPr>
        <w:t>, 11(9), e04728.</w:t>
      </w:r>
    </w:p>
    <w:p w14:paraId="7AEE4CD9"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[49].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Shishir, M. K. H., </w:t>
      </w:r>
      <w:proofErr w:type="spellStart"/>
      <w:r>
        <w:rPr>
          <w:rFonts w:ascii="Times New Roman" w:eastAsia="Times New Roman" w:hAnsi="Times New Roman" w:cs="Times New Roman"/>
          <w:color w:val="222222"/>
          <w:sz w:val="24"/>
          <w:szCs w:val="24"/>
          <w:highlight w:val="white"/>
        </w:rPr>
        <w:t>Podder</w:t>
      </w:r>
      <w:proofErr w:type="spellEnd"/>
      <w:r>
        <w:rPr>
          <w:rFonts w:ascii="Times New Roman" w:eastAsia="Times New Roman" w:hAnsi="Times New Roman" w:cs="Times New Roman"/>
          <w:color w:val="222222"/>
          <w:sz w:val="24"/>
          <w:szCs w:val="24"/>
          <w:highlight w:val="white"/>
        </w:rPr>
        <w:t xml:space="preserve">, U., Hasan, M. R., </w:t>
      </w:r>
      <w:proofErr w:type="spellStart"/>
      <w:r>
        <w:rPr>
          <w:rFonts w:ascii="Times New Roman" w:eastAsia="Times New Roman" w:hAnsi="Times New Roman" w:cs="Times New Roman"/>
          <w:color w:val="222222"/>
          <w:sz w:val="24"/>
          <w:szCs w:val="24"/>
          <w:highlight w:val="white"/>
        </w:rPr>
        <w:t>Rahaman</w:t>
      </w:r>
      <w:proofErr w:type="spellEnd"/>
      <w:r>
        <w:rPr>
          <w:rFonts w:ascii="Times New Roman" w:eastAsia="Times New Roman" w:hAnsi="Times New Roman" w:cs="Times New Roman"/>
          <w:color w:val="222222"/>
          <w:sz w:val="24"/>
          <w:szCs w:val="24"/>
          <w:highlight w:val="white"/>
        </w:rPr>
        <w:t xml:space="preserve">, M. A., Islam, M. T., &amp; Rahman, A. (2026). Crystallographic bibliography of Co-precipitate derived (311) </w:t>
      </w:r>
      <w:proofErr w:type="spellStart"/>
      <w:r>
        <w:rPr>
          <w:rFonts w:ascii="Times New Roman" w:eastAsia="Times New Roman" w:hAnsi="Times New Roman" w:cs="Times New Roman"/>
          <w:color w:val="222222"/>
          <w:sz w:val="24"/>
          <w:szCs w:val="24"/>
          <w:highlight w:val="white"/>
        </w:rPr>
        <w:t>Guite</w:t>
      </w:r>
      <w:proofErr w:type="spellEnd"/>
      <w:r>
        <w:rPr>
          <w:rFonts w:ascii="Times New Roman" w:eastAsia="Times New Roman" w:hAnsi="Times New Roman" w:cs="Times New Roman"/>
          <w:color w:val="222222"/>
          <w:sz w:val="24"/>
          <w:szCs w:val="24"/>
          <w:highlight w:val="white"/>
        </w:rPr>
        <w:t xml:space="preserve"> (Co3O4) crystalline materials. Next Nanotechnology, 9, 100392.</w:t>
      </w:r>
    </w:p>
    <w:p w14:paraId="2307205D"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[50]. </w:t>
      </w:r>
      <w:proofErr w:type="spellStart"/>
      <w:r>
        <w:rPr>
          <w:rFonts w:ascii="Times New Roman" w:eastAsia="Times New Roman" w:hAnsi="Times New Roman" w:cs="Times New Roman"/>
          <w:color w:val="222222"/>
          <w:sz w:val="24"/>
          <w:szCs w:val="24"/>
          <w:highlight w:val="white"/>
        </w:rPr>
        <w:t>Zann</w:t>
      </w:r>
      <w:r>
        <w:rPr>
          <w:rFonts w:ascii="Times New Roman" w:eastAsia="Times New Roman" w:hAnsi="Times New Roman" w:cs="Times New Roman"/>
          <w:color w:val="222222"/>
          <w:sz w:val="24"/>
          <w:szCs w:val="24"/>
          <w:highlight w:val="white"/>
        </w:rPr>
        <w:t>at</w:t>
      </w:r>
      <w:proofErr w:type="spellEnd"/>
      <w:r>
        <w:rPr>
          <w:rFonts w:ascii="Times New Roman" w:eastAsia="Times New Roman" w:hAnsi="Times New Roman" w:cs="Times New Roman"/>
          <w:color w:val="222222"/>
          <w:sz w:val="24"/>
          <w:szCs w:val="24"/>
          <w:highlight w:val="white"/>
        </w:rPr>
        <w:t xml:space="preserve">, F.,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&amp; Jahan, S. A. (2025). Crystallographic integration of highly preferred orientated peptization derived </w:t>
      </w:r>
      <w:proofErr w:type="spellStart"/>
      <w:r>
        <w:rPr>
          <w:rFonts w:ascii="Times New Roman" w:eastAsia="Times New Roman" w:hAnsi="Times New Roman" w:cs="Times New Roman"/>
          <w:color w:val="222222"/>
          <w:sz w:val="24"/>
          <w:szCs w:val="24"/>
          <w:highlight w:val="white"/>
        </w:rPr>
        <w:t>nano</w:t>
      </w:r>
      <w:proofErr w:type="spellEnd"/>
      <w:r>
        <w:rPr>
          <w:rFonts w:ascii="Times New Roman" w:eastAsia="Times New Roman" w:hAnsi="Times New Roman" w:cs="Times New Roman"/>
          <w:color w:val="222222"/>
          <w:sz w:val="24"/>
          <w:szCs w:val="24"/>
          <w:highlight w:val="white"/>
        </w:rPr>
        <w:t xml:space="preserve"> anatase TiO2. Journal of Crystal Growth, 128462.</w:t>
      </w:r>
    </w:p>
    <w:p w14:paraId="63714941"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[51]. </w:t>
      </w:r>
      <w:proofErr w:type="spellStart"/>
      <w:r>
        <w:rPr>
          <w:rFonts w:ascii="Times New Roman" w:eastAsia="Times New Roman" w:hAnsi="Times New Roman" w:cs="Times New Roman"/>
          <w:color w:val="222222"/>
          <w:sz w:val="24"/>
          <w:szCs w:val="24"/>
          <w:highlight w:val="white"/>
        </w:rPr>
        <w:t>Rahaman</w:t>
      </w:r>
      <w:proofErr w:type="spellEnd"/>
      <w:r>
        <w:rPr>
          <w:rFonts w:ascii="Times New Roman" w:eastAsia="Times New Roman" w:hAnsi="Times New Roman" w:cs="Times New Roman"/>
          <w:color w:val="222222"/>
          <w:sz w:val="24"/>
          <w:szCs w:val="24"/>
          <w:highlight w:val="white"/>
        </w:rPr>
        <w:t xml:space="preserve">, M. M., </w:t>
      </w:r>
      <w:proofErr w:type="spellStart"/>
      <w:r>
        <w:rPr>
          <w:rFonts w:ascii="Times New Roman" w:eastAsia="Times New Roman" w:hAnsi="Times New Roman" w:cs="Times New Roman"/>
          <w:color w:val="222222"/>
          <w:sz w:val="24"/>
          <w:szCs w:val="24"/>
          <w:highlight w:val="white"/>
        </w:rPr>
        <w:t>Saha</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Shaha</w:t>
      </w:r>
      <w:proofErr w:type="spellEnd"/>
      <w:r>
        <w:rPr>
          <w:rFonts w:ascii="Times New Roman" w:eastAsia="Times New Roman" w:hAnsi="Times New Roman" w:cs="Times New Roman"/>
          <w:color w:val="222222"/>
          <w:sz w:val="24"/>
          <w:szCs w:val="24"/>
          <w:highlight w:val="white"/>
        </w:rPr>
        <w:t xml:space="preserve">, C.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Akh</w:t>
      </w:r>
      <w:r>
        <w:rPr>
          <w:rFonts w:ascii="Times New Roman" w:eastAsia="Times New Roman" w:hAnsi="Times New Roman" w:cs="Times New Roman"/>
          <w:color w:val="222222"/>
          <w:sz w:val="24"/>
          <w:szCs w:val="24"/>
          <w:highlight w:val="white"/>
        </w:rPr>
        <w:t xml:space="preserve">tar, U. S., </w:t>
      </w:r>
      <w:proofErr w:type="spellStart"/>
      <w:r>
        <w:rPr>
          <w:rFonts w:ascii="Times New Roman" w:eastAsia="Times New Roman" w:hAnsi="Times New Roman" w:cs="Times New Roman"/>
          <w:color w:val="222222"/>
          <w:sz w:val="24"/>
          <w:szCs w:val="24"/>
          <w:highlight w:val="white"/>
        </w:rPr>
        <w:t>Karmaker</w:t>
      </w:r>
      <w:proofErr w:type="spellEnd"/>
      <w:r>
        <w:rPr>
          <w:rFonts w:ascii="Times New Roman" w:eastAsia="Times New Roman" w:hAnsi="Times New Roman" w:cs="Times New Roman"/>
          <w:color w:val="222222"/>
          <w:sz w:val="24"/>
          <w:szCs w:val="24"/>
          <w:highlight w:val="white"/>
        </w:rPr>
        <w:t xml:space="preserve">, S., &amp; </w:t>
      </w:r>
      <w:proofErr w:type="spellStart"/>
      <w:r>
        <w:rPr>
          <w:rFonts w:ascii="Times New Roman" w:eastAsia="Times New Roman" w:hAnsi="Times New Roman" w:cs="Times New Roman"/>
          <w:color w:val="222222"/>
          <w:sz w:val="24"/>
          <w:szCs w:val="24"/>
          <w:highlight w:val="white"/>
        </w:rPr>
        <w:t>Saha</w:t>
      </w:r>
      <w:proofErr w:type="spellEnd"/>
      <w:r>
        <w:rPr>
          <w:rFonts w:ascii="Times New Roman" w:eastAsia="Times New Roman" w:hAnsi="Times New Roman" w:cs="Times New Roman"/>
          <w:color w:val="222222"/>
          <w:sz w:val="24"/>
          <w:szCs w:val="24"/>
          <w:highlight w:val="white"/>
        </w:rPr>
        <w:t>, T. K. (2026). A Comprehensive Study on the Adsorption of Ciprofloxacin Using Chitosan: Spectroscopic, DFT, Kinetic, Isotherm, Thermodynamic, and Reusability Insights. Desalination and Water Treatment, 101631.</w:t>
      </w:r>
    </w:p>
    <w:p w14:paraId="0C1428A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[52]. Shishir</w:t>
      </w:r>
      <w:r>
        <w:rPr>
          <w:rFonts w:ascii="Times New Roman" w:eastAsia="Times New Roman" w:hAnsi="Times New Roman" w:cs="Times New Roman"/>
          <w:color w:val="222222"/>
          <w:sz w:val="24"/>
          <w:szCs w:val="24"/>
          <w:highlight w:val="white"/>
        </w:rPr>
        <w:t xml:space="preserve">, M. K.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Karim, M. M.,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S. N., &amp; Khan, G. M. A. (2025). Crystallographic insights into copper oxide nanoparticles synthesized via a unique sol-gel method: antibacterial activity and photocatalytic evaluation. South Afri</w:t>
      </w:r>
      <w:r>
        <w:rPr>
          <w:rFonts w:ascii="Times New Roman" w:eastAsia="Times New Roman" w:hAnsi="Times New Roman" w:cs="Times New Roman"/>
          <w:color w:val="222222"/>
          <w:sz w:val="24"/>
          <w:szCs w:val="24"/>
          <w:highlight w:val="white"/>
        </w:rPr>
        <w:t>can Journal of Chemical Engineering.</w:t>
      </w:r>
    </w:p>
    <w:p w14:paraId="7C68EAB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[53]. </w:t>
      </w:r>
      <w:proofErr w:type="spellStart"/>
      <w:r>
        <w:rPr>
          <w:rFonts w:ascii="Times New Roman" w:eastAsia="Times New Roman" w:hAnsi="Times New Roman" w:cs="Times New Roman"/>
          <w:color w:val="222222"/>
          <w:sz w:val="24"/>
          <w:szCs w:val="24"/>
          <w:highlight w:val="white"/>
        </w:rPr>
        <w:t>Mohshin</w:t>
      </w:r>
      <w:proofErr w:type="spellEnd"/>
      <w:r>
        <w:rPr>
          <w:rFonts w:ascii="Times New Roman" w:eastAsia="Times New Roman" w:hAnsi="Times New Roman" w:cs="Times New Roman"/>
          <w:color w:val="222222"/>
          <w:sz w:val="24"/>
          <w:szCs w:val="24"/>
          <w:highlight w:val="white"/>
        </w:rPr>
        <w:t xml:space="preserve">, J. N., Ahmed, S. T., </w:t>
      </w:r>
      <w:proofErr w:type="spellStart"/>
      <w:r>
        <w:rPr>
          <w:rFonts w:ascii="Times New Roman" w:eastAsia="Times New Roman" w:hAnsi="Times New Roman" w:cs="Times New Roman"/>
          <w:color w:val="222222"/>
          <w:sz w:val="24"/>
          <w:szCs w:val="24"/>
          <w:highlight w:val="white"/>
        </w:rPr>
        <w:t>Aidid</w:t>
      </w:r>
      <w:proofErr w:type="spellEnd"/>
      <w:r>
        <w:rPr>
          <w:rFonts w:ascii="Times New Roman" w:eastAsia="Times New Roman" w:hAnsi="Times New Roman" w:cs="Times New Roman"/>
          <w:color w:val="222222"/>
          <w:sz w:val="24"/>
          <w:szCs w:val="24"/>
          <w:highlight w:val="white"/>
        </w:rPr>
        <w:t xml:space="preserve">, A. R.,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Yasmin,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 &amp; Chakraborty, A. K. (2025). Powder X-ray peak diffraction pattern of iron (II) tungstate (FeWO4): Crystallite size and strai</w:t>
      </w:r>
      <w:r>
        <w:rPr>
          <w:rFonts w:ascii="Times New Roman" w:eastAsia="Times New Roman" w:hAnsi="Times New Roman" w:cs="Times New Roman"/>
          <w:color w:val="222222"/>
          <w:sz w:val="24"/>
          <w:szCs w:val="24"/>
          <w:highlight w:val="white"/>
        </w:rPr>
        <w:t>n analysis, and adsorption of methylene blue. Nano-Structures &amp; Nano-Objects, 44, 101574.</w:t>
      </w:r>
    </w:p>
    <w:p w14:paraId="6001F421"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[54]. Shishir, M. K. H., Islam, M.,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w:t>
      </w:r>
      <w:proofErr w:type="spellStart"/>
      <w:r>
        <w:rPr>
          <w:rFonts w:ascii="Times New Roman" w:eastAsia="Times New Roman" w:hAnsi="Times New Roman" w:cs="Times New Roman"/>
          <w:color w:val="222222"/>
          <w:sz w:val="24"/>
          <w:szCs w:val="24"/>
          <w:highlight w:val="white"/>
        </w:rPr>
        <w:t>Anam</w:t>
      </w:r>
      <w:proofErr w:type="spellEnd"/>
      <w:r>
        <w:rPr>
          <w:rFonts w:ascii="Times New Roman" w:eastAsia="Times New Roman" w:hAnsi="Times New Roman" w:cs="Times New Roman"/>
          <w:color w:val="222222"/>
          <w:sz w:val="24"/>
          <w:szCs w:val="24"/>
          <w:highlight w:val="white"/>
        </w:rPr>
        <w:t xml:space="preserve">, N. S., </w:t>
      </w:r>
      <w:proofErr w:type="spellStart"/>
      <w:r>
        <w:rPr>
          <w:rFonts w:ascii="Times New Roman" w:eastAsia="Times New Roman" w:hAnsi="Times New Roman" w:cs="Times New Roman"/>
          <w:color w:val="222222"/>
          <w:sz w:val="24"/>
          <w:szCs w:val="24"/>
          <w:highlight w:val="white"/>
        </w:rPr>
        <w:t>Shipon</w:t>
      </w:r>
      <w:proofErr w:type="spellEnd"/>
      <w:r>
        <w:rPr>
          <w:rFonts w:ascii="Times New Roman" w:eastAsia="Times New Roman" w:hAnsi="Times New Roman" w:cs="Times New Roman"/>
          <w:color w:val="222222"/>
          <w:sz w:val="24"/>
          <w:szCs w:val="24"/>
          <w:highlight w:val="white"/>
        </w:rPr>
        <w:t xml:space="preserve">, M. R. I., Rifat, M.,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Comprehensive synthesis route of crystalline co</w:t>
      </w:r>
      <w:r>
        <w:rPr>
          <w:rFonts w:ascii="Times New Roman" w:eastAsia="Times New Roman" w:hAnsi="Times New Roman" w:cs="Times New Roman"/>
          <w:color w:val="222222"/>
          <w:sz w:val="24"/>
          <w:szCs w:val="24"/>
          <w:highlight w:val="white"/>
        </w:rPr>
        <w:t>pper oxide nanoparticles: a crystallographic analysis with functional application. Chemistry of Inorganic Materials, 100123.</w:t>
      </w:r>
    </w:p>
    <w:p w14:paraId="45FF7AE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[55]. Ghosh, P.,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Zannat</w:t>
      </w:r>
      <w:proofErr w:type="spellEnd"/>
      <w:r>
        <w:rPr>
          <w:rFonts w:ascii="Times New Roman" w:eastAsia="Times New Roman" w:hAnsi="Times New Roman" w:cs="Times New Roman"/>
          <w:color w:val="222222"/>
          <w:sz w:val="24"/>
          <w:szCs w:val="24"/>
          <w:highlight w:val="white"/>
        </w:rPr>
        <w:t>, F., Mohsin, M., &amp; Jahan, S. A. (2025). Effect of Reaction Medium on Crystalli</w:t>
      </w:r>
      <w:r>
        <w:rPr>
          <w:rFonts w:ascii="Times New Roman" w:eastAsia="Times New Roman" w:hAnsi="Times New Roman" w:cs="Times New Roman"/>
          <w:color w:val="222222"/>
          <w:sz w:val="24"/>
          <w:szCs w:val="24"/>
          <w:highlight w:val="white"/>
        </w:rPr>
        <w:t>nity and Morphological Properties of Precipitation-Derived α-Alumina Nanocrystals. Chemistry of Inorganic Materials, 100124.</w:t>
      </w:r>
    </w:p>
    <w:p w14:paraId="751B568B"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[56]. </w:t>
      </w:r>
      <w:proofErr w:type="spellStart"/>
      <w:r>
        <w:rPr>
          <w:rFonts w:ascii="Times New Roman" w:eastAsia="Times New Roman" w:hAnsi="Times New Roman" w:cs="Times New Roman"/>
          <w:color w:val="222222"/>
          <w:sz w:val="24"/>
          <w:szCs w:val="24"/>
          <w:highlight w:val="white"/>
        </w:rPr>
        <w:t>Kawsar</w:t>
      </w:r>
      <w:proofErr w:type="spellEnd"/>
      <w:r>
        <w:rPr>
          <w:rFonts w:ascii="Times New Roman" w:eastAsia="Times New Roman" w:hAnsi="Times New Roman" w:cs="Times New Roman"/>
          <w:color w:val="222222"/>
          <w:sz w:val="24"/>
          <w:szCs w:val="24"/>
          <w:highlight w:val="white"/>
        </w:rPr>
        <w:t xml:space="preserve">, M., Hossain, M. S., Bahadur, N. M., &amp; Ahmed, S. (2024). Synthesis of </w:t>
      </w:r>
      <w:proofErr w:type="spellStart"/>
      <w:r>
        <w:rPr>
          <w:rFonts w:ascii="Times New Roman" w:eastAsia="Times New Roman" w:hAnsi="Times New Roman" w:cs="Times New Roman"/>
          <w:color w:val="222222"/>
          <w:sz w:val="24"/>
          <w:szCs w:val="24"/>
          <w:highlight w:val="white"/>
        </w:rPr>
        <w:t>nano</w:t>
      </w:r>
      <w:proofErr w:type="spellEnd"/>
      <w:r>
        <w:rPr>
          <w:rFonts w:ascii="Times New Roman" w:eastAsia="Times New Roman" w:hAnsi="Times New Roman" w:cs="Times New Roman"/>
          <w:color w:val="222222"/>
          <w:sz w:val="24"/>
          <w:szCs w:val="24"/>
          <w:highlight w:val="white"/>
        </w:rPr>
        <w:t>-crystallite hydroxyapatites in different me</w:t>
      </w:r>
      <w:r>
        <w:rPr>
          <w:rFonts w:ascii="Times New Roman" w:eastAsia="Times New Roman" w:hAnsi="Times New Roman" w:cs="Times New Roman"/>
          <w:color w:val="222222"/>
          <w:sz w:val="24"/>
          <w:szCs w:val="24"/>
          <w:highlight w:val="white"/>
        </w:rPr>
        <w:t xml:space="preserve">dia and a comparative study for estimation of crystallite size using Scherrer method, Halder-Wagner method size-strain plot, and Williamson-Hall model. </w:t>
      </w:r>
      <w:proofErr w:type="spellStart"/>
      <w:r>
        <w:rPr>
          <w:rFonts w:ascii="Times New Roman" w:eastAsia="Times New Roman" w:hAnsi="Times New Roman" w:cs="Times New Roman"/>
          <w:color w:val="222222"/>
          <w:sz w:val="24"/>
          <w:szCs w:val="24"/>
          <w:highlight w:val="white"/>
        </w:rPr>
        <w:t>Heliyon</w:t>
      </w:r>
      <w:proofErr w:type="spellEnd"/>
      <w:r>
        <w:rPr>
          <w:rFonts w:ascii="Times New Roman" w:eastAsia="Times New Roman" w:hAnsi="Times New Roman" w:cs="Times New Roman"/>
          <w:color w:val="222222"/>
          <w:sz w:val="24"/>
          <w:szCs w:val="24"/>
          <w:highlight w:val="white"/>
        </w:rPr>
        <w:t>, 10(3).</w:t>
      </w:r>
    </w:p>
    <w:p w14:paraId="34D41625"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[57]. Hossain, M. S., &amp; Ahmed, S. (2023). Sustainable synthesis of </w:t>
      </w:r>
      <w:proofErr w:type="spellStart"/>
      <w:r>
        <w:rPr>
          <w:rFonts w:ascii="Times New Roman" w:eastAsia="Times New Roman" w:hAnsi="Times New Roman" w:cs="Times New Roman"/>
          <w:color w:val="222222"/>
          <w:sz w:val="24"/>
          <w:szCs w:val="24"/>
          <w:highlight w:val="white"/>
        </w:rPr>
        <w:t>nano</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CuO</w:t>
      </w:r>
      <w:proofErr w:type="spellEnd"/>
      <w:r>
        <w:rPr>
          <w:rFonts w:ascii="Times New Roman" w:eastAsia="Times New Roman" w:hAnsi="Times New Roman" w:cs="Times New Roman"/>
          <w:color w:val="222222"/>
          <w:sz w:val="24"/>
          <w:szCs w:val="24"/>
          <w:highlight w:val="white"/>
        </w:rPr>
        <w:t xml:space="preserve"> from </w:t>
      </w:r>
      <w:r>
        <w:rPr>
          <w:rFonts w:ascii="Times New Roman" w:eastAsia="Times New Roman" w:hAnsi="Times New Roman" w:cs="Times New Roman"/>
          <w:color w:val="222222"/>
          <w:sz w:val="24"/>
          <w:szCs w:val="24"/>
          <w:highlight w:val="white"/>
        </w:rPr>
        <w:t xml:space="preserve">electronic waste (E-waste) cable: evaluation of crystallite size via Scherrer equation, Williamson-Hall plot, Halder-Wagner model, </w:t>
      </w:r>
      <w:proofErr w:type="spellStart"/>
      <w:r>
        <w:rPr>
          <w:rFonts w:ascii="Times New Roman" w:eastAsia="Times New Roman" w:hAnsi="Times New Roman" w:cs="Times New Roman"/>
          <w:color w:val="222222"/>
          <w:sz w:val="24"/>
          <w:szCs w:val="24"/>
          <w:highlight w:val="white"/>
        </w:rPr>
        <w:t>Monshi</w:t>
      </w:r>
      <w:proofErr w:type="spellEnd"/>
      <w:r>
        <w:rPr>
          <w:rFonts w:ascii="Times New Roman" w:eastAsia="Times New Roman" w:hAnsi="Times New Roman" w:cs="Times New Roman"/>
          <w:color w:val="222222"/>
          <w:sz w:val="24"/>
          <w:szCs w:val="24"/>
          <w:highlight w:val="white"/>
        </w:rPr>
        <w:t>-Scherrer model, size-strain plot. Results in Engineering, 20, 101630.</w:t>
      </w:r>
    </w:p>
    <w:p w14:paraId="476268D3"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[58]. Shishir, M. K.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w:t>
      </w:r>
      <w:proofErr w:type="spellStart"/>
      <w:r>
        <w:rPr>
          <w:rFonts w:ascii="Times New Roman" w:eastAsia="Times New Roman" w:hAnsi="Times New Roman" w:cs="Times New Roman"/>
          <w:color w:val="222222"/>
          <w:sz w:val="24"/>
          <w:szCs w:val="24"/>
          <w:highlight w:val="white"/>
        </w:rPr>
        <w:t>Rahaman</w:t>
      </w:r>
      <w:proofErr w:type="spellEnd"/>
      <w:r>
        <w:rPr>
          <w:rFonts w:ascii="Times New Roman" w:eastAsia="Times New Roman" w:hAnsi="Times New Roman" w:cs="Times New Roman"/>
          <w:color w:val="222222"/>
          <w:sz w:val="24"/>
          <w:szCs w:val="24"/>
          <w:highlight w:val="white"/>
        </w:rPr>
        <w:t>, M</w:t>
      </w:r>
      <w:r>
        <w:rPr>
          <w:rFonts w:ascii="Times New Roman" w:eastAsia="Times New Roman" w:hAnsi="Times New Roman" w:cs="Times New Roman"/>
          <w:color w:val="222222"/>
          <w:sz w:val="24"/>
          <w:szCs w:val="24"/>
          <w:highlight w:val="white"/>
        </w:rPr>
        <w:t xml:space="preserve">. A., Islam, M. T., Rahman, A., Hasan, M. R., ... &amp; Jahan, S. A. (2025). Crystallinity integration of Co-precipitate derived cubic </w:t>
      </w:r>
      <w:proofErr w:type="spellStart"/>
      <w:r>
        <w:rPr>
          <w:rFonts w:ascii="Times New Roman" w:eastAsia="Times New Roman" w:hAnsi="Times New Roman" w:cs="Times New Roman"/>
          <w:color w:val="222222"/>
          <w:sz w:val="24"/>
          <w:szCs w:val="24"/>
          <w:highlight w:val="white"/>
        </w:rPr>
        <w:t>bunsenite</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NiO</w:t>
      </w:r>
      <w:proofErr w:type="spellEnd"/>
      <w:r>
        <w:rPr>
          <w:rFonts w:ascii="Times New Roman" w:eastAsia="Times New Roman" w:hAnsi="Times New Roman" w:cs="Times New Roman"/>
          <w:color w:val="222222"/>
          <w:sz w:val="24"/>
          <w:szCs w:val="24"/>
          <w:highlight w:val="white"/>
        </w:rPr>
        <w:t>) phase crystalline nanomaterials. Results in Materials, 100763.</w:t>
      </w:r>
    </w:p>
    <w:p w14:paraId="255C4943"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[59].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Ahmed, S., Sarkar, D., </w:t>
      </w:r>
      <w:proofErr w:type="spellStart"/>
      <w:r>
        <w:rPr>
          <w:rFonts w:ascii="Times New Roman" w:eastAsia="Times New Roman" w:hAnsi="Times New Roman" w:cs="Times New Roman"/>
          <w:color w:val="222222"/>
          <w:sz w:val="24"/>
          <w:szCs w:val="24"/>
          <w:highlight w:val="white"/>
        </w:rPr>
        <w:t>Bish</w:t>
      </w:r>
      <w:r>
        <w:rPr>
          <w:rFonts w:ascii="Times New Roman" w:eastAsia="Times New Roman" w:hAnsi="Times New Roman" w:cs="Times New Roman"/>
          <w:color w:val="222222"/>
          <w:sz w:val="24"/>
          <w:szCs w:val="24"/>
          <w:highlight w:val="white"/>
        </w:rPr>
        <w:t>was</w:t>
      </w:r>
      <w:proofErr w:type="spellEnd"/>
      <w:r>
        <w:rPr>
          <w:rFonts w:ascii="Times New Roman" w:eastAsia="Times New Roman" w:hAnsi="Times New Roman" w:cs="Times New Roman"/>
          <w:color w:val="222222"/>
          <w:sz w:val="24"/>
          <w:szCs w:val="24"/>
          <w:highlight w:val="white"/>
        </w:rPr>
        <w:t xml:space="preserve">, R. K., &amp; Jahan, S. A. (2025). Preferred crystallographic design of monoclinic </w:t>
      </w:r>
      <w:proofErr w:type="spellStart"/>
      <w:r>
        <w:rPr>
          <w:rFonts w:ascii="Times New Roman" w:eastAsia="Times New Roman" w:hAnsi="Times New Roman" w:cs="Times New Roman"/>
          <w:color w:val="222222"/>
          <w:sz w:val="24"/>
          <w:szCs w:val="24"/>
          <w:highlight w:val="white"/>
        </w:rPr>
        <w:t>tenorite</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CuO</w:t>
      </w:r>
      <w:proofErr w:type="spellEnd"/>
      <w:r>
        <w:rPr>
          <w:rFonts w:ascii="Times New Roman" w:eastAsia="Times New Roman" w:hAnsi="Times New Roman" w:cs="Times New Roman"/>
          <w:color w:val="222222"/>
          <w:sz w:val="24"/>
          <w:szCs w:val="24"/>
          <w:highlight w:val="white"/>
        </w:rPr>
        <w:t>) nanocrystals by powder X-ray line diffraction. Chemistry of Inorganic Materials, 100119.</w:t>
      </w:r>
    </w:p>
    <w:p w14:paraId="60734450"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[60].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xml:space="preserve">, R.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&amp; Jahan, S. A. (2025). Crystallogr</w:t>
      </w:r>
      <w:r>
        <w:rPr>
          <w:rFonts w:ascii="Times New Roman" w:eastAsia="Times New Roman" w:hAnsi="Times New Roman" w:cs="Times New Roman"/>
          <w:color w:val="222222"/>
          <w:sz w:val="24"/>
          <w:szCs w:val="24"/>
          <w:highlight w:val="white"/>
        </w:rPr>
        <w:t>aphic and morphological characterization of high-crystalline α-alumina nanoparticles: A comprehensive X-ray diffraction and transmission electron microscopy study. Chemical Physics Letters, 878, 142245.</w:t>
      </w:r>
    </w:p>
    <w:p w14:paraId="41109B03"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[61]. </w:t>
      </w:r>
      <w:proofErr w:type="spellStart"/>
      <w:r>
        <w:rPr>
          <w:rFonts w:ascii="Times New Roman" w:eastAsia="Times New Roman" w:hAnsi="Times New Roman" w:cs="Times New Roman"/>
          <w:color w:val="222222"/>
          <w:sz w:val="24"/>
          <w:szCs w:val="24"/>
          <w:highlight w:val="white"/>
        </w:rPr>
        <w:t>Zannat</w:t>
      </w:r>
      <w:proofErr w:type="spellEnd"/>
      <w:r>
        <w:rPr>
          <w:rFonts w:ascii="Times New Roman" w:eastAsia="Times New Roman" w:hAnsi="Times New Roman" w:cs="Times New Roman"/>
          <w:color w:val="222222"/>
          <w:sz w:val="24"/>
          <w:szCs w:val="24"/>
          <w:highlight w:val="white"/>
        </w:rPr>
        <w:t xml:space="preserve">, F.,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Ghosh, P., </w:t>
      </w:r>
      <w:proofErr w:type="spellStart"/>
      <w:r>
        <w:rPr>
          <w:rFonts w:ascii="Times New Roman" w:eastAsia="Times New Roman" w:hAnsi="Times New Roman" w:cs="Times New Roman"/>
          <w:color w:val="222222"/>
          <w:sz w:val="24"/>
          <w:szCs w:val="24"/>
          <w:highlight w:val="white"/>
        </w:rPr>
        <w:t>Bishwas</w:t>
      </w:r>
      <w:proofErr w:type="spellEnd"/>
      <w:r>
        <w:rPr>
          <w:rFonts w:ascii="Times New Roman" w:eastAsia="Times New Roman" w:hAnsi="Times New Roman" w:cs="Times New Roman"/>
          <w:color w:val="222222"/>
          <w:sz w:val="24"/>
          <w:szCs w:val="24"/>
          <w:highlight w:val="white"/>
        </w:rPr>
        <w:t>, R.</w:t>
      </w:r>
      <w:r>
        <w:rPr>
          <w:rFonts w:ascii="Times New Roman" w:eastAsia="Times New Roman" w:hAnsi="Times New Roman" w:cs="Times New Roman"/>
          <w:color w:val="222222"/>
          <w:sz w:val="24"/>
          <w:szCs w:val="24"/>
          <w:highlight w:val="white"/>
        </w:rPr>
        <w:t xml:space="preserve"> K., &amp; Jahan, S. A. (2025). Sustainable synthesis of α-alumina nanoparticles: a comparative study of base-mediated crystallization via co-precipitation. Materials Advances, 6(22), 8431-8447.</w:t>
      </w:r>
    </w:p>
    <w:p w14:paraId="351795C9"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 xml:space="preserve">[62]. </w:t>
      </w:r>
      <w:proofErr w:type="spellStart"/>
      <w:r>
        <w:rPr>
          <w:rFonts w:ascii="Times New Roman" w:eastAsia="Times New Roman" w:hAnsi="Times New Roman" w:cs="Times New Roman"/>
          <w:color w:val="222222"/>
          <w:sz w:val="24"/>
          <w:szCs w:val="24"/>
          <w:highlight w:val="white"/>
        </w:rPr>
        <w:t>Nkwocha</w:t>
      </w:r>
      <w:proofErr w:type="spellEnd"/>
      <w:r>
        <w:rPr>
          <w:rFonts w:ascii="Times New Roman" w:eastAsia="Times New Roman" w:hAnsi="Times New Roman" w:cs="Times New Roman"/>
          <w:color w:val="222222"/>
          <w:sz w:val="24"/>
          <w:szCs w:val="24"/>
          <w:highlight w:val="white"/>
        </w:rPr>
        <w:t>, C.C., Felix, J.O., Michael, L.O. and Ale, B.A., 20</w:t>
      </w:r>
      <w:r>
        <w:rPr>
          <w:rFonts w:ascii="Times New Roman" w:eastAsia="Times New Roman" w:hAnsi="Times New Roman" w:cs="Times New Roman"/>
          <w:color w:val="222222"/>
          <w:sz w:val="24"/>
          <w:szCs w:val="24"/>
          <w:highlight w:val="white"/>
        </w:rPr>
        <w:t xml:space="preserve">24. Phytochemical screening and GC-FID identification of bioactive compounds in n-hexane, </w:t>
      </w:r>
      <w:proofErr w:type="spellStart"/>
      <w:r>
        <w:rPr>
          <w:rFonts w:ascii="Times New Roman" w:eastAsia="Times New Roman" w:hAnsi="Times New Roman" w:cs="Times New Roman"/>
          <w:color w:val="222222"/>
          <w:sz w:val="24"/>
          <w:szCs w:val="24"/>
          <w:highlight w:val="white"/>
        </w:rPr>
        <w:t>ethylacetate</w:t>
      </w:r>
      <w:proofErr w:type="spellEnd"/>
      <w:r>
        <w:rPr>
          <w:rFonts w:ascii="Times New Roman" w:eastAsia="Times New Roman" w:hAnsi="Times New Roman" w:cs="Times New Roman"/>
          <w:color w:val="222222"/>
          <w:sz w:val="24"/>
          <w:szCs w:val="24"/>
          <w:highlight w:val="white"/>
        </w:rPr>
        <w:t xml:space="preserve"> and methanol fractions of methanolic leaves extract of </w:t>
      </w:r>
      <w:proofErr w:type="spellStart"/>
      <w:r>
        <w:rPr>
          <w:rFonts w:ascii="Times New Roman" w:eastAsia="Times New Roman" w:hAnsi="Times New Roman" w:cs="Times New Roman"/>
          <w:color w:val="222222"/>
          <w:sz w:val="24"/>
          <w:szCs w:val="24"/>
          <w:highlight w:val="white"/>
        </w:rPr>
        <w:t>Azanza</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garckeana</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Food Chemistry Advances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4</w:t>
      </w:r>
      <w:r>
        <w:rPr>
          <w:rFonts w:ascii="Times New Roman" w:eastAsia="Times New Roman" w:hAnsi="Times New Roman" w:cs="Times New Roman"/>
          <w:color w:val="222222"/>
          <w:sz w:val="24"/>
          <w:szCs w:val="24"/>
          <w:highlight w:val="white"/>
        </w:rPr>
        <w:t>, p.100712.</w:t>
      </w:r>
    </w:p>
    <w:p w14:paraId="64DA15BC"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[63]. Flores-Valverde, A.M. and Hill, E.M.</w:t>
      </w:r>
      <w:r>
        <w:rPr>
          <w:rFonts w:ascii="Times New Roman" w:eastAsia="Times New Roman" w:hAnsi="Times New Roman" w:cs="Times New Roman"/>
          <w:color w:val="222222"/>
          <w:sz w:val="24"/>
          <w:szCs w:val="24"/>
          <w:highlight w:val="white"/>
        </w:rPr>
        <w:t>, 2008. Methodology for profiling the steroid metabolome in animal tissues using ultraperformance liquid chromatography− electrospray-time-of-flight mass spectrometry. </w:t>
      </w:r>
      <w:r>
        <w:rPr>
          <w:rFonts w:ascii="Times New Roman" w:eastAsia="Times New Roman" w:hAnsi="Times New Roman" w:cs="Times New Roman"/>
          <w:i/>
          <w:iCs/>
          <w:color w:val="222222"/>
          <w:sz w:val="24"/>
          <w:szCs w:val="24"/>
          <w:highlight w:val="white"/>
        </w:rPr>
        <w:t>Analytical chemistry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80</w:t>
      </w:r>
      <w:r>
        <w:rPr>
          <w:rFonts w:ascii="Times New Roman" w:eastAsia="Times New Roman" w:hAnsi="Times New Roman" w:cs="Times New Roman"/>
          <w:color w:val="222222"/>
          <w:sz w:val="24"/>
          <w:szCs w:val="24"/>
          <w:highlight w:val="white"/>
        </w:rPr>
        <w:t>(22), pp.8771-8779.</w:t>
      </w:r>
    </w:p>
    <w:p w14:paraId="1D80C5B6" w14:textId="7777777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[64]. Jing, D., Chen, W., Hu, R., Zhang, Y.,</w:t>
      </w:r>
      <w:r>
        <w:rPr>
          <w:rFonts w:ascii="Times New Roman" w:eastAsia="Times New Roman" w:hAnsi="Times New Roman" w:cs="Times New Roman"/>
          <w:color w:val="222222"/>
          <w:sz w:val="24"/>
          <w:szCs w:val="24"/>
          <w:highlight w:val="white"/>
        </w:rPr>
        <w:t xml:space="preserve"> Xia, Y., Wang, S., He, Q., Guo, Q. and Liang, G., 2020. An integrative analysis of transcriptome, proteome and hormones reveals key differentially expressed genes and metabolic pathways involved in flower development in loquat. </w:t>
      </w:r>
      <w:r>
        <w:rPr>
          <w:rFonts w:ascii="Times New Roman" w:eastAsia="Times New Roman" w:hAnsi="Times New Roman" w:cs="Times New Roman"/>
          <w:i/>
          <w:iCs/>
          <w:color w:val="222222"/>
          <w:sz w:val="24"/>
          <w:szCs w:val="24"/>
          <w:highlight w:val="white"/>
        </w:rPr>
        <w:t>International Journal of Mo</w:t>
      </w:r>
      <w:r>
        <w:rPr>
          <w:rFonts w:ascii="Times New Roman" w:eastAsia="Times New Roman" w:hAnsi="Times New Roman" w:cs="Times New Roman"/>
          <w:i/>
          <w:iCs/>
          <w:color w:val="222222"/>
          <w:sz w:val="24"/>
          <w:szCs w:val="24"/>
          <w:highlight w:val="white"/>
        </w:rPr>
        <w:t>lecular Sciences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21</w:t>
      </w:r>
      <w:r>
        <w:rPr>
          <w:rFonts w:ascii="Times New Roman" w:eastAsia="Times New Roman" w:hAnsi="Times New Roman" w:cs="Times New Roman"/>
          <w:color w:val="222222"/>
          <w:sz w:val="24"/>
          <w:szCs w:val="24"/>
          <w:highlight w:val="white"/>
        </w:rPr>
        <w:t>(14), p.5107.</w:t>
      </w:r>
    </w:p>
    <w:p w14:paraId="702D869E" w14:textId="77777777"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lastRenderedPageBreak/>
        <w:t>[65]. Huang, J., Zaynab, M., Sharif, Y., Khan, J., Al-</w:t>
      </w:r>
      <w:proofErr w:type="spellStart"/>
      <w:r>
        <w:rPr>
          <w:rFonts w:ascii="Times New Roman" w:eastAsia="Times New Roman" w:hAnsi="Times New Roman" w:cs="Times New Roman"/>
          <w:color w:val="222222"/>
          <w:sz w:val="24"/>
          <w:szCs w:val="24"/>
          <w:highlight w:val="white"/>
        </w:rPr>
        <w:t>Yahyai</w:t>
      </w:r>
      <w:proofErr w:type="spellEnd"/>
      <w:r>
        <w:rPr>
          <w:rFonts w:ascii="Times New Roman" w:eastAsia="Times New Roman" w:hAnsi="Times New Roman" w:cs="Times New Roman"/>
          <w:color w:val="222222"/>
          <w:sz w:val="24"/>
          <w:szCs w:val="24"/>
          <w:highlight w:val="white"/>
        </w:rPr>
        <w:t xml:space="preserve">, R., Sadder, M., Ali, M., </w:t>
      </w:r>
      <w:proofErr w:type="spellStart"/>
      <w:r>
        <w:rPr>
          <w:rFonts w:ascii="Times New Roman" w:eastAsia="Times New Roman" w:hAnsi="Times New Roman" w:cs="Times New Roman"/>
          <w:color w:val="222222"/>
          <w:sz w:val="24"/>
          <w:szCs w:val="24"/>
          <w:highlight w:val="white"/>
        </w:rPr>
        <w:t>Alarab</w:t>
      </w:r>
      <w:proofErr w:type="spellEnd"/>
      <w:r>
        <w:rPr>
          <w:rFonts w:ascii="Times New Roman" w:eastAsia="Times New Roman" w:hAnsi="Times New Roman" w:cs="Times New Roman"/>
          <w:color w:val="222222"/>
          <w:sz w:val="24"/>
          <w:szCs w:val="24"/>
          <w:highlight w:val="white"/>
        </w:rPr>
        <w:t>, S.R. and Li, S., 2024. Tannins as antimicrobial agents: Understanding toxic effects on pathogens. </w:t>
      </w:r>
      <w:proofErr w:type="spellStart"/>
      <w:r>
        <w:rPr>
          <w:rFonts w:ascii="Times New Roman" w:eastAsia="Times New Roman" w:hAnsi="Times New Roman" w:cs="Times New Roman"/>
          <w:i/>
          <w:iCs/>
          <w:color w:val="222222"/>
          <w:sz w:val="24"/>
          <w:szCs w:val="24"/>
          <w:highlight w:val="white"/>
        </w:rPr>
        <w:t>Toxicon</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247</w:t>
      </w:r>
      <w:r>
        <w:rPr>
          <w:rFonts w:ascii="Times New Roman" w:eastAsia="Times New Roman" w:hAnsi="Times New Roman" w:cs="Times New Roman"/>
          <w:color w:val="222222"/>
          <w:sz w:val="24"/>
          <w:szCs w:val="24"/>
          <w:highlight w:val="white"/>
        </w:rPr>
        <w:t>, p.107812</w:t>
      </w:r>
      <w:r>
        <w:rPr>
          <w:rFonts w:ascii="Times New Roman" w:eastAsia="Times New Roman" w:hAnsi="Times New Roman" w:cs="Times New Roman"/>
          <w:color w:val="222222"/>
          <w:highlight w:val="white"/>
        </w:rPr>
        <w:t>.</w:t>
      </w:r>
    </w:p>
    <w:p w14:paraId="1D9261BF"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r>
        <w:rPr>
          <w:rFonts w:ascii="Times New Roman" w:eastAsia="Times New Roman" w:hAnsi="Times New Roman" w:cs="Times New Roman"/>
          <w:sz w:val="24"/>
          <w:szCs w:val="24"/>
        </w:rPr>
        <w:t xml:space="preserve"> Sunitha </w:t>
      </w:r>
      <w:proofErr w:type="spellStart"/>
      <w:r>
        <w:rPr>
          <w:rFonts w:ascii="Times New Roman" w:eastAsia="Times New Roman" w:hAnsi="Times New Roman" w:cs="Times New Roman"/>
          <w:sz w:val="24"/>
          <w:szCs w:val="24"/>
        </w:rPr>
        <w:t>Dontha</w:t>
      </w:r>
      <w:proofErr w:type="spellEnd"/>
      <w:r>
        <w:rPr>
          <w:rFonts w:ascii="Times New Roman" w:eastAsia="Times New Roman" w:hAnsi="Times New Roman" w:cs="Times New Roman"/>
          <w:sz w:val="24"/>
          <w:szCs w:val="24"/>
        </w:rPr>
        <w:t xml:space="preserve">, S. D., </w:t>
      </w:r>
      <w:proofErr w:type="spellStart"/>
      <w:r>
        <w:rPr>
          <w:rFonts w:ascii="Times New Roman" w:eastAsia="Times New Roman" w:hAnsi="Times New Roman" w:cs="Times New Roman"/>
          <w:sz w:val="24"/>
          <w:szCs w:val="24"/>
        </w:rPr>
        <w:t>Hemalatha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Kamurthy</w:t>
      </w:r>
      <w:proofErr w:type="spellEnd"/>
      <w:r>
        <w:rPr>
          <w:rFonts w:ascii="Times New Roman" w:eastAsia="Times New Roman" w:hAnsi="Times New Roman" w:cs="Times New Roman"/>
          <w:sz w:val="24"/>
          <w:szCs w:val="24"/>
        </w:rPr>
        <w:t xml:space="preserve">, H. K., &amp; </w:t>
      </w:r>
      <w:proofErr w:type="spellStart"/>
      <w:r>
        <w:rPr>
          <w:rFonts w:ascii="Times New Roman" w:eastAsia="Times New Roman" w:hAnsi="Times New Roman" w:cs="Times New Roman"/>
          <w:sz w:val="24"/>
          <w:szCs w:val="24"/>
        </w:rPr>
        <w:t>Bhagavanraju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Mantripragada</w:t>
      </w:r>
      <w:proofErr w:type="spellEnd"/>
      <w:r>
        <w:rPr>
          <w:rFonts w:ascii="Times New Roman" w:eastAsia="Times New Roman" w:hAnsi="Times New Roman" w:cs="Times New Roman"/>
          <w:sz w:val="24"/>
          <w:szCs w:val="24"/>
        </w:rPr>
        <w:t>, B. M. (2015). Phytochemical and pharmacological profile of Ixora: a review.</w:t>
      </w:r>
    </w:p>
    <w:p w14:paraId="13BCAA17"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 </w:t>
      </w:r>
      <w:proofErr w:type="spellStart"/>
      <w:r>
        <w:rPr>
          <w:rFonts w:ascii="Times New Roman" w:eastAsia="Times New Roman" w:hAnsi="Times New Roman" w:cs="Times New Roman"/>
          <w:sz w:val="24"/>
          <w:szCs w:val="24"/>
        </w:rPr>
        <w:t>Baliga</w:t>
      </w:r>
      <w:proofErr w:type="spellEnd"/>
      <w:r>
        <w:rPr>
          <w:rFonts w:ascii="Times New Roman" w:eastAsia="Times New Roman" w:hAnsi="Times New Roman" w:cs="Times New Roman"/>
          <w:sz w:val="24"/>
          <w:szCs w:val="24"/>
        </w:rPr>
        <w:t>, M. S., &amp; Kurian, P. J. (2012). Ixora coccinea Linn.: Traditional uses, phytochemistry</w:t>
      </w:r>
      <w:r>
        <w:rPr>
          <w:rFonts w:ascii="Times New Roman" w:eastAsia="Times New Roman" w:hAnsi="Times New Roman" w:cs="Times New Roman"/>
          <w:sz w:val="24"/>
          <w:szCs w:val="24"/>
        </w:rPr>
        <w:t xml:space="preserve"> and pharmacology. </w:t>
      </w:r>
      <w:r>
        <w:rPr>
          <w:rFonts w:ascii="Times New Roman" w:eastAsia="Times New Roman" w:hAnsi="Times New Roman" w:cs="Times New Roman"/>
          <w:i/>
          <w:iCs/>
          <w:sz w:val="24"/>
          <w:szCs w:val="24"/>
        </w:rPr>
        <w:t>Chinese journal of integrative medicine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(1), 72-79.</w:t>
      </w:r>
    </w:p>
    <w:p w14:paraId="47D5F5B1"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 </w:t>
      </w:r>
      <w:proofErr w:type="spellStart"/>
      <w:r>
        <w:rPr>
          <w:rFonts w:ascii="Times New Roman" w:eastAsia="Times New Roman" w:hAnsi="Times New Roman" w:cs="Times New Roman"/>
          <w:sz w:val="24"/>
          <w:szCs w:val="24"/>
        </w:rPr>
        <w:t>Rajayan</w:t>
      </w:r>
      <w:proofErr w:type="spellEnd"/>
      <w:r>
        <w:rPr>
          <w:rFonts w:ascii="Times New Roman" w:eastAsia="Times New Roman" w:hAnsi="Times New Roman" w:cs="Times New Roman"/>
          <w:sz w:val="24"/>
          <w:szCs w:val="24"/>
        </w:rPr>
        <w:t xml:space="preserve">, J. S., Chandrasekar, V., </w:t>
      </w:r>
      <w:proofErr w:type="spellStart"/>
      <w:r>
        <w:rPr>
          <w:rFonts w:ascii="Times New Roman" w:eastAsia="Times New Roman" w:hAnsi="Times New Roman" w:cs="Times New Roman"/>
          <w:sz w:val="24"/>
          <w:szCs w:val="24"/>
        </w:rPr>
        <w:t>Duraipandian</w:t>
      </w:r>
      <w:proofErr w:type="spellEnd"/>
      <w:r>
        <w:rPr>
          <w:rFonts w:ascii="Times New Roman" w:eastAsia="Times New Roman" w:hAnsi="Times New Roman" w:cs="Times New Roman"/>
          <w:sz w:val="24"/>
          <w:szCs w:val="24"/>
        </w:rPr>
        <w:t xml:space="preserve">, C., &amp; Rajendran, K. (2024). In vitro evaluation of extracts from Ixora Species for a potential </w:t>
      </w:r>
      <w:proofErr w:type="spellStart"/>
      <w:r>
        <w:rPr>
          <w:rFonts w:ascii="Times New Roman" w:eastAsia="Times New Roman" w:hAnsi="Times New Roman" w:cs="Times New Roman"/>
          <w:sz w:val="24"/>
          <w:szCs w:val="24"/>
        </w:rPr>
        <w:t>phytosomal</w:t>
      </w:r>
      <w:proofErr w:type="spellEnd"/>
      <w:r>
        <w:rPr>
          <w:rFonts w:ascii="Times New Roman" w:eastAsia="Times New Roman" w:hAnsi="Times New Roman" w:cs="Times New Roman"/>
          <w:sz w:val="24"/>
          <w:szCs w:val="24"/>
        </w:rPr>
        <w:t xml:space="preserve"> formulation.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(3).</w:t>
      </w:r>
    </w:p>
    <w:p w14:paraId="763F701F"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w:t>
      </w:r>
      <w:proofErr w:type="spellStart"/>
      <w:r>
        <w:rPr>
          <w:rFonts w:ascii="Times New Roman" w:eastAsia="Times New Roman" w:hAnsi="Times New Roman" w:cs="Times New Roman"/>
          <w:sz w:val="24"/>
          <w:szCs w:val="24"/>
        </w:rPr>
        <w:t>Maniyar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Bhixavatimath</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Agashikar</w:t>
      </w:r>
      <w:proofErr w:type="spellEnd"/>
      <w:r>
        <w:rPr>
          <w:rFonts w:ascii="Times New Roman" w:eastAsia="Times New Roman" w:hAnsi="Times New Roman" w:cs="Times New Roman"/>
          <w:sz w:val="24"/>
          <w:szCs w:val="24"/>
        </w:rPr>
        <w:t>, N. V. (2010). Antidiarrheal activity of flowers of Ixora Coccinea Linn. in rats. </w:t>
      </w:r>
      <w:r>
        <w:rPr>
          <w:rFonts w:ascii="Times New Roman" w:eastAsia="Times New Roman" w:hAnsi="Times New Roman" w:cs="Times New Roman"/>
          <w:i/>
          <w:iCs/>
          <w:sz w:val="24"/>
          <w:szCs w:val="24"/>
        </w:rPr>
        <w:t>Journal of Ayurveda and Integrative Medicine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(4), 287.</w:t>
      </w:r>
    </w:p>
    <w:p w14:paraId="7ABD59E2"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Surana, A. R., </w:t>
      </w:r>
      <w:proofErr w:type="spellStart"/>
      <w:r>
        <w:rPr>
          <w:rFonts w:ascii="Times New Roman" w:eastAsia="Times New Roman" w:hAnsi="Times New Roman" w:cs="Times New Roman"/>
          <w:sz w:val="24"/>
          <w:szCs w:val="24"/>
        </w:rPr>
        <w:t>Aher</w:t>
      </w:r>
      <w:proofErr w:type="spellEnd"/>
      <w:r>
        <w:rPr>
          <w:rFonts w:ascii="Times New Roman" w:eastAsia="Times New Roman" w:hAnsi="Times New Roman" w:cs="Times New Roman"/>
          <w:sz w:val="24"/>
          <w:szCs w:val="24"/>
        </w:rPr>
        <w:t xml:space="preserve">, A. N., Pal, S. C., &amp; </w:t>
      </w:r>
      <w:proofErr w:type="spellStart"/>
      <w:r>
        <w:rPr>
          <w:rFonts w:ascii="Times New Roman" w:eastAsia="Times New Roman" w:hAnsi="Times New Roman" w:cs="Times New Roman"/>
          <w:sz w:val="24"/>
          <w:szCs w:val="24"/>
        </w:rPr>
        <w:t>Deore</w:t>
      </w:r>
      <w:proofErr w:type="spellEnd"/>
      <w:r>
        <w:rPr>
          <w:rFonts w:ascii="Times New Roman" w:eastAsia="Times New Roman" w:hAnsi="Times New Roman" w:cs="Times New Roman"/>
          <w:sz w:val="24"/>
          <w:szCs w:val="24"/>
        </w:rPr>
        <w:t>, U. V.</w:t>
      </w:r>
      <w:r>
        <w:rPr>
          <w:rFonts w:ascii="Times New Roman" w:eastAsia="Times New Roman" w:hAnsi="Times New Roman" w:cs="Times New Roman"/>
          <w:sz w:val="24"/>
          <w:szCs w:val="24"/>
        </w:rPr>
        <w:t xml:space="preserve"> (2011). Evaluation of anthelmintic activity of Ixora coccinea. </w:t>
      </w:r>
      <w:r>
        <w:rPr>
          <w:rFonts w:ascii="Times New Roman" w:eastAsia="Times New Roman" w:hAnsi="Times New Roman" w:cs="Times New Roman"/>
          <w:i/>
          <w:iCs/>
          <w:sz w:val="24"/>
          <w:szCs w:val="24"/>
        </w:rPr>
        <w:t xml:space="preserve">Int. J. Pharm. </w:t>
      </w:r>
      <w:proofErr w:type="spellStart"/>
      <w:r>
        <w:rPr>
          <w:rFonts w:ascii="Times New Roman" w:eastAsia="Times New Roman" w:hAnsi="Times New Roman" w:cs="Times New Roman"/>
          <w:i/>
          <w:iCs/>
          <w:sz w:val="24"/>
          <w:szCs w:val="24"/>
        </w:rPr>
        <w:t>Lif</w:t>
      </w:r>
      <w:proofErr w:type="spellEnd"/>
      <w:r>
        <w:rPr>
          <w:rFonts w:ascii="Times New Roman" w:eastAsia="Times New Roman" w:hAnsi="Times New Roman" w:cs="Times New Roman"/>
          <w:i/>
          <w:iCs/>
          <w:sz w:val="24"/>
          <w:szCs w:val="24"/>
        </w:rPr>
        <w:t>. Sci</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813-81</w:t>
      </w:r>
    </w:p>
    <w:p w14:paraId="4D2E206C"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Saravanan, P., &amp; </w:t>
      </w:r>
      <w:proofErr w:type="spellStart"/>
      <w:r>
        <w:rPr>
          <w:rFonts w:ascii="Times New Roman" w:eastAsia="Times New Roman" w:hAnsi="Times New Roman" w:cs="Times New Roman"/>
          <w:sz w:val="24"/>
          <w:szCs w:val="24"/>
        </w:rPr>
        <w:t>Boopalan</w:t>
      </w:r>
      <w:proofErr w:type="spellEnd"/>
      <w:r>
        <w:rPr>
          <w:rFonts w:ascii="Times New Roman" w:eastAsia="Times New Roman" w:hAnsi="Times New Roman" w:cs="Times New Roman"/>
          <w:sz w:val="24"/>
          <w:szCs w:val="24"/>
        </w:rPr>
        <w:t xml:space="preserve">, E. (2011). Occurrence of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xml:space="preserve"> an anticancer drug from Ixora coccinea Linn. </w:t>
      </w:r>
      <w:r>
        <w:rPr>
          <w:rFonts w:ascii="Times New Roman" w:eastAsia="Times New Roman" w:hAnsi="Times New Roman" w:cs="Times New Roman"/>
          <w:i/>
          <w:iCs/>
          <w:sz w:val="24"/>
          <w:szCs w:val="24"/>
        </w:rPr>
        <w:t>Int J Appl Biol</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(2), 30-34.</w:t>
      </w:r>
    </w:p>
    <w:p w14:paraId="7D9EA9AB"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w:t>
      </w:r>
      <w:proofErr w:type="spellStart"/>
      <w:r>
        <w:rPr>
          <w:rFonts w:ascii="Times New Roman" w:eastAsia="Times New Roman" w:hAnsi="Times New Roman" w:cs="Times New Roman"/>
          <w:sz w:val="24"/>
          <w:szCs w:val="24"/>
        </w:rPr>
        <w:t>Naska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M., Bhattacharya, S., &amp; Biswas, M. (2013). Antileishmanial effect of Ixora coccinea leaf extracts on the in vitro growth of Leishmania </w:t>
      </w:r>
      <w:proofErr w:type="spellStart"/>
      <w:r>
        <w:rPr>
          <w:rFonts w:ascii="Times New Roman" w:eastAsia="Times New Roman" w:hAnsi="Times New Roman" w:cs="Times New Roman"/>
          <w:sz w:val="24"/>
          <w:szCs w:val="24"/>
        </w:rPr>
        <w:t>donovani</w:t>
      </w:r>
      <w:proofErr w:type="spellEnd"/>
      <w:r>
        <w:rPr>
          <w:rFonts w:ascii="Times New Roman" w:eastAsia="Times New Roman" w:hAnsi="Times New Roman" w:cs="Times New Roman"/>
          <w:sz w:val="24"/>
          <w:szCs w:val="24"/>
        </w:rPr>
        <w:t xml:space="preserve"> promastigotes. </w:t>
      </w:r>
      <w:r>
        <w:rPr>
          <w:rFonts w:ascii="Times New Roman" w:eastAsia="Times New Roman" w:hAnsi="Times New Roman" w:cs="Times New Roman"/>
          <w:i/>
          <w:iCs/>
          <w:sz w:val="24"/>
          <w:szCs w:val="24"/>
        </w:rPr>
        <w:t>J Adv Pharm Educ Res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(4), 471-474.</w:t>
      </w:r>
    </w:p>
    <w:p w14:paraId="4AE00E8A"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 Nayak, B. S., Udupa, A. L., &amp; Udupa, S. L. (1999). </w:t>
      </w:r>
      <w:r>
        <w:rPr>
          <w:rFonts w:ascii="Times New Roman" w:eastAsia="Times New Roman" w:hAnsi="Times New Roman" w:cs="Times New Roman"/>
          <w:sz w:val="24"/>
          <w:szCs w:val="24"/>
        </w:rPr>
        <w:t>Effect of Ixora coccinea flowers on dead space wound healing in rats. </w:t>
      </w:r>
      <w:proofErr w:type="spellStart"/>
      <w:r>
        <w:rPr>
          <w:rFonts w:ascii="Times New Roman" w:eastAsia="Times New Roman" w:hAnsi="Times New Roman" w:cs="Times New Roman"/>
          <w:i/>
          <w:iCs/>
          <w:sz w:val="24"/>
          <w:szCs w:val="24"/>
        </w:rPr>
        <w:t>Fitoterapia</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70</w:t>
      </w:r>
      <w:r>
        <w:rPr>
          <w:rFonts w:ascii="Times New Roman" w:eastAsia="Times New Roman" w:hAnsi="Times New Roman" w:cs="Times New Roman"/>
          <w:sz w:val="24"/>
          <w:szCs w:val="24"/>
        </w:rPr>
        <w:t>(3), 233-236.</w:t>
      </w:r>
    </w:p>
    <w:p w14:paraId="109AA312"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w:t>
      </w:r>
      <w:proofErr w:type="spellStart"/>
      <w:r>
        <w:rPr>
          <w:rFonts w:ascii="Times New Roman" w:eastAsia="Times New Roman" w:hAnsi="Times New Roman" w:cs="Times New Roman"/>
          <w:sz w:val="24"/>
          <w:szCs w:val="24"/>
        </w:rPr>
        <w:t>Maniyar</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Bhixavatimath</w:t>
      </w:r>
      <w:proofErr w:type="spellEnd"/>
      <w:r>
        <w:rPr>
          <w:rFonts w:ascii="Times New Roman" w:eastAsia="Times New Roman" w:hAnsi="Times New Roman" w:cs="Times New Roman"/>
          <w:sz w:val="24"/>
          <w:szCs w:val="24"/>
        </w:rPr>
        <w:t xml:space="preserve">, P. (2011). Evaluation of the </w:t>
      </w:r>
      <w:proofErr w:type="spellStart"/>
      <w:r>
        <w:rPr>
          <w:rFonts w:ascii="Times New Roman" w:eastAsia="Times New Roman" w:hAnsi="Times New Roman" w:cs="Times New Roman"/>
          <w:sz w:val="24"/>
          <w:szCs w:val="24"/>
        </w:rPr>
        <w:t>hypoglycaemic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hypolipidaemic</w:t>
      </w:r>
      <w:proofErr w:type="spellEnd"/>
      <w:r>
        <w:rPr>
          <w:rFonts w:ascii="Times New Roman" w:eastAsia="Times New Roman" w:hAnsi="Times New Roman" w:cs="Times New Roman"/>
          <w:sz w:val="24"/>
          <w:szCs w:val="24"/>
        </w:rPr>
        <w:t xml:space="preserve"> activities of the aqueous extract of the leaves of Ixora co</w:t>
      </w:r>
      <w:r>
        <w:rPr>
          <w:rFonts w:ascii="Times New Roman" w:eastAsia="Times New Roman" w:hAnsi="Times New Roman" w:cs="Times New Roman"/>
          <w:sz w:val="24"/>
          <w:szCs w:val="24"/>
        </w:rPr>
        <w:t>ccinea Linn in diabetic rats. </w:t>
      </w:r>
      <w:r>
        <w:rPr>
          <w:rFonts w:ascii="Times New Roman" w:eastAsia="Times New Roman" w:hAnsi="Times New Roman" w:cs="Times New Roman"/>
          <w:i/>
          <w:iCs/>
          <w:sz w:val="24"/>
          <w:szCs w:val="24"/>
        </w:rPr>
        <w:t>Journal of Clinical and Diagnostic Research</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(7), 1381-1384.</w:t>
      </w:r>
    </w:p>
    <w:p w14:paraId="176EA256"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Elumalai, A., </w:t>
      </w:r>
      <w:proofErr w:type="spellStart"/>
      <w:r>
        <w:rPr>
          <w:rFonts w:ascii="Times New Roman" w:eastAsia="Times New Roman" w:hAnsi="Times New Roman" w:cs="Times New Roman"/>
          <w:sz w:val="24"/>
          <w:szCs w:val="24"/>
        </w:rPr>
        <w:t>Eswaraiah</w:t>
      </w:r>
      <w:proofErr w:type="spellEnd"/>
      <w:r>
        <w:rPr>
          <w:rFonts w:ascii="Times New Roman" w:eastAsia="Times New Roman" w:hAnsi="Times New Roman" w:cs="Times New Roman"/>
          <w:sz w:val="24"/>
          <w:szCs w:val="24"/>
        </w:rPr>
        <w:t xml:space="preserve">, C., Venkatesh, Y., &amp; </w:t>
      </w:r>
      <w:proofErr w:type="spellStart"/>
      <w:r>
        <w:rPr>
          <w:rFonts w:ascii="Times New Roman" w:eastAsia="Times New Roman" w:hAnsi="Times New Roman" w:cs="Times New Roman"/>
          <w:sz w:val="24"/>
          <w:szCs w:val="24"/>
        </w:rPr>
        <w:t>Narendar</w:t>
      </w:r>
      <w:proofErr w:type="spellEnd"/>
      <w:r>
        <w:rPr>
          <w:rFonts w:ascii="Times New Roman" w:eastAsia="Times New Roman" w:hAnsi="Times New Roman" w:cs="Times New Roman"/>
          <w:sz w:val="24"/>
          <w:szCs w:val="24"/>
        </w:rPr>
        <w:t>, C. (2012). Phytochemical and pharmacological profile Of Ixora coccinea Linn. </w:t>
      </w:r>
      <w:r>
        <w:rPr>
          <w:rFonts w:ascii="Times New Roman" w:eastAsia="Times New Roman" w:hAnsi="Times New Roman" w:cs="Times New Roman"/>
          <w:i/>
          <w:iCs/>
          <w:sz w:val="24"/>
          <w:szCs w:val="24"/>
        </w:rPr>
        <w:t xml:space="preserve">International Journal of </w:t>
      </w:r>
      <w:r>
        <w:rPr>
          <w:rFonts w:ascii="Times New Roman" w:eastAsia="Times New Roman" w:hAnsi="Times New Roman" w:cs="Times New Roman"/>
          <w:i/>
          <w:iCs/>
          <w:sz w:val="24"/>
          <w:szCs w:val="24"/>
        </w:rPr>
        <w:t>Pharmacy &amp; Life Sciences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(3).</w:t>
      </w:r>
    </w:p>
    <w:p w14:paraId="0A568AF2" w14:textId="77777777" w:rsidR="00A52713" w:rsidRDefault="00703B2E">
      <w:pPr>
        <w:tabs>
          <w:tab w:val="left" w:pos="640"/>
        </w:tabs>
        <w:spacing w:line="480" w:lineRule="auto"/>
        <w:jc w:val="both"/>
        <w:rPr>
          <w:rFonts w:ascii="Times New Roman" w:eastAsia="Times New Roman" w:hAnsi="Times New Roman" w:cs="Times New Roman"/>
          <w:sz w:val="24"/>
          <w:szCs w:val="24"/>
        </w:rPr>
      </w:pPr>
      <w:r>
        <w:pict w14:anchorId="3489DE75">
          <v:shapetype id="_x0000_t202" coordsize="21600,21600" o:spt="202" path="m,l,21600r21600,l21600,xe">
            <v:stroke joinstyle="miter"/>
            <v:path gradientshapeok="t" o:connecttype="rect"/>
          </v:shapetype>
          <v:shape id="Text Box 2" o:spid="_x0000_s3075" type="#_x0000_t202" style="position:absolute;left:0;text-align:left;margin-left:416.1pt;margin-top:220.9pt;width:6.05pt;height:33.3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v:textbox inset="0,0,0,0">
              <w:txbxContent>
                <w:p w14:paraId="2788DACB" w14:textId="77777777" w:rsidR="00764645" w:rsidRDefault="00764645" w:rsidP="00446A84"/>
              </w:txbxContent>
            </v:textbox>
            <w10:wrap type="topAndBottom" anchorx="margin"/>
          </v:shape>
        </w:pict>
      </w:r>
    </w:p>
    <w:p w14:paraId="351D2741" w14:textId="77777777" w:rsidR="00A52713" w:rsidRDefault="00A52713">
      <w:pPr>
        <w:shd w:val="clear" w:color="auto" w:fill="FFFFFF"/>
        <w:spacing w:line="360" w:lineRule="auto"/>
        <w:jc w:val="both"/>
        <w:rPr>
          <w:rFonts w:ascii="Times New Roman" w:eastAsia="Times New Roman" w:hAnsi="Times New Roman" w:cs="Times New Roman"/>
        </w:rPr>
      </w:pPr>
    </w:p>
    <w:sectPr w:rsidR="00A52713">
      <w:headerReference w:type="even" r:id="rId22"/>
      <w:headerReference w:type="default" r:id="rId23"/>
      <w:footerReference w:type="default" r:id="rId24"/>
      <w:headerReference w:type="first" r:id="rId25"/>
      <w:type w:val="continuous"/>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F9462" w14:textId="77777777" w:rsidR="00703B2E" w:rsidRDefault="00703B2E">
      <w:r>
        <w:separator/>
      </w:r>
    </w:p>
  </w:endnote>
  <w:endnote w:type="continuationSeparator" w:id="0">
    <w:p w14:paraId="3CAE14F0" w14:textId="77777777" w:rsidR="00703B2E" w:rsidRDefault="0070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CA9045B-8139-4B7D-AC26-B314213FE6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A461334-028F-4FDB-A655-B11441A1D836}"/>
  </w:font>
  <w:font w:name="Calibri">
    <w:panose1 w:val="020F0502020204030204"/>
    <w:charset w:val="00"/>
    <w:family w:val="swiss"/>
    <w:pitch w:val="variable"/>
    <w:sig w:usb0="E4002EFF" w:usb1="C000247B" w:usb2="00000009" w:usb3="00000000" w:csb0="000001FF" w:csb1="00000000"/>
    <w:embedRegular r:id="rId3" w:fontKey="{88031844-BD2B-484A-9C61-A218EA86ED6B}"/>
    <w:embedBold r:id="rId4" w:fontKey="{95DD8BF5-51EC-46E5-80BD-FB22A0905854}"/>
  </w:font>
  <w:font w:name="Cambria Math">
    <w:panose1 w:val="02040503050406030204"/>
    <w:charset w:val="00"/>
    <w:family w:val="roman"/>
    <w:pitch w:val="variable"/>
    <w:sig w:usb0="E00006FF" w:usb1="420024FF" w:usb2="02000000" w:usb3="00000000" w:csb0="0000019F" w:csb1="00000000"/>
    <w:embedRegular r:id="rId5" w:fontKey="{58C467A3-E626-4932-83D6-C4DBF1AE2298}"/>
    <w:embedItalic r:id="rId6" w:fontKey="{4A321C92-49CB-4D9D-9003-76C378204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2C64" w14:textId="77777777" w:rsidR="00603CE0" w:rsidRDefault="00603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AD6B" w14:textId="77777777" w:rsidR="00603CE0" w:rsidRDefault="00603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D2D57" w14:textId="77777777" w:rsidR="00A52713" w:rsidRDefault="00A5271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D613A0C" w14:textId="77777777" w:rsidR="00A52713" w:rsidRDefault="00703B2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5FCB739" w14:textId="77777777" w:rsidR="00A52713" w:rsidRDefault="00A5271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B0DEFE1" w14:textId="77777777" w:rsidR="00A52713" w:rsidRDefault="00703B2E">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 xml:space="preserve">*Corresponding author: Email: </w:t>
    </w:r>
    <w:r>
      <w:rPr>
        <w:rFonts w:ascii="Arial" w:eastAsia="Arial" w:hAnsi="Arial" w:cs="Arial"/>
        <w:i/>
        <w:iCs/>
        <w:color w:val="000000"/>
        <w:sz w:val="16"/>
        <w:szCs w:val="16"/>
      </w:rPr>
      <w:t>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079E8" w14:textId="77777777" w:rsidR="00A52713" w:rsidRDefault="00A5271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225B4" w14:textId="77777777" w:rsidR="00703B2E" w:rsidRDefault="00703B2E">
      <w:r>
        <w:separator/>
      </w:r>
    </w:p>
  </w:footnote>
  <w:footnote w:type="continuationSeparator" w:id="0">
    <w:p w14:paraId="45007D1F" w14:textId="77777777" w:rsidR="00703B2E" w:rsidRDefault="0070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A802C" w14:textId="66661820" w:rsidR="00603CE0" w:rsidRDefault="00603CE0">
    <w:pPr>
      <w:pStyle w:val="Header"/>
    </w:pPr>
    <w:r>
      <w:rPr>
        <w:noProof/>
      </w:rPr>
      <w:pict w14:anchorId="1593E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B3D95" w14:textId="31C3EFC6" w:rsidR="00603CE0" w:rsidRDefault="00603CE0">
    <w:pPr>
      <w:pStyle w:val="Header"/>
    </w:pPr>
    <w:r>
      <w:rPr>
        <w:noProof/>
      </w:rPr>
      <w:pict w14:anchorId="0DAC9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923CE" w14:textId="47038F11" w:rsidR="00A52713" w:rsidRDefault="00603CE0">
    <w:pPr>
      <w:ind w:left="2160"/>
      <w:jc w:val="center"/>
      <w:rPr>
        <w:rFonts w:ascii="Times New Roman" w:eastAsia="Times New Roman" w:hAnsi="Times New Roman" w:cs="Times New Roman"/>
        <w:i/>
        <w:iCs/>
        <w:sz w:val="18"/>
        <w:szCs w:val="18"/>
      </w:rPr>
    </w:pPr>
    <w:r>
      <w:rPr>
        <w:noProof/>
      </w:rPr>
      <w:pict w14:anchorId="12725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2"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78AF5021" w14:textId="77777777" w:rsidR="00A52713" w:rsidRDefault="00703B2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8A1E7F6" w14:textId="77777777" w:rsidR="00A52713" w:rsidRDefault="00703B2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64CD0CF" w14:textId="77777777" w:rsidR="00A52713" w:rsidRDefault="00703B2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BF38C8F" w14:textId="77777777" w:rsidR="00A52713" w:rsidRDefault="00703B2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964316D" w14:textId="77777777" w:rsidR="00A52713" w:rsidRDefault="00703B2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3C8F698" w14:textId="77777777" w:rsidR="00A52713" w:rsidRDefault="00703B2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2E56" w14:textId="4862EF51" w:rsidR="00603CE0" w:rsidRDefault="00603CE0">
    <w:pPr>
      <w:pStyle w:val="Header"/>
    </w:pPr>
    <w:r>
      <w:rPr>
        <w:noProof/>
      </w:rPr>
      <w:pict w14:anchorId="613EF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6"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E659" w14:textId="4434FE4C" w:rsidR="00603CE0" w:rsidRDefault="00603CE0">
    <w:pPr>
      <w:pStyle w:val="Header"/>
    </w:pPr>
    <w:r>
      <w:rPr>
        <w:noProof/>
      </w:rPr>
      <w:pict w14:anchorId="3A540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7"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CA25" w14:textId="041B2C8F" w:rsidR="00603CE0" w:rsidRDefault="00603CE0">
    <w:pPr>
      <w:pStyle w:val="Header"/>
    </w:pPr>
    <w:r>
      <w:rPr>
        <w:noProof/>
      </w:rPr>
      <w:pict w14:anchorId="03A8F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5"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01A34"/>
    <w:multiLevelType w:val="multilevel"/>
    <w:tmpl w:val="FB163A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30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713"/>
    <w:rsid w:val="00603CE0"/>
    <w:rsid w:val="00703B2E"/>
    <w:rsid w:val="007615F9"/>
    <w:rsid w:val="00764645"/>
    <w:rsid w:val="00A52713"/>
    <w:rsid w:val="00AB7FA2"/>
    <w:rsid w:val="00C54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3"/>
      <o:rules v:ext="edit">
        <o:r id="V:Rule1" type="connector" idref="#_x0000_s3076"/>
      </o:rules>
    </o:shapelayout>
  </w:shapeDefaults>
  <w:decimalSymbol w:val="."/>
  <w:listSeparator w:val=","/>
  <w14:docId w14:val="5D3C4E65"/>
  <w15:docId w15:val="{A9ECEA76-E4E7-4FDB-BA19-0C949C49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line="259"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3CDDC"/>
        </w:tcBorders>
      </w:tcPr>
    </w:tblStylePr>
    <w:tblStylePr w:type="lastRow">
      <w:rPr>
        <w:b/>
        <w:bCs/>
      </w:rPr>
      <w:tblPr/>
      <w:tcPr>
        <w:tcBorders>
          <w:top w:val="single" w:sz="4" w:space="0" w:color="93CDDC"/>
        </w:tcBorders>
      </w:tcPr>
    </w:tblStylePr>
    <w:tblStylePr w:type="firstCol">
      <w:rPr>
        <w:b/>
        <w:bCs/>
      </w:rPr>
    </w:tblStylePr>
    <w:tblStylePr w:type="lastCol">
      <w:rPr>
        <w:b/>
        <w:bCs/>
      </w:rPr>
    </w:tblStyle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3CDDC"/>
        </w:tcBorders>
      </w:tcPr>
    </w:tblStylePr>
    <w:tblStylePr w:type="lastRow">
      <w:rPr>
        <w:b/>
        <w:bCs/>
      </w:rPr>
      <w:tblPr/>
      <w:tcPr>
        <w:tcBorders>
          <w:top w:val="single" w:sz="4" w:space="0" w:color="93CDDC"/>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5476B"/>
    <w:pPr>
      <w:tabs>
        <w:tab w:val="center" w:pos="4513"/>
        <w:tab w:val="right" w:pos="9026"/>
      </w:tabs>
    </w:pPr>
  </w:style>
  <w:style w:type="character" w:customStyle="1" w:styleId="HeaderChar">
    <w:name w:val="Header Char"/>
    <w:basedOn w:val="DefaultParagraphFont"/>
    <w:link w:val="Header"/>
    <w:uiPriority w:val="99"/>
    <w:rsid w:val="00C5476B"/>
  </w:style>
  <w:style w:type="paragraph" w:styleId="Footer">
    <w:name w:val="footer"/>
    <w:basedOn w:val="Normal"/>
    <w:link w:val="FooterChar"/>
    <w:uiPriority w:val="99"/>
    <w:unhideWhenUsed/>
    <w:rsid w:val="00C5476B"/>
    <w:pPr>
      <w:tabs>
        <w:tab w:val="center" w:pos="4513"/>
        <w:tab w:val="right" w:pos="9026"/>
      </w:tabs>
    </w:pPr>
  </w:style>
  <w:style w:type="character" w:customStyle="1" w:styleId="FooterChar">
    <w:name w:val="Footer Char"/>
    <w:basedOn w:val="DefaultParagraphFont"/>
    <w:link w:val="Footer"/>
    <w:uiPriority w:val="99"/>
    <w:rsid w:val="00C54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www.sciencedirect.com/science/article/pii/S294982282500089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JCRYSGRO.2023.127486"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16/j.nanoso.2024.101272"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016/J.JCRYSGRO.2014.10.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s://www.sciencedirect.com/science/article/pii/S102691852400125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7937</Words>
  <Characters>45242</Characters>
  <Application>Microsoft Office Word</Application>
  <DocSecurity>0</DocSecurity>
  <Lines>377</Lines>
  <Paragraphs>106</Paragraphs>
  <ScaleCrop>false</ScaleCrop>
  <Company/>
  <LinksUpToDate>false</LinksUpToDate>
  <CharactersWithSpaces>53073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2026-04-18T11:06:00Z</dcterms:created>
  <dcterms:modified xsi:type="dcterms:W3CDTF">2026-04-18T14:00:00Z</dcterms:modified>
</cp:coreProperties>
</file>