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D6009" w14:textId="464089DE" w:rsidR="00445D29" w:rsidRPr="00F450A5" w:rsidRDefault="00D316A5" w:rsidP="006F5AE4">
      <w:pPr>
        <w:pStyle w:val="Heading1"/>
        <w:keepNext w:val="0"/>
        <w:keepLines w:val="0"/>
        <w:widowControl w:val="0"/>
        <w:spacing w:before="0" w:after="0" w:line="240" w:lineRule="auto"/>
        <w:ind w:right="363"/>
        <w:jc w:val="center"/>
        <w:rPr>
          <w:rFonts w:ascii="Times New Roman" w:eastAsia="Times New Roman" w:hAnsi="Times New Roman" w:cs="Times New Roman"/>
          <w:b/>
          <w:bCs/>
          <w:sz w:val="32"/>
          <w:szCs w:val="32"/>
        </w:rPr>
      </w:pPr>
      <w:r w:rsidRPr="00F450A5">
        <w:rPr>
          <w:rFonts w:ascii="Times New Roman" w:eastAsia="Times New Roman" w:hAnsi="Times New Roman" w:cs="Times New Roman"/>
          <w:b/>
          <w:bCs/>
          <w:sz w:val="32"/>
          <w:szCs w:val="32"/>
        </w:rPr>
        <w:t xml:space="preserve">Pharmacogenomics Implementation in Rural and Medically Underserved </w:t>
      </w:r>
      <w:proofErr w:type="spellStart"/>
      <w:proofErr w:type="gramStart"/>
      <w:r w:rsidRPr="00F450A5">
        <w:rPr>
          <w:rFonts w:ascii="Times New Roman" w:eastAsia="Times New Roman" w:hAnsi="Times New Roman" w:cs="Times New Roman"/>
          <w:b/>
          <w:bCs/>
          <w:sz w:val="32"/>
          <w:szCs w:val="32"/>
        </w:rPr>
        <w:t>Settings:A</w:t>
      </w:r>
      <w:proofErr w:type="spellEnd"/>
      <w:proofErr w:type="gramEnd"/>
      <w:r w:rsidRPr="00F450A5">
        <w:rPr>
          <w:rFonts w:ascii="Times New Roman" w:eastAsia="Times New Roman" w:hAnsi="Times New Roman" w:cs="Times New Roman"/>
          <w:b/>
          <w:bCs/>
          <w:sz w:val="32"/>
          <w:szCs w:val="32"/>
        </w:rPr>
        <w:t xml:space="preserve"> Scoping Review of Programs, Strategies, and Outcomes</w:t>
      </w:r>
    </w:p>
    <w:p w14:paraId="3A5A2145" w14:textId="77777777" w:rsidR="00445D29" w:rsidRPr="00F450A5" w:rsidRDefault="00445D29">
      <w:pPr>
        <w:widowControl w:val="0"/>
        <w:spacing w:before="119" w:line="240" w:lineRule="auto"/>
        <w:ind w:left="3" w:right="363"/>
        <w:jc w:val="center"/>
        <w:rPr>
          <w:rFonts w:ascii="Times New Roman" w:eastAsia="Times New Roman" w:hAnsi="Times New Roman" w:cs="Times New Roman"/>
          <w:b/>
          <w:bCs/>
          <w:sz w:val="28"/>
          <w:szCs w:val="28"/>
        </w:rPr>
      </w:pPr>
    </w:p>
    <w:p w14:paraId="29569BB0" w14:textId="43CDB123" w:rsidR="00445D29" w:rsidRDefault="00445D29">
      <w:bookmarkStart w:id="0" w:name="_heading=h.ok1u8kurpukd" w:colFirst="0" w:colLast="0"/>
      <w:bookmarkEnd w:id="0"/>
    </w:p>
    <w:p w14:paraId="4511518C" w14:textId="77777777" w:rsidR="00080301" w:rsidRPr="00F450A5" w:rsidRDefault="00080301"/>
    <w:p w14:paraId="7A9F767E" w14:textId="77777777" w:rsidR="00445D29" w:rsidRPr="00F450A5" w:rsidRDefault="00445D29"/>
    <w:p w14:paraId="5291AB85" w14:textId="77777777" w:rsidR="00445D29" w:rsidRPr="00F450A5" w:rsidRDefault="00D316A5">
      <w:pPr>
        <w:pStyle w:val="Heading1"/>
        <w:keepNext w:val="0"/>
        <w:keepLines w:val="0"/>
        <w:widowControl w:val="0"/>
        <w:spacing w:before="0" w:after="0" w:line="240" w:lineRule="auto"/>
        <w:rPr>
          <w:rFonts w:ascii="Times New Roman" w:eastAsia="Times New Roman" w:hAnsi="Times New Roman" w:cs="Times New Roman"/>
          <w:b/>
          <w:bCs/>
          <w:sz w:val="28"/>
          <w:szCs w:val="28"/>
        </w:rPr>
      </w:pPr>
      <w:bookmarkStart w:id="1" w:name="_heading=h.4ltxnxks9jah" w:colFirst="0" w:colLast="0"/>
      <w:bookmarkEnd w:id="1"/>
      <w:r w:rsidRPr="00F450A5">
        <w:rPr>
          <w:rFonts w:ascii="Times New Roman" w:eastAsia="Times New Roman" w:hAnsi="Times New Roman" w:cs="Times New Roman"/>
          <w:b/>
          <w:bCs/>
          <w:sz w:val="28"/>
          <w:szCs w:val="28"/>
        </w:rPr>
        <w:t>Abstract</w:t>
      </w:r>
    </w:p>
    <w:p w14:paraId="396DEEF3" w14:textId="77777777" w:rsidR="00445D29" w:rsidRPr="00F450A5" w:rsidRDefault="00D316A5">
      <w:pPr>
        <w:widowControl w:val="0"/>
        <w:spacing w:before="198" w:line="360" w:lineRule="auto"/>
        <w:ind w:right="356"/>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 xml:space="preserve">Background: </w:t>
      </w:r>
      <w:r w:rsidRPr="00F450A5">
        <w:rPr>
          <w:rFonts w:ascii="Times New Roman" w:eastAsia="Times New Roman" w:hAnsi="Times New Roman" w:cs="Times New Roman"/>
          <w:sz w:val="24"/>
          <w:szCs w:val="24"/>
        </w:rPr>
        <w:t>Pharmacogenomic (PGx) testing has the potential to improve medication safety and efficacy across a range of therapeutic areas, yet clinical implementation has been concentrated in urban academic medical centers. Rural</w:t>
      </w:r>
      <w:r w:rsidRPr="00F450A5">
        <w:rPr>
          <w:rFonts w:ascii="Times New Roman" w:eastAsia="Times New Roman" w:hAnsi="Times New Roman" w:cs="Times New Roman"/>
          <w:sz w:val="24"/>
          <w:szCs w:val="24"/>
        </w:rPr>
        <w:t xml:space="preserve"> and medically underserved populations face elevated adverse drug reaction risk and constrained healthcare access but have been relatively excluded from PGx implementation research. Recent growth in this literature warrants a comprehensive scoping review.</w:t>
      </w:r>
    </w:p>
    <w:p w14:paraId="4974ADC1" w14:textId="77777777" w:rsidR="00445D29" w:rsidRPr="00F450A5" w:rsidRDefault="00D316A5">
      <w:pPr>
        <w:widowControl w:val="0"/>
        <w:spacing w:before="200" w:line="360" w:lineRule="auto"/>
        <w:ind w:right="360"/>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 xml:space="preserve">Objective: </w:t>
      </w:r>
      <w:r w:rsidRPr="00F450A5">
        <w:rPr>
          <w:rFonts w:ascii="Times New Roman" w:eastAsia="Times New Roman" w:hAnsi="Times New Roman" w:cs="Times New Roman"/>
          <w:sz w:val="24"/>
          <w:szCs w:val="24"/>
        </w:rPr>
        <w:t>To map and characterize the published literature on PGx implementation in rural and medically underserved settings, identify implementation strategies and reported outcomes, and delineate evidence gaps that warrant future investigation.</w:t>
      </w:r>
    </w:p>
    <w:p w14:paraId="1C3A97E9" w14:textId="77777777" w:rsidR="00445D29" w:rsidRPr="00F450A5" w:rsidRDefault="00D316A5">
      <w:pPr>
        <w:widowControl w:val="0"/>
        <w:spacing w:before="201" w:line="360" w:lineRule="auto"/>
        <w:ind w:right="355"/>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Methods:</w:t>
      </w:r>
      <w:r w:rsidRPr="00F450A5">
        <w:rPr>
          <w:rFonts w:ascii="Times New Roman" w:eastAsia="Times New Roman" w:hAnsi="Times New Roman" w:cs="Times New Roman"/>
          <w:b/>
          <w:bCs/>
          <w:sz w:val="24"/>
          <w:szCs w:val="24"/>
        </w:rPr>
        <w:t xml:space="preserve"> </w:t>
      </w:r>
      <w:r w:rsidRPr="00F450A5">
        <w:rPr>
          <w:rFonts w:ascii="Times New Roman" w:eastAsia="Times New Roman" w:hAnsi="Times New Roman" w:cs="Times New Roman"/>
          <w:sz w:val="24"/>
          <w:szCs w:val="24"/>
        </w:rPr>
        <w:t>A scoping review was conducted following the Arksey and O'Malley framework and PRISMA-</w:t>
      </w:r>
      <w:proofErr w:type="spellStart"/>
      <w:r w:rsidRPr="00F450A5">
        <w:rPr>
          <w:rFonts w:ascii="Times New Roman" w:eastAsia="Times New Roman" w:hAnsi="Times New Roman" w:cs="Times New Roman"/>
          <w:sz w:val="24"/>
          <w:szCs w:val="24"/>
        </w:rPr>
        <w:t>ScR</w:t>
      </w:r>
      <w:proofErr w:type="spellEnd"/>
      <w:r w:rsidRPr="00F450A5">
        <w:rPr>
          <w:rFonts w:ascii="Times New Roman" w:eastAsia="Times New Roman" w:hAnsi="Times New Roman" w:cs="Times New Roman"/>
          <w:sz w:val="24"/>
          <w:szCs w:val="24"/>
        </w:rPr>
        <w:t xml:space="preserve"> reporting guidelines. Searches were conducted across PubMed, Dimensions ai and Frontiers databases. Reference list screening of identified articles was also carried </w:t>
      </w:r>
      <w:r w:rsidRPr="00F450A5">
        <w:rPr>
          <w:rFonts w:ascii="Times New Roman" w:eastAsia="Times New Roman" w:hAnsi="Times New Roman" w:cs="Times New Roman"/>
          <w:sz w:val="24"/>
          <w:szCs w:val="24"/>
        </w:rPr>
        <w:t xml:space="preserve">out in order to enhance the yield. Studies were included if they described a PGx implementation program, educational intervention, or feasibility assessment with a rural or medically underserved population component.  </w:t>
      </w:r>
    </w:p>
    <w:p w14:paraId="0EE29479" w14:textId="77777777" w:rsidR="00445D29" w:rsidRPr="00F450A5" w:rsidRDefault="00D316A5">
      <w:pPr>
        <w:widowControl w:val="0"/>
        <w:spacing w:before="201" w:line="360" w:lineRule="auto"/>
        <w:ind w:right="354"/>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 xml:space="preserve">Results: </w:t>
      </w:r>
      <w:r w:rsidRPr="00F450A5">
        <w:rPr>
          <w:rFonts w:ascii="Times New Roman" w:eastAsia="Times New Roman" w:hAnsi="Times New Roman" w:cs="Times New Roman"/>
          <w:sz w:val="24"/>
          <w:szCs w:val="24"/>
        </w:rPr>
        <w:t>Eighteen studies published b</w:t>
      </w:r>
      <w:r w:rsidRPr="00F450A5">
        <w:rPr>
          <w:rFonts w:ascii="Times New Roman" w:eastAsia="Times New Roman" w:hAnsi="Times New Roman" w:cs="Times New Roman"/>
          <w:sz w:val="24"/>
          <w:szCs w:val="24"/>
        </w:rPr>
        <w:t>etween 2015 and 2025 were included in this review. Studies were categorized into five thematic clusters: workforce education programs, pharmacist-led clinical service models, community-engaged implementation with Indigenous and tribal populations, Federall</w:t>
      </w:r>
      <w:r w:rsidRPr="00F450A5">
        <w:rPr>
          <w:rFonts w:ascii="Times New Roman" w:eastAsia="Times New Roman" w:hAnsi="Times New Roman" w:cs="Times New Roman"/>
          <w:sz w:val="24"/>
          <w:szCs w:val="24"/>
        </w:rPr>
        <w:t>y Qualified Health Center pilots, and informatics infrastructure assessments. Most studies reported feasibility and acceptability outcomes; few reported clinical endpoints such as adverse drug reaction reduction, medication adherence, or cost-effectiveness</w:t>
      </w:r>
      <w:r w:rsidRPr="00F450A5">
        <w:rPr>
          <w:rFonts w:ascii="Times New Roman" w:eastAsia="Times New Roman" w:hAnsi="Times New Roman" w:cs="Times New Roman"/>
          <w:sz w:val="24"/>
          <w:szCs w:val="24"/>
        </w:rPr>
        <w:t xml:space="preserve">. </w:t>
      </w:r>
    </w:p>
    <w:p w14:paraId="25669CBB" w14:textId="77777777" w:rsidR="00445D29" w:rsidRPr="00F450A5" w:rsidRDefault="00D316A5">
      <w:pPr>
        <w:widowControl w:val="0"/>
        <w:spacing w:before="201" w:line="360" w:lineRule="auto"/>
        <w:ind w:right="354"/>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lastRenderedPageBreak/>
        <w:t xml:space="preserve">Conclusion: </w:t>
      </w:r>
      <w:r w:rsidRPr="00F450A5">
        <w:rPr>
          <w:rFonts w:ascii="Times New Roman" w:eastAsia="Times New Roman" w:hAnsi="Times New Roman" w:cs="Times New Roman"/>
          <w:sz w:val="24"/>
          <w:szCs w:val="24"/>
        </w:rPr>
        <w:t>Published literature on PGx implementation in rural and underserved populations is growing but remains dominated by feasibility and educational studies rather than outcomes-based clinical research. Key gaps include oncology-specific applicat</w:t>
      </w:r>
      <w:r w:rsidRPr="00F450A5">
        <w:rPr>
          <w:rFonts w:ascii="Times New Roman" w:eastAsia="Times New Roman" w:hAnsi="Times New Roman" w:cs="Times New Roman"/>
          <w:sz w:val="24"/>
          <w:szCs w:val="24"/>
        </w:rPr>
        <w:t>ions, infrastructure-tiered implementation models among others. Future research should prioritize outcomes-based evaluation and frameworks that account for the heterogeneity of rural healthcare infrastructure.</w:t>
      </w:r>
    </w:p>
    <w:p w14:paraId="6C97834E" w14:textId="77777777" w:rsidR="00445D29" w:rsidRPr="00F450A5" w:rsidRDefault="00D316A5">
      <w:pPr>
        <w:widowControl w:val="0"/>
        <w:spacing w:before="202" w:line="360" w:lineRule="auto"/>
        <w:ind w:right="359"/>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 xml:space="preserve">Keywords: </w:t>
      </w:r>
      <w:r w:rsidRPr="00F450A5">
        <w:rPr>
          <w:rFonts w:ascii="Times New Roman" w:eastAsia="Times New Roman" w:hAnsi="Times New Roman" w:cs="Times New Roman"/>
          <w:sz w:val="24"/>
          <w:szCs w:val="24"/>
        </w:rPr>
        <w:t>Pharmacogenomics, Rural community, H</w:t>
      </w:r>
      <w:r w:rsidRPr="00F450A5">
        <w:rPr>
          <w:rFonts w:ascii="Times New Roman" w:eastAsia="Times New Roman" w:hAnsi="Times New Roman" w:cs="Times New Roman"/>
          <w:sz w:val="24"/>
          <w:szCs w:val="24"/>
        </w:rPr>
        <w:t>ealth disparities, Pharmacist-led interventions, Community pharmacy, Precision medicine</w:t>
      </w:r>
    </w:p>
    <w:p w14:paraId="0B952B38" w14:textId="77777777" w:rsidR="00445D29" w:rsidRPr="00F450A5" w:rsidRDefault="00445D29">
      <w:pPr>
        <w:widowControl w:val="0"/>
        <w:spacing w:before="202" w:line="360" w:lineRule="auto"/>
        <w:ind w:right="359"/>
        <w:jc w:val="both"/>
        <w:rPr>
          <w:rFonts w:ascii="Times New Roman" w:eastAsia="Times New Roman" w:hAnsi="Times New Roman" w:cs="Times New Roman"/>
          <w:sz w:val="24"/>
          <w:szCs w:val="24"/>
        </w:rPr>
      </w:pPr>
    </w:p>
    <w:p w14:paraId="74A7BBC3" w14:textId="77777777" w:rsidR="00445D29" w:rsidRPr="00F450A5" w:rsidRDefault="00445D29">
      <w:pPr>
        <w:pStyle w:val="Heading1"/>
        <w:keepNext w:val="0"/>
        <w:keepLines w:val="0"/>
        <w:widowControl w:val="0"/>
        <w:tabs>
          <w:tab w:val="left" w:pos="279"/>
        </w:tabs>
        <w:spacing w:before="0" w:after="0" w:line="240" w:lineRule="auto"/>
        <w:jc w:val="both"/>
        <w:rPr>
          <w:rFonts w:ascii="Times New Roman" w:eastAsia="Times New Roman" w:hAnsi="Times New Roman" w:cs="Times New Roman"/>
          <w:b/>
          <w:bCs/>
          <w:sz w:val="28"/>
          <w:szCs w:val="28"/>
        </w:rPr>
      </w:pPr>
      <w:bookmarkStart w:id="2" w:name="_heading=h.2pm5d43o33jv" w:colFirst="0" w:colLast="0"/>
      <w:bookmarkEnd w:id="2"/>
    </w:p>
    <w:p w14:paraId="61DB1F6C" w14:textId="77777777" w:rsidR="00445D29" w:rsidRPr="00F450A5" w:rsidRDefault="00D316A5">
      <w:pPr>
        <w:pStyle w:val="Heading1"/>
        <w:keepNext w:val="0"/>
        <w:keepLines w:val="0"/>
        <w:widowControl w:val="0"/>
        <w:numPr>
          <w:ilvl w:val="0"/>
          <w:numId w:val="2"/>
        </w:numPr>
        <w:tabs>
          <w:tab w:val="left" w:pos="279"/>
        </w:tabs>
        <w:spacing w:before="0" w:after="0" w:line="240" w:lineRule="auto"/>
        <w:jc w:val="both"/>
        <w:rPr>
          <w:rFonts w:ascii="Times New Roman" w:eastAsia="Times New Roman" w:hAnsi="Times New Roman" w:cs="Times New Roman"/>
          <w:b/>
          <w:bCs/>
          <w:sz w:val="28"/>
          <w:szCs w:val="28"/>
        </w:rPr>
      </w:pPr>
      <w:bookmarkStart w:id="3" w:name="_heading=h.12t9jr95k6cw" w:colFirst="0" w:colLast="0"/>
      <w:bookmarkEnd w:id="3"/>
      <w:r w:rsidRPr="00F450A5">
        <w:rPr>
          <w:rFonts w:ascii="Times New Roman" w:eastAsia="Times New Roman" w:hAnsi="Times New Roman" w:cs="Times New Roman"/>
          <w:b/>
          <w:bCs/>
          <w:sz w:val="28"/>
          <w:szCs w:val="28"/>
        </w:rPr>
        <w:t>Introduction</w:t>
      </w:r>
    </w:p>
    <w:p w14:paraId="2E516E8B" w14:textId="77777777" w:rsidR="00445D29" w:rsidRPr="00F450A5" w:rsidRDefault="00D316A5">
      <w:pPr>
        <w:widowControl w:val="0"/>
        <w:spacing w:before="198" w:line="360" w:lineRule="auto"/>
        <w:ind w:right="353"/>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Pharmacogenomics (PGx), the study of how genetic variation influences drug response, has produced an extensive evidence base for individualized medicatio</w:t>
      </w:r>
      <w:r w:rsidRPr="00F450A5">
        <w:rPr>
          <w:rFonts w:ascii="Times New Roman" w:eastAsia="Times New Roman" w:hAnsi="Times New Roman" w:cs="Times New Roman"/>
          <w:sz w:val="24"/>
          <w:szCs w:val="24"/>
        </w:rPr>
        <w:t xml:space="preserve">n therapy (Roden et al., 2019). The Clinical Pharmacogenetics Implementation Consortium (CPIC) has published more than 25 evidence-based guidelines covering over 100 gene-drug pairs (Clin. Pharmacogenetics Implement. </w:t>
      </w:r>
      <w:proofErr w:type="gramStart"/>
      <w:r w:rsidRPr="00F450A5">
        <w:rPr>
          <w:rFonts w:ascii="Times New Roman" w:eastAsia="Times New Roman" w:hAnsi="Times New Roman" w:cs="Times New Roman"/>
          <w:sz w:val="24"/>
          <w:szCs w:val="24"/>
        </w:rPr>
        <w:t>Consort.(</w:t>
      </w:r>
      <w:proofErr w:type="gramEnd"/>
      <w:r w:rsidRPr="00F450A5">
        <w:rPr>
          <w:rFonts w:ascii="Times New Roman" w:eastAsia="Times New Roman" w:hAnsi="Times New Roman" w:cs="Times New Roman"/>
          <w:sz w:val="24"/>
          <w:szCs w:val="24"/>
        </w:rPr>
        <w:t xml:space="preserve">CPIC), n.d.; Donnelly et al., </w:t>
      </w:r>
      <w:r w:rsidRPr="00F450A5">
        <w:rPr>
          <w:rFonts w:ascii="Times New Roman" w:eastAsia="Times New Roman" w:hAnsi="Times New Roman" w:cs="Times New Roman"/>
          <w:sz w:val="24"/>
          <w:szCs w:val="24"/>
        </w:rPr>
        <w:t>2024) and the Food and Drug Administration has included pharmacogenomic information on the labeling of over 300 medications (Food and Drug Administration (FDA), 2026). Prospective studies have demonstrated that genotype-guided dosing reduces adverse drug r</w:t>
      </w:r>
      <w:r w:rsidRPr="00F450A5">
        <w:rPr>
          <w:rFonts w:ascii="Times New Roman" w:eastAsia="Times New Roman" w:hAnsi="Times New Roman" w:cs="Times New Roman"/>
          <w:sz w:val="24"/>
          <w:szCs w:val="24"/>
        </w:rPr>
        <w:t xml:space="preserve">eactions across multiple therapeutic domains (Swen et al., 2023). </w:t>
      </w:r>
    </w:p>
    <w:p w14:paraId="050A8B17" w14:textId="77777777" w:rsidR="00445D29" w:rsidRPr="00F450A5" w:rsidRDefault="00D316A5">
      <w:pPr>
        <w:widowControl w:val="0"/>
        <w:spacing w:before="198" w:line="360" w:lineRule="auto"/>
        <w:ind w:right="353"/>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Despite this mature evidence base, clinical adoption of PGx has been uneven. Implementation has been concentrated in urban academic medical centers with dedicated pharmacogenomics services,</w:t>
      </w:r>
      <w:r w:rsidRPr="00F450A5">
        <w:rPr>
          <w:rFonts w:ascii="Times New Roman" w:eastAsia="Times New Roman" w:hAnsi="Times New Roman" w:cs="Times New Roman"/>
          <w:sz w:val="24"/>
          <w:szCs w:val="24"/>
        </w:rPr>
        <w:t xml:space="preserve"> electronic health record integration, and in-house genotyping infrastructure (Shugg et al., 2024; Díaz-</w:t>
      </w:r>
      <w:proofErr w:type="spellStart"/>
      <w:r w:rsidRPr="00F450A5">
        <w:rPr>
          <w:rFonts w:ascii="Times New Roman" w:eastAsia="Times New Roman" w:hAnsi="Times New Roman" w:cs="Times New Roman"/>
          <w:sz w:val="24"/>
          <w:szCs w:val="24"/>
        </w:rPr>
        <w:t>Villamarín</w:t>
      </w:r>
      <w:proofErr w:type="spellEnd"/>
      <w:r w:rsidRPr="00F450A5">
        <w:rPr>
          <w:rFonts w:ascii="Times New Roman" w:eastAsia="Times New Roman" w:hAnsi="Times New Roman" w:cs="Times New Roman"/>
          <w:sz w:val="24"/>
          <w:szCs w:val="24"/>
        </w:rPr>
        <w:t xml:space="preserve"> et al., 2025). Rural and medically underserved populations, who bear a disproportionate burden of adverse drug reactions, limited specialist </w:t>
      </w:r>
      <w:r w:rsidRPr="00F450A5">
        <w:rPr>
          <w:rFonts w:ascii="Times New Roman" w:eastAsia="Times New Roman" w:hAnsi="Times New Roman" w:cs="Times New Roman"/>
          <w:sz w:val="24"/>
          <w:szCs w:val="24"/>
        </w:rPr>
        <w:t>access, and healthcare workforce shortages (</w:t>
      </w:r>
      <w:proofErr w:type="spellStart"/>
      <w:r w:rsidRPr="00F450A5">
        <w:rPr>
          <w:rFonts w:ascii="Times New Roman" w:eastAsia="Times New Roman" w:hAnsi="Times New Roman" w:cs="Times New Roman"/>
          <w:sz w:val="24"/>
          <w:szCs w:val="24"/>
        </w:rPr>
        <w:t>Oleribe</w:t>
      </w:r>
      <w:proofErr w:type="spellEnd"/>
      <w:r w:rsidRPr="00F450A5">
        <w:rPr>
          <w:rFonts w:ascii="Times New Roman" w:eastAsia="Times New Roman" w:hAnsi="Times New Roman" w:cs="Times New Roman"/>
          <w:sz w:val="24"/>
          <w:szCs w:val="24"/>
        </w:rPr>
        <w:t xml:space="preserve"> et al., 2019; Javed, 2025), have been largely excluded from PGx implementation efforts. This exclusion has potential to widen rather than narrow existing health disparities (Martin et al., 2019).</w:t>
      </w:r>
    </w:p>
    <w:p w14:paraId="00869480" w14:textId="77777777" w:rsidR="00445D29" w:rsidRPr="00F450A5" w:rsidRDefault="00D316A5">
      <w:pPr>
        <w:widowControl w:val="0"/>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Over the</w:t>
      </w:r>
      <w:r w:rsidRPr="00F450A5">
        <w:rPr>
          <w:rFonts w:ascii="Times New Roman" w:eastAsia="Times New Roman" w:hAnsi="Times New Roman" w:cs="Times New Roman"/>
          <w:sz w:val="24"/>
          <w:szCs w:val="24"/>
        </w:rPr>
        <w:t xml:space="preserve"> past decade, a growing body of literature has begun to address PGx implementation specifically in rural and underserved populations. Programs have been described across multiple </w:t>
      </w:r>
      <w:r w:rsidRPr="00F450A5">
        <w:rPr>
          <w:rFonts w:ascii="Times New Roman" w:eastAsia="Times New Roman" w:hAnsi="Times New Roman" w:cs="Times New Roman"/>
          <w:sz w:val="24"/>
          <w:szCs w:val="24"/>
        </w:rPr>
        <w:lastRenderedPageBreak/>
        <w:t>states and settings, including rural Minnesota (Brown et al., 2022), the uppe</w:t>
      </w:r>
      <w:r w:rsidRPr="00F450A5">
        <w:rPr>
          <w:rFonts w:ascii="Times New Roman" w:eastAsia="Times New Roman" w:hAnsi="Times New Roman" w:cs="Times New Roman"/>
          <w:sz w:val="24"/>
          <w:szCs w:val="24"/>
        </w:rPr>
        <w:t xml:space="preserve">r Midwest through the Sanford </w:t>
      </w:r>
      <w:proofErr w:type="spellStart"/>
      <w:r w:rsidRPr="00F450A5">
        <w:rPr>
          <w:rFonts w:ascii="Times New Roman" w:eastAsia="Times New Roman" w:hAnsi="Times New Roman" w:cs="Times New Roman"/>
          <w:sz w:val="24"/>
          <w:szCs w:val="24"/>
        </w:rPr>
        <w:t>Imagenetics</w:t>
      </w:r>
      <w:proofErr w:type="spellEnd"/>
      <w:r w:rsidRPr="00F450A5">
        <w:rPr>
          <w:rFonts w:ascii="Times New Roman" w:eastAsia="Times New Roman" w:hAnsi="Times New Roman" w:cs="Times New Roman"/>
          <w:sz w:val="24"/>
          <w:szCs w:val="24"/>
        </w:rPr>
        <w:t xml:space="preserve"> system (Natasha Petry et al., 2019; Van </w:t>
      </w:r>
      <w:proofErr w:type="spellStart"/>
      <w:r w:rsidRPr="00F450A5">
        <w:rPr>
          <w:rFonts w:ascii="Times New Roman" w:eastAsia="Times New Roman" w:hAnsi="Times New Roman" w:cs="Times New Roman"/>
          <w:sz w:val="24"/>
          <w:szCs w:val="24"/>
        </w:rPr>
        <w:t>Heukelom</w:t>
      </w:r>
      <w:proofErr w:type="spellEnd"/>
      <w:r w:rsidRPr="00F450A5">
        <w:rPr>
          <w:rFonts w:ascii="Times New Roman" w:eastAsia="Times New Roman" w:hAnsi="Times New Roman" w:cs="Times New Roman"/>
          <w:sz w:val="24"/>
          <w:szCs w:val="24"/>
        </w:rPr>
        <w:t xml:space="preserve"> et al., 2023), rural and tribal communities in Montana (Morales et al., 2016; Leitch et al., 2022), rural primary care in North Carolina (Dressler et al., 2019), int</w:t>
      </w:r>
      <w:r w:rsidRPr="00F450A5">
        <w:rPr>
          <w:rFonts w:ascii="Times New Roman" w:eastAsia="Times New Roman" w:hAnsi="Times New Roman" w:cs="Times New Roman"/>
          <w:sz w:val="24"/>
          <w:szCs w:val="24"/>
        </w:rPr>
        <w:t>egrated behavioral health clinics in Texas (Alghamdi et al., 2025), and Federally Qualified Health Centers (FQHCs) in urban and rural contexts (Johnson et al., 2020; Cicali et al., 2019). However, this literature has not been systematically synthesized. Ex</w:t>
      </w:r>
      <w:r w:rsidRPr="00F450A5">
        <w:rPr>
          <w:rFonts w:ascii="Times New Roman" w:eastAsia="Times New Roman" w:hAnsi="Times New Roman" w:cs="Times New Roman"/>
          <w:sz w:val="24"/>
          <w:szCs w:val="24"/>
        </w:rPr>
        <w:t>isting scoping and narrative reviews have focused on community pharmacy practice more broadly (</w:t>
      </w:r>
      <w:proofErr w:type="spellStart"/>
      <w:r w:rsidRPr="00F450A5">
        <w:rPr>
          <w:rFonts w:ascii="Times New Roman" w:eastAsia="Times New Roman" w:hAnsi="Times New Roman" w:cs="Times New Roman"/>
          <w:sz w:val="24"/>
          <w:szCs w:val="24"/>
        </w:rPr>
        <w:t>Coumau</w:t>
      </w:r>
      <w:proofErr w:type="spellEnd"/>
      <w:r w:rsidRPr="00F450A5">
        <w:rPr>
          <w:rFonts w:ascii="Times New Roman" w:eastAsia="Times New Roman" w:hAnsi="Times New Roman" w:cs="Times New Roman"/>
          <w:sz w:val="24"/>
          <w:szCs w:val="24"/>
        </w:rPr>
        <w:t xml:space="preserve"> et al., 2025), medically underserved populations without specific rural focus (Gawronski et al., 2025), or health disparities in PGx generally (Magavern e</w:t>
      </w:r>
      <w:r w:rsidRPr="00F450A5">
        <w:rPr>
          <w:rFonts w:ascii="Times New Roman" w:eastAsia="Times New Roman" w:hAnsi="Times New Roman" w:cs="Times New Roman"/>
          <w:sz w:val="24"/>
          <w:szCs w:val="24"/>
        </w:rPr>
        <w:t>t al., 2021). No published review has specifically mapped the PGx implementation literature at the intersection of rural and underserved settings.</w:t>
      </w:r>
    </w:p>
    <w:p w14:paraId="45FBAD3E" w14:textId="77777777" w:rsidR="00445D29" w:rsidRPr="00F450A5" w:rsidRDefault="00D316A5">
      <w:pPr>
        <w:widowControl w:val="0"/>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This scoping review addresses that gap. Following Arksey &amp; O’Malley (2005</w:t>
      </w:r>
      <w:proofErr w:type="gramStart"/>
      <w:r w:rsidRPr="00F450A5">
        <w:rPr>
          <w:rFonts w:ascii="Times New Roman" w:eastAsia="Times New Roman" w:hAnsi="Times New Roman" w:cs="Times New Roman"/>
          <w:sz w:val="24"/>
          <w:szCs w:val="24"/>
        </w:rPr>
        <w:t>)  framework</w:t>
      </w:r>
      <w:proofErr w:type="gramEnd"/>
      <w:r w:rsidRPr="00F450A5">
        <w:rPr>
          <w:rFonts w:ascii="Times New Roman" w:eastAsia="Times New Roman" w:hAnsi="Times New Roman" w:cs="Times New Roman"/>
          <w:sz w:val="24"/>
          <w:szCs w:val="24"/>
        </w:rPr>
        <w:t xml:space="preserve"> with refinements by Lev</w:t>
      </w:r>
      <w:r w:rsidRPr="00F450A5">
        <w:rPr>
          <w:rFonts w:ascii="Times New Roman" w:eastAsia="Times New Roman" w:hAnsi="Times New Roman" w:cs="Times New Roman"/>
          <w:sz w:val="24"/>
          <w:szCs w:val="24"/>
        </w:rPr>
        <w:t>ac et al. (2010) and reporting in accordance with the PRISMA Extension for Scoping Reviews (PRISMA-</w:t>
      </w:r>
      <w:proofErr w:type="spellStart"/>
      <w:r w:rsidRPr="00F450A5">
        <w:rPr>
          <w:rFonts w:ascii="Times New Roman" w:eastAsia="Times New Roman" w:hAnsi="Times New Roman" w:cs="Times New Roman"/>
          <w:sz w:val="24"/>
          <w:szCs w:val="24"/>
        </w:rPr>
        <w:t>ScR</w:t>
      </w:r>
      <w:proofErr w:type="spellEnd"/>
      <w:r w:rsidRPr="00F450A5">
        <w:rPr>
          <w:rFonts w:ascii="Times New Roman" w:eastAsia="Times New Roman" w:hAnsi="Times New Roman" w:cs="Times New Roman"/>
          <w:sz w:val="24"/>
          <w:szCs w:val="24"/>
        </w:rPr>
        <w:t>) guidelines, this review maps the published literature on PGx implementation in rural and medically underserved settings. The objectives are to: (1) char</w:t>
      </w:r>
      <w:r w:rsidRPr="00F450A5">
        <w:rPr>
          <w:rFonts w:ascii="Times New Roman" w:eastAsia="Times New Roman" w:hAnsi="Times New Roman" w:cs="Times New Roman"/>
          <w:sz w:val="24"/>
          <w:szCs w:val="24"/>
        </w:rPr>
        <w:t>acterize the types of studies that have been conducted; (2) describe the implementation strategies that have been employed; (3) summarize the outcomes that have been reported; and (4) identify evidence gaps that warrant future investigation.</w:t>
      </w:r>
    </w:p>
    <w:p w14:paraId="63320CF2" w14:textId="77777777" w:rsidR="00445D29" w:rsidRPr="00F450A5" w:rsidRDefault="00445D29">
      <w:pPr>
        <w:widowControl w:val="0"/>
        <w:spacing w:before="240" w:after="240" w:line="360" w:lineRule="auto"/>
        <w:jc w:val="both"/>
        <w:rPr>
          <w:rFonts w:ascii="Times New Roman" w:eastAsia="Times New Roman" w:hAnsi="Times New Roman" w:cs="Times New Roman"/>
          <w:sz w:val="24"/>
          <w:szCs w:val="24"/>
        </w:rPr>
      </w:pPr>
    </w:p>
    <w:p w14:paraId="12279B06" w14:textId="77777777" w:rsidR="00445D29" w:rsidRPr="00F450A5" w:rsidRDefault="00D316A5">
      <w:pPr>
        <w:widowControl w:val="0"/>
        <w:numPr>
          <w:ilvl w:val="0"/>
          <w:numId w:val="2"/>
        </w:numPr>
        <w:spacing w:before="200" w:line="360" w:lineRule="auto"/>
        <w:ind w:right="357"/>
        <w:jc w:val="both"/>
        <w:rPr>
          <w:rFonts w:ascii="Times New Roman" w:eastAsia="Times New Roman" w:hAnsi="Times New Roman" w:cs="Times New Roman"/>
          <w:b/>
          <w:bCs/>
          <w:sz w:val="28"/>
          <w:szCs w:val="28"/>
        </w:rPr>
      </w:pPr>
      <w:r w:rsidRPr="00F450A5">
        <w:rPr>
          <w:rFonts w:ascii="Times New Roman" w:eastAsia="Times New Roman" w:hAnsi="Times New Roman" w:cs="Times New Roman"/>
          <w:b/>
          <w:bCs/>
          <w:sz w:val="28"/>
          <w:szCs w:val="28"/>
        </w:rPr>
        <w:t>Methods</w:t>
      </w:r>
    </w:p>
    <w:p w14:paraId="1472F95E" w14:textId="77777777" w:rsidR="00445D29" w:rsidRPr="00F450A5" w:rsidRDefault="00D316A5">
      <w:pPr>
        <w:pStyle w:val="Heading2"/>
        <w:keepNext w:val="0"/>
        <w:keepLines w:val="0"/>
        <w:widowControl w:val="0"/>
        <w:tabs>
          <w:tab w:val="left" w:pos="360"/>
        </w:tabs>
        <w:spacing w:before="277"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t xml:space="preserve">2.1 </w:t>
      </w:r>
      <w:r w:rsidRPr="00F450A5">
        <w:rPr>
          <w:rFonts w:ascii="Times New Roman" w:eastAsia="Times New Roman" w:hAnsi="Times New Roman" w:cs="Times New Roman"/>
          <w:b/>
          <w:bCs/>
          <w:sz w:val="24"/>
          <w:szCs w:val="24"/>
        </w:rPr>
        <w:t>Protocol and Reporting Framework</w:t>
      </w:r>
    </w:p>
    <w:p w14:paraId="19D549DE" w14:textId="77777777" w:rsidR="00445D29" w:rsidRPr="00F450A5" w:rsidRDefault="00D316A5">
      <w:pPr>
        <w:widowControl w:val="0"/>
        <w:spacing w:before="180" w:line="360" w:lineRule="auto"/>
        <w:ind w:right="353"/>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This scoping review was conducted using the five-stage framework originally proposed by Arksey &amp; O’Malley (2005) with methodological refinements introduced by Levac et al. (2010). Reporting follows the PRISMA Extension for </w:t>
      </w:r>
      <w:r w:rsidRPr="00F450A5">
        <w:rPr>
          <w:rFonts w:ascii="Times New Roman" w:eastAsia="Times New Roman" w:hAnsi="Times New Roman" w:cs="Times New Roman"/>
          <w:sz w:val="24"/>
          <w:szCs w:val="24"/>
        </w:rPr>
        <w:t>Scoping Reviews (PRISMA-</w:t>
      </w:r>
      <w:proofErr w:type="spellStart"/>
      <w:r w:rsidRPr="00F450A5">
        <w:rPr>
          <w:rFonts w:ascii="Times New Roman" w:eastAsia="Times New Roman" w:hAnsi="Times New Roman" w:cs="Times New Roman"/>
          <w:sz w:val="24"/>
          <w:szCs w:val="24"/>
        </w:rPr>
        <w:t>ScR</w:t>
      </w:r>
      <w:proofErr w:type="spellEnd"/>
      <w:r w:rsidRPr="00F450A5">
        <w:rPr>
          <w:rFonts w:ascii="Times New Roman" w:eastAsia="Times New Roman" w:hAnsi="Times New Roman" w:cs="Times New Roman"/>
          <w:sz w:val="24"/>
          <w:szCs w:val="24"/>
        </w:rPr>
        <w:t>) checklist (</w:t>
      </w:r>
      <w:proofErr w:type="spellStart"/>
      <w:r w:rsidRPr="00F450A5">
        <w:rPr>
          <w:rFonts w:ascii="Times New Roman" w:eastAsia="Times New Roman" w:hAnsi="Times New Roman" w:cs="Times New Roman"/>
          <w:sz w:val="24"/>
          <w:szCs w:val="24"/>
        </w:rPr>
        <w:t>Tricco</w:t>
      </w:r>
      <w:proofErr w:type="spellEnd"/>
      <w:r w:rsidRPr="00F450A5">
        <w:rPr>
          <w:rFonts w:ascii="Times New Roman" w:eastAsia="Times New Roman" w:hAnsi="Times New Roman" w:cs="Times New Roman"/>
          <w:sz w:val="24"/>
          <w:szCs w:val="24"/>
        </w:rPr>
        <w:t xml:space="preserve"> et al., 2018). The review protocol was developed a priori but was not registered in an international prospective register; this limitation is discussed in Section 5.4.</w:t>
      </w:r>
    </w:p>
    <w:p w14:paraId="267F7E66" w14:textId="77777777" w:rsidR="00445D29" w:rsidRPr="00F450A5" w:rsidRDefault="00445D29">
      <w:pPr>
        <w:widowControl w:val="0"/>
        <w:spacing w:before="4" w:line="240" w:lineRule="auto"/>
        <w:rPr>
          <w:rFonts w:ascii="Times New Roman" w:eastAsia="Times New Roman" w:hAnsi="Times New Roman" w:cs="Times New Roman"/>
          <w:sz w:val="24"/>
          <w:szCs w:val="24"/>
        </w:rPr>
      </w:pPr>
    </w:p>
    <w:p w14:paraId="0420E41A" w14:textId="77777777" w:rsidR="00445D29" w:rsidRPr="00F450A5" w:rsidRDefault="00D316A5">
      <w:pPr>
        <w:pStyle w:val="Heading2"/>
        <w:keepNext w:val="0"/>
        <w:keepLines w:val="0"/>
        <w:widowControl w:val="0"/>
        <w:tabs>
          <w:tab w:val="left" w:pos="360"/>
        </w:tabs>
        <w:spacing w:before="1"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t>2.2 Research Question</w:t>
      </w:r>
    </w:p>
    <w:p w14:paraId="7CDB7323" w14:textId="77777777" w:rsidR="00445D29" w:rsidRPr="00F450A5" w:rsidRDefault="00D316A5">
      <w:pPr>
        <w:widowControl w:val="0"/>
        <w:spacing w:before="180" w:line="360" w:lineRule="auto"/>
        <w:ind w:right="359"/>
        <w:jc w:val="both"/>
        <w:rPr>
          <w:rFonts w:ascii="Times New Roman" w:eastAsia="Times New Roman" w:hAnsi="Times New Roman" w:cs="Times New Roman"/>
          <w:i/>
          <w:iCs/>
          <w:sz w:val="24"/>
          <w:szCs w:val="24"/>
        </w:rPr>
      </w:pPr>
      <w:r w:rsidRPr="00F450A5">
        <w:rPr>
          <w:rFonts w:ascii="Times New Roman" w:eastAsia="Times New Roman" w:hAnsi="Times New Roman" w:cs="Times New Roman"/>
          <w:sz w:val="24"/>
          <w:szCs w:val="24"/>
        </w:rPr>
        <w:t>The question guidi</w:t>
      </w:r>
      <w:r w:rsidRPr="00F450A5">
        <w:rPr>
          <w:rFonts w:ascii="Times New Roman" w:eastAsia="Times New Roman" w:hAnsi="Times New Roman" w:cs="Times New Roman"/>
          <w:sz w:val="24"/>
          <w:szCs w:val="24"/>
        </w:rPr>
        <w:t xml:space="preserve">ng this review was: </w:t>
      </w:r>
      <w:r w:rsidRPr="00F450A5">
        <w:rPr>
          <w:rFonts w:ascii="Times New Roman" w:eastAsia="Times New Roman" w:hAnsi="Times New Roman" w:cs="Times New Roman"/>
          <w:i/>
          <w:iCs/>
          <w:sz w:val="24"/>
          <w:szCs w:val="24"/>
        </w:rPr>
        <w:t xml:space="preserve">What is the scope, nature, and reported outcomes of </w:t>
      </w:r>
      <w:r w:rsidRPr="00F450A5">
        <w:rPr>
          <w:rFonts w:ascii="Times New Roman" w:eastAsia="Times New Roman" w:hAnsi="Times New Roman" w:cs="Times New Roman"/>
          <w:i/>
          <w:iCs/>
          <w:sz w:val="24"/>
          <w:szCs w:val="24"/>
        </w:rPr>
        <w:lastRenderedPageBreak/>
        <w:t>published PGx implementation programs in rural and medically underserved healthcare settings?</w:t>
      </w:r>
    </w:p>
    <w:p w14:paraId="09DD00AD" w14:textId="77777777" w:rsidR="00445D29" w:rsidRPr="00F450A5" w:rsidRDefault="00D316A5">
      <w:pPr>
        <w:widowControl w:val="0"/>
        <w:spacing w:before="100" w:line="360" w:lineRule="auto"/>
        <w:ind w:right="359"/>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Secondary questions included: (a) What implementation strategies have been used? (b) What </w:t>
      </w:r>
      <w:r w:rsidRPr="00F450A5">
        <w:rPr>
          <w:rFonts w:ascii="Times New Roman" w:eastAsia="Times New Roman" w:hAnsi="Times New Roman" w:cs="Times New Roman"/>
          <w:sz w:val="24"/>
          <w:szCs w:val="24"/>
        </w:rPr>
        <w:t>therapeutic areas and gene-drug pairs have been targeted? (c) What populations have been served?</w:t>
      </w:r>
    </w:p>
    <w:p w14:paraId="7E6FA32B" w14:textId="77777777" w:rsidR="00445D29" w:rsidRPr="00F450A5" w:rsidRDefault="00D316A5">
      <w:pPr>
        <w:widowControl w:val="0"/>
        <w:spacing w:line="24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(d) What outcomes have been measured and reported? (e) What evidence gaps remain?</w:t>
      </w:r>
    </w:p>
    <w:p w14:paraId="1BD39CEA" w14:textId="77777777" w:rsidR="00445D29" w:rsidRPr="00F450A5" w:rsidRDefault="00445D29">
      <w:pPr>
        <w:widowControl w:val="0"/>
        <w:spacing w:line="240" w:lineRule="auto"/>
        <w:jc w:val="both"/>
        <w:rPr>
          <w:rFonts w:ascii="Times New Roman" w:eastAsia="Times New Roman" w:hAnsi="Times New Roman" w:cs="Times New Roman"/>
          <w:sz w:val="24"/>
          <w:szCs w:val="24"/>
        </w:rPr>
      </w:pPr>
    </w:p>
    <w:p w14:paraId="20376CE4" w14:textId="77777777" w:rsidR="00445D29" w:rsidRPr="00F450A5" w:rsidRDefault="00D316A5">
      <w:pPr>
        <w:pStyle w:val="Heading2"/>
        <w:keepNext w:val="0"/>
        <w:keepLines w:val="0"/>
        <w:widowControl w:val="0"/>
        <w:tabs>
          <w:tab w:val="left" w:pos="360"/>
        </w:tabs>
        <w:spacing w:before="0" w:after="0" w:line="240" w:lineRule="auto"/>
        <w:jc w:val="both"/>
        <w:rPr>
          <w:rFonts w:ascii="Times New Roman" w:eastAsia="Times New Roman" w:hAnsi="Times New Roman" w:cs="Times New Roman"/>
          <w:b/>
          <w:bCs/>
          <w:sz w:val="24"/>
          <w:szCs w:val="24"/>
        </w:rPr>
      </w:pPr>
      <w:bookmarkStart w:id="4" w:name="_heading=h.tcc9nd8tb2q9" w:colFirst="0" w:colLast="0"/>
      <w:bookmarkEnd w:id="4"/>
      <w:r w:rsidRPr="00F450A5">
        <w:rPr>
          <w:rFonts w:ascii="Times New Roman" w:eastAsia="Times New Roman" w:hAnsi="Times New Roman" w:cs="Times New Roman"/>
          <w:b/>
          <w:bCs/>
          <w:sz w:val="24"/>
          <w:szCs w:val="24"/>
        </w:rPr>
        <w:t>2.3 Search Strategy</w:t>
      </w:r>
    </w:p>
    <w:p w14:paraId="09591CEE" w14:textId="77777777" w:rsidR="00445D29" w:rsidRPr="00F450A5" w:rsidRDefault="00D316A5">
      <w:pPr>
        <w:widowControl w:val="0"/>
        <w:spacing w:before="180" w:line="360" w:lineRule="auto"/>
        <w:ind w:right="357"/>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Searches were conducted in PubMed, Dimensions ai, and Fr</w:t>
      </w:r>
      <w:r w:rsidRPr="00F450A5">
        <w:rPr>
          <w:rFonts w:ascii="Times New Roman" w:eastAsia="Times New Roman" w:hAnsi="Times New Roman" w:cs="Times New Roman"/>
          <w:sz w:val="24"/>
          <w:szCs w:val="24"/>
        </w:rPr>
        <w:t>ontiers journal databases (Frontiers in Pharmacology, Frontiers in Genetics) on March 30, 2026. Searches were supplemented by hand-searching the reference lists of identified articles and relevant narrative reviews were screened for additional eligible stu</w:t>
      </w:r>
      <w:r w:rsidRPr="00F450A5">
        <w:rPr>
          <w:rFonts w:ascii="Times New Roman" w:eastAsia="Times New Roman" w:hAnsi="Times New Roman" w:cs="Times New Roman"/>
          <w:sz w:val="24"/>
          <w:szCs w:val="24"/>
        </w:rPr>
        <w:t>dies. Search terms combined variations of pharmacogenomic terminology (such as pharmacogenomics, pharmacogenetics) with setting descriptors (rural, underserved, tribal, Indigenous, FQHC, federally qualified health center, medically underserved, health prof</w:t>
      </w:r>
      <w:r w:rsidRPr="00F450A5">
        <w:rPr>
          <w:rFonts w:ascii="Times New Roman" w:eastAsia="Times New Roman" w:hAnsi="Times New Roman" w:cs="Times New Roman"/>
          <w:sz w:val="24"/>
          <w:szCs w:val="24"/>
        </w:rPr>
        <w:t xml:space="preserve">essional shortage area).   </w:t>
      </w:r>
    </w:p>
    <w:p w14:paraId="3AB78F7B" w14:textId="77777777" w:rsidR="00445D29" w:rsidRPr="00F450A5" w:rsidRDefault="00D316A5">
      <w:pPr>
        <w:widowControl w:val="0"/>
        <w:spacing w:before="180" w:line="360" w:lineRule="auto"/>
        <w:ind w:right="357"/>
        <w:jc w:val="both"/>
        <w:rPr>
          <w:rFonts w:ascii="Times New Roman" w:eastAsia="Times New Roman" w:hAnsi="Times New Roman" w:cs="Times New Roman"/>
          <w:i/>
          <w:iCs/>
          <w:sz w:val="24"/>
          <w:szCs w:val="24"/>
        </w:rPr>
      </w:pPr>
      <w:r w:rsidRPr="00F450A5">
        <w:rPr>
          <w:rFonts w:ascii="Times New Roman" w:eastAsia="Times New Roman" w:hAnsi="Times New Roman" w:cs="Times New Roman"/>
          <w:sz w:val="24"/>
          <w:szCs w:val="24"/>
        </w:rPr>
        <w:t xml:space="preserve">The compiled search strings adopted in searching all the databases was: </w:t>
      </w:r>
      <w:r w:rsidRPr="00F450A5">
        <w:rPr>
          <w:rFonts w:ascii="Times New Roman" w:eastAsia="Times New Roman" w:hAnsi="Times New Roman" w:cs="Times New Roman"/>
          <w:i/>
          <w:iCs/>
          <w:sz w:val="24"/>
          <w:szCs w:val="24"/>
        </w:rPr>
        <w:t>("pharmacogenomics" OR "pharmacogenetics" OR "genetic testing") AND ("rural health" OR "medically underserved populations" OR "rural healthcare" OR "tribal health" OR "Indigenous health" OR "community health centers" OR "FQHC" OR "Health Professional Short</w:t>
      </w:r>
      <w:r w:rsidRPr="00F450A5">
        <w:rPr>
          <w:rFonts w:ascii="Times New Roman" w:eastAsia="Times New Roman" w:hAnsi="Times New Roman" w:cs="Times New Roman"/>
          <w:i/>
          <w:iCs/>
          <w:sz w:val="24"/>
          <w:szCs w:val="24"/>
        </w:rPr>
        <w:t>age Areas") AND ("implementation" OR "service model" OR "clinical service" OR "workforce education" OR "telemedicine" OR "community engagement") AND ("outcomes" OR "adverse drug reactions" OR "medication adherence" OR "cost-effectiveness" OR "clinical effi</w:t>
      </w:r>
      <w:r w:rsidRPr="00F450A5">
        <w:rPr>
          <w:rFonts w:ascii="Times New Roman" w:eastAsia="Times New Roman" w:hAnsi="Times New Roman" w:cs="Times New Roman"/>
          <w:i/>
          <w:iCs/>
          <w:sz w:val="24"/>
          <w:szCs w:val="24"/>
        </w:rPr>
        <w:t xml:space="preserve">cacy"). </w:t>
      </w:r>
    </w:p>
    <w:p w14:paraId="2F08444A" w14:textId="77777777" w:rsidR="00445D29" w:rsidRPr="00F450A5" w:rsidRDefault="00445D29">
      <w:pPr>
        <w:widowControl w:val="0"/>
        <w:spacing w:before="180" w:line="360" w:lineRule="auto"/>
        <w:ind w:right="357"/>
        <w:jc w:val="both"/>
        <w:rPr>
          <w:rFonts w:ascii="Times New Roman" w:eastAsia="Times New Roman" w:hAnsi="Times New Roman" w:cs="Times New Roman"/>
          <w:sz w:val="24"/>
          <w:szCs w:val="24"/>
        </w:rPr>
      </w:pPr>
    </w:p>
    <w:p w14:paraId="6B30A638" w14:textId="77777777" w:rsidR="00445D29" w:rsidRPr="00F450A5" w:rsidRDefault="00D316A5">
      <w:pPr>
        <w:pStyle w:val="Heading2"/>
        <w:keepNext w:val="0"/>
        <w:keepLines w:val="0"/>
        <w:widowControl w:val="0"/>
        <w:tabs>
          <w:tab w:val="left" w:pos="360"/>
        </w:tabs>
        <w:spacing w:before="0"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t>2.4 Eligibility Criteria</w:t>
      </w:r>
    </w:p>
    <w:p w14:paraId="44659C4B" w14:textId="77777777" w:rsidR="00445D29" w:rsidRPr="00F450A5" w:rsidRDefault="00D316A5">
      <w:pPr>
        <w:widowControl w:val="0"/>
        <w:spacing w:before="180" w:line="360" w:lineRule="auto"/>
        <w:ind w:right="354"/>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 xml:space="preserve">Inclusion criteria: </w:t>
      </w:r>
      <w:r w:rsidRPr="00F450A5">
        <w:rPr>
          <w:rFonts w:ascii="Times New Roman" w:eastAsia="Times New Roman" w:hAnsi="Times New Roman" w:cs="Times New Roman"/>
          <w:sz w:val="24"/>
          <w:szCs w:val="24"/>
        </w:rPr>
        <w:t>(1) Peer-reviewed articles or published implementation reports describing a PGx implementation program, clinical service, educational intervention, or feasibility study; (2) setting or population expli</w:t>
      </w:r>
      <w:r w:rsidRPr="00F450A5">
        <w:rPr>
          <w:rFonts w:ascii="Times New Roman" w:eastAsia="Times New Roman" w:hAnsi="Times New Roman" w:cs="Times New Roman"/>
          <w:sz w:val="24"/>
          <w:szCs w:val="24"/>
        </w:rPr>
        <w:t>citly described as rural, medically underserved, Health Professional Shortage Area (HPSA), Medically Underserved Area (MUA), Medically Underserved Population (MUP), Indigenous or tribal, FQHC, or otherwise resource-limited; (3) published in English; (4) pu</w:t>
      </w:r>
      <w:r w:rsidRPr="00F450A5">
        <w:rPr>
          <w:rFonts w:ascii="Times New Roman" w:eastAsia="Times New Roman" w:hAnsi="Times New Roman" w:cs="Times New Roman"/>
          <w:sz w:val="24"/>
          <w:szCs w:val="24"/>
        </w:rPr>
        <w:t>blished from 2015 to the literature search date.</w:t>
      </w:r>
    </w:p>
    <w:p w14:paraId="0929BD18" w14:textId="77777777" w:rsidR="00445D29" w:rsidRPr="00F450A5" w:rsidRDefault="00D316A5">
      <w:pPr>
        <w:widowControl w:val="0"/>
        <w:spacing w:before="200" w:line="360" w:lineRule="auto"/>
        <w:ind w:right="358"/>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lastRenderedPageBreak/>
        <w:t xml:space="preserve">Exclusion criteria: </w:t>
      </w:r>
      <w:r w:rsidRPr="00F450A5">
        <w:rPr>
          <w:rFonts w:ascii="Times New Roman" w:eastAsia="Times New Roman" w:hAnsi="Times New Roman" w:cs="Times New Roman"/>
          <w:sz w:val="24"/>
          <w:szCs w:val="24"/>
        </w:rPr>
        <w:t>(1) Studies conducted exclusively in urban academic medical centers without rural or underserved population focus; (2) Studies neither published in English nor within 2015 and the literat</w:t>
      </w:r>
      <w:r w:rsidRPr="00F450A5">
        <w:rPr>
          <w:rFonts w:ascii="Times New Roman" w:eastAsia="Times New Roman" w:hAnsi="Times New Roman" w:cs="Times New Roman"/>
          <w:sz w:val="24"/>
          <w:szCs w:val="24"/>
        </w:rPr>
        <w:t>ure search date (3) purely analytical or laboratory studies without an implementation component; (4) clinical guidelines themselves (these are referenced as background but not included as scoping review data); (5) editorials, commentaries, or opinion piece</w:t>
      </w:r>
      <w:r w:rsidRPr="00F450A5">
        <w:rPr>
          <w:rFonts w:ascii="Times New Roman" w:eastAsia="Times New Roman" w:hAnsi="Times New Roman" w:cs="Times New Roman"/>
          <w:sz w:val="24"/>
          <w:szCs w:val="24"/>
        </w:rPr>
        <w:t>s without original implementation data or analysis; (6) conference abstracts without corresponding full-text publication.</w:t>
      </w:r>
    </w:p>
    <w:p w14:paraId="2147FF03" w14:textId="77777777" w:rsidR="00445D29" w:rsidRPr="00F450A5" w:rsidRDefault="00445D29">
      <w:pPr>
        <w:widowControl w:val="0"/>
        <w:spacing w:before="200" w:line="360" w:lineRule="auto"/>
        <w:ind w:right="358"/>
        <w:jc w:val="both"/>
        <w:rPr>
          <w:rFonts w:ascii="Times New Roman" w:eastAsia="Times New Roman" w:hAnsi="Times New Roman" w:cs="Times New Roman"/>
          <w:sz w:val="24"/>
          <w:szCs w:val="24"/>
        </w:rPr>
      </w:pPr>
    </w:p>
    <w:p w14:paraId="620EDFE4" w14:textId="77777777" w:rsidR="00445D29" w:rsidRPr="00F450A5" w:rsidRDefault="00D316A5">
      <w:pPr>
        <w:pStyle w:val="Heading2"/>
        <w:keepNext w:val="0"/>
        <w:keepLines w:val="0"/>
        <w:widowControl w:val="0"/>
        <w:tabs>
          <w:tab w:val="left" w:pos="360"/>
        </w:tabs>
        <w:spacing w:before="1" w:after="0" w:line="240" w:lineRule="auto"/>
        <w:jc w:val="both"/>
        <w:rPr>
          <w:rFonts w:ascii="Times New Roman" w:eastAsia="Times New Roman" w:hAnsi="Times New Roman" w:cs="Times New Roman"/>
          <w:b/>
          <w:bCs/>
          <w:sz w:val="24"/>
          <w:szCs w:val="24"/>
        </w:rPr>
      </w:pPr>
      <w:bookmarkStart w:id="5" w:name="_heading=h.brfjhel5sujo" w:colFirst="0" w:colLast="0"/>
      <w:bookmarkEnd w:id="5"/>
      <w:r w:rsidRPr="00F450A5">
        <w:rPr>
          <w:rFonts w:ascii="Times New Roman" w:eastAsia="Times New Roman" w:hAnsi="Times New Roman" w:cs="Times New Roman"/>
          <w:b/>
          <w:bCs/>
          <w:sz w:val="24"/>
          <w:szCs w:val="24"/>
        </w:rPr>
        <w:t>2.5 Study Selection</w:t>
      </w:r>
    </w:p>
    <w:p w14:paraId="6FB02ACE" w14:textId="77777777" w:rsidR="00445D29" w:rsidRPr="00F450A5" w:rsidRDefault="00D316A5">
      <w:pPr>
        <w:widowControl w:val="0"/>
        <w:spacing w:before="182" w:line="360" w:lineRule="auto"/>
        <w:ind w:right="356"/>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First, duplicate articles were removed in a reference manager (Zotero) followed by Titles and abstracts screening</w:t>
      </w:r>
      <w:r w:rsidRPr="00F450A5">
        <w:rPr>
          <w:rFonts w:ascii="Times New Roman" w:eastAsia="Times New Roman" w:hAnsi="Times New Roman" w:cs="Times New Roman"/>
          <w:sz w:val="24"/>
          <w:szCs w:val="24"/>
        </w:rPr>
        <w:t>. Next, the full-text articles were retrieved and assessed against the eligibility criteria, with reasons for exclusion documented.  Two reviewers handled the screening and study selection process and discrepancies were resolved through discussion.</w:t>
      </w:r>
    </w:p>
    <w:p w14:paraId="54672023" w14:textId="77777777" w:rsidR="00445D29" w:rsidRPr="00F450A5" w:rsidRDefault="00D316A5">
      <w:pPr>
        <w:widowControl w:val="0"/>
        <w:spacing w:before="182" w:line="360" w:lineRule="auto"/>
        <w:ind w:right="356"/>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Followi</w:t>
      </w:r>
      <w:r w:rsidRPr="00F450A5">
        <w:rPr>
          <w:rFonts w:ascii="Times New Roman" w:eastAsia="Times New Roman" w:hAnsi="Times New Roman" w:cs="Times New Roman"/>
          <w:sz w:val="24"/>
          <w:szCs w:val="24"/>
        </w:rPr>
        <w:t xml:space="preserve">ng an initial identification of 289 records from various databases and registers, 114 records were excluded through filters. 175 records were subjected to title and abstract screening and 149 records were removed. The full text of the remaining 26 reports </w:t>
      </w:r>
      <w:r w:rsidRPr="00F450A5">
        <w:rPr>
          <w:rFonts w:ascii="Times New Roman" w:eastAsia="Times New Roman" w:hAnsi="Times New Roman" w:cs="Times New Roman"/>
          <w:sz w:val="24"/>
          <w:szCs w:val="24"/>
        </w:rPr>
        <w:t xml:space="preserve">were assessed for eligibility, with eight being excluded for not focusing on rural and medically underserved settings. Ultimately 18 studies were included in this review. The breakdown of the selection process is as presented in Figure 1. </w:t>
      </w:r>
    </w:p>
    <w:p w14:paraId="1348CFEF" w14:textId="77777777" w:rsidR="00445D29" w:rsidRPr="00F450A5" w:rsidRDefault="00D316A5">
      <w:pPr>
        <w:widowControl w:val="0"/>
        <w:spacing w:before="182" w:line="360" w:lineRule="auto"/>
        <w:ind w:right="356"/>
        <w:jc w:val="both"/>
        <w:rPr>
          <w:rFonts w:ascii="Times New Roman" w:eastAsia="Times New Roman" w:hAnsi="Times New Roman" w:cs="Times New Roman"/>
          <w:sz w:val="24"/>
          <w:szCs w:val="24"/>
        </w:rPr>
      </w:pPr>
      <w:r w:rsidRPr="00F450A5">
        <w:rPr>
          <w:rFonts w:ascii="Times New Roman" w:eastAsia="Times New Roman" w:hAnsi="Times New Roman" w:cs="Times New Roman"/>
          <w:noProof/>
          <w:sz w:val="24"/>
          <w:szCs w:val="24"/>
        </w:rPr>
        <w:lastRenderedPageBreak/>
        <w:drawing>
          <wp:inline distT="114300" distB="114300" distL="114300" distR="114300" wp14:anchorId="2651CD1A" wp14:editId="2B362986">
            <wp:extent cx="6172200" cy="4978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72200" cy="4978400"/>
                    </a:xfrm>
                    <a:prstGeom prst="rect">
                      <a:avLst/>
                    </a:prstGeom>
                    <a:ln/>
                  </pic:spPr>
                </pic:pic>
              </a:graphicData>
            </a:graphic>
          </wp:inline>
        </w:drawing>
      </w:r>
      <w:r w:rsidRPr="00F450A5">
        <w:rPr>
          <w:rFonts w:ascii="Times New Roman" w:eastAsia="Times New Roman" w:hAnsi="Times New Roman" w:cs="Times New Roman"/>
          <w:b/>
          <w:bCs/>
          <w:sz w:val="24"/>
          <w:szCs w:val="24"/>
        </w:rPr>
        <w:t>Figure 1: Prefe</w:t>
      </w:r>
      <w:r w:rsidRPr="00F450A5">
        <w:rPr>
          <w:rFonts w:ascii="Times New Roman" w:eastAsia="Times New Roman" w:hAnsi="Times New Roman" w:cs="Times New Roman"/>
          <w:b/>
          <w:bCs/>
          <w:sz w:val="24"/>
          <w:szCs w:val="24"/>
        </w:rPr>
        <w:t>rred Reporting Items for Systematic reviews and Meta-Analysis (PRISMA) flow diagram</w:t>
      </w:r>
    </w:p>
    <w:p w14:paraId="6B5DC8E8" w14:textId="77777777" w:rsidR="00445D29" w:rsidRPr="00F450A5" w:rsidRDefault="00445D29">
      <w:pPr>
        <w:widowControl w:val="0"/>
        <w:spacing w:before="182" w:line="360" w:lineRule="auto"/>
        <w:ind w:right="356"/>
        <w:jc w:val="both"/>
        <w:rPr>
          <w:rFonts w:ascii="Times New Roman" w:eastAsia="Times New Roman" w:hAnsi="Times New Roman" w:cs="Times New Roman"/>
          <w:sz w:val="24"/>
          <w:szCs w:val="24"/>
        </w:rPr>
      </w:pPr>
    </w:p>
    <w:p w14:paraId="07F15842" w14:textId="77777777" w:rsidR="00445D29" w:rsidRPr="00F450A5" w:rsidRDefault="00D316A5">
      <w:pPr>
        <w:pStyle w:val="Heading2"/>
        <w:keepNext w:val="0"/>
        <w:keepLines w:val="0"/>
        <w:widowControl w:val="0"/>
        <w:tabs>
          <w:tab w:val="left" w:pos="360"/>
        </w:tabs>
        <w:spacing w:before="0" w:after="0" w:line="240" w:lineRule="auto"/>
        <w:jc w:val="both"/>
        <w:rPr>
          <w:rFonts w:ascii="Times New Roman" w:eastAsia="Times New Roman" w:hAnsi="Times New Roman" w:cs="Times New Roman"/>
          <w:b/>
          <w:bCs/>
          <w:sz w:val="24"/>
          <w:szCs w:val="24"/>
        </w:rPr>
      </w:pPr>
      <w:bookmarkStart w:id="6" w:name="_heading=h.wlexivs9f8i2" w:colFirst="0" w:colLast="0"/>
      <w:bookmarkEnd w:id="6"/>
      <w:r w:rsidRPr="00F450A5">
        <w:rPr>
          <w:rFonts w:ascii="Times New Roman" w:eastAsia="Times New Roman" w:hAnsi="Times New Roman" w:cs="Times New Roman"/>
          <w:b/>
          <w:bCs/>
          <w:sz w:val="24"/>
          <w:szCs w:val="24"/>
        </w:rPr>
        <w:t>2.6 Data Extraction and Charting</w:t>
      </w:r>
    </w:p>
    <w:p w14:paraId="50D385B6" w14:textId="77777777" w:rsidR="00445D29" w:rsidRPr="00F450A5" w:rsidRDefault="00D316A5">
      <w:pPr>
        <w:widowControl w:val="0"/>
        <w:spacing w:before="180" w:line="360" w:lineRule="auto"/>
        <w:ind w:right="357"/>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A data extraction form was developed to capture the following variables for each included study: first author and publication year; journa</w:t>
      </w:r>
      <w:r w:rsidRPr="00F450A5">
        <w:rPr>
          <w:rFonts w:ascii="Times New Roman" w:eastAsia="Times New Roman" w:hAnsi="Times New Roman" w:cs="Times New Roman"/>
          <w:sz w:val="24"/>
          <w:szCs w:val="24"/>
        </w:rPr>
        <w:t>l; country and state or region; study design (feasibility study, qualitative, descriptive report, quantitative outcomes, mixed methods); setting type (critical access hospital, FQHC, rural primary care clinic, community pharmacy, tribal health service, mul</w:t>
      </w:r>
      <w:r w:rsidRPr="00F450A5">
        <w:rPr>
          <w:rFonts w:ascii="Times New Roman" w:eastAsia="Times New Roman" w:hAnsi="Times New Roman" w:cs="Times New Roman"/>
          <w:sz w:val="24"/>
          <w:szCs w:val="24"/>
        </w:rPr>
        <w:t xml:space="preserve">ti-state rural health system); population characteristics; therapeutic focus and specific gene-drug pairs addressed; implementation strategy; outcomes reported; and key findings.  </w:t>
      </w:r>
    </w:p>
    <w:p w14:paraId="5DBD77A0" w14:textId="77777777" w:rsidR="00445D29" w:rsidRPr="00F450A5" w:rsidRDefault="00445D29">
      <w:pPr>
        <w:widowControl w:val="0"/>
        <w:spacing w:before="4" w:line="240" w:lineRule="auto"/>
        <w:rPr>
          <w:rFonts w:ascii="Times New Roman" w:eastAsia="Times New Roman" w:hAnsi="Times New Roman" w:cs="Times New Roman"/>
          <w:sz w:val="24"/>
          <w:szCs w:val="24"/>
        </w:rPr>
      </w:pPr>
    </w:p>
    <w:p w14:paraId="48A30D2A" w14:textId="77777777" w:rsidR="00445D29" w:rsidRPr="00F450A5" w:rsidRDefault="00D316A5">
      <w:pPr>
        <w:pStyle w:val="Heading2"/>
        <w:keepNext w:val="0"/>
        <w:keepLines w:val="0"/>
        <w:widowControl w:val="0"/>
        <w:tabs>
          <w:tab w:val="left" w:pos="360"/>
        </w:tabs>
        <w:spacing w:before="1" w:after="0" w:line="240" w:lineRule="auto"/>
        <w:jc w:val="both"/>
        <w:rPr>
          <w:rFonts w:ascii="Times New Roman" w:eastAsia="Times New Roman" w:hAnsi="Times New Roman" w:cs="Times New Roman"/>
          <w:b/>
          <w:bCs/>
          <w:sz w:val="24"/>
          <w:szCs w:val="24"/>
        </w:rPr>
      </w:pPr>
      <w:bookmarkStart w:id="7" w:name="_heading=h.93s6zw18eeh0" w:colFirst="0" w:colLast="0"/>
      <w:bookmarkEnd w:id="7"/>
      <w:r w:rsidRPr="00F450A5">
        <w:rPr>
          <w:rFonts w:ascii="Times New Roman" w:eastAsia="Times New Roman" w:hAnsi="Times New Roman" w:cs="Times New Roman"/>
          <w:b/>
          <w:bCs/>
          <w:sz w:val="24"/>
          <w:szCs w:val="24"/>
        </w:rPr>
        <w:t>2.7 Synthesis Approach</w:t>
      </w:r>
    </w:p>
    <w:p w14:paraId="323CEE82" w14:textId="77777777" w:rsidR="00445D29" w:rsidRPr="00F450A5" w:rsidRDefault="00D316A5">
      <w:pPr>
        <w:widowControl w:val="0"/>
        <w:spacing w:before="180" w:line="360" w:lineRule="auto"/>
        <w:ind w:right="357"/>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In line with scoping review methodology, data were </w:t>
      </w:r>
      <w:r w:rsidRPr="00F450A5">
        <w:rPr>
          <w:rFonts w:ascii="Times New Roman" w:eastAsia="Times New Roman" w:hAnsi="Times New Roman" w:cs="Times New Roman"/>
          <w:sz w:val="24"/>
          <w:szCs w:val="24"/>
        </w:rPr>
        <w:t>synthesized narratively based on the emerging themes from the included studies. Included studies were grouped into thematic clusters based on the predominant type of intervention or investigation. Within each cluster, the range of implementation strategies</w:t>
      </w:r>
      <w:r w:rsidRPr="00F450A5">
        <w:rPr>
          <w:rFonts w:ascii="Times New Roman" w:eastAsia="Times New Roman" w:hAnsi="Times New Roman" w:cs="Times New Roman"/>
          <w:sz w:val="24"/>
          <w:szCs w:val="24"/>
        </w:rPr>
        <w:t>, populations served, and outcomes reported was summarized. Evidence gaps were identified across clusters and across the body of literature as a whole.</w:t>
      </w:r>
    </w:p>
    <w:p w14:paraId="6696BA6E" w14:textId="77777777" w:rsidR="00445D29" w:rsidRPr="00F450A5" w:rsidRDefault="00445D29">
      <w:pPr>
        <w:widowControl w:val="0"/>
        <w:spacing w:before="86" w:line="240" w:lineRule="auto"/>
        <w:rPr>
          <w:rFonts w:ascii="Times New Roman" w:eastAsia="Times New Roman" w:hAnsi="Times New Roman" w:cs="Times New Roman"/>
          <w:sz w:val="24"/>
          <w:szCs w:val="24"/>
        </w:rPr>
      </w:pPr>
    </w:p>
    <w:p w14:paraId="3F7AF98F" w14:textId="77777777" w:rsidR="00445D29" w:rsidRPr="00F450A5" w:rsidRDefault="00445D29">
      <w:pPr>
        <w:widowControl w:val="0"/>
        <w:spacing w:before="86" w:line="240" w:lineRule="auto"/>
        <w:rPr>
          <w:rFonts w:ascii="Times New Roman" w:eastAsia="Times New Roman" w:hAnsi="Times New Roman" w:cs="Times New Roman"/>
          <w:sz w:val="24"/>
          <w:szCs w:val="24"/>
        </w:rPr>
      </w:pPr>
    </w:p>
    <w:p w14:paraId="6BC4B67E" w14:textId="77777777" w:rsidR="00445D29" w:rsidRPr="00F450A5" w:rsidRDefault="00D316A5">
      <w:pPr>
        <w:pStyle w:val="Heading1"/>
        <w:keepNext w:val="0"/>
        <w:keepLines w:val="0"/>
        <w:widowControl w:val="0"/>
        <w:numPr>
          <w:ilvl w:val="0"/>
          <w:numId w:val="2"/>
        </w:numPr>
        <w:tabs>
          <w:tab w:val="left" w:pos="279"/>
        </w:tabs>
        <w:spacing w:before="1" w:after="0" w:line="240" w:lineRule="auto"/>
        <w:jc w:val="both"/>
        <w:rPr>
          <w:rFonts w:ascii="Times New Roman" w:eastAsia="Times New Roman" w:hAnsi="Times New Roman" w:cs="Times New Roman"/>
          <w:b/>
          <w:bCs/>
          <w:sz w:val="28"/>
          <w:szCs w:val="28"/>
        </w:rPr>
      </w:pPr>
      <w:r w:rsidRPr="00F450A5">
        <w:rPr>
          <w:rFonts w:ascii="Times New Roman" w:eastAsia="Times New Roman" w:hAnsi="Times New Roman" w:cs="Times New Roman"/>
          <w:b/>
          <w:bCs/>
          <w:sz w:val="28"/>
          <w:szCs w:val="28"/>
        </w:rPr>
        <w:t>Results</w:t>
      </w:r>
    </w:p>
    <w:p w14:paraId="7499EDEA" w14:textId="77777777" w:rsidR="00445D29" w:rsidRPr="00F450A5" w:rsidRDefault="00445D29">
      <w:pPr>
        <w:widowControl w:val="0"/>
        <w:spacing w:before="2" w:line="240" w:lineRule="auto"/>
        <w:rPr>
          <w:rFonts w:ascii="Times New Roman" w:eastAsia="Times New Roman" w:hAnsi="Times New Roman" w:cs="Times New Roman"/>
          <w:sz w:val="24"/>
          <w:szCs w:val="24"/>
        </w:rPr>
      </w:pPr>
    </w:p>
    <w:p w14:paraId="50492ACF" w14:textId="77777777" w:rsidR="00445D29" w:rsidRPr="00F450A5" w:rsidRDefault="00D316A5">
      <w:pPr>
        <w:pStyle w:val="Heading2"/>
        <w:keepNext w:val="0"/>
        <w:keepLines w:val="0"/>
        <w:widowControl w:val="0"/>
        <w:tabs>
          <w:tab w:val="left" w:pos="360"/>
        </w:tabs>
        <w:spacing w:before="1" w:after="0" w:line="240" w:lineRule="auto"/>
        <w:jc w:val="both"/>
        <w:rPr>
          <w:rFonts w:ascii="Times New Roman" w:eastAsia="Times New Roman" w:hAnsi="Times New Roman" w:cs="Times New Roman"/>
          <w:b/>
          <w:bCs/>
          <w:sz w:val="24"/>
          <w:szCs w:val="24"/>
        </w:rPr>
      </w:pPr>
      <w:bookmarkStart w:id="8" w:name="_heading=h.dxl1mgthpdc2" w:colFirst="0" w:colLast="0"/>
      <w:bookmarkEnd w:id="8"/>
      <w:r w:rsidRPr="00F450A5">
        <w:rPr>
          <w:rFonts w:ascii="Times New Roman" w:eastAsia="Times New Roman" w:hAnsi="Times New Roman" w:cs="Times New Roman"/>
          <w:b/>
          <w:bCs/>
          <w:sz w:val="24"/>
          <w:szCs w:val="24"/>
        </w:rPr>
        <w:t>3.1 Characteristics of Included Studies</w:t>
      </w:r>
    </w:p>
    <w:p w14:paraId="21FC2A55" w14:textId="77777777" w:rsidR="00445D29" w:rsidRPr="00F450A5" w:rsidRDefault="00D316A5">
      <w:pPr>
        <w:widowControl w:val="0"/>
        <w:spacing w:before="182" w:line="360" w:lineRule="auto"/>
        <w:ind w:right="356"/>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Table 1 summarizes the characteristics of the 18 </w:t>
      </w:r>
      <w:r w:rsidRPr="00F450A5">
        <w:rPr>
          <w:rFonts w:ascii="Times New Roman" w:eastAsia="Times New Roman" w:hAnsi="Times New Roman" w:cs="Times New Roman"/>
          <w:sz w:val="24"/>
          <w:szCs w:val="24"/>
        </w:rPr>
        <w:t>included studies. Study designs included feasibility pilots (n=6), qualitative interview-based studies (n=5), descriptive implementation reports (n=4), quantitative clinical outcomes studies (n=2), and narrative syntheses of implementation experience (n=1)</w:t>
      </w:r>
      <w:r w:rsidRPr="00F450A5">
        <w:rPr>
          <w:rFonts w:ascii="Times New Roman" w:eastAsia="Times New Roman" w:hAnsi="Times New Roman" w:cs="Times New Roman"/>
          <w:sz w:val="24"/>
          <w:szCs w:val="24"/>
        </w:rPr>
        <w:t>. The predominant setting types were rural primary care clinics and multi-state rural health systems, followed by tribal health services and FQHCs.</w:t>
      </w:r>
    </w:p>
    <w:p w14:paraId="61F0BE44" w14:textId="77777777" w:rsidR="00445D29" w:rsidRPr="00F450A5" w:rsidRDefault="00445D29">
      <w:pPr>
        <w:widowControl w:val="0"/>
        <w:spacing w:before="25" w:line="240" w:lineRule="auto"/>
        <w:rPr>
          <w:rFonts w:ascii="Times New Roman" w:eastAsia="Times New Roman" w:hAnsi="Times New Roman" w:cs="Times New Roman"/>
          <w:sz w:val="24"/>
          <w:szCs w:val="24"/>
        </w:rPr>
      </w:pPr>
    </w:p>
    <w:p w14:paraId="6BC02A2A" w14:textId="77777777" w:rsidR="00445D29" w:rsidRPr="00F450A5" w:rsidRDefault="00D316A5">
      <w:pPr>
        <w:widowControl w:val="0"/>
        <w:spacing w:before="1" w:line="240" w:lineRule="auto"/>
        <w:jc w:val="both"/>
        <w:rPr>
          <w:rFonts w:ascii="Times New Roman" w:eastAsia="Times New Roman" w:hAnsi="Times New Roman" w:cs="Times New Roman"/>
          <w:b/>
          <w:bCs/>
        </w:rPr>
      </w:pPr>
      <w:r w:rsidRPr="00F450A5">
        <w:rPr>
          <w:rFonts w:ascii="Times New Roman" w:eastAsia="Times New Roman" w:hAnsi="Times New Roman" w:cs="Times New Roman"/>
          <w:b/>
          <w:bCs/>
        </w:rPr>
        <w:t>Table 1. Characteristics of included studies (N=18)</w:t>
      </w:r>
    </w:p>
    <w:p w14:paraId="461E89F0" w14:textId="77777777" w:rsidR="00445D29" w:rsidRPr="00F450A5" w:rsidRDefault="00445D29">
      <w:pPr>
        <w:widowControl w:val="0"/>
        <w:spacing w:before="3" w:after="1" w:line="240" w:lineRule="auto"/>
        <w:rPr>
          <w:rFonts w:ascii="Times New Roman" w:eastAsia="Times New Roman" w:hAnsi="Times New Roman" w:cs="Times New Roman"/>
          <w:b/>
          <w:bCs/>
          <w:sz w:val="17"/>
          <w:szCs w:val="17"/>
        </w:rPr>
      </w:pPr>
    </w:p>
    <w:tbl>
      <w:tblPr>
        <w:tblStyle w:val="a"/>
        <w:tblW w:w="9355" w:type="dxa"/>
        <w:tblInd w:w="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1870"/>
        <w:gridCol w:w="1871"/>
        <w:gridCol w:w="1873"/>
        <w:gridCol w:w="1870"/>
        <w:gridCol w:w="1871"/>
      </w:tblGrid>
      <w:tr w:rsidR="00445D29" w:rsidRPr="00F450A5" w14:paraId="453D7196" w14:textId="77777777">
        <w:trPr>
          <w:trHeight w:val="325"/>
        </w:trPr>
        <w:tc>
          <w:tcPr>
            <w:tcW w:w="1870" w:type="dxa"/>
            <w:shd w:val="clear" w:color="auto" w:fill="E6E6E6"/>
          </w:tcPr>
          <w:p w14:paraId="1C9E9F9F" w14:textId="77777777" w:rsidR="00445D29" w:rsidRPr="00F450A5" w:rsidRDefault="00D316A5">
            <w:pPr>
              <w:widowControl w:val="0"/>
              <w:spacing w:before="79" w:line="226" w:lineRule="auto"/>
              <w:ind w:left="119"/>
              <w:rPr>
                <w:rFonts w:ascii="Times New Roman" w:eastAsia="Times New Roman" w:hAnsi="Times New Roman" w:cs="Times New Roman"/>
                <w:b/>
                <w:bCs/>
                <w:sz w:val="20"/>
                <w:szCs w:val="20"/>
              </w:rPr>
            </w:pPr>
            <w:r w:rsidRPr="00F450A5">
              <w:rPr>
                <w:rFonts w:ascii="Times New Roman" w:eastAsia="Times New Roman" w:hAnsi="Times New Roman" w:cs="Times New Roman"/>
                <w:b/>
                <w:bCs/>
                <w:sz w:val="20"/>
                <w:szCs w:val="20"/>
              </w:rPr>
              <w:t>Author (Year)</w:t>
            </w:r>
          </w:p>
        </w:tc>
        <w:tc>
          <w:tcPr>
            <w:tcW w:w="1871" w:type="dxa"/>
            <w:shd w:val="clear" w:color="auto" w:fill="E6E6E6"/>
          </w:tcPr>
          <w:p w14:paraId="0C5E4BAA" w14:textId="77777777" w:rsidR="00445D29" w:rsidRPr="00F450A5" w:rsidRDefault="00D316A5">
            <w:pPr>
              <w:widowControl w:val="0"/>
              <w:spacing w:before="79" w:line="226" w:lineRule="auto"/>
              <w:ind w:left="121"/>
              <w:rPr>
                <w:rFonts w:ascii="Times New Roman" w:eastAsia="Times New Roman" w:hAnsi="Times New Roman" w:cs="Times New Roman"/>
                <w:b/>
                <w:bCs/>
                <w:sz w:val="20"/>
                <w:szCs w:val="20"/>
              </w:rPr>
            </w:pPr>
            <w:r w:rsidRPr="00F450A5">
              <w:rPr>
                <w:rFonts w:ascii="Times New Roman" w:eastAsia="Times New Roman" w:hAnsi="Times New Roman" w:cs="Times New Roman"/>
                <w:b/>
                <w:bCs/>
                <w:sz w:val="20"/>
                <w:szCs w:val="20"/>
              </w:rPr>
              <w:t>Setting</w:t>
            </w:r>
          </w:p>
        </w:tc>
        <w:tc>
          <w:tcPr>
            <w:tcW w:w="1873" w:type="dxa"/>
            <w:shd w:val="clear" w:color="auto" w:fill="E6E6E6"/>
          </w:tcPr>
          <w:p w14:paraId="18897561" w14:textId="77777777" w:rsidR="00445D29" w:rsidRPr="00F450A5" w:rsidRDefault="00D316A5">
            <w:pPr>
              <w:widowControl w:val="0"/>
              <w:spacing w:before="79" w:line="226" w:lineRule="auto"/>
              <w:ind w:left="121"/>
              <w:rPr>
                <w:rFonts w:ascii="Times New Roman" w:eastAsia="Times New Roman" w:hAnsi="Times New Roman" w:cs="Times New Roman"/>
                <w:b/>
                <w:bCs/>
                <w:sz w:val="20"/>
                <w:szCs w:val="20"/>
              </w:rPr>
            </w:pPr>
            <w:r w:rsidRPr="00F450A5">
              <w:rPr>
                <w:rFonts w:ascii="Times New Roman" w:eastAsia="Times New Roman" w:hAnsi="Times New Roman" w:cs="Times New Roman"/>
                <w:b/>
                <w:bCs/>
                <w:sz w:val="20"/>
                <w:szCs w:val="20"/>
              </w:rPr>
              <w:t>Population/Focus</w:t>
            </w:r>
          </w:p>
        </w:tc>
        <w:tc>
          <w:tcPr>
            <w:tcW w:w="1870" w:type="dxa"/>
            <w:shd w:val="clear" w:color="auto" w:fill="E6E6E6"/>
          </w:tcPr>
          <w:p w14:paraId="6C68BBB0" w14:textId="77777777" w:rsidR="00445D29" w:rsidRPr="00F450A5" w:rsidRDefault="00D316A5">
            <w:pPr>
              <w:widowControl w:val="0"/>
              <w:spacing w:before="79" w:line="226" w:lineRule="auto"/>
              <w:ind w:left="120"/>
              <w:rPr>
                <w:rFonts w:ascii="Times New Roman" w:eastAsia="Times New Roman" w:hAnsi="Times New Roman" w:cs="Times New Roman"/>
                <w:b/>
                <w:bCs/>
                <w:sz w:val="20"/>
                <w:szCs w:val="20"/>
              </w:rPr>
            </w:pPr>
            <w:r w:rsidRPr="00F450A5">
              <w:rPr>
                <w:rFonts w:ascii="Times New Roman" w:eastAsia="Times New Roman" w:hAnsi="Times New Roman" w:cs="Times New Roman"/>
                <w:b/>
                <w:bCs/>
                <w:sz w:val="20"/>
                <w:szCs w:val="20"/>
              </w:rPr>
              <w:t>Design</w:t>
            </w:r>
          </w:p>
        </w:tc>
        <w:tc>
          <w:tcPr>
            <w:tcW w:w="1871" w:type="dxa"/>
            <w:shd w:val="clear" w:color="auto" w:fill="E6E6E6"/>
          </w:tcPr>
          <w:p w14:paraId="08F54AA6" w14:textId="77777777" w:rsidR="00445D29" w:rsidRPr="00F450A5" w:rsidRDefault="00D316A5">
            <w:pPr>
              <w:widowControl w:val="0"/>
              <w:spacing w:before="79" w:line="226" w:lineRule="auto"/>
              <w:ind w:left="120"/>
              <w:rPr>
                <w:rFonts w:ascii="Times New Roman" w:eastAsia="Times New Roman" w:hAnsi="Times New Roman" w:cs="Times New Roman"/>
                <w:b/>
                <w:bCs/>
                <w:sz w:val="20"/>
                <w:szCs w:val="20"/>
              </w:rPr>
            </w:pPr>
            <w:r w:rsidRPr="00F450A5">
              <w:rPr>
                <w:rFonts w:ascii="Times New Roman" w:eastAsia="Times New Roman" w:hAnsi="Times New Roman" w:cs="Times New Roman"/>
                <w:b/>
                <w:bCs/>
                <w:sz w:val="20"/>
                <w:szCs w:val="20"/>
              </w:rPr>
              <w:t xml:space="preserve">Key </w:t>
            </w:r>
            <w:r w:rsidRPr="00F450A5">
              <w:rPr>
                <w:rFonts w:ascii="Times New Roman" w:eastAsia="Times New Roman" w:hAnsi="Times New Roman" w:cs="Times New Roman"/>
                <w:b/>
                <w:bCs/>
                <w:sz w:val="20"/>
                <w:szCs w:val="20"/>
              </w:rPr>
              <w:t>Outcomes</w:t>
            </w:r>
          </w:p>
        </w:tc>
      </w:tr>
      <w:tr w:rsidR="00445D29" w:rsidRPr="00F450A5" w14:paraId="02E6E000" w14:textId="77777777">
        <w:trPr>
          <w:trHeight w:val="829"/>
        </w:trPr>
        <w:tc>
          <w:tcPr>
            <w:tcW w:w="1870" w:type="dxa"/>
          </w:tcPr>
          <w:p w14:paraId="613B5292" w14:textId="77777777" w:rsidR="00445D29" w:rsidRPr="00F450A5" w:rsidRDefault="00D316A5">
            <w:pPr>
              <w:widowControl w:val="0"/>
              <w:spacing w:before="78"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Dorfman et al. (2015)</w:t>
            </w:r>
          </w:p>
        </w:tc>
        <w:tc>
          <w:tcPr>
            <w:tcW w:w="1871" w:type="dxa"/>
          </w:tcPr>
          <w:p w14:paraId="3BDB8507" w14:textId="77777777" w:rsidR="00445D29" w:rsidRPr="00F450A5" w:rsidRDefault="00D316A5">
            <w:pPr>
              <w:widowControl w:val="0"/>
              <w:spacing w:before="78" w:line="259" w:lineRule="auto"/>
              <w:ind w:left="121" w:right="77"/>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Diverse practice settings beyond metro areas</w:t>
            </w:r>
          </w:p>
        </w:tc>
        <w:tc>
          <w:tcPr>
            <w:tcW w:w="1873" w:type="dxa"/>
          </w:tcPr>
          <w:p w14:paraId="6F8B3D26" w14:textId="77777777" w:rsidR="00445D29" w:rsidRPr="00F450A5" w:rsidRDefault="00D316A5">
            <w:pPr>
              <w:widowControl w:val="0"/>
              <w:spacing w:before="78" w:line="259"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General PGx implementation</w:t>
            </w:r>
          </w:p>
        </w:tc>
        <w:tc>
          <w:tcPr>
            <w:tcW w:w="1870" w:type="dxa"/>
          </w:tcPr>
          <w:p w14:paraId="4BB5D251" w14:textId="77777777" w:rsidR="00445D29" w:rsidRPr="00F450A5" w:rsidRDefault="00D316A5">
            <w:pPr>
              <w:widowControl w:val="0"/>
              <w:spacing w:before="78"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Narrative analysis</w:t>
            </w:r>
          </w:p>
        </w:tc>
        <w:tc>
          <w:tcPr>
            <w:tcW w:w="1871" w:type="dxa"/>
          </w:tcPr>
          <w:p w14:paraId="19523C7A" w14:textId="77777777" w:rsidR="00445D29" w:rsidRPr="00F450A5" w:rsidRDefault="00D316A5">
            <w:pPr>
              <w:widowControl w:val="0"/>
              <w:spacing w:before="78" w:line="259" w:lineRule="auto"/>
              <w:ind w:left="120" w:right="2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Barriers and opportunities outside metros</w:t>
            </w:r>
          </w:p>
        </w:tc>
      </w:tr>
      <w:tr w:rsidR="00445D29" w:rsidRPr="00F450A5" w14:paraId="16AD3B83" w14:textId="77777777">
        <w:trPr>
          <w:trHeight w:val="835"/>
        </w:trPr>
        <w:tc>
          <w:tcPr>
            <w:tcW w:w="1870" w:type="dxa"/>
          </w:tcPr>
          <w:p w14:paraId="6E2C2502" w14:textId="77777777" w:rsidR="00445D29" w:rsidRPr="00F450A5" w:rsidRDefault="00D316A5">
            <w:pPr>
              <w:widowControl w:val="0"/>
              <w:spacing w:before="81"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Morales et al. (2016)</w:t>
            </w:r>
          </w:p>
        </w:tc>
        <w:tc>
          <w:tcPr>
            <w:tcW w:w="1871" w:type="dxa"/>
          </w:tcPr>
          <w:p w14:paraId="2E94A2BC" w14:textId="77777777" w:rsidR="00445D29" w:rsidRPr="00F450A5" w:rsidRDefault="00D316A5">
            <w:pPr>
              <w:widowControl w:val="0"/>
              <w:spacing w:before="81" w:line="259" w:lineRule="auto"/>
              <w:ind w:left="121" w:right="687"/>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Tribal (CSKT, Montana)</w:t>
            </w:r>
          </w:p>
        </w:tc>
        <w:tc>
          <w:tcPr>
            <w:tcW w:w="1873" w:type="dxa"/>
          </w:tcPr>
          <w:p w14:paraId="1733CB29" w14:textId="77777777" w:rsidR="00445D29" w:rsidRPr="00F450A5" w:rsidRDefault="00D316A5">
            <w:pPr>
              <w:widowControl w:val="0"/>
              <w:spacing w:before="81" w:line="259" w:lineRule="auto"/>
              <w:ind w:left="121" w:right="22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Indigenous community</w:t>
            </w:r>
          </w:p>
        </w:tc>
        <w:tc>
          <w:tcPr>
            <w:tcW w:w="1870" w:type="dxa"/>
          </w:tcPr>
          <w:p w14:paraId="39059499" w14:textId="77777777" w:rsidR="00445D29" w:rsidRPr="00F450A5" w:rsidRDefault="00D316A5">
            <w:pPr>
              <w:widowControl w:val="0"/>
              <w:spacing w:before="81" w:line="259"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Community-engaged </w:t>
            </w:r>
            <w:r w:rsidRPr="00F450A5">
              <w:rPr>
                <w:rFonts w:ascii="Times New Roman" w:eastAsia="Times New Roman" w:hAnsi="Times New Roman" w:cs="Times New Roman"/>
                <w:sz w:val="18"/>
                <w:szCs w:val="18"/>
              </w:rPr>
              <w:t>research</w:t>
            </w:r>
          </w:p>
        </w:tc>
        <w:tc>
          <w:tcPr>
            <w:tcW w:w="1871" w:type="dxa"/>
          </w:tcPr>
          <w:p w14:paraId="26228DF8" w14:textId="77777777" w:rsidR="00445D29" w:rsidRPr="00F450A5" w:rsidRDefault="00D316A5">
            <w:pPr>
              <w:widowControl w:val="0"/>
              <w:spacing w:before="81" w:line="259" w:lineRule="auto"/>
              <w:ind w:left="120" w:right="2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Partnership framework for tribal PGx</w:t>
            </w:r>
          </w:p>
        </w:tc>
      </w:tr>
      <w:tr w:rsidR="00445D29" w:rsidRPr="00F450A5" w14:paraId="0C27528B" w14:textId="77777777">
        <w:trPr>
          <w:trHeight w:val="607"/>
        </w:trPr>
        <w:tc>
          <w:tcPr>
            <w:tcW w:w="1870" w:type="dxa"/>
          </w:tcPr>
          <w:p w14:paraId="0ED0D0F5" w14:textId="77777777" w:rsidR="00445D29" w:rsidRPr="00F450A5" w:rsidRDefault="00D316A5">
            <w:pPr>
              <w:widowControl w:val="0"/>
              <w:spacing w:before="79"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Dressler et al. (2019)</w:t>
            </w:r>
          </w:p>
        </w:tc>
        <w:tc>
          <w:tcPr>
            <w:tcW w:w="1871" w:type="dxa"/>
          </w:tcPr>
          <w:p w14:paraId="7BECFB9A" w14:textId="77777777" w:rsidR="00445D29" w:rsidRPr="00F450A5" w:rsidRDefault="00D316A5">
            <w:pPr>
              <w:widowControl w:val="0"/>
              <w:spacing w:before="79" w:line="259" w:lineRule="auto"/>
              <w:ind w:left="121" w:right="145"/>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Rural primary care, NC</w:t>
            </w:r>
          </w:p>
        </w:tc>
        <w:tc>
          <w:tcPr>
            <w:tcW w:w="1873" w:type="dxa"/>
          </w:tcPr>
          <w:p w14:paraId="4D7D306A" w14:textId="77777777" w:rsidR="00445D29" w:rsidRPr="00F450A5" w:rsidRDefault="00D316A5">
            <w:pPr>
              <w:widowControl w:val="0"/>
              <w:spacing w:before="79"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Mixed adult patients</w:t>
            </w:r>
          </w:p>
        </w:tc>
        <w:tc>
          <w:tcPr>
            <w:tcW w:w="1870" w:type="dxa"/>
          </w:tcPr>
          <w:p w14:paraId="56B73AE2" w14:textId="77777777" w:rsidR="00445D29" w:rsidRPr="00F450A5" w:rsidRDefault="00D316A5">
            <w:pPr>
              <w:widowControl w:val="0"/>
              <w:spacing w:before="79"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Feasibility pilot</w:t>
            </w:r>
          </w:p>
        </w:tc>
        <w:tc>
          <w:tcPr>
            <w:tcW w:w="1871" w:type="dxa"/>
          </w:tcPr>
          <w:p w14:paraId="4E5ACAEA" w14:textId="77777777" w:rsidR="00445D29" w:rsidRPr="00F450A5" w:rsidRDefault="00D316A5">
            <w:pPr>
              <w:widowControl w:val="0"/>
              <w:spacing w:before="79" w:line="259" w:lineRule="auto"/>
              <w:ind w:left="120" w:right="2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30% had actionable PGx variants</w:t>
            </w:r>
          </w:p>
        </w:tc>
      </w:tr>
      <w:tr w:rsidR="00445D29" w:rsidRPr="00F450A5" w14:paraId="2CFFE52D" w14:textId="77777777">
        <w:trPr>
          <w:trHeight w:val="609"/>
        </w:trPr>
        <w:tc>
          <w:tcPr>
            <w:tcW w:w="1870" w:type="dxa"/>
          </w:tcPr>
          <w:p w14:paraId="5B9668AC" w14:textId="77777777" w:rsidR="00445D29" w:rsidRPr="00F450A5" w:rsidRDefault="00D316A5">
            <w:pPr>
              <w:widowControl w:val="0"/>
              <w:spacing w:before="81"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Frigon et al. (2019)</w:t>
            </w:r>
          </w:p>
        </w:tc>
        <w:tc>
          <w:tcPr>
            <w:tcW w:w="1871" w:type="dxa"/>
          </w:tcPr>
          <w:p w14:paraId="343A87F2" w14:textId="77777777" w:rsidR="00445D29" w:rsidRPr="00F450A5" w:rsidRDefault="00D316A5">
            <w:pPr>
              <w:widowControl w:val="0"/>
              <w:spacing w:before="81"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Primary care</w:t>
            </w:r>
          </w:p>
        </w:tc>
        <w:tc>
          <w:tcPr>
            <w:tcW w:w="1873" w:type="dxa"/>
          </w:tcPr>
          <w:p w14:paraId="447E1340" w14:textId="77777777" w:rsidR="00445D29" w:rsidRPr="00F450A5" w:rsidRDefault="00D316A5">
            <w:pPr>
              <w:widowControl w:val="0"/>
              <w:spacing w:before="81" w:line="259" w:lineRule="auto"/>
              <w:ind w:left="121" w:right="22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Physicians, pharmacists, patients</w:t>
            </w:r>
          </w:p>
        </w:tc>
        <w:tc>
          <w:tcPr>
            <w:tcW w:w="1870" w:type="dxa"/>
          </w:tcPr>
          <w:p w14:paraId="33B54AE7" w14:textId="77777777" w:rsidR="00445D29" w:rsidRPr="00F450A5" w:rsidRDefault="00D316A5">
            <w:pPr>
              <w:widowControl w:val="0"/>
              <w:spacing w:before="81"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Qualitative survey</w:t>
            </w:r>
          </w:p>
        </w:tc>
        <w:tc>
          <w:tcPr>
            <w:tcW w:w="1871" w:type="dxa"/>
          </w:tcPr>
          <w:p w14:paraId="4D0752CA" w14:textId="77777777" w:rsidR="00445D29" w:rsidRPr="00F450A5" w:rsidRDefault="00D316A5">
            <w:pPr>
              <w:widowControl w:val="0"/>
              <w:spacing w:before="81" w:line="259"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Perceptions of PGx testing</w:t>
            </w:r>
          </w:p>
        </w:tc>
      </w:tr>
      <w:tr w:rsidR="00445D29" w:rsidRPr="00F450A5" w14:paraId="101E5091" w14:textId="77777777">
        <w:trPr>
          <w:trHeight w:val="607"/>
        </w:trPr>
        <w:tc>
          <w:tcPr>
            <w:tcW w:w="1870" w:type="dxa"/>
          </w:tcPr>
          <w:p w14:paraId="7007C85C" w14:textId="77777777" w:rsidR="00445D29" w:rsidRPr="00F450A5" w:rsidRDefault="00D316A5">
            <w:pPr>
              <w:widowControl w:val="0"/>
              <w:spacing w:before="79" w:line="261" w:lineRule="auto"/>
              <w:ind w:left="119" w:right="55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Fohner et al. (2019)</w:t>
            </w:r>
          </w:p>
        </w:tc>
        <w:tc>
          <w:tcPr>
            <w:tcW w:w="1871" w:type="dxa"/>
          </w:tcPr>
          <w:p w14:paraId="759E6987" w14:textId="77777777" w:rsidR="00445D29" w:rsidRPr="00F450A5" w:rsidRDefault="00D316A5">
            <w:pPr>
              <w:widowControl w:val="0"/>
              <w:spacing w:before="79" w:line="261" w:lineRule="auto"/>
              <w:ind w:left="121" w:right="712"/>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Multiple, incl. rural/tribal</w:t>
            </w:r>
          </w:p>
        </w:tc>
        <w:tc>
          <w:tcPr>
            <w:tcW w:w="1873" w:type="dxa"/>
          </w:tcPr>
          <w:p w14:paraId="594366D6" w14:textId="77777777" w:rsidR="00445D29" w:rsidRPr="00F450A5" w:rsidRDefault="00D316A5">
            <w:pPr>
              <w:widowControl w:val="0"/>
              <w:spacing w:before="79" w:line="261" w:lineRule="auto"/>
              <w:ind w:left="121" w:right="374"/>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Democratizing precision medicine</w:t>
            </w:r>
          </w:p>
        </w:tc>
        <w:tc>
          <w:tcPr>
            <w:tcW w:w="1870" w:type="dxa"/>
          </w:tcPr>
          <w:p w14:paraId="09CD1742" w14:textId="77777777" w:rsidR="00445D29" w:rsidRPr="00F450A5" w:rsidRDefault="00D316A5">
            <w:pPr>
              <w:widowControl w:val="0"/>
              <w:spacing w:before="79" w:line="261" w:lineRule="auto"/>
              <w:ind w:left="120" w:right="8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Commentary-framework</w:t>
            </w:r>
          </w:p>
        </w:tc>
        <w:tc>
          <w:tcPr>
            <w:tcW w:w="1871" w:type="dxa"/>
          </w:tcPr>
          <w:p w14:paraId="1C01E797" w14:textId="77777777" w:rsidR="00445D29" w:rsidRPr="00F450A5" w:rsidRDefault="00D316A5">
            <w:pPr>
              <w:widowControl w:val="0"/>
              <w:spacing w:before="79" w:line="261" w:lineRule="auto"/>
              <w:ind w:left="120" w:right="11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Community engagement principles</w:t>
            </w:r>
          </w:p>
        </w:tc>
      </w:tr>
      <w:tr w:rsidR="00445D29" w:rsidRPr="00F450A5" w14:paraId="0D5BFB18" w14:textId="77777777">
        <w:trPr>
          <w:trHeight w:val="609"/>
        </w:trPr>
        <w:tc>
          <w:tcPr>
            <w:tcW w:w="1870" w:type="dxa"/>
          </w:tcPr>
          <w:p w14:paraId="760593CE" w14:textId="77777777" w:rsidR="00445D29" w:rsidRPr="00F450A5" w:rsidRDefault="00D316A5">
            <w:pPr>
              <w:widowControl w:val="0"/>
              <w:spacing w:before="81"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Shugg et al. (2020)</w:t>
            </w:r>
          </w:p>
        </w:tc>
        <w:tc>
          <w:tcPr>
            <w:tcW w:w="1871" w:type="dxa"/>
          </w:tcPr>
          <w:p w14:paraId="4F042A77" w14:textId="77777777" w:rsidR="00445D29" w:rsidRPr="00F450A5" w:rsidRDefault="00D316A5">
            <w:pPr>
              <w:widowControl w:val="0"/>
              <w:spacing w:before="81"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FQHC (Chicago)</w:t>
            </w:r>
          </w:p>
        </w:tc>
        <w:tc>
          <w:tcPr>
            <w:tcW w:w="1873" w:type="dxa"/>
          </w:tcPr>
          <w:p w14:paraId="6DDDEEF8" w14:textId="77777777" w:rsidR="00445D29" w:rsidRPr="00F450A5" w:rsidRDefault="00D316A5">
            <w:pPr>
              <w:widowControl w:val="0"/>
              <w:spacing w:before="81" w:line="259" w:lineRule="auto"/>
              <w:ind w:left="121" w:right="13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Providers, community members</w:t>
            </w:r>
          </w:p>
        </w:tc>
        <w:tc>
          <w:tcPr>
            <w:tcW w:w="1870" w:type="dxa"/>
          </w:tcPr>
          <w:p w14:paraId="762594D4" w14:textId="77777777" w:rsidR="00445D29" w:rsidRPr="00F450A5" w:rsidRDefault="00D316A5">
            <w:pPr>
              <w:widowControl w:val="0"/>
              <w:spacing w:before="81"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Feasibility study</w:t>
            </w:r>
          </w:p>
        </w:tc>
        <w:tc>
          <w:tcPr>
            <w:tcW w:w="1871" w:type="dxa"/>
          </w:tcPr>
          <w:p w14:paraId="1ACB8938" w14:textId="77777777" w:rsidR="00445D29" w:rsidRPr="00F450A5" w:rsidRDefault="00D316A5">
            <w:pPr>
              <w:widowControl w:val="0"/>
              <w:spacing w:before="81" w:line="259" w:lineRule="auto"/>
              <w:ind w:left="120" w:right="14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Participatory genomic education</w:t>
            </w:r>
          </w:p>
        </w:tc>
      </w:tr>
      <w:tr w:rsidR="00445D29" w:rsidRPr="00F450A5" w14:paraId="6B125706" w14:textId="77777777">
        <w:trPr>
          <w:trHeight w:val="832"/>
        </w:trPr>
        <w:tc>
          <w:tcPr>
            <w:tcW w:w="1870" w:type="dxa"/>
          </w:tcPr>
          <w:p w14:paraId="1CBC81B7" w14:textId="77777777" w:rsidR="00445D29" w:rsidRPr="00F450A5" w:rsidRDefault="00D316A5">
            <w:pPr>
              <w:widowControl w:val="0"/>
              <w:spacing w:before="79"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lastRenderedPageBreak/>
              <w:t>Martin et al. (2022)</w:t>
            </w:r>
          </w:p>
        </w:tc>
        <w:tc>
          <w:tcPr>
            <w:tcW w:w="1871" w:type="dxa"/>
          </w:tcPr>
          <w:p w14:paraId="06C91397" w14:textId="77777777" w:rsidR="00445D29" w:rsidRPr="00F450A5" w:rsidRDefault="00D316A5">
            <w:pPr>
              <w:widowControl w:val="0"/>
              <w:spacing w:before="79" w:line="261" w:lineRule="auto"/>
              <w:ind w:left="121" w:right="432"/>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Colorado (clinical service)</w:t>
            </w:r>
          </w:p>
        </w:tc>
        <w:tc>
          <w:tcPr>
            <w:tcW w:w="1873" w:type="dxa"/>
          </w:tcPr>
          <w:p w14:paraId="6B012D9E" w14:textId="77777777" w:rsidR="00445D29" w:rsidRPr="00F450A5" w:rsidRDefault="00D316A5">
            <w:pPr>
              <w:widowControl w:val="0"/>
              <w:spacing w:before="79" w:line="261" w:lineRule="auto"/>
              <w:ind w:left="121" w:right="22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Patients in PGx service</w:t>
            </w:r>
          </w:p>
        </w:tc>
        <w:tc>
          <w:tcPr>
            <w:tcW w:w="1870" w:type="dxa"/>
          </w:tcPr>
          <w:p w14:paraId="273FF538" w14:textId="77777777" w:rsidR="00445D29" w:rsidRPr="00F450A5" w:rsidRDefault="00D316A5">
            <w:pPr>
              <w:widowControl w:val="0"/>
              <w:spacing w:before="79"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Qualitative</w:t>
            </w:r>
          </w:p>
        </w:tc>
        <w:tc>
          <w:tcPr>
            <w:tcW w:w="1871" w:type="dxa"/>
          </w:tcPr>
          <w:p w14:paraId="5BAF31B2" w14:textId="77777777" w:rsidR="00445D29" w:rsidRPr="00F450A5" w:rsidRDefault="00D316A5">
            <w:pPr>
              <w:widowControl w:val="0"/>
              <w:spacing w:before="79" w:line="259" w:lineRule="auto"/>
              <w:ind w:left="120" w:right="30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Patient perspectives on pharmacist-led PGx</w:t>
            </w:r>
          </w:p>
        </w:tc>
      </w:tr>
      <w:tr w:rsidR="00445D29" w:rsidRPr="00F450A5" w14:paraId="53F646EF" w14:textId="77777777">
        <w:trPr>
          <w:trHeight w:val="610"/>
        </w:trPr>
        <w:tc>
          <w:tcPr>
            <w:tcW w:w="1870" w:type="dxa"/>
          </w:tcPr>
          <w:p w14:paraId="39A16775" w14:textId="77777777" w:rsidR="00445D29" w:rsidRPr="00F450A5" w:rsidRDefault="00D316A5">
            <w:pPr>
              <w:widowControl w:val="0"/>
              <w:spacing w:before="79" w:line="261"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Leitch et al (2022)</w:t>
            </w:r>
          </w:p>
        </w:tc>
        <w:tc>
          <w:tcPr>
            <w:tcW w:w="1871" w:type="dxa"/>
          </w:tcPr>
          <w:p w14:paraId="000ACB19" w14:textId="77777777" w:rsidR="00445D29" w:rsidRPr="00F450A5" w:rsidRDefault="00D316A5">
            <w:pPr>
              <w:widowControl w:val="0"/>
              <w:spacing w:before="79"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Rural/tribal Montana</w:t>
            </w:r>
          </w:p>
        </w:tc>
        <w:tc>
          <w:tcPr>
            <w:tcW w:w="1873" w:type="dxa"/>
          </w:tcPr>
          <w:p w14:paraId="391E3E85" w14:textId="77777777" w:rsidR="00445D29" w:rsidRPr="00F450A5" w:rsidRDefault="00D316A5">
            <w:pPr>
              <w:widowControl w:val="0"/>
              <w:spacing w:before="79"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3 partner sites</w:t>
            </w:r>
          </w:p>
        </w:tc>
        <w:tc>
          <w:tcPr>
            <w:tcW w:w="1870" w:type="dxa"/>
          </w:tcPr>
          <w:p w14:paraId="5851563F" w14:textId="77777777" w:rsidR="00445D29" w:rsidRPr="00F450A5" w:rsidRDefault="00D316A5">
            <w:pPr>
              <w:widowControl w:val="0"/>
              <w:spacing w:before="79"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Mixed methods</w:t>
            </w:r>
          </w:p>
        </w:tc>
        <w:tc>
          <w:tcPr>
            <w:tcW w:w="1871" w:type="dxa"/>
          </w:tcPr>
          <w:p w14:paraId="4366A5DF" w14:textId="77777777" w:rsidR="00445D29" w:rsidRPr="00F450A5" w:rsidRDefault="00D316A5">
            <w:pPr>
              <w:widowControl w:val="0"/>
              <w:spacing w:before="79" w:line="261" w:lineRule="auto"/>
              <w:ind w:left="120" w:right="28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Telehealth </w:t>
            </w:r>
            <w:r w:rsidRPr="00F450A5">
              <w:rPr>
                <w:rFonts w:ascii="Times New Roman" w:eastAsia="Times New Roman" w:hAnsi="Times New Roman" w:cs="Times New Roman"/>
                <w:sz w:val="18"/>
                <w:szCs w:val="18"/>
              </w:rPr>
              <w:t>hub-and-spoke feasibility</w:t>
            </w:r>
          </w:p>
        </w:tc>
      </w:tr>
      <w:tr w:rsidR="00445D29" w:rsidRPr="00F450A5" w14:paraId="3B5C8DC0" w14:textId="77777777">
        <w:trPr>
          <w:trHeight w:val="607"/>
        </w:trPr>
        <w:tc>
          <w:tcPr>
            <w:tcW w:w="1870" w:type="dxa"/>
          </w:tcPr>
          <w:p w14:paraId="2A0C2062" w14:textId="77777777" w:rsidR="00445D29" w:rsidRPr="00F450A5" w:rsidRDefault="00D316A5">
            <w:pPr>
              <w:widowControl w:val="0"/>
              <w:spacing w:before="79" w:line="259" w:lineRule="auto"/>
              <w:ind w:left="119" w:right="55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Natasha Petry et al. (2019) </w:t>
            </w:r>
          </w:p>
        </w:tc>
        <w:tc>
          <w:tcPr>
            <w:tcW w:w="1871" w:type="dxa"/>
          </w:tcPr>
          <w:p w14:paraId="2E43161C" w14:textId="77777777" w:rsidR="00445D29" w:rsidRPr="00F450A5" w:rsidRDefault="00D316A5">
            <w:pPr>
              <w:widowControl w:val="0"/>
              <w:spacing w:before="79" w:line="259" w:lineRule="auto"/>
              <w:ind w:left="121" w:right="172"/>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Medically underserved (Florida)</w:t>
            </w:r>
          </w:p>
        </w:tc>
        <w:tc>
          <w:tcPr>
            <w:tcW w:w="1873" w:type="dxa"/>
          </w:tcPr>
          <w:p w14:paraId="5EB40716" w14:textId="77777777" w:rsidR="00445D29" w:rsidRPr="00F450A5" w:rsidRDefault="00D316A5">
            <w:pPr>
              <w:widowControl w:val="0"/>
              <w:spacing w:before="79" w:line="259" w:lineRule="auto"/>
              <w:ind w:left="121" w:right="884"/>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Community participants</w:t>
            </w:r>
          </w:p>
        </w:tc>
        <w:tc>
          <w:tcPr>
            <w:tcW w:w="1870" w:type="dxa"/>
          </w:tcPr>
          <w:p w14:paraId="3B80CBCE" w14:textId="77777777" w:rsidR="00445D29" w:rsidRPr="00F450A5" w:rsidRDefault="00D316A5">
            <w:pPr>
              <w:widowControl w:val="0"/>
              <w:spacing w:before="79"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Qualitative</w:t>
            </w:r>
          </w:p>
        </w:tc>
        <w:tc>
          <w:tcPr>
            <w:tcW w:w="1871" w:type="dxa"/>
          </w:tcPr>
          <w:p w14:paraId="57177E7E" w14:textId="77777777" w:rsidR="00445D29" w:rsidRPr="00F450A5" w:rsidRDefault="00D316A5">
            <w:pPr>
              <w:widowControl w:val="0"/>
              <w:spacing w:before="79" w:line="259"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Knowledge/attitudes regarding PGx</w:t>
            </w:r>
          </w:p>
        </w:tc>
      </w:tr>
      <w:tr w:rsidR="00445D29" w:rsidRPr="00F450A5" w14:paraId="76DDD999" w14:textId="77777777">
        <w:trPr>
          <w:trHeight w:val="609"/>
        </w:trPr>
        <w:tc>
          <w:tcPr>
            <w:tcW w:w="1870" w:type="dxa"/>
          </w:tcPr>
          <w:p w14:paraId="68B6E0C1" w14:textId="77777777" w:rsidR="00445D29" w:rsidRPr="00F450A5" w:rsidRDefault="00D316A5">
            <w:pPr>
              <w:widowControl w:val="0"/>
              <w:spacing w:before="81"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Brown et al. (2023)</w:t>
            </w:r>
          </w:p>
        </w:tc>
        <w:tc>
          <w:tcPr>
            <w:tcW w:w="1871" w:type="dxa"/>
          </w:tcPr>
          <w:p w14:paraId="4AD93C6E" w14:textId="77777777" w:rsidR="00445D29" w:rsidRPr="00F450A5" w:rsidRDefault="00D316A5">
            <w:pPr>
              <w:widowControl w:val="0"/>
              <w:spacing w:before="81"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Rural Minnesota</w:t>
            </w:r>
          </w:p>
        </w:tc>
        <w:tc>
          <w:tcPr>
            <w:tcW w:w="1873" w:type="dxa"/>
          </w:tcPr>
          <w:p w14:paraId="0AF02C85" w14:textId="77777777" w:rsidR="00445D29" w:rsidRPr="00F450A5" w:rsidRDefault="00D316A5">
            <w:pPr>
              <w:widowControl w:val="0"/>
              <w:spacing w:before="81"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Pharmacists</w:t>
            </w:r>
          </w:p>
        </w:tc>
        <w:tc>
          <w:tcPr>
            <w:tcW w:w="1870" w:type="dxa"/>
          </w:tcPr>
          <w:p w14:paraId="3AE894A7" w14:textId="77777777" w:rsidR="00445D29" w:rsidRPr="00F450A5" w:rsidRDefault="00D316A5">
            <w:pPr>
              <w:widowControl w:val="0"/>
              <w:spacing w:before="81" w:line="259" w:lineRule="auto"/>
              <w:ind w:left="120" w:right="8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Educational intervention</w:t>
            </w:r>
          </w:p>
        </w:tc>
        <w:tc>
          <w:tcPr>
            <w:tcW w:w="1871" w:type="dxa"/>
          </w:tcPr>
          <w:p w14:paraId="079B9633" w14:textId="77777777" w:rsidR="00445D29" w:rsidRPr="00F450A5" w:rsidRDefault="00D316A5">
            <w:pPr>
              <w:widowControl w:val="0"/>
              <w:spacing w:before="81" w:line="259"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Improved PGx </w:t>
            </w:r>
            <w:r w:rsidRPr="00F450A5">
              <w:rPr>
                <w:rFonts w:ascii="Times New Roman" w:eastAsia="Times New Roman" w:hAnsi="Times New Roman" w:cs="Times New Roman"/>
                <w:sz w:val="18"/>
                <w:szCs w:val="18"/>
              </w:rPr>
              <w:t>knowledge/confidence</w:t>
            </w:r>
          </w:p>
        </w:tc>
      </w:tr>
      <w:tr w:rsidR="00445D29" w:rsidRPr="00F450A5" w14:paraId="2108747F" w14:textId="77777777">
        <w:trPr>
          <w:trHeight w:val="606"/>
        </w:trPr>
        <w:tc>
          <w:tcPr>
            <w:tcW w:w="1870" w:type="dxa"/>
          </w:tcPr>
          <w:p w14:paraId="37F1AFD4" w14:textId="77777777" w:rsidR="00445D29" w:rsidRPr="00F450A5" w:rsidRDefault="00D316A5">
            <w:pPr>
              <w:widowControl w:val="0"/>
              <w:spacing w:before="79" w:line="261" w:lineRule="auto"/>
              <w:ind w:left="119" w:right="21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Van </w:t>
            </w:r>
            <w:proofErr w:type="spellStart"/>
            <w:r w:rsidRPr="00F450A5">
              <w:rPr>
                <w:rFonts w:ascii="Times New Roman" w:eastAsia="Times New Roman" w:hAnsi="Times New Roman" w:cs="Times New Roman"/>
                <w:sz w:val="18"/>
                <w:szCs w:val="18"/>
              </w:rPr>
              <w:t>Heukelom</w:t>
            </w:r>
            <w:proofErr w:type="spellEnd"/>
            <w:r w:rsidRPr="00F450A5">
              <w:rPr>
                <w:rFonts w:ascii="Times New Roman" w:eastAsia="Times New Roman" w:hAnsi="Times New Roman" w:cs="Times New Roman"/>
                <w:sz w:val="18"/>
                <w:szCs w:val="18"/>
              </w:rPr>
              <w:t xml:space="preserve"> et al. (2023)</w:t>
            </w:r>
          </w:p>
        </w:tc>
        <w:tc>
          <w:tcPr>
            <w:tcW w:w="1871" w:type="dxa"/>
          </w:tcPr>
          <w:p w14:paraId="4DF32B8F" w14:textId="77777777" w:rsidR="00445D29" w:rsidRPr="00F450A5" w:rsidRDefault="00D316A5">
            <w:pPr>
              <w:widowControl w:val="0"/>
              <w:spacing w:before="79" w:line="261" w:lineRule="auto"/>
              <w:ind w:left="121" w:right="562"/>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Multi-state rural (Sanford)</w:t>
            </w:r>
          </w:p>
        </w:tc>
        <w:tc>
          <w:tcPr>
            <w:tcW w:w="1873" w:type="dxa"/>
          </w:tcPr>
          <w:p w14:paraId="04DAFB19" w14:textId="77777777" w:rsidR="00445D29" w:rsidRPr="00F450A5" w:rsidRDefault="00D316A5">
            <w:pPr>
              <w:widowControl w:val="0"/>
              <w:spacing w:before="79"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Mixed adult patients</w:t>
            </w:r>
          </w:p>
        </w:tc>
        <w:tc>
          <w:tcPr>
            <w:tcW w:w="1870" w:type="dxa"/>
          </w:tcPr>
          <w:p w14:paraId="5FDFA201" w14:textId="77777777" w:rsidR="00445D29" w:rsidRPr="00F450A5" w:rsidRDefault="00D316A5">
            <w:pPr>
              <w:widowControl w:val="0"/>
              <w:spacing w:before="79" w:line="261"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Descriptive implementation</w:t>
            </w:r>
          </w:p>
        </w:tc>
        <w:tc>
          <w:tcPr>
            <w:tcW w:w="1871" w:type="dxa"/>
          </w:tcPr>
          <w:p w14:paraId="2156FBD9" w14:textId="77777777" w:rsidR="00445D29" w:rsidRPr="00F450A5" w:rsidRDefault="00D316A5">
            <w:pPr>
              <w:widowControl w:val="0"/>
              <w:spacing w:before="79" w:line="261" w:lineRule="auto"/>
              <w:ind w:left="120" w:right="2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Evolution of multi-state PGx clinic</w:t>
            </w:r>
          </w:p>
        </w:tc>
      </w:tr>
      <w:tr w:rsidR="00445D29" w:rsidRPr="00F450A5" w14:paraId="77E46A25" w14:textId="77777777">
        <w:trPr>
          <w:trHeight w:val="609"/>
        </w:trPr>
        <w:tc>
          <w:tcPr>
            <w:tcW w:w="1870" w:type="dxa"/>
          </w:tcPr>
          <w:p w14:paraId="5C69FC9C" w14:textId="77777777" w:rsidR="00445D29" w:rsidRPr="00F450A5" w:rsidRDefault="00D316A5">
            <w:pPr>
              <w:widowControl w:val="0"/>
              <w:spacing w:before="81"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Claw et al. (2024)</w:t>
            </w:r>
          </w:p>
        </w:tc>
        <w:tc>
          <w:tcPr>
            <w:tcW w:w="1871" w:type="dxa"/>
          </w:tcPr>
          <w:p w14:paraId="690CC9A8" w14:textId="77777777" w:rsidR="00445D29" w:rsidRPr="00F450A5" w:rsidRDefault="00D316A5">
            <w:pPr>
              <w:widowControl w:val="0"/>
              <w:spacing w:before="81" w:line="259" w:lineRule="auto"/>
              <w:ind w:left="121" w:right="77"/>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Indigenous communities</w:t>
            </w:r>
          </w:p>
        </w:tc>
        <w:tc>
          <w:tcPr>
            <w:tcW w:w="1873" w:type="dxa"/>
          </w:tcPr>
          <w:p w14:paraId="2AA11BD5" w14:textId="77777777" w:rsidR="00445D29" w:rsidRPr="00F450A5" w:rsidRDefault="00D316A5">
            <w:pPr>
              <w:widowControl w:val="0"/>
              <w:spacing w:before="81"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Tribal members</w:t>
            </w:r>
          </w:p>
        </w:tc>
        <w:tc>
          <w:tcPr>
            <w:tcW w:w="1870" w:type="dxa"/>
          </w:tcPr>
          <w:p w14:paraId="01B58024" w14:textId="77777777" w:rsidR="00445D29" w:rsidRPr="00F450A5" w:rsidRDefault="00D316A5">
            <w:pPr>
              <w:widowControl w:val="0"/>
              <w:spacing w:before="81"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Community-engaged</w:t>
            </w:r>
          </w:p>
        </w:tc>
        <w:tc>
          <w:tcPr>
            <w:tcW w:w="1871" w:type="dxa"/>
          </w:tcPr>
          <w:p w14:paraId="2B019CAD" w14:textId="77777777" w:rsidR="00445D29" w:rsidRPr="00F450A5" w:rsidRDefault="00D316A5">
            <w:pPr>
              <w:widowControl w:val="0"/>
              <w:spacing w:before="81" w:line="259" w:lineRule="auto"/>
              <w:ind w:left="120" w:right="3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Ethical frameworks </w:t>
            </w:r>
            <w:r w:rsidRPr="00F450A5">
              <w:rPr>
                <w:rFonts w:ascii="Times New Roman" w:eastAsia="Times New Roman" w:hAnsi="Times New Roman" w:cs="Times New Roman"/>
                <w:sz w:val="18"/>
                <w:szCs w:val="18"/>
              </w:rPr>
              <w:t>for Indigenous PGx</w:t>
            </w:r>
          </w:p>
        </w:tc>
      </w:tr>
      <w:tr w:rsidR="00445D29" w:rsidRPr="00F450A5" w14:paraId="5DC6BD78" w14:textId="77777777">
        <w:trPr>
          <w:trHeight w:val="609"/>
        </w:trPr>
        <w:tc>
          <w:tcPr>
            <w:tcW w:w="1870" w:type="dxa"/>
            <w:tcBorders>
              <w:top w:val="single" w:sz="4" w:space="0" w:color="999999"/>
              <w:bottom w:val="single" w:sz="4" w:space="0" w:color="999999"/>
              <w:right w:val="single" w:sz="4" w:space="0" w:color="999999"/>
            </w:tcBorders>
          </w:tcPr>
          <w:p w14:paraId="10C9015C" w14:textId="77777777" w:rsidR="00445D29" w:rsidRPr="00F450A5" w:rsidRDefault="00D316A5">
            <w:pPr>
              <w:widowControl w:val="0"/>
              <w:spacing w:before="79" w:line="259"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Bosic-Reiniger et al. (2024) </w:t>
            </w:r>
          </w:p>
        </w:tc>
        <w:tc>
          <w:tcPr>
            <w:tcW w:w="1871" w:type="dxa"/>
            <w:tcBorders>
              <w:top w:val="single" w:sz="4" w:space="0" w:color="999999"/>
              <w:left w:val="single" w:sz="4" w:space="0" w:color="999999"/>
              <w:bottom w:val="single" w:sz="4" w:space="0" w:color="999999"/>
              <w:right w:val="single" w:sz="4" w:space="0" w:color="999999"/>
            </w:tcBorders>
          </w:tcPr>
          <w:p w14:paraId="0A45D9E7" w14:textId="77777777" w:rsidR="00445D29" w:rsidRPr="00F450A5" w:rsidRDefault="00D316A5">
            <w:pPr>
              <w:widowControl w:val="0"/>
              <w:spacing w:before="79" w:line="259" w:lineRule="auto"/>
              <w:ind w:left="121" w:right="145"/>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Resource-limited (CO/MT)</w:t>
            </w:r>
          </w:p>
        </w:tc>
        <w:tc>
          <w:tcPr>
            <w:tcW w:w="1873" w:type="dxa"/>
            <w:tcBorders>
              <w:top w:val="single" w:sz="4" w:space="0" w:color="999999"/>
              <w:left w:val="single" w:sz="4" w:space="0" w:color="999999"/>
              <w:bottom w:val="single" w:sz="4" w:space="0" w:color="999999"/>
              <w:right w:val="single" w:sz="4" w:space="0" w:color="999999"/>
            </w:tcBorders>
          </w:tcPr>
          <w:p w14:paraId="34C51E3A" w14:textId="77777777" w:rsidR="00445D29" w:rsidRPr="00F450A5" w:rsidRDefault="00D316A5">
            <w:pPr>
              <w:widowControl w:val="0"/>
              <w:spacing w:before="79" w:line="259" w:lineRule="auto"/>
              <w:ind w:left="121" w:right="554"/>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Clinicians, informatics staff</w:t>
            </w:r>
          </w:p>
        </w:tc>
        <w:tc>
          <w:tcPr>
            <w:tcW w:w="1870" w:type="dxa"/>
            <w:tcBorders>
              <w:top w:val="single" w:sz="4" w:space="0" w:color="999999"/>
              <w:left w:val="single" w:sz="4" w:space="0" w:color="999999"/>
              <w:bottom w:val="single" w:sz="4" w:space="0" w:color="999999"/>
              <w:right w:val="single" w:sz="4" w:space="0" w:color="999999"/>
            </w:tcBorders>
          </w:tcPr>
          <w:p w14:paraId="09257077" w14:textId="77777777" w:rsidR="00445D29" w:rsidRPr="00F450A5" w:rsidRDefault="00D316A5">
            <w:pPr>
              <w:widowControl w:val="0"/>
              <w:spacing w:before="79"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Qualitative (CFIR)</w:t>
            </w:r>
          </w:p>
        </w:tc>
        <w:tc>
          <w:tcPr>
            <w:tcW w:w="1871" w:type="dxa"/>
            <w:tcBorders>
              <w:top w:val="single" w:sz="4" w:space="0" w:color="999999"/>
              <w:left w:val="single" w:sz="4" w:space="0" w:color="999999"/>
              <w:bottom w:val="single" w:sz="4" w:space="0" w:color="999999"/>
            </w:tcBorders>
          </w:tcPr>
          <w:p w14:paraId="7C582D17" w14:textId="77777777" w:rsidR="00445D29" w:rsidRPr="00F450A5" w:rsidRDefault="00D316A5">
            <w:pPr>
              <w:widowControl w:val="0"/>
              <w:spacing w:before="79" w:line="259"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Informatics barriers to PGx in rural</w:t>
            </w:r>
          </w:p>
        </w:tc>
      </w:tr>
      <w:tr w:rsidR="00445D29" w:rsidRPr="00F450A5" w14:paraId="6E24A39E" w14:textId="77777777">
        <w:trPr>
          <w:trHeight w:val="609"/>
        </w:trPr>
        <w:tc>
          <w:tcPr>
            <w:tcW w:w="1870" w:type="dxa"/>
            <w:tcBorders>
              <w:top w:val="single" w:sz="4" w:space="0" w:color="999999"/>
              <w:bottom w:val="single" w:sz="4" w:space="0" w:color="999999"/>
              <w:right w:val="single" w:sz="4" w:space="0" w:color="999999"/>
            </w:tcBorders>
          </w:tcPr>
          <w:p w14:paraId="2C5F9703" w14:textId="77777777" w:rsidR="00445D29" w:rsidRPr="00F450A5" w:rsidRDefault="00D316A5">
            <w:pPr>
              <w:widowControl w:val="0"/>
              <w:spacing w:before="81"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Petry et al. (2024)</w:t>
            </w:r>
          </w:p>
        </w:tc>
        <w:tc>
          <w:tcPr>
            <w:tcW w:w="1871" w:type="dxa"/>
            <w:tcBorders>
              <w:top w:val="single" w:sz="4" w:space="0" w:color="999999"/>
              <w:left w:val="single" w:sz="4" w:space="0" w:color="999999"/>
              <w:bottom w:val="single" w:sz="4" w:space="0" w:color="999999"/>
              <w:right w:val="single" w:sz="4" w:space="0" w:color="999999"/>
            </w:tcBorders>
          </w:tcPr>
          <w:p w14:paraId="6A310F93" w14:textId="77777777" w:rsidR="00445D29" w:rsidRPr="00F450A5" w:rsidRDefault="00D316A5">
            <w:pPr>
              <w:widowControl w:val="0"/>
              <w:spacing w:before="81"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Rural (Sanford)</w:t>
            </w:r>
          </w:p>
        </w:tc>
        <w:tc>
          <w:tcPr>
            <w:tcW w:w="1873" w:type="dxa"/>
            <w:tcBorders>
              <w:top w:val="single" w:sz="4" w:space="0" w:color="999999"/>
              <w:left w:val="single" w:sz="4" w:space="0" w:color="999999"/>
              <w:bottom w:val="single" w:sz="4" w:space="0" w:color="999999"/>
              <w:right w:val="single" w:sz="4" w:space="0" w:color="999999"/>
            </w:tcBorders>
          </w:tcPr>
          <w:p w14:paraId="772F7129" w14:textId="77777777" w:rsidR="00445D29" w:rsidRPr="00F450A5" w:rsidRDefault="00D316A5">
            <w:pPr>
              <w:widowControl w:val="0"/>
              <w:spacing w:before="81"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Antidepressant users</w:t>
            </w:r>
          </w:p>
        </w:tc>
        <w:tc>
          <w:tcPr>
            <w:tcW w:w="1870" w:type="dxa"/>
            <w:tcBorders>
              <w:top w:val="single" w:sz="4" w:space="0" w:color="999999"/>
              <w:left w:val="single" w:sz="4" w:space="0" w:color="999999"/>
              <w:bottom w:val="single" w:sz="4" w:space="0" w:color="999999"/>
              <w:right w:val="single" w:sz="4" w:space="0" w:color="999999"/>
            </w:tcBorders>
          </w:tcPr>
          <w:p w14:paraId="72152E46" w14:textId="77777777" w:rsidR="00445D29" w:rsidRPr="00F450A5" w:rsidRDefault="00D316A5">
            <w:pPr>
              <w:widowControl w:val="0"/>
              <w:spacing w:before="81"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Clinical outcomes</w:t>
            </w:r>
          </w:p>
        </w:tc>
        <w:tc>
          <w:tcPr>
            <w:tcW w:w="1871" w:type="dxa"/>
            <w:tcBorders>
              <w:top w:val="single" w:sz="4" w:space="0" w:color="999999"/>
              <w:left w:val="single" w:sz="4" w:space="0" w:color="999999"/>
              <w:bottom w:val="single" w:sz="4" w:space="0" w:color="999999"/>
            </w:tcBorders>
          </w:tcPr>
          <w:p w14:paraId="319D215A" w14:textId="77777777" w:rsidR="00445D29" w:rsidRPr="00F450A5" w:rsidRDefault="00D316A5">
            <w:pPr>
              <w:widowControl w:val="0"/>
              <w:spacing w:before="81"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CYP2C19/CYP2D6</w:t>
            </w:r>
          </w:p>
          <w:p w14:paraId="74153F27" w14:textId="77777777" w:rsidR="00445D29" w:rsidRPr="00F450A5" w:rsidRDefault="00D316A5">
            <w:pPr>
              <w:widowControl w:val="0"/>
              <w:spacing w:before="16" w:line="261" w:lineRule="auto"/>
              <w:ind w:left="120" w:right="36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impact on antidepressant care</w:t>
            </w:r>
          </w:p>
        </w:tc>
      </w:tr>
      <w:tr w:rsidR="00445D29" w:rsidRPr="00F450A5" w14:paraId="00BCF0BF" w14:textId="77777777">
        <w:trPr>
          <w:trHeight w:val="609"/>
        </w:trPr>
        <w:tc>
          <w:tcPr>
            <w:tcW w:w="1870" w:type="dxa"/>
            <w:tcBorders>
              <w:top w:val="single" w:sz="4" w:space="0" w:color="999999"/>
              <w:bottom w:val="single" w:sz="4" w:space="0" w:color="999999"/>
              <w:right w:val="single" w:sz="4" w:space="0" w:color="999999"/>
            </w:tcBorders>
          </w:tcPr>
          <w:p w14:paraId="0EA5C655" w14:textId="77777777" w:rsidR="00445D29" w:rsidRPr="00F450A5" w:rsidRDefault="00D316A5">
            <w:pPr>
              <w:widowControl w:val="0"/>
              <w:spacing w:before="81" w:line="259" w:lineRule="auto"/>
              <w:ind w:left="119" w:right="55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Alghamdi et al. (2025)</w:t>
            </w:r>
          </w:p>
        </w:tc>
        <w:tc>
          <w:tcPr>
            <w:tcW w:w="1871" w:type="dxa"/>
            <w:tcBorders>
              <w:top w:val="single" w:sz="4" w:space="0" w:color="999999"/>
              <w:left w:val="single" w:sz="4" w:space="0" w:color="999999"/>
              <w:bottom w:val="single" w:sz="4" w:space="0" w:color="999999"/>
              <w:right w:val="single" w:sz="4" w:space="0" w:color="999999"/>
            </w:tcBorders>
          </w:tcPr>
          <w:p w14:paraId="08B66DF2" w14:textId="77777777" w:rsidR="00445D29" w:rsidRPr="00F450A5" w:rsidRDefault="00D316A5">
            <w:pPr>
              <w:widowControl w:val="0"/>
              <w:spacing w:before="81" w:line="259" w:lineRule="auto"/>
              <w:ind w:left="121" w:right="462"/>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Underserved IBH clinic (TX)</w:t>
            </w:r>
          </w:p>
        </w:tc>
        <w:tc>
          <w:tcPr>
            <w:tcW w:w="1873" w:type="dxa"/>
            <w:tcBorders>
              <w:top w:val="single" w:sz="4" w:space="0" w:color="999999"/>
              <w:left w:val="single" w:sz="4" w:space="0" w:color="999999"/>
              <w:bottom w:val="single" w:sz="4" w:space="0" w:color="999999"/>
              <w:right w:val="single" w:sz="4" w:space="0" w:color="999999"/>
            </w:tcBorders>
          </w:tcPr>
          <w:p w14:paraId="59A47FD4" w14:textId="77777777" w:rsidR="00445D29" w:rsidRPr="00F450A5" w:rsidRDefault="00D316A5">
            <w:pPr>
              <w:widowControl w:val="0"/>
              <w:spacing w:before="81" w:line="259" w:lineRule="auto"/>
              <w:ind w:left="121" w:right="464"/>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Behavioral health patients</w:t>
            </w:r>
          </w:p>
        </w:tc>
        <w:tc>
          <w:tcPr>
            <w:tcW w:w="1870" w:type="dxa"/>
            <w:tcBorders>
              <w:top w:val="single" w:sz="4" w:space="0" w:color="999999"/>
              <w:left w:val="single" w:sz="4" w:space="0" w:color="999999"/>
              <w:bottom w:val="single" w:sz="4" w:space="0" w:color="999999"/>
              <w:right w:val="single" w:sz="4" w:space="0" w:color="999999"/>
            </w:tcBorders>
          </w:tcPr>
          <w:p w14:paraId="16C8DA95" w14:textId="77777777" w:rsidR="00445D29" w:rsidRPr="00F450A5" w:rsidRDefault="00D316A5">
            <w:pPr>
              <w:widowControl w:val="0"/>
              <w:spacing w:before="81"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Feasibility</w:t>
            </w:r>
          </w:p>
        </w:tc>
        <w:tc>
          <w:tcPr>
            <w:tcW w:w="1871" w:type="dxa"/>
            <w:tcBorders>
              <w:top w:val="single" w:sz="4" w:space="0" w:color="999999"/>
              <w:left w:val="single" w:sz="4" w:space="0" w:color="999999"/>
              <w:bottom w:val="single" w:sz="4" w:space="0" w:color="999999"/>
            </w:tcBorders>
          </w:tcPr>
          <w:p w14:paraId="3276558E" w14:textId="77777777" w:rsidR="00445D29" w:rsidRPr="00F450A5" w:rsidRDefault="00D316A5">
            <w:pPr>
              <w:widowControl w:val="0"/>
              <w:spacing w:before="81" w:line="259" w:lineRule="auto"/>
              <w:ind w:left="120" w:righ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Multidisciplinary PGx service feasible</w:t>
            </w:r>
          </w:p>
        </w:tc>
      </w:tr>
      <w:tr w:rsidR="00445D29" w:rsidRPr="00F450A5" w14:paraId="76F53FDD" w14:textId="77777777">
        <w:trPr>
          <w:trHeight w:val="609"/>
        </w:trPr>
        <w:tc>
          <w:tcPr>
            <w:tcW w:w="1870" w:type="dxa"/>
            <w:tcBorders>
              <w:top w:val="single" w:sz="4" w:space="0" w:color="999999"/>
              <w:bottom w:val="single" w:sz="4" w:space="0" w:color="999999"/>
              <w:right w:val="single" w:sz="4" w:space="0" w:color="999999"/>
            </w:tcBorders>
          </w:tcPr>
          <w:p w14:paraId="6B6C7FCA" w14:textId="77777777" w:rsidR="00445D29" w:rsidRPr="00F450A5" w:rsidRDefault="00D316A5">
            <w:pPr>
              <w:widowControl w:val="0"/>
              <w:spacing w:before="79" w:line="261" w:lineRule="auto"/>
              <w:ind w:left="119" w:right="61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Silver et al. (2025)</w:t>
            </w:r>
          </w:p>
        </w:tc>
        <w:tc>
          <w:tcPr>
            <w:tcW w:w="1871" w:type="dxa"/>
            <w:tcBorders>
              <w:top w:val="single" w:sz="4" w:space="0" w:color="999999"/>
              <w:left w:val="single" w:sz="4" w:space="0" w:color="999999"/>
              <w:bottom w:val="single" w:sz="4" w:space="0" w:color="999999"/>
              <w:right w:val="single" w:sz="4" w:space="0" w:color="999999"/>
            </w:tcBorders>
          </w:tcPr>
          <w:p w14:paraId="3C6F4F43" w14:textId="77777777" w:rsidR="00445D29" w:rsidRPr="00F450A5" w:rsidRDefault="00D316A5">
            <w:pPr>
              <w:widowControl w:val="0"/>
              <w:spacing w:before="79"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Rural Ontario</w:t>
            </w:r>
          </w:p>
        </w:tc>
        <w:tc>
          <w:tcPr>
            <w:tcW w:w="1873" w:type="dxa"/>
            <w:tcBorders>
              <w:top w:val="single" w:sz="4" w:space="0" w:color="999999"/>
              <w:left w:val="single" w:sz="4" w:space="0" w:color="999999"/>
              <w:bottom w:val="single" w:sz="4" w:space="0" w:color="999999"/>
              <w:right w:val="single" w:sz="4" w:space="0" w:color="999999"/>
            </w:tcBorders>
          </w:tcPr>
          <w:p w14:paraId="15408B7E" w14:textId="77777777" w:rsidR="00445D29" w:rsidRPr="00F450A5" w:rsidRDefault="00D316A5">
            <w:pPr>
              <w:widowControl w:val="0"/>
              <w:spacing w:before="79"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General population</w:t>
            </w:r>
          </w:p>
        </w:tc>
        <w:tc>
          <w:tcPr>
            <w:tcW w:w="1870" w:type="dxa"/>
            <w:tcBorders>
              <w:top w:val="single" w:sz="4" w:space="0" w:color="999999"/>
              <w:left w:val="single" w:sz="4" w:space="0" w:color="999999"/>
              <w:bottom w:val="single" w:sz="4" w:space="0" w:color="999999"/>
              <w:right w:val="single" w:sz="4" w:space="0" w:color="999999"/>
            </w:tcBorders>
          </w:tcPr>
          <w:p w14:paraId="6834258E" w14:textId="77777777" w:rsidR="00445D29" w:rsidRPr="00F450A5" w:rsidRDefault="00D316A5">
            <w:pPr>
              <w:widowControl w:val="0"/>
              <w:spacing w:before="79"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Model proposal</w:t>
            </w:r>
          </w:p>
        </w:tc>
        <w:tc>
          <w:tcPr>
            <w:tcW w:w="1871" w:type="dxa"/>
            <w:tcBorders>
              <w:top w:val="single" w:sz="4" w:space="0" w:color="999999"/>
              <w:left w:val="single" w:sz="4" w:space="0" w:color="999999"/>
              <w:bottom w:val="single" w:sz="4" w:space="0" w:color="999999"/>
            </w:tcBorders>
          </w:tcPr>
          <w:p w14:paraId="3391AF0C" w14:textId="77777777" w:rsidR="00445D29" w:rsidRPr="00F450A5" w:rsidRDefault="00D316A5">
            <w:pPr>
              <w:widowControl w:val="0"/>
              <w:spacing w:before="79" w:line="261"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Outreach-focused </w:t>
            </w:r>
            <w:r w:rsidRPr="00F450A5">
              <w:rPr>
                <w:rFonts w:ascii="Times New Roman" w:eastAsia="Times New Roman" w:hAnsi="Times New Roman" w:cs="Times New Roman"/>
                <w:sz w:val="18"/>
                <w:szCs w:val="18"/>
              </w:rPr>
              <w:t>integration model</w:t>
            </w:r>
          </w:p>
        </w:tc>
      </w:tr>
      <w:tr w:rsidR="00445D29" w:rsidRPr="00F450A5" w14:paraId="34989337" w14:textId="77777777">
        <w:trPr>
          <w:trHeight w:val="609"/>
        </w:trPr>
        <w:tc>
          <w:tcPr>
            <w:tcW w:w="1870" w:type="dxa"/>
            <w:tcBorders>
              <w:top w:val="single" w:sz="4" w:space="0" w:color="999999"/>
              <w:bottom w:val="single" w:sz="4" w:space="0" w:color="999999"/>
              <w:right w:val="single" w:sz="4" w:space="0" w:color="999999"/>
            </w:tcBorders>
          </w:tcPr>
          <w:p w14:paraId="399FFFB1" w14:textId="77777777" w:rsidR="00445D29" w:rsidRPr="00F450A5" w:rsidRDefault="00D316A5">
            <w:pPr>
              <w:widowControl w:val="0"/>
              <w:spacing w:before="79"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Gawronski et al. (2025)</w:t>
            </w:r>
          </w:p>
        </w:tc>
        <w:tc>
          <w:tcPr>
            <w:tcW w:w="1871" w:type="dxa"/>
            <w:tcBorders>
              <w:top w:val="single" w:sz="4" w:space="0" w:color="999999"/>
              <w:left w:val="single" w:sz="4" w:space="0" w:color="999999"/>
              <w:bottom w:val="single" w:sz="4" w:space="0" w:color="999999"/>
              <w:right w:val="single" w:sz="4" w:space="0" w:color="999999"/>
            </w:tcBorders>
          </w:tcPr>
          <w:p w14:paraId="4A20ED43" w14:textId="77777777" w:rsidR="00445D29" w:rsidRPr="00F450A5" w:rsidRDefault="00D316A5">
            <w:pPr>
              <w:widowControl w:val="0"/>
              <w:spacing w:before="79" w:line="261" w:lineRule="auto"/>
              <w:ind w:left="121" w:right="687"/>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Medically underserved (multiple)</w:t>
            </w:r>
          </w:p>
        </w:tc>
        <w:tc>
          <w:tcPr>
            <w:tcW w:w="1873" w:type="dxa"/>
            <w:tcBorders>
              <w:top w:val="single" w:sz="4" w:space="0" w:color="999999"/>
              <w:left w:val="single" w:sz="4" w:space="0" w:color="999999"/>
              <w:bottom w:val="single" w:sz="4" w:space="0" w:color="999999"/>
              <w:right w:val="single" w:sz="4" w:space="0" w:color="999999"/>
            </w:tcBorders>
          </w:tcPr>
          <w:p w14:paraId="6C3AF383" w14:textId="77777777" w:rsidR="00445D29" w:rsidRPr="00F450A5" w:rsidRDefault="00D316A5">
            <w:pPr>
              <w:widowControl w:val="0"/>
              <w:spacing w:before="79"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MUPs broadly</w:t>
            </w:r>
          </w:p>
        </w:tc>
        <w:tc>
          <w:tcPr>
            <w:tcW w:w="1870" w:type="dxa"/>
            <w:tcBorders>
              <w:top w:val="single" w:sz="4" w:space="0" w:color="999999"/>
              <w:left w:val="single" w:sz="4" w:space="0" w:color="999999"/>
              <w:bottom w:val="single" w:sz="4" w:space="0" w:color="999999"/>
              <w:right w:val="single" w:sz="4" w:space="0" w:color="999999"/>
            </w:tcBorders>
          </w:tcPr>
          <w:p w14:paraId="2C9CD011" w14:textId="77777777" w:rsidR="00445D29" w:rsidRPr="00F450A5" w:rsidRDefault="00D316A5">
            <w:pPr>
              <w:widowControl w:val="0"/>
              <w:spacing w:before="79" w:line="240" w:lineRule="auto"/>
              <w:ind w:left="12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Narrative review</w:t>
            </w:r>
          </w:p>
        </w:tc>
        <w:tc>
          <w:tcPr>
            <w:tcW w:w="1871" w:type="dxa"/>
            <w:tcBorders>
              <w:top w:val="single" w:sz="4" w:space="0" w:color="999999"/>
              <w:left w:val="single" w:sz="4" w:space="0" w:color="999999"/>
              <w:bottom w:val="single" w:sz="4" w:space="0" w:color="999999"/>
            </w:tcBorders>
          </w:tcPr>
          <w:p w14:paraId="16E6F02C" w14:textId="77777777" w:rsidR="00445D29" w:rsidRPr="00F450A5" w:rsidRDefault="00D316A5">
            <w:pPr>
              <w:widowControl w:val="0"/>
              <w:spacing w:before="79" w:line="261" w:lineRule="auto"/>
              <w:ind w:left="120" w:right="490"/>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Synthesis of underserved PGx literature</w:t>
            </w:r>
          </w:p>
        </w:tc>
      </w:tr>
      <w:tr w:rsidR="00445D29" w:rsidRPr="00F450A5" w14:paraId="4806E7BB" w14:textId="77777777">
        <w:trPr>
          <w:trHeight w:val="609"/>
        </w:trPr>
        <w:tc>
          <w:tcPr>
            <w:tcW w:w="1870" w:type="dxa"/>
            <w:tcBorders>
              <w:top w:val="single" w:sz="4" w:space="0" w:color="999999"/>
              <w:right w:val="single" w:sz="4" w:space="0" w:color="999999"/>
            </w:tcBorders>
          </w:tcPr>
          <w:p w14:paraId="5C54668B" w14:textId="77777777" w:rsidR="00445D29" w:rsidRPr="00F450A5" w:rsidRDefault="00D316A5">
            <w:pPr>
              <w:widowControl w:val="0"/>
              <w:spacing w:before="79" w:line="240" w:lineRule="auto"/>
              <w:ind w:left="119"/>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Mohamed et al. (2026) </w:t>
            </w:r>
          </w:p>
        </w:tc>
        <w:tc>
          <w:tcPr>
            <w:tcW w:w="1871" w:type="dxa"/>
            <w:tcBorders>
              <w:top w:val="single" w:sz="4" w:space="0" w:color="999999"/>
              <w:left w:val="single" w:sz="4" w:space="0" w:color="999999"/>
              <w:right w:val="single" w:sz="4" w:space="0" w:color="999999"/>
            </w:tcBorders>
          </w:tcPr>
          <w:p w14:paraId="2CEEB9DD" w14:textId="77777777" w:rsidR="00445D29" w:rsidRPr="00F450A5" w:rsidRDefault="00D316A5">
            <w:pPr>
              <w:widowControl w:val="0"/>
              <w:spacing w:before="79"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Rural/underserved</w:t>
            </w:r>
          </w:p>
        </w:tc>
        <w:tc>
          <w:tcPr>
            <w:tcW w:w="1873" w:type="dxa"/>
            <w:tcBorders>
              <w:top w:val="single" w:sz="4" w:space="0" w:color="999999"/>
              <w:left w:val="single" w:sz="4" w:space="0" w:color="999999"/>
              <w:right w:val="single" w:sz="4" w:space="0" w:color="999999"/>
            </w:tcBorders>
          </w:tcPr>
          <w:p w14:paraId="5D5D252E" w14:textId="77777777" w:rsidR="00445D29" w:rsidRPr="00F450A5" w:rsidRDefault="00D316A5">
            <w:pPr>
              <w:widowControl w:val="0"/>
              <w:spacing w:before="79" w:line="240" w:lineRule="auto"/>
              <w:ind w:left="12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Working pharmacists</w:t>
            </w:r>
          </w:p>
        </w:tc>
        <w:tc>
          <w:tcPr>
            <w:tcW w:w="1870" w:type="dxa"/>
            <w:tcBorders>
              <w:top w:val="single" w:sz="4" w:space="0" w:color="999999"/>
              <w:left w:val="single" w:sz="4" w:space="0" w:color="999999"/>
              <w:right w:val="single" w:sz="4" w:space="0" w:color="999999"/>
            </w:tcBorders>
          </w:tcPr>
          <w:p w14:paraId="59684401" w14:textId="77777777" w:rsidR="00445D29" w:rsidRPr="00F450A5" w:rsidRDefault="00D316A5">
            <w:pPr>
              <w:widowControl w:val="0"/>
              <w:spacing w:before="79" w:line="259" w:lineRule="auto"/>
              <w:ind w:left="120" w:right="8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Educational intervention</w:t>
            </w:r>
          </w:p>
        </w:tc>
        <w:tc>
          <w:tcPr>
            <w:tcW w:w="1871" w:type="dxa"/>
            <w:tcBorders>
              <w:top w:val="single" w:sz="4" w:space="0" w:color="999999"/>
              <w:left w:val="single" w:sz="4" w:space="0" w:color="999999"/>
            </w:tcBorders>
          </w:tcPr>
          <w:p w14:paraId="1005C297" w14:textId="77777777" w:rsidR="00445D29" w:rsidRPr="00F450A5" w:rsidRDefault="00D316A5">
            <w:pPr>
              <w:widowControl w:val="0"/>
              <w:spacing w:before="79" w:line="259" w:lineRule="auto"/>
              <w:ind w:left="120" w:right="111"/>
              <w:rPr>
                <w:rFonts w:ascii="Times New Roman" w:eastAsia="Times New Roman" w:hAnsi="Times New Roman" w:cs="Times New Roman"/>
                <w:sz w:val="18"/>
                <w:szCs w:val="18"/>
              </w:rPr>
            </w:pPr>
            <w:r w:rsidRPr="00F450A5">
              <w:rPr>
                <w:rFonts w:ascii="Times New Roman" w:eastAsia="Times New Roman" w:hAnsi="Times New Roman" w:cs="Times New Roman"/>
                <w:sz w:val="18"/>
                <w:szCs w:val="18"/>
              </w:rPr>
              <w:t xml:space="preserve">PGx knowledge gains in </w:t>
            </w:r>
            <w:r w:rsidRPr="00F450A5">
              <w:rPr>
                <w:rFonts w:ascii="Times New Roman" w:eastAsia="Times New Roman" w:hAnsi="Times New Roman" w:cs="Times New Roman"/>
                <w:sz w:val="18"/>
                <w:szCs w:val="18"/>
              </w:rPr>
              <w:t>rural workforce</w:t>
            </w:r>
          </w:p>
        </w:tc>
      </w:tr>
    </w:tbl>
    <w:p w14:paraId="4BF4D8B5" w14:textId="77777777" w:rsidR="00445D29" w:rsidRPr="00F450A5" w:rsidRDefault="00445D29">
      <w:pPr>
        <w:widowControl w:val="0"/>
        <w:spacing w:before="79" w:line="259" w:lineRule="auto"/>
        <w:ind w:left="120"/>
        <w:rPr>
          <w:rFonts w:ascii="Times New Roman" w:eastAsia="Times New Roman" w:hAnsi="Times New Roman" w:cs="Times New Roman"/>
          <w:sz w:val="24"/>
          <w:szCs w:val="24"/>
        </w:rPr>
      </w:pPr>
    </w:p>
    <w:p w14:paraId="0B2A878D" w14:textId="77777777" w:rsidR="00445D29" w:rsidRPr="00F450A5" w:rsidRDefault="00D316A5">
      <w:pPr>
        <w:pStyle w:val="Heading2"/>
        <w:keepNext w:val="0"/>
        <w:keepLines w:val="0"/>
        <w:widowControl w:val="0"/>
        <w:tabs>
          <w:tab w:val="left" w:pos="360"/>
        </w:tabs>
        <w:spacing w:before="0"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t>3.2 Thematic Clusters</w:t>
      </w:r>
    </w:p>
    <w:p w14:paraId="799EDFFF" w14:textId="77777777" w:rsidR="00445D29" w:rsidRPr="00F450A5" w:rsidRDefault="00D316A5">
      <w:pPr>
        <w:widowControl w:val="0"/>
        <w:spacing w:before="180" w:line="360" w:lineRule="auto"/>
        <w:ind w:right="358"/>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The 18 included studies fell into five overlapping thematic clusters, each representing a distinct approach to rural and underserved PGx implementation.</w:t>
      </w:r>
    </w:p>
    <w:p w14:paraId="5F04272E" w14:textId="77777777" w:rsidR="00445D29" w:rsidRPr="00F450A5" w:rsidRDefault="00445D29">
      <w:pPr>
        <w:widowControl w:val="0"/>
        <w:spacing w:before="3" w:line="240" w:lineRule="auto"/>
        <w:rPr>
          <w:rFonts w:ascii="Times New Roman" w:eastAsia="Times New Roman" w:hAnsi="Times New Roman" w:cs="Times New Roman"/>
          <w:sz w:val="24"/>
          <w:szCs w:val="24"/>
        </w:rPr>
      </w:pPr>
    </w:p>
    <w:p w14:paraId="3D5FFF21" w14:textId="77777777" w:rsidR="00445D29" w:rsidRPr="00F450A5" w:rsidRDefault="00D316A5">
      <w:pPr>
        <w:pStyle w:val="Heading2"/>
        <w:keepNext w:val="0"/>
        <w:keepLines w:val="0"/>
        <w:widowControl w:val="0"/>
        <w:tabs>
          <w:tab w:val="left" w:pos="540"/>
        </w:tabs>
        <w:spacing w:before="0"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t>3.2.1 Workforce Education Programs</w:t>
      </w:r>
    </w:p>
    <w:p w14:paraId="26CB72A7" w14:textId="77777777" w:rsidR="00445D29" w:rsidRPr="00F450A5" w:rsidRDefault="00D316A5">
      <w:pPr>
        <w:widowControl w:val="0"/>
        <w:spacing w:before="183" w:line="360" w:lineRule="auto"/>
        <w:ind w:right="353"/>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Three studies described formal educational programs aimed at building PGx competency among healthcare workers in rural and underserved settings (Brown et al., 2022; Dorfman et al., 2015; Mohamed et al., 2026). Brown et al. (2022) developed and evaluated a </w:t>
      </w:r>
      <w:r w:rsidRPr="00F450A5">
        <w:rPr>
          <w:rFonts w:ascii="Times New Roman" w:eastAsia="Times New Roman" w:hAnsi="Times New Roman" w:cs="Times New Roman"/>
          <w:sz w:val="24"/>
          <w:szCs w:val="24"/>
        </w:rPr>
        <w:t xml:space="preserve">PGx training program for pharmacists in rural Minnesota, demonstrating significant improvements in knowledge scores and self-reported confidence following the intervention. A 2026 follow-up expansion program similarly reported high impact on PGx knowledge </w:t>
      </w:r>
      <w:r w:rsidRPr="00F450A5">
        <w:rPr>
          <w:rFonts w:ascii="Times New Roman" w:eastAsia="Times New Roman" w:hAnsi="Times New Roman" w:cs="Times New Roman"/>
          <w:sz w:val="24"/>
          <w:szCs w:val="24"/>
        </w:rPr>
        <w:t xml:space="preserve">among pharmacists in </w:t>
      </w:r>
      <w:r w:rsidRPr="00F450A5">
        <w:rPr>
          <w:rFonts w:ascii="Times New Roman" w:eastAsia="Times New Roman" w:hAnsi="Times New Roman" w:cs="Times New Roman"/>
          <w:sz w:val="24"/>
          <w:szCs w:val="24"/>
        </w:rPr>
        <w:lastRenderedPageBreak/>
        <w:t>rural and underserved practice settings, with increased likelihood of implementation after training (Mohamed et al., 2026). These programs addressed a foundational barrier: the knowledge gap that prevents rural providers from ordering,</w:t>
      </w:r>
      <w:r w:rsidRPr="00F450A5">
        <w:rPr>
          <w:rFonts w:ascii="Times New Roman" w:eastAsia="Times New Roman" w:hAnsi="Times New Roman" w:cs="Times New Roman"/>
          <w:sz w:val="24"/>
          <w:szCs w:val="24"/>
        </w:rPr>
        <w:t xml:space="preserve"> interpreting, or acting on PGx results. However, educational outcomes do not directly measure patient-level clinical benefit.</w:t>
      </w:r>
    </w:p>
    <w:p w14:paraId="65FA2617" w14:textId="77777777" w:rsidR="00445D29" w:rsidRPr="00F450A5" w:rsidRDefault="00445D29">
      <w:pPr>
        <w:widowControl w:val="0"/>
        <w:spacing w:before="2" w:line="240" w:lineRule="auto"/>
        <w:rPr>
          <w:rFonts w:ascii="Times New Roman" w:eastAsia="Times New Roman" w:hAnsi="Times New Roman" w:cs="Times New Roman"/>
          <w:sz w:val="24"/>
          <w:szCs w:val="24"/>
        </w:rPr>
      </w:pPr>
    </w:p>
    <w:p w14:paraId="48942DC0" w14:textId="77777777" w:rsidR="00445D29" w:rsidRPr="00F450A5" w:rsidRDefault="00D316A5">
      <w:pPr>
        <w:pStyle w:val="Heading2"/>
        <w:keepNext w:val="0"/>
        <w:keepLines w:val="0"/>
        <w:widowControl w:val="0"/>
        <w:tabs>
          <w:tab w:val="left" w:pos="540"/>
        </w:tabs>
        <w:spacing w:before="0" w:after="0" w:line="240" w:lineRule="auto"/>
        <w:jc w:val="both"/>
        <w:rPr>
          <w:rFonts w:ascii="Times New Roman" w:eastAsia="Times New Roman" w:hAnsi="Times New Roman" w:cs="Times New Roman"/>
          <w:b/>
          <w:bCs/>
          <w:sz w:val="24"/>
          <w:szCs w:val="24"/>
        </w:rPr>
      </w:pPr>
      <w:bookmarkStart w:id="9" w:name="_heading=h.41axb8vinuwf" w:colFirst="0" w:colLast="0"/>
      <w:bookmarkEnd w:id="9"/>
      <w:r w:rsidRPr="00F450A5">
        <w:rPr>
          <w:rFonts w:ascii="Times New Roman" w:eastAsia="Times New Roman" w:hAnsi="Times New Roman" w:cs="Times New Roman"/>
          <w:b/>
          <w:bCs/>
          <w:sz w:val="24"/>
          <w:szCs w:val="24"/>
        </w:rPr>
        <w:t>3.2.2 Pharmacist-Led Clinical Service Models</w:t>
      </w:r>
    </w:p>
    <w:p w14:paraId="77AC0014" w14:textId="77777777" w:rsidR="00445D29" w:rsidRPr="00F450A5" w:rsidRDefault="00D316A5">
      <w:pPr>
        <w:widowControl w:val="0"/>
        <w:spacing w:before="182" w:line="360" w:lineRule="auto"/>
        <w:ind w:right="356"/>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Five studies described pharmacist-led PGx clinical services operating in rural or u</w:t>
      </w:r>
      <w:r w:rsidRPr="00F450A5">
        <w:rPr>
          <w:rFonts w:ascii="Times New Roman" w:eastAsia="Times New Roman" w:hAnsi="Times New Roman" w:cs="Times New Roman"/>
          <w:sz w:val="24"/>
          <w:szCs w:val="24"/>
        </w:rPr>
        <w:t xml:space="preserve">nderserved settings including Van </w:t>
      </w:r>
      <w:proofErr w:type="spellStart"/>
      <w:r w:rsidRPr="00F450A5">
        <w:rPr>
          <w:rFonts w:ascii="Times New Roman" w:eastAsia="Times New Roman" w:hAnsi="Times New Roman" w:cs="Times New Roman"/>
          <w:sz w:val="24"/>
          <w:szCs w:val="24"/>
        </w:rPr>
        <w:t>Heukelom</w:t>
      </w:r>
      <w:proofErr w:type="spellEnd"/>
      <w:r w:rsidRPr="00F450A5">
        <w:rPr>
          <w:rFonts w:ascii="Times New Roman" w:eastAsia="Times New Roman" w:hAnsi="Times New Roman" w:cs="Times New Roman"/>
          <w:sz w:val="24"/>
          <w:szCs w:val="24"/>
        </w:rPr>
        <w:t xml:space="preserve"> et al. (2023) and Natasha Petry et al. (2019) studies. The Sanford </w:t>
      </w:r>
      <w:proofErr w:type="spellStart"/>
      <w:r w:rsidRPr="00F450A5">
        <w:rPr>
          <w:rFonts w:ascii="Times New Roman" w:eastAsia="Times New Roman" w:hAnsi="Times New Roman" w:cs="Times New Roman"/>
          <w:sz w:val="24"/>
          <w:szCs w:val="24"/>
        </w:rPr>
        <w:t>Imagenetics</w:t>
      </w:r>
      <w:proofErr w:type="spellEnd"/>
      <w:r w:rsidRPr="00F450A5">
        <w:rPr>
          <w:rFonts w:ascii="Times New Roman" w:eastAsia="Times New Roman" w:hAnsi="Times New Roman" w:cs="Times New Roman"/>
          <w:sz w:val="24"/>
          <w:szCs w:val="24"/>
        </w:rPr>
        <w:t xml:space="preserve"> program, operating across a multi-state rural health system in the upper Midwest, represents the largest-scale example, with descripti</w:t>
      </w:r>
      <w:r w:rsidRPr="00F450A5">
        <w:rPr>
          <w:rFonts w:ascii="Times New Roman" w:eastAsia="Times New Roman" w:hAnsi="Times New Roman" w:cs="Times New Roman"/>
          <w:sz w:val="24"/>
          <w:szCs w:val="24"/>
        </w:rPr>
        <w:t xml:space="preserve">ve reporting of clinical workflow, EHR integration, and patient volume (Van </w:t>
      </w:r>
      <w:proofErr w:type="spellStart"/>
      <w:r w:rsidRPr="00F450A5">
        <w:rPr>
          <w:rFonts w:ascii="Times New Roman" w:eastAsia="Times New Roman" w:hAnsi="Times New Roman" w:cs="Times New Roman"/>
          <w:sz w:val="24"/>
          <w:szCs w:val="24"/>
        </w:rPr>
        <w:t>Heukelom</w:t>
      </w:r>
      <w:proofErr w:type="spellEnd"/>
      <w:r w:rsidRPr="00F450A5">
        <w:rPr>
          <w:rFonts w:ascii="Times New Roman" w:eastAsia="Times New Roman" w:hAnsi="Times New Roman" w:cs="Times New Roman"/>
          <w:sz w:val="24"/>
          <w:szCs w:val="24"/>
        </w:rPr>
        <w:t xml:space="preserve"> et al., 2023). A 2024 outcomes analysis from Sanford reported the impact of CYP2C19 and CYP2D6 genotyping on antidepressant use in this rural population, one of the few in</w:t>
      </w:r>
      <w:r w:rsidRPr="00F450A5">
        <w:rPr>
          <w:rFonts w:ascii="Times New Roman" w:eastAsia="Times New Roman" w:hAnsi="Times New Roman" w:cs="Times New Roman"/>
          <w:sz w:val="24"/>
          <w:szCs w:val="24"/>
        </w:rPr>
        <w:t xml:space="preserve">cluded studies to report quantitative clinical outcomes (Petry et al., 2024). Alghamdi et al. (2025) study demonstrated feasibility of a multidisciplinary PGx service within an underserved integrated behavioral health clinic in Texas. Martin et al. (2022) </w:t>
      </w:r>
      <w:r w:rsidRPr="00F450A5">
        <w:rPr>
          <w:rFonts w:ascii="Times New Roman" w:eastAsia="Times New Roman" w:hAnsi="Times New Roman" w:cs="Times New Roman"/>
          <w:sz w:val="24"/>
          <w:szCs w:val="24"/>
        </w:rPr>
        <w:t>reported patient perspectives on a pharmacist-provided clinical pharmacogenomics service in Colorado. These studies collectively establish that pharmacist-led models are feasible across diverse institutional settings.</w:t>
      </w:r>
    </w:p>
    <w:p w14:paraId="1C8BFD99" w14:textId="77777777" w:rsidR="00445D29" w:rsidRPr="00F450A5" w:rsidRDefault="00445D29">
      <w:pPr>
        <w:widowControl w:val="0"/>
        <w:spacing w:before="4" w:line="240" w:lineRule="auto"/>
        <w:rPr>
          <w:rFonts w:ascii="Times New Roman" w:eastAsia="Times New Roman" w:hAnsi="Times New Roman" w:cs="Times New Roman"/>
          <w:sz w:val="24"/>
          <w:szCs w:val="24"/>
        </w:rPr>
      </w:pPr>
    </w:p>
    <w:p w14:paraId="418C93A6" w14:textId="77777777" w:rsidR="00445D29" w:rsidRPr="00F450A5" w:rsidRDefault="00D316A5">
      <w:pPr>
        <w:pStyle w:val="Heading2"/>
        <w:keepNext w:val="0"/>
        <w:keepLines w:val="0"/>
        <w:widowControl w:val="0"/>
        <w:tabs>
          <w:tab w:val="left" w:pos="540"/>
        </w:tabs>
        <w:spacing w:before="0"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t>3.2.3 Community-Engaged Implementatio</w:t>
      </w:r>
      <w:r w:rsidRPr="00F450A5">
        <w:rPr>
          <w:rFonts w:ascii="Times New Roman" w:eastAsia="Times New Roman" w:hAnsi="Times New Roman" w:cs="Times New Roman"/>
          <w:b/>
          <w:bCs/>
          <w:sz w:val="24"/>
          <w:szCs w:val="24"/>
        </w:rPr>
        <w:t>n with Indigenous and Tribal Populations</w:t>
      </w:r>
    </w:p>
    <w:p w14:paraId="49092291" w14:textId="77777777" w:rsidR="00445D29" w:rsidRPr="00F450A5" w:rsidRDefault="00D316A5">
      <w:pPr>
        <w:widowControl w:val="0"/>
        <w:spacing w:before="181" w:line="360" w:lineRule="auto"/>
        <w:ind w:right="353"/>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Four studies addressed PGx implementation in Indigenous and tribal communities (Morales et al., 2016; Frigon et al., 2019; Frigon et al., 2019; Claw et al., 2024). </w:t>
      </w:r>
      <w:proofErr w:type="spellStart"/>
      <w:r w:rsidRPr="00F450A5">
        <w:rPr>
          <w:rFonts w:ascii="Times New Roman" w:eastAsia="Times New Roman" w:hAnsi="Times New Roman" w:cs="Times New Roman"/>
          <w:sz w:val="24"/>
          <w:szCs w:val="24"/>
        </w:rPr>
        <w:t>Woodahl</w:t>
      </w:r>
      <w:proofErr w:type="spellEnd"/>
      <w:r w:rsidRPr="00F450A5">
        <w:rPr>
          <w:rFonts w:ascii="Times New Roman" w:eastAsia="Times New Roman" w:hAnsi="Times New Roman" w:cs="Times New Roman"/>
          <w:sz w:val="24"/>
          <w:szCs w:val="24"/>
        </w:rPr>
        <w:t xml:space="preserve"> and colleagues at the University of Montana</w:t>
      </w:r>
      <w:r w:rsidRPr="00F450A5">
        <w:rPr>
          <w:rFonts w:ascii="Times New Roman" w:eastAsia="Times New Roman" w:hAnsi="Times New Roman" w:cs="Times New Roman"/>
          <w:sz w:val="24"/>
          <w:szCs w:val="24"/>
        </w:rPr>
        <w:t>, in partnership with the Confederated Salish and Kootenai Tribes, have developed community-engaged research approaches grounded in tribal sovereignty and participatory principles (Morales et al., 2016; Fohner et al., 2019; Claw et al., 2024). A 2024 Natur</w:t>
      </w:r>
      <w:r w:rsidRPr="00F450A5">
        <w:rPr>
          <w:rFonts w:ascii="Times New Roman" w:eastAsia="Times New Roman" w:hAnsi="Times New Roman" w:cs="Times New Roman"/>
          <w:sz w:val="24"/>
          <w:szCs w:val="24"/>
        </w:rPr>
        <w:t>e Communications publication articulated a framework for implementing community-engaged pharmacogenomics in Indigenous communities, emphasizing the ethical and methodological considerations required (Claw et al., 2024). This cluster highlights a critical d</w:t>
      </w:r>
      <w:r w:rsidRPr="00F450A5">
        <w:rPr>
          <w:rFonts w:ascii="Times New Roman" w:eastAsia="Times New Roman" w:hAnsi="Times New Roman" w:cs="Times New Roman"/>
          <w:sz w:val="24"/>
          <w:szCs w:val="24"/>
        </w:rPr>
        <w:t>imension of rural PGx implementation: meaningful engagement with communities historically excluded from genomic research requires more than geographic access; it requires relationship-based partnership and respect for community data sovereignty.</w:t>
      </w:r>
    </w:p>
    <w:p w14:paraId="7E7FF7A7" w14:textId="77777777" w:rsidR="00445D29" w:rsidRPr="00F450A5" w:rsidRDefault="00445D29">
      <w:pPr>
        <w:widowControl w:val="0"/>
        <w:spacing w:before="4" w:line="240" w:lineRule="auto"/>
        <w:rPr>
          <w:rFonts w:ascii="Times New Roman" w:eastAsia="Times New Roman" w:hAnsi="Times New Roman" w:cs="Times New Roman"/>
          <w:sz w:val="24"/>
          <w:szCs w:val="24"/>
        </w:rPr>
      </w:pPr>
    </w:p>
    <w:p w14:paraId="0E4CBFDA" w14:textId="77777777" w:rsidR="00445D29" w:rsidRPr="00F450A5" w:rsidRDefault="00D316A5">
      <w:pPr>
        <w:pStyle w:val="Heading2"/>
        <w:keepNext w:val="0"/>
        <w:keepLines w:val="0"/>
        <w:widowControl w:val="0"/>
        <w:tabs>
          <w:tab w:val="left" w:pos="540"/>
        </w:tabs>
        <w:spacing w:before="0"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lastRenderedPageBreak/>
        <w:t>3.2.4 Fed</w:t>
      </w:r>
      <w:r w:rsidRPr="00F450A5">
        <w:rPr>
          <w:rFonts w:ascii="Times New Roman" w:eastAsia="Times New Roman" w:hAnsi="Times New Roman" w:cs="Times New Roman"/>
          <w:b/>
          <w:bCs/>
          <w:sz w:val="24"/>
          <w:szCs w:val="24"/>
        </w:rPr>
        <w:t>erally Qualified Health Center and Primary Care Pilots</w:t>
      </w:r>
    </w:p>
    <w:p w14:paraId="3168BD2D" w14:textId="77777777" w:rsidR="00445D29" w:rsidRPr="00F450A5" w:rsidRDefault="00D316A5">
      <w:pPr>
        <w:widowControl w:val="0"/>
        <w:spacing w:before="180" w:line="360" w:lineRule="auto"/>
        <w:ind w:right="355"/>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Three studies addressed PGx implementation in FQHCs or rural primary care (Dressler et al., 2019; Shugg et al., 2024; Gawronski et al., 2025). Dressler et al. conducted a pilot feasibility study in </w:t>
      </w:r>
      <w:r w:rsidRPr="00F450A5">
        <w:rPr>
          <w:rFonts w:ascii="Times New Roman" w:eastAsia="Times New Roman" w:hAnsi="Times New Roman" w:cs="Times New Roman"/>
          <w:sz w:val="24"/>
          <w:szCs w:val="24"/>
        </w:rPr>
        <w:t>rural primary care practices in North Carolina, reporting that 30% of tested patients had polymorphisms relevant to their current medications (Dressler et al., 2019). A feasibility study in an FQHC affiliated with an academic medical center in Chicago demo</w:t>
      </w:r>
      <w:r w:rsidRPr="00F450A5">
        <w:rPr>
          <w:rFonts w:ascii="Times New Roman" w:eastAsia="Times New Roman" w:hAnsi="Times New Roman" w:cs="Times New Roman"/>
          <w:sz w:val="24"/>
          <w:szCs w:val="24"/>
        </w:rPr>
        <w:t>nstrated that participatory genomic testing and classroom education could effectively disseminate PGx concepts to providers and community members (Shugg et al., 2024). In Gawronski et al. (2025) narrative review the broader medically underserved PGx litera</w:t>
      </w:r>
      <w:r w:rsidRPr="00F450A5">
        <w:rPr>
          <w:rFonts w:ascii="Times New Roman" w:eastAsia="Times New Roman" w:hAnsi="Times New Roman" w:cs="Times New Roman"/>
          <w:sz w:val="24"/>
          <w:szCs w:val="24"/>
        </w:rPr>
        <w:t>ture was synthesized, which includes overlap with the rural focus but extends to urban underserved populations.</w:t>
      </w:r>
    </w:p>
    <w:p w14:paraId="1A2E3CEB" w14:textId="77777777" w:rsidR="00445D29" w:rsidRPr="00F450A5" w:rsidRDefault="00445D29">
      <w:pPr>
        <w:widowControl w:val="0"/>
        <w:spacing w:before="3" w:line="240" w:lineRule="auto"/>
        <w:rPr>
          <w:rFonts w:ascii="Times New Roman" w:eastAsia="Times New Roman" w:hAnsi="Times New Roman" w:cs="Times New Roman"/>
          <w:sz w:val="24"/>
          <w:szCs w:val="24"/>
        </w:rPr>
      </w:pPr>
    </w:p>
    <w:p w14:paraId="7AE3C77A" w14:textId="77777777" w:rsidR="00445D29" w:rsidRPr="00F450A5" w:rsidRDefault="00D316A5">
      <w:pPr>
        <w:pStyle w:val="Heading2"/>
        <w:keepNext w:val="0"/>
        <w:keepLines w:val="0"/>
        <w:widowControl w:val="0"/>
        <w:tabs>
          <w:tab w:val="left" w:pos="540"/>
        </w:tabs>
        <w:spacing w:before="0" w:after="0" w:line="240" w:lineRule="auto"/>
        <w:jc w:val="both"/>
        <w:rPr>
          <w:rFonts w:ascii="Times New Roman" w:eastAsia="Times New Roman" w:hAnsi="Times New Roman" w:cs="Times New Roman"/>
          <w:b/>
          <w:bCs/>
          <w:sz w:val="24"/>
          <w:szCs w:val="24"/>
        </w:rPr>
      </w:pPr>
      <w:bookmarkStart w:id="10" w:name="_heading=h.1ek3l41qx43a" w:colFirst="0" w:colLast="0"/>
      <w:bookmarkEnd w:id="10"/>
      <w:r w:rsidRPr="00F450A5">
        <w:rPr>
          <w:rFonts w:ascii="Times New Roman" w:eastAsia="Times New Roman" w:hAnsi="Times New Roman" w:cs="Times New Roman"/>
          <w:b/>
          <w:bCs/>
          <w:sz w:val="24"/>
          <w:szCs w:val="24"/>
        </w:rPr>
        <w:t>3.2.5 Informatics Infrastructure Assessments</w:t>
      </w:r>
    </w:p>
    <w:p w14:paraId="0F6897CC" w14:textId="77777777" w:rsidR="00445D29" w:rsidRPr="00F450A5" w:rsidRDefault="00D316A5">
      <w:pPr>
        <w:widowControl w:val="0"/>
        <w:spacing w:before="183" w:line="360" w:lineRule="auto"/>
        <w:ind w:right="359"/>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Two studies assessed the informatics infrastructure available to support PGx implementation in rur</w:t>
      </w:r>
      <w:r w:rsidRPr="00F450A5">
        <w:rPr>
          <w:rFonts w:ascii="Times New Roman" w:eastAsia="Times New Roman" w:hAnsi="Times New Roman" w:cs="Times New Roman"/>
          <w:sz w:val="24"/>
          <w:szCs w:val="24"/>
        </w:rPr>
        <w:t>al and resource-limited settings (Bosic-Reiniger et al., 2024; Fohner et al., 2019).  Bosic-Reiniger et al., using the Consolidated Framework for Implementation Research (CFIR), conducted qualitative interviews with clinicians and informatics personnel acr</w:t>
      </w:r>
      <w:r w:rsidRPr="00F450A5">
        <w:rPr>
          <w:rFonts w:ascii="Times New Roman" w:eastAsia="Times New Roman" w:hAnsi="Times New Roman" w:cs="Times New Roman"/>
          <w:sz w:val="24"/>
          <w:szCs w:val="24"/>
        </w:rPr>
        <w:t>oss resource-limited institutions in Colorado and Montana, identifying specific barriers in EHR infrastructure, PGx clinical decision support tools, and institutional resources. This work is particularly important because it quantifies a dimension of the i</w:t>
      </w:r>
      <w:r w:rsidRPr="00F450A5">
        <w:rPr>
          <w:rFonts w:ascii="Times New Roman" w:eastAsia="Times New Roman" w:hAnsi="Times New Roman" w:cs="Times New Roman"/>
          <w:sz w:val="24"/>
          <w:szCs w:val="24"/>
        </w:rPr>
        <w:t>mplementation challenge that is often assumed but rarely measured.</w:t>
      </w:r>
    </w:p>
    <w:p w14:paraId="3A9425FB" w14:textId="77777777" w:rsidR="00445D29" w:rsidRPr="00F450A5" w:rsidRDefault="00445D29">
      <w:pPr>
        <w:widowControl w:val="0"/>
        <w:spacing w:before="4" w:line="240" w:lineRule="auto"/>
        <w:rPr>
          <w:rFonts w:ascii="Times New Roman" w:eastAsia="Times New Roman" w:hAnsi="Times New Roman" w:cs="Times New Roman"/>
          <w:sz w:val="24"/>
          <w:szCs w:val="24"/>
        </w:rPr>
      </w:pPr>
    </w:p>
    <w:p w14:paraId="6081E2DA" w14:textId="77777777" w:rsidR="00445D29" w:rsidRPr="00F450A5" w:rsidRDefault="00D316A5">
      <w:pPr>
        <w:pStyle w:val="Heading2"/>
        <w:keepNext w:val="0"/>
        <w:keepLines w:val="0"/>
        <w:widowControl w:val="0"/>
        <w:tabs>
          <w:tab w:val="left" w:pos="360"/>
        </w:tabs>
        <w:spacing w:before="0"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t>3.3 Implementation Strategies</w:t>
      </w:r>
    </w:p>
    <w:p w14:paraId="71E8A8C6" w14:textId="77777777" w:rsidR="00445D29" w:rsidRPr="00F450A5" w:rsidRDefault="00D316A5">
      <w:pPr>
        <w:widowControl w:val="0"/>
        <w:spacing w:before="180" w:line="360" w:lineRule="auto"/>
        <w:ind w:right="358"/>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Across the 18 studies, several implementation strategies were identified. Telehealth-based pharmacist consultation appeared in multiple studies as a cross-cut</w:t>
      </w:r>
      <w:r w:rsidRPr="00F450A5">
        <w:rPr>
          <w:rFonts w:ascii="Times New Roman" w:eastAsia="Times New Roman" w:hAnsi="Times New Roman" w:cs="Times New Roman"/>
          <w:sz w:val="24"/>
          <w:szCs w:val="24"/>
        </w:rPr>
        <w:t xml:space="preserve">ting strategy for reaching geographically distant patients (Van </w:t>
      </w:r>
      <w:proofErr w:type="spellStart"/>
      <w:r w:rsidRPr="00F450A5">
        <w:rPr>
          <w:rFonts w:ascii="Times New Roman" w:eastAsia="Times New Roman" w:hAnsi="Times New Roman" w:cs="Times New Roman"/>
          <w:sz w:val="24"/>
          <w:szCs w:val="24"/>
        </w:rPr>
        <w:t>Heukelom</w:t>
      </w:r>
      <w:proofErr w:type="spellEnd"/>
      <w:r w:rsidRPr="00F450A5">
        <w:rPr>
          <w:rFonts w:ascii="Times New Roman" w:eastAsia="Times New Roman" w:hAnsi="Times New Roman" w:cs="Times New Roman"/>
          <w:sz w:val="24"/>
          <w:szCs w:val="24"/>
        </w:rPr>
        <w:t xml:space="preserve"> et al., 2023; Leitch et al., 2022; Morales et al., 2016). On-site clinical pharmacist services, EHR-integrated clinical decision support, mail-in or in-clinic specimen collection, and</w:t>
      </w:r>
      <w:r w:rsidRPr="00F450A5">
        <w:rPr>
          <w:rFonts w:ascii="Times New Roman" w:eastAsia="Times New Roman" w:hAnsi="Times New Roman" w:cs="Times New Roman"/>
          <w:sz w:val="24"/>
          <w:szCs w:val="24"/>
        </w:rPr>
        <w:t xml:space="preserve"> community-engaged educational programming were each represented. Notably, no included study described a mobile health clinic model for specimen collection, although one study proposed (and assigned low feasibility to) such a model in rural Ontario (Silver</w:t>
      </w:r>
      <w:r w:rsidRPr="00F450A5">
        <w:rPr>
          <w:rFonts w:ascii="Times New Roman" w:eastAsia="Times New Roman" w:hAnsi="Times New Roman" w:cs="Times New Roman"/>
          <w:sz w:val="24"/>
          <w:szCs w:val="24"/>
        </w:rPr>
        <w:t xml:space="preserve"> et al., 2025). No included study explicitly tiered or stratified implementation strategy by institutional infrastructure capacity; each program was designed for its specific </w:t>
      </w:r>
      <w:r w:rsidRPr="00F450A5">
        <w:rPr>
          <w:rFonts w:ascii="Times New Roman" w:eastAsia="Times New Roman" w:hAnsi="Times New Roman" w:cs="Times New Roman"/>
          <w:sz w:val="24"/>
          <w:szCs w:val="24"/>
        </w:rPr>
        <w:lastRenderedPageBreak/>
        <w:t>institutional context.</w:t>
      </w:r>
    </w:p>
    <w:p w14:paraId="059F9D22" w14:textId="77777777" w:rsidR="00445D29" w:rsidRPr="00F450A5" w:rsidRDefault="00445D29">
      <w:pPr>
        <w:widowControl w:val="0"/>
        <w:spacing w:before="5" w:line="240" w:lineRule="auto"/>
        <w:rPr>
          <w:rFonts w:ascii="Times New Roman" w:eastAsia="Times New Roman" w:hAnsi="Times New Roman" w:cs="Times New Roman"/>
          <w:sz w:val="24"/>
          <w:szCs w:val="24"/>
        </w:rPr>
      </w:pPr>
    </w:p>
    <w:p w14:paraId="575BD5BA" w14:textId="77777777" w:rsidR="00445D29" w:rsidRPr="00F450A5" w:rsidRDefault="00D316A5">
      <w:pPr>
        <w:pStyle w:val="Heading2"/>
        <w:keepNext w:val="0"/>
        <w:keepLines w:val="0"/>
        <w:widowControl w:val="0"/>
        <w:tabs>
          <w:tab w:val="left" w:pos="360"/>
        </w:tabs>
        <w:spacing w:before="0"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t>3.4 Therapeutic Areas and Gene-Drug Pairs</w:t>
      </w:r>
    </w:p>
    <w:p w14:paraId="79231922" w14:textId="77777777" w:rsidR="00445D29" w:rsidRPr="00F450A5" w:rsidRDefault="00D316A5">
      <w:pPr>
        <w:widowControl w:val="0"/>
        <w:spacing w:before="180" w:line="360" w:lineRule="auto"/>
        <w:ind w:right="357"/>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The therapeutic</w:t>
      </w:r>
      <w:r w:rsidRPr="00F450A5">
        <w:rPr>
          <w:rFonts w:ascii="Times New Roman" w:eastAsia="Times New Roman" w:hAnsi="Times New Roman" w:cs="Times New Roman"/>
          <w:sz w:val="24"/>
          <w:szCs w:val="24"/>
        </w:rPr>
        <w:t xml:space="preserve"> focus of the included studies was heavily weighted toward psychiatric medications (antidepressants, selective serotonin reuptake inhibitors, tricyclic antidepressants) and cardiovascular medications (clopidogrel, warfarin). Analgesic applications (codeine</w:t>
      </w:r>
      <w:r w:rsidRPr="00F450A5">
        <w:rPr>
          <w:rFonts w:ascii="Times New Roman" w:eastAsia="Times New Roman" w:hAnsi="Times New Roman" w:cs="Times New Roman"/>
          <w:sz w:val="24"/>
          <w:szCs w:val="24"/>
        </w:rPr>
        <w:t>, nonsteroidal anti-inflammatory drugs) appeared in several studies. Oncology-specific applications were notably absent from the rural and underserved implementation literature; although oncology gene-drug pairs (DPYD, UGT1A1, TPMT, NUDT15) have robust CPI</w:t>
      </w:r>
      <w:r w:rsidRPr="00F450A5">
        <w:rPr>
          <w:rFonts w:ascii="Times New Roman" w:eastAsia="Times New Roman" w:hAnsi="Times New Roman" w:cs="Times New Roman"/>
          <w:sz w:val="24"/>
          <w:szCs w:val="24"/>
        </w:rPr>
        <w:t>C guidelines, no included study focused specifically on their implementation in rural or community hospital cancer care.</w:t>
      </w:r>
    </w:p>
    <w:p w14:paraId="52882204" w14:textId="77777777" w:rsidR="00445D29" w:rsidRPr="00F450A5" w:rsidRDefault="00445D29">
      <w:pPr>
        <w:widowControl w:val="0"/>
        <w:spacing w:before="4" w:line="240" w:lineRule="auto"/>
        <w:rPr>
          <w:rFonts w:ascii="Times New Roman" w:eastAsia="Times New Roman" w:hAnsi="Times New Roman" w:cs="Times New Roman"/>
          <w:sz w:val="24"/>
          <w:szCs w:val="24"/>
        </w:rPr>
      </w:pPr>
    </w:p>
    <w:p w14:paraId="4B8DC640" w14:textId="77777777" w:rsidR="00445D29" w:rsidRPr="00F450A5" w:rsidRDefault="00D316A5">
      <w:pPr>
        <w:pStyle w:val="Heading2"/>
        <w:keepNext w:val="0"/>
        <w:keepLines w:val="0"/>
        <w:widowControl w:val="0"/>
        <w:tabs>
          <w:tab w:val="left" w:pos="360"/>
        </w:tabs>
        <w:spacing w:before="0" w:after="0" w:line="240" w:lineRule="auto"/>
        <w:jc w:val="both"/>
        <w:rPr>
          <w:rFonts w:ascii="Times New Roman" w:eastAsia="Times New Roman" w:hAnsi="Times New Roman" w:cs="Times New Roman"/>
          <w:b/>
          <w:bCs/>
          <w:sz w:val="24"/>
          <w:szCs w:val="24"/>
        </w:rPr>
      </w:pPr>
      <w:bookmarkStart w:id="11" w:name="_heading=h.16aez6y4bono" w:colFirst="0" w:colLast="0"/>
      <w:bookmarkEnd w:id="11"/>
      <w:r w:rsidRPr="00F450A5">
        <w:rPr>
          <w:rFonts w:ascii="Times New Roman" w:eastAsia="Times New Roman" w:hAnsi="Times New Roman" w:cs="Times New Roman"/>
          <w:b/>
          <w:bCs/>
          <w:sz w:val="24"/>
          <w:szCs w:val="24"/>
        </w:rPr>
        <w:t>3.5 Outcomes Reported</w:t>
      </w:r>
    </w:p>
    <w:p w14:paraId="18FB5414" w14:textId="77777777" w:rsidR="00445D29" w:rsidRPr="00F450A5" w:rsidRDefault="00D316A5">
      <w:pPr>
        <w:widowControl w:val="0"/>
        <w:spacing w:before="180" w:line="360" w:lineRule="auto"/>
        <w:ind w:right="356"/>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Outcomes reported across the included studies were predominantly process and perception measures rather than pat</w:t>
      </w:r>
      <w:r w:rsidRPr="00F450A5">
        <w:rPr>
          <w:rFonts w:ascii="Times New Roman" w:eastAsia="Times New Roman" w:hAnsi="Times New Roman" w:cs="Times New Roman"/>
          <w:sz w:val="24"/>
          <w:szCs w:val="24"/>
        </w:rPr>
        <w:t xml:space="preserve">ient-level clinical outcomes. Frequently reported outcomes included: pharmacist or provider knowledge scores before and after education (5 studies); qualitative themes from interviews with patients, providers, or community members (6 studies); feasibility </w:t>
      </w:r>
      <w:r w:rsidRPr="00F450A5">
        <w:rPr>
          <w:rFonts w:ascii="Times New Roman" w:eastAsia="Times New Roman" w:hAnsi="Times New Roman" w:cs="Times New Roman"/>
          <w:sz w:val="24"/>
          <w:szCs w:val="24"/>
        </w:rPr>
        <w:t>metrics such as patient enrollment, test completion, and result return (5 studies); and descriptive clinical service metrics such as number of patients served or consults performed (4 studies).</w:t>
      </w:r>
    </w:p>
    <w:p w14:paraId="7CD53A09" w14:textId="77777777" w:rsidR="00445D29" w:rsidRPr="00F450A5" w:rsidRDefault="00D316A5">
      <w:pPr>
        <w:widowControl w:val="0"/>
        <w:spacing w:before="199" w:line="360" w:lineRule="auto"/>
        <w:ind w:right="357"/>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Clinical outcomes directly attributable to PGx-guided </w:t>
      </w:r>
      <w:r w:rsidRPr="00F450A5">
        <w:rPr>
          <w:rFonts w:ascii="Times New Roman" w:eastAsia="Times New Roman" w:hAnsi="Times New Roman" w:cs="Times New Roman"/>
          <w:sz w:val="24"/>
          <w:szCs w:val="24"/>
        </w:rPr>
        <w:t xml:space="preserve">prescribing, such as adverse drug reaction rates, hospitalization rates, medication adherence, or treatment response, were reported in only two of the 18 included studies (Dressler et al., 2019; Petry et al., 2024). Cost-effectiveness or economic outcomes </w:t>
      </w:r>
      <w:r w:rsidRPr="00F450A5">
        <w:rPr>
          <w:rFonts w:ascii="Times New Roman" w:eastAsia="Times New Roman" w:hAnsi="Times New Roman" w:cs="Times New Roman"/>
          <w:sz w:val="24"/>
          <w:szCs w:val="24"/>
        </w:rPr>
        <w:t>specific to rural or underserved implementation were not reported in any included study. This represents a substantial evidence gap.</w:t>
      </w:r>
    </w:p>
    <w:p w14:paraId="1B206302" w14:textId="77777777" w:rsidR="00445D29" w:rsidRPr="00F450A5" w:rsidRDefault="00445D29">
      <w:pPr>
        <w:widowControl w:val="0"/>
        <w:spacing w:before="199" w:line="360" w:lineRule="auto"/>
        <w:ind w:right="357"/>
        <w:jc w:val="both"/>
        <w:rPr>
          <w:rFonts w:ascii="Times New Roman" w:eastAsia="Times New Roman" w:hAnsi="Times New Roman" w:cs="Times New Roman"/>
          <w:sz w:val="24"/>
          <w:szCs w:val="24"/>
        </w:rPr>
      </w:pPr>
    </w:p>
    <w:p w14:paraId="44830165" w14:textId="77777777" w:rsidR="00445D29" w:rsidRPr="00F450A5" w:rsidRDefault="00D316A5">
      <w:pPr>
        <w:pStyle w:val="Heading1"/>
        <w:keepNext w:val="0"/>
        <w:keepLines w:val="0"/>
        <w:widowControl w:val="0"/>
        <w:numPr>
          <w:ilvl w:val="0"/>
          <w:numId w:val="2"/>
        </w:numPr>
        <w:tabs>
          <w:tab w:val="left" w:pos="279"/>
        </w:tabs>
        <w:spacing w:before="0" w:after="0" w:line="240" w:lineRule="auto"/>
        <w:jc w:val="both"/>
        <w:rPr>
          <w:rFonts w:ascii="Times New Roman" w:eastAsia="Times New Roman" w:hAnsi="Times New Roman" w:cs="Times New Roman"/>
          <w:b/>
          <w:bCs/>
          <w:sz w:val="28"/>
          <w:szCs w:val="28"/>
        </w:rPr>
      </w:pPr>
      <w:r w:rsidRPr="00F450A5">
        <w:rPr>
          <w:rFonts w:ascii="Times New Roman" w:eastAsia="Times New Roman" w:hAnsi="Times New Roman" w:cs="Times New Roman"/>
          <w:b/>
          <w:bCs/>
          <w:sz w:val="28"/>
          <w:szCs w:val="28"/>
        </w:rPr>
        <w:t>Discussion</w:t>
      </w:r>
    </w:p>
    <w:p w14:paraId="70D945F9" w14:textId="77777777" w:rsidR="00445D29" w:rsidRPr="00F450A5" w:rsidRDefault="00D316A5">
      <w:pPr>
        <w:pStyle w:val="Heading2"/>
        <w:keepNext w:val="0"/>
        <w:keepLines w:val="0"/>
        <w:widowControl w:val="0"/>
        <w:tabs>
          <w:tab w:val="left" w:pos="360"/>
        </w:tabs>
        <w:spacing w:before="277" w:after="0" w:line="24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t>4.1 Summary of Key Findings</w:t>
      </w:r>
    </w:p>
    <w:p w14:paraId="5A5E49D5" w14:textId="77777777" w:rsidR="00445D29" w:rsidRPr="00F450A5" w:rsidRDefault="00D316A5">
      <w:pPr>
        <w:widowControl w:val="0"/>
        <w:spacing w:before="183" w:line="360" w:lineRule="auto"/>
        <w:ind w:right="357"/>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This scoping review identified 18 studies describing PGx implementation in rural an</w:t>
      </w:r>
      <w:r w:rsidRPr="00F450A5">
        <w:rPr>
          <w:rFonts w:ascii="Times New Roman" w:eastAsia="Times New Roman" w:hAnsi="Times New Roman" w:cs="Times New Roman"/>
          <w:sz w:val="24"/>
          <w:szCs w:val="24"/>
        </w:rPr>
        <w:t xml:space="preserve">d medically underserved settings over the past decade. The literature is growing, geographically </w:t>
      </w:r>
      <w:r w:rsidRPr="00F450A5">
        <w:rPr>
          <w:rFonts w:ascii="Times New Roman" w:eastAsia="Times New Roman" w:hAnsi="Times New Roman" w:cs="Times New Roman"/>
          <w:sz w:val="24"/>
          <w:szCs w:val="24"/>
        </w:rPr>
        <w:lastRenderedPageBreak/>
        <w:t>diverse, and methodologically heterogeneous. Workforce education, pharmacist-led clinical services, community-engaged implementation in Indigenous communities,</w:t>
      </w:r>
      <w:r w:rsidRPr="00F450A5">
        <w:rPr>
          <w:rFonts w:ascii="Times New Roman" w:eastAsia="Times New Roman" w:hAnsi="Times New Roman" w:cs="Times New Roman"/>
          <w:sz w:val="24"/>
          <w:szCs w:val="24"/>
        </w:rPr>
        <w:t xml:space="preserve"> FQHC pilots, and informatics infrastructure assessments each represent active areas of investigation. Telehealth has emerged as a cross-cutting implementation strategy, and pharmacists have been positioned as the clinical leads in most described programs.</w:t>
      </w:r>
    </w:p>
    <w:p w14:paraId="6E434B44" w14:textId="77777777" w:rsidR="00445D29" w:rsidRPr="00F450A5" w:rsidRDefault="00445D29">
      <w:pPr>
        <w:widowControl w:val="0"/>
        <w:spacing w:before="2" w:line="240" w:lineRule="auto"/>
        <w:rPr>
          <w:rFonts w:ascii="Times New Roman" w:eastAsia="Times New Roman" w:hAnsi="Times New Roman" w:cs="Times New Roman"/>
          <w:sz w:val="24"/>
          <w:szCs w:val="24"/>
        </w:rPr>
      </w:pPr>
    </w:p>
    <w:p w14:paraId="26AB5635" w14:textId="77777777" w:rsidR="00445D29" w:rsidRPr="00F450A5" w:rsidRDefault="00D316A5">
      <w:pPr>
        <w:pStyle w:val="Heading2"/>
        <w:keepNext w:val="0"/>
        <w:keepLines w:val="0"/>
        <w:widowControl w:val="0"/>
        <w:tabs>
          <w:tab w:val="left" w:pos="360"/>
        </w:tabs>
        <w:spacing w:before="0" w:after="0" w:line="240" w:lineRule="auto"/>
        <w:jc w:val="both"/>
        <w:rPr>
          <w:rFonts w:ascii="Times New Roman" w:eastAsia="Times New Roman" w:hAnsi="Times New Roman" w:cs="Times New Roman"/>
          <w:b/>
          <w:bCs/>
          <w:sz w:val="24"/>
          <w:szCs w:val="24"/>
        </w:rPr>
      </w:pPr>
      <w:bookmarkStart w:id="12" w:name="_heading=h.jbup9bh3f06e" w:colFirst="0" w:colLast="0"/>
      <w:bookmarkEnd w:id="12"/>
      <w:r w:rsidRPr="00F450A5">
        <w:rPr>
          <w:rFonts w:ascii="Times New Roman" w:eastAsia="Times New Roman" w:hAnsi="Times New Roman" w:cs="Times New Roman"/>
          <w:b/>
          <w:bCs/>
          <w:sz w:val="24"/>
          <w:szCs w:val="24"/>
        </w:rPr>
        <w:t>4.2 Key Evidence Gaps</w:t>
      </w:r>
    </w:p>
    <w:p w14:paraId="1616F551" w14:textId="77777777" w:rsidR="00445D29" w:rsidRPr="00F450A5" w:rsidRDefault="00D316A5">
      <w:pPr>
        <w:widowControl w:val="0"/>
        <w:spacing w:before="182" w:line="24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Despite this growth, the literature has important gaps.</w:t>
      </w:r>
    </w:p>
    <w:p w14:paraId="09CDD189" w14:textId="77777777" w:rsidR="00445D29" w:rsidRPr="00F450A5" w:rsidRDefault="00445D29">
      <w:pPr>
        <w:widowControl w:val="0"/>
        <w:spacing w:before="60" w:line="240" w:lineRule="auto"/>
        <w:rPr>
          <w:rFonts w:ascii="Times New Roman" w:eastAsia="Times New Roman" w:hAnsi="Times New Roman" w:cs="Times New Roman"/>
          <w:sz w:val="24"/>
          <w:szCs w:val="24"/>
        </w:rPr>
      </w:pPr>
    </w:p>
    <w:p w14:paraId="37EC3595" w14:textId="77777777" w:rsidR="00445D29" w:rsidRPr="00F450A5" w:rsidRDefault="00D316A5">
      <w:pPr>
        <w:widowControl w:val="0"/>
        <w:spacing w:line="360" w:lineRule="auto"/>
        <w:ind w:right="357"/>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 xml:space="preserve">Gap 1: Clinical and economic outcomes. </w:t>
      </w:r>
      <w:r w:rsidRPr="00F450A5">
        <w:rPr>
          <w:rFonts w:ascii="Times New Roman" w:eastAsia="Times New Roman" w:hAnsi="Times New Roman" w:cs="Times New Roman"/>
          <w:sz w:val="24"/>
          <w:szCs w:val="24"/>
        </w:rPr>
        <w:t xml:space="preserve">Only two of the 18 studies reported patient-level clinical outcomes directly attributable to PGx-guided prescribing, and none reported </w:t>
      </w:r>
      <w:r w:rsidRPr="00F450A5">
        <w:rPr>
          <w:rFonts w:ascii="Times New Roman" w:eastAsia="Times New Roman" w:hAnsi="Times New Roman" w:cs="Times New Roman"/>
          <w:sz w:val="24"/>
          <w:szCs w:val="24"/>
        </w:rPr>
        <w:t>cost-effectiveness specific to rural or underserved implementation. The field has established feasibility; it has not established clinical benefit at the population level. Future research should prioritize prospective outcomes studies with defined clinical</w:t>
      </w:r>
      <w:r w:rsidRPr="00F450A5">
        <w:rPr>
          <w:rFonts w:ascii="Times New Roman" w:eastAsia="Times New Roman" w:hAnsi="Times New Roman" w:cs="Times New Roman"/>
          <w:sz w:val="24"/>
          <w:szCs w:val="24"/>
        </w:rPr>
        <w:t xml:space="preserve"> endpoints (adverse drug reaction rates, hospitalizations, medication adherence, disease-specific outcomes) and economic analyses.</w:t>
      </w:r>
    </w:p>
    <w:p w14:paraId="7BD07389" w14:textId="77777777" w:rsidR="00445D29" w:rsidRPr="00F450A5" w:rsidRDefault="00D316A5">
      <w:pPr>
        <w:widowControl w:val="0"/>
        <w:spacing w:before="203" w:line="360" w:lineRule="auto"/>
        <w:ind w:right="358"/>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 xml:space="preserve">Gap 2: Oncology applications. </w:t>
      </w:r>
      <w:r w:rsidRPr="00F450A5">
        <w:rPr>
          <w:rFonts w:ascii="Times New Roman" w:eastAsia="Times New Roman" w:hAnsi="Times New Roman" w:cs="Times New Roman"/>
          <w:sz w:val="24"/>
          <w:szCs w:val="24"/>
        </w:rPr>
        <w:t>Oncology-specific PGx implementation in rural and community hospital settings is notably absent</w:t>
      </w:r>
      <w:r w:rsidRPr="00F450A5">
        <w:rPr>
          <w:rFonts w:ascii="Times New Roman" w:eastAsia="Times New Roman" w:hAnsi="Times New Roman" w:cs="Times New Roman"/>
          <w:sz w:val="24"/>
          <w:szCs w:val="24"/>
        </w:rPr>
        <w:t xml:space="preserve"> from the literature. Given that fluoropyrimidines, irinotecan, and thiopurines have CPIC guidelines with among the strongest evidence in all of pharmacogenomics (Amstutz et al., 2018; </w:t>
      </w:r>
      <w:proofErr w:type="spellStart"/>
      <w:r w:rsidRPr="00F450A5">
        <w:rPr>
          <w:rFonts w:ascii="Times New Roman" w:eastAsia="Times New Roman" w:hAnsi="Times New Roman" w:cs="Times New Roman"/>
          <w:sz w:val="24"/>
          <w:szCs w:val="24"/>
        </w:rPr>
        <w:t>Relling</w:t>
      </w:r>
      <w:proofErr w:type="spellEnd"/>
      <w:r w:rsidRPr="00F450A5">
        <w:rPr>
          <w:rFonts w:ascii="Times New Roman" w:eastAsia="Times New Roman" w:hAnsi="Times New Roman" w:cs="Times New Roman"/>
          <w:sz w:val="24"/>
          <w:szCs w:val="24"/>
        </w:rPr>
        <w:t xml:space="preserve"> et al., 2019; Henricks et al., 2018), and that rural cancer pat</w:t>
      </w:r>
      <w:r w:rsidRPr="00F450A5">
        <w:rPr>
          <w:rFonts w:ascii="Times New Roman" w:eastAsia="Times New Roman" w:hAnsi="Times New Roman" w:cs="Times New Roman"/>
          <w:sz w:val="24"/>
          <w:szCs w:val="24"/>
        </w:rPr>
        <w:t>ients receiving chemotherapy without PGx testing face preventable life-threatening toxicity, this gap has direct patient safety implications. Implementation research focused on oncology PGx in community settings is an urgent priority.</w:t>
      </w:r>
    </w:p>
    <w:p w14:paraId="06ED49E1" w14:textId="77777777" w:rsidR="00445D29" w:rsidRPr="00F450A5" w:rsidRDefault="00D316A5">
      <w:pPr>
        <w:widowControl w:val="0"/>
        <w:spacing w:before="203" w:line="360" w:lineRule="auto"/>
        <w:ind w:right="358"/>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Gap 3: Infrastructure</w:t>
      </w:r>
      <w:r w:rsidRPr="00F450A5">
        <w:rPr>
          <w:rFonts w:ascii="Times New Roman" w:eastAsia="Times New Roman" w:hAnsi="Times New Roman" w:cs="Times New Roman"/>
          <w:b/>
          <w:bCs/>
          <w:sz w:val="24"/>
          <w:szCs w:val="24"/>
        </w:rPr>
        <w:t xml:space="preserve">-tiered implementation frameworks. </w:t>
      </w:r>
      <w:r w:rsidRPr="00F450A5">
        <w:rPr>
          <w:rFonts w:ascii="Times New Roman" w:eastAsia="Times New Roman" w:hAnsi="Times New Roman" w:cs="Times New Roman"/>
          <w:sz w:val="24"/>
          <w:szCs w:val="24"/>
        </w:rPr>
        <w:t>No included study explicitly matched implementation strategy to institutional infrastructure capacity. The rural healthcare landscape spans a wide range of institutional types, from critical access hospitals with no labor</w:t>
      </w:r>
      <w:r w:rsidRPr="00F450A5">
        <w:rPr>
          <w:rFonts w:ascii="Times New Roman" w:eastAsia="Times New Roman" w:hAnsi="Times New Roman" w:cs="Times New Roman"/>
          <w:sz w:val="24"/>
          <w:szCs w:val="24"/>
        </w:rPr>
        <w:t>atory services to community hospitals with basic EHR capability to communities with no fixed healthcare facility. A single implementation model cannot serve all three. Frameworks that tier implementation strategy to institutional capacity remain to be deve</w:t>
      </w:r>
      <w:r w:rsidRPr="00F450A5">
        <w:rPr>
          <w:rFonts w:ascii="Times New Roman" w:eastAsia="Times New Roman" w:hAnsi="Times New Roman" w:cs="Times New Roman"/>
          <w:sz w:val="24"/>
          <w:szCs w:val="24"/>
        </w:rPr>
        <w:t>loped and evaluated.</w:t>
      </w:r>
    </w:p>
    <w:p w14:paraId="583800FF" w14:textId="77777777" w:rsidR="00445D29" w:rsidRPr="00F450A5" w:rsidRDefault="00D316A5">
      <w:pPr>
        <w:widowControl w:val="0"/>
        <w:spacing w:before="200" w:line="360" w:lineRule="auto"/>
        <w:ind w:right="356"/>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lastRenderedPageBreak/>
        <w:t xml:space="preserve">Gap 4: Communities without fixed healthcare access. </w:t>
      </w:r>
      <w:r w:rsidRPr="00F450A5">
        <w:rPr>
          <w:rFonts w:ascii="Times New Roman" w:eastAsia="Times New Roman" w:hAnsi="Times New Roman" w:cs="Times New Roman"/>
          <w:sz w:val="24"/>
          <w:szCs w:val="24"/>
        </w:rPr>
        <w:t xml:space="preserve">The included studies overwhelmingly describe implementation within existing clinics and health systems. Communities without a fixed healthcare facility, relying on periodic outreach </w:t>
      </w:r>
      <w:r w:rsidRPr="00F450A5">
        <w:rPr>
          <w:rFonts w:ascii="Times New Roman" w:eastAsia="Times New Roman" w:hAnsi="Times New Roman" w:cs="Times New Roman"/>
          <w:sz w:val="24"/>
          <w:szCs w:val="24"/>
        </w:rPr>
        <w:t>or traveling hours to the nearest clinic, are largely absent from the literature. Mobile health clinic models for PGx specimen collection were proposed in one study but assigned low feasibility without further development (Silver et al., 2025). Research ev</w:t>
      </w:r>
      <w:r w:rsidRPr="00F450A5">
        <w:rPr>
          <w:rFonts w:ascii="Times New Roman" w:eastAsia="Times New Roman" w:hAnsi="Times New Roman" w:cs="Times New Roman"/>
          <w:sz w:val="24"/>
          <w:szCs w:val="24"/>
        </w:rPr>
        <w:t>aluating mobile and outreach-based PGx delivery in truly underserved geographies represents a meaningful gap.</w:t>
      </w:r>
    </w:p>
    <w:p w14:paraId="778B22AE" w14:textId="77777777" w:rsidR="00445D29" w:rsidRPr="00F450A5" w:rsidRDefault="00D316A5">
      <w:pPr>
        <w:widowControl w:val="0"/>
        <w:spacing w:before="201" w:line="360" w:lineRule="auto"/>
        <w:ind w:right="359"/>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 xml:space="preserve">Gap 5: Preemptive testing in community settings. </w:t>
      </w:r>
      <w:r w:rsidRPr="00F450A5">
        <w:rPr>
          <w:rFonts w:ascii="Times New Roman" w:eastAsia="Times New Roman" w:hAnsi="Times New Roman" w:cs="Times New Roman"/>
          <w:sz w:val="24"/>
          <w:szCs w:val="24"/>
        </w:rPr>
        <w:t>Preemptive PGx testing, in which a panel of actionable genes is tested proactively rather than re</w:t>
      </w:r>
      <w:r w:rsidRPr="00F450A5">
        <w:rPr>
          <w:rFonts w:ascii="Times New Roman" w:eastAsia="Times New Roman" w:hAnsi="Times New Roman" w:cs="Times New Roman"/>
          <w:sz w:val="24"/>
          <w:szCs w:val="24"/>
        </w:rPr>
        <w:t>actively, has been established in several academic centers (</w:t>
      </w:r>
      <w:proofErr w:type="spellStart"/>
      <w:r w:rsidRPr="00F450A5">
        <w:rPr>
          <w:rFonts w:ascii="Times New Roman" w:eastAsia="Times New Roman" w:hAnsi="Times New Roman" w:cs="Times New Roman"/>
          <w:sz w:val="24"/>
          <w:szCs w:val="24"/>
        </w:rPr>
        <w:t>Dunnenberger</w:t>
      </w:r>
      <w:proofErr w:type="spellEnd"/>
      <w:r w:rsidRPr="00F450A5">
        <w:rPr>
          <w:rFonts w:ascii="Times New Roman" w:eastAsia="Times New Roman" w:hAnsi="Times New Roman" w:cs="Times New Roman"/>
          <w:sz w:val="24"/>
          <w:szCs w:val="24"/>
        </w:rPr>
        <w:t xml:space="preserve"> et al., 2015; Luzum et al., 2017). Whether preemptive testing is feasible and beneficial in rural and community hospital settings, where the patient population may be more transient a</w:t>
      </w:r>
      <w:r w:rsidRPr="00F450A5">
        <w:rPr>
          <w:rFonts w:ascii="Times New Roman" w:eastAsia="Times New Roman" w:hAnsi="Times New Roman" w:cs="Times New Roman"/>
          <w:sz w:val="24"/>
          <w:szCs w:val="24"/>
        </w:rPr>
        <w:t>nd the medication trajectory less predictable, has not been directly investigated.</w:t>
      </w:r>
    </w:p>
    <w:p w14:paraId="2FBE6A91" w14:textId="77777777" w:rsidR="00445D29" w:rsidRPr="00F450A5" w:rsidRDefault="00445D29">
      <w:pPr>
        <w:widowControl w:val="0"/>
        <w:spacing w:before="3" w:line="240" w:lineRule="auto"/>
        <w:rPr>
          <w:rFonts w:ascii="Times New Roman" w:eastAsia="Times New Roman" w:hAnsi="Times New Roman" w:cs="Times New Roman"/>
          <w:sz w:val="24"/>
          <w:szCs w:val="24"/>
        </w:rPr>
      </w:pPr>
    </w:p>
    <w:p w14:paraId="370B122B" w14:textId="77777777" w:rsidR="00445D29" w:rsidRPr="00F450A5" w:rsidRDefault="00D316A5">
      <w:pPr>
        <w:pStyle w:val="Heading2"/>
        <w:keepNext w:val="0"/>
        <w:keepLines w:val="0"/>
        <w:widowControl w:val="0"/>
        <w:tabs>
          <w:tab w:val="left" w:pos="360"/>
        </w:tabs>
        <w:spacing w:before="0" w:after="0" w:line="240" w:lineRule="auto"/>
        <w:jc w:val="both"/>
        <w:rPr>
          <w:rFonts w:ascii="Times New Roman" w:eastAsia="Times New Roman" w:hAnsi="Times New Roman" w:cs="Times New Roman"/>
          <w:b/>
          <w:bCs/>
          <w:sz w:val="24"/>
          <w:szCs w:val="24"/>
        </w:rPr>
      </w:pPr>
      <w:bookmarkStart w:id="13" w:name="_heading=h.c9rzj9v8powy" w:colFirst="0" w:colLast="0"/>
      <w:bookmarkEnd w:id="13"/>
      <w:r w:rsidRPr="00F450A5">
        <w:rPr>
          <w:rFonts w:ascii="Times New Roman" w:eastAsia="Times New Roman" w:hAnsi="Times New Roman" w:cs="Times New Roman"/>
          <w:b/>
          <w:bCs/>
          <w:sz w:val="24"/>
          <w:szCs w:val="24"/>
        </w:rPr>
        <w:t>4.3 Implications for Practice and Policy</w:t>
      </w:r>
    </w:p>
    <w:p w14:paraId="3EC4DF20" w14:textId="77777777" w:rsidR="00445D29" w:rsidRPr="00F450A5" w:rsidRDefault="00D316A5">
      <w:pPr>
        <w:widowControl w:val="0"/>
        <w:spacing w:before="181" w:line="360" w:lineRule="auto"/>
        <w:ind w:right="359"/>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Several practical implications emerge from this review. First, the feasibility of PGx implementation in rural and underserved setti</w:t>
      </w:r>
      <w:r w:rsidRPr="00F450A5">
        <w:rPr>
          <w:rFonts w:ascii="Times New Roman" w:eastAsia="Times New Roman" w:hAnsi="Times New Roman" w:cs="Times New Roman"/>
          <w:sz w:val="24"/>
          <w:szCs w:val="24"/>
        </w:rPr>
        <w:t>ngs has been established sufficiently that future programs need not reinvent the case for implementation; they can build on documented models. Second, pharmacists are positioned as the natural implementation leads across diverse settings, consistent with t</w:t>
      </w:r>
      <w:r w:rsidRPr="00F450A5">
        <w:rPr>
          <w:rFonts w:ascii="Times New Roman" w:eastAsia="Times New Roman" w:hAnsi="Times New Roman" w:cs="Times New Roman"/>
          <w:sz w:val="24"/>
          <w:szCs w:val="24"/>
        </w:rPr>
        <w:t>heir training in pharmacokinetics and drug metabolism and their accessibility in rural communities (Brown et al., 2022; Alghamdi et al., 2025; Martin et al., 2019). Third, telehealth infrastructure is not optional; it is integral to reaching geographically</w:t>
      </w:r>
      <w:r w:rsidRPr="00F450A5">
        <w:rPr>
          <w:rFonts w:ascii="Times New Roman" w:eastAsia="Times New Roman" w:hAnsi="Times New Roman" w:cs="Times New Roman"/>
          <w:sz w:val="24"/>
          <w:szCs w:val="24"/>
        </w:rPr>
        <w:t xml:space="preserve"> dispersed patients and providers. Fourth, community engagement is essential, not merely desirable, particularly when serving Indigenous, tribal, and historically marginalized populations (Fohner et al., 2019; Claw et al., 2024).</w:t>
      </w:r>
    </w:p>
    <w:p w14:paraId="21B0B0DC" w14:textId="77777777" w:rsidR="00445D29" w:rsidRPr="00F450A5" w:rsidRDefault="00D316A5">
      <w:pPr>
        <w:widowControl w:val="0"/>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From a policy perspective,</w:t>
      </w:r>
      <w:r w:rsidRPr="00F450A5">
        <w:rPr>
          <w:rFonts w:ascii="Times New Roman" w:eastAsia="Times New Roman" w:hAnsi="Times New Roman" w:cs="Times New Roman"/>
          <w:sz w:val="24"/>
          <w:szCs w:val="24"/>
        </w:rPr>
        <w:t xml:space="preserve"> the concentration of PGx testing infrastructure in urban academic centers represents a geographic distribution that mirrors, and compounds, existing healthcare access disparities. Policy mechanisms to incentivize PGx implementation at critical access hosp</w:t>
      </w:r>
      <w:r w:rsidRPr="00F450A5">
        <w:rPr>
          <w:rFonts w:ascii="Times New Roman" w:eastAsia="Times New Roman" w:hAnsi="Times New Roman" w:cs="Times New Roman"/>
          <w:sz w:val="24"/>
          <w:szCs w:val="24"/>
        </w:rPr>
        <w:t>itals, FQHCs, and tribal health services, including coverage expansion, infrastructure grants, and workforce development funding, could address this distribution.</w:t>
      </w:r>
    </w:p>
    <w:p w14:paraId="127DA06C" w14:textId="77777777" w:rsidR="00445D29" w:rsidRPr="00F450A5" w:rsidRDefault="00D316A5">
      <w:pPr>
        <w:widowControl w:val="0"/>
        <w:spacing w:before="240" w:after="240" w:line="360" w:lineRule="auto"/>
        <w:jc w:val="both"/>
        <w:rPr>
          <w:rFonts w:ascii="Times New Roman" w:eastAsia="Times New Roman" w:hAnsi="Times New Roman" w:cs="Times New Roman"/>
          <w:b/>
          <w:bCs/>
          <w:sz w:val="24"/>
          <w:szCs w:val="24"/>
        </w:rPr>
      </w:pPr>
      <w:r w:rsidRPr="00F450A5">
        <w:rPr>
          <w:rFonts w:ascii="Times New Roman" w:eastAsia="Times New Roman" w:hAnsi="Times New Roman" w:cs="Times New Roman"/>
          <w:b/>
          <w:bCs/>
          <w:sz w:val="24"/>
          <w:szCs w:val="24"/>
        </w:rPr>
        <w:lastRenderedPageBreak/>
        <w:t>4.4 Limitations</w:t>
      </w:r>
    </w:p>
    <w:p w14:paraId="7880010F" w14:textId="77777777" w:rsidR="00445D29" w:rsidRPr="00F450A5" w:rsidRDefault="00D316A5">
      <w:pPr>
        <w:widowControl w:val="0"/>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This scoping review has several limitations that warrant disclosure.  First, </w:t>
      </w:r>
      <w:r w:rsidRPr="00F450A5">
        <w:rPr>
          <w:rFonts w:ascii="Times New Roman" w:eastAsia="Times New Roman" w:hAnsi="Times New Roman" w:cs="Times New Roman"/>
          <w:sz w:val="24"/>
          <w:szCs w:val="24"/>
        </w:rPr>
        <w:t>database searches were limited to PubMed, Dimensions ai and Frontiers databases, and reference list screening, which may have resulted in incomplete identification of relevant studies, particularly those published in nursing or health services research jou</w:t>
      </w:r>
      <w:r w:rsidRPr="00F450A5">
        <w:rPr>
          <w:rFonts w:ascii="Times New Roman" w:eastAsia="Times New Roman" w:hAnsi="Times New Roman" w:cs="Times New Roman"/>
          <w:sz w:val="24"/>
          <w:szCs w:val="24"/>
        </w:rPr>
        <w:t>rnals. Second, the review was not prospectively registered, although the protocol was developed a priori. Third, conference abstracts without corresponding full-text publication were excluded, which may have omitted some emerging work. Fourth, the therapeu</w:t>
      </w:r>
      <w:r w:rsidRPr="00F450A5">
        <w:rPr>
          <w:rFonts w:ascii="Times New Roman" w:eastAsia="Times New Roman" w:hAnsi="Times New Roman" w:cs="Times New Roman"/>
          <w:sz w:val="24"/>
          <w:szCs w:val="24"/>
        </w:rPr>
        <w:t>tic area classification was based on self-report in included studies, which may have underrepresented some implementation efforts that did not describe their therapeutic focus explicitly.</w:t>
      </w:r>
    </w:p>
    <w:p w14:paraId="61B594A2" w14:textId="77777777" w:rsidR="00445D29" w:rsidRPr="00F450A5" w:rsidRDefault="00D316A5">
      <w:pPr>
        <w:widowControl w:val="0"/>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 xml:space="preserve">Despite these limitations, this review provides the first synthesis </w:t>
      </w:r>
      <w:r w:rsidRPr="00F450A5">
        <w:rPr>
          <w:rFonts w:ascii="Times New Roman" w:eastAsia="Times New Roman" w:hAnsi="Times New Roman" w:cs="Times New Roman"/>
          <w:sz w:val="24"/>
          <w:szCs w:val="24"/>
        </w:rPr>
        <w:t>specifically focused on PGx implementation at the intersection of rural and medically underserved settings, offering a foundation for future systematic reviews and informing implementation research and practice.</w:t>
      </w:r>
    </w:p>
    <w:p w14:paraId="0E13F22E" w14:textId="77777777" w:rsidR="00445D29" w:rsidRPr="00F450A5" w:rsidRDefault="00445D29">
      <w:pPr>
        <w:widowControl w:val="0"/>
        <w:spacing w:before="240" w:after="240" w:line="360" w:lineRule="auto"/>
        <w:jc w:val="both"/>
        <w:rPr>
          <w:rFonts w:ascii="Times New Roman" w:eastAsia="Times New Roman" w:hAnsi="Times New Roman" w:cs="Times New Roman"/>
          <w:sz w:val="24"/>
          <w:szCs w:val="24"/>
        </w:rPr>
      </w:pPr>
    </w:p>
    <w:p w14:paraId="2E3E94B2" w14:textId="77777777" w:rsidR="00445D29" w:rsidRPr="00F450A5" w:rsidRDefault="00D316A5">
      <w:pPr>
        <w:widowControl w:val="0"/>
        <w:numPr>
          <w:ilvl w:val="0"/>
          <w:numId w:val="2"/>
        </w:numPr>
        <w:spacing w:before="240" w:after="240" w:line="360" w:lineRule="auto"/>
        <w:jc w:val="both"/>
        <w:rPr>
          <w:rFonts w:ascii="Times New Roman" w:eastAsia="Times New Roman" w:hAnsi="Times New Roman" w:cs="Times New Roman"/>
          <w:b/>
          <w:bCs/>
          <w:sz w:val="28"/>
          <w:szCs w:val="28"/>
        </w:rPr>
      </w:pPr>
      <w:r w:rsidRPr="00F450A5">
        <w:rPr>
          <w:rFonts w:ascii="Times New Roman" w:eastAsia="Times New Roman" w:hAnsi="Times New Roman" w:cs="Times New Roman"/>
          <w:b/>
          <w:bCs/>
          <w:sz w:val="28"/>
          <w:szCs w:val="28"/>
        </w:rPr>
        <w:t>Conclusion</w:t>
      </w:r>
    </w:p>
    <w:p w14:paraId="31DB3D2B" w14:textId="77777777" w:rsidR="00445D29" w:rsidRPr="00F450A5" w:rsidRDefault="00D316A5">
      <w:pPr>
        <w:widowControl w:val="0"/>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Published literature on PGx impl</w:t>
      </w:r>
      <w:r w:rsidRPr="00F450A5">
        <w:rPr>
          <w:rFonts w:ascii="Times New Roman" w:eastAsia="Times New Roman" w:hAnsi="Times New Roman" w:cs="Times New Roman"/>
          <w:sz w:val="24"/>
          <w:szCs w:val="24"/>
        </w:rPr>
        <w:t>ementation in rural and medically underserved settings has grown substantially over the past decade, with 18 studies identified in this scoping review. Workforce education programs, pharmacist-led clinical services, community-engaged implementation with In</w:t>
      </w:r>
      <w:r w:rsidRPr="00F450A5">
        <w:rPr>
          <w:rFonts w:ascii="Times New Roman" w:eastAsia="Times New Roman" w:hAnsi="Times New Roman" w:cs="Times New Roman"/>
          <w:sz w:val="24"/>
          <w:szCs w:val="24"/>
        </w:rPr>
        <w:t>digenous populations, FQHC pilots, and informatics infrastructure assessments represent active</w:t>
      </w:r>
    </w:p>
    <w:p w14:paraId="42C65F8E" w14:textId="77777777" w:rsidR="00445D29" w:rsidRPr="00F450A5" w:rsidRDefault="00D316A5">
      <w:pPr>
        <w:widowControl w:val="0"/>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and complementary lines of investigation. Pharmacists have emerged as the clinical implementation leads across diverse settings, and telehealth has become a cros</w:t>
      </w:r>
      <w:r w:rsidRPr="00F450A5">
        <w:rPr>
          <w:rFonts w:ascii="Times New Roman" w:eastAsia="Times New Roman" w:hAnsi="Times New Roman" w:cs="Times New Roman"/>
          <w:sz w:val="24"/>
          <w:szCs w:val="24"/>
        </w:rPr>
        <w:t>s-cutting enabling technology.</w:t>
      </w:r>
    </w:p>
    <w:p w14:paraId="4F4CA89F" w14:textId="77777777" w:rsidR="00445D29" w:rsidRPr="00F450A5" w:rsidRDefault="00D316A5">
      <w:pPr>
        <w:widowControl w:val="0"/>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Key evidence gaps include patient-level clinical outcomes, cost-effectiveness analyses, oncology-specific applications, infrastructure-tiered implementation frameworks, and programs serving communities without fixed healthcar</w:t>
      </w:r>
      <w:r w:rsidRPr="00F450A5">
        <w:rPr>
          <w:rFonts w:ascii="Times New Roman" w:eastAsia="Times New Roman" w:hAnsi="Times New Roman" w:cs="Times New Roman"/>
          <w:sz w:val="24"/>
          <w:szCs w:val="24"/>
        </w:rPr>
        <w:t xml:space="preserve">e facilities. Addressing these gaps will require prospective outcomes-based research, implementation frameworks that account for the heterogeneity of rural healthcare infrastructure, and sustained investment in the workforce, informatics, and policy </w:t>
      </w:r>
      <w:r w:rsidRPr="00F450A5">
        <w:rPr>
          <w:rFonts w:ascii="Times New Roman" w:eastAsia="Times New Roman" w:hAnsi="Times New Roman" w:cs="Times New Roman"/>
          <w:sz w:val="24"/>
          <w:szCs w:val="24"/>
        </w:rPr>
        <w:lastRenderedPageBreak/>
        <w:t>condit</w:t>
      </w:r>
      <w:r w:rsidRPr="00F450A5">
        <w:rPr>
          <w:rFonts w:ascii="Times New Roman" w:eastAsia="Times New Roman" w:hAnsi="Times New Roman" w:cs="Times New Roman"/>
          <w:sz w:val="24"/>
          <w:szCs w:val="24"/>
        </w:rPr>
        <w:t>ions that make PGx accessible to all patients regardless of where they receive care.</w:t>
      </w:r>
    </w:p>
    <w:p w14:paraId="4AEDB407" w14:textId="77777777" w:rsidR="00445D29" w:rsidRPr="00F450A5" w:rsidRDefault="00D316A5">
      <w:pPr>
        <w:widowControl w:val="0"/>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sz w:val="24"/>
          <w:szCs w:val="24"/>
        </w:rPr>
        <w:t>The evidence base for pharmacogenomic-guided prescribing is mature. The evidence base for delivering that benefit equitably across rural and underserved America is growing</w:t>
      </w:r>
      <w:r w:rsidRPr="00F450A5">
        <w:rPr>
          <w:rFonts w:ascii="Times New Roman" w:eastAsia="Times New Roman" w:hAnsi="Times New Roman" w:cs="Times New Roman"/>
          <w:sz w:val="24"/>
          <w:szCs w:val="24"/>
        </w:rPr>
        <w:t xml:space="preserve"> but incomplete. Closing that evidence-to-practice gap is a precision medicine priority with direct implications for health equity.</w:t>
      </w:r>
    </w:p>
    <w:p w14:paraId="1C204956" w14:textId="77777777" w:rsidR="00445D29" w:rsidRPr="00F450A5" w:rsidRDefault="00445D29">
      <w:pPr>
        <w:widowControl w:val="0"/>
        <w:spacing w:before="240" w:after="240" w:line="360" w:lineRule="auto"/>
        <w:jc w:val="both"/>
        <w:rPr>
          <w:rFonts w:ascii="Times New Roman" w:eastAsia="Times New Roman" w:hAnsi="Times New Roman" w:cs="Times New Roman"/>
          <w:sz w:val="24"/>
          <w:szCs w:val="24"/>
        </w:rPr>
      </w:pPr>
    </w:p>
    <w:p w14:paraId="1DAA2516" w14:textId="77777777" w:rsidR="00445D29" w:rsidRPr="00F450A5" w:rsidRDefault="00D316A5">
      <w:pPr>
        <w:spacing w:before="240" w:after="240" w:line="360" w:lineRule="auto"/>
        <w:jc w:val="both"/>
        <w:rPr>
          <w:rFonts w:ascii="Times New Roman" w:eastAsia="Times New Roman" w:hAnsi="Times New Roman" w:cs="Times New Roman"/>
          <w:sz w:val="24"/>
          <w:szCs w:val="24"/>
        </w:rPr>
      </w:pPr>
      <w:r w:rsidRPr="00F450A5">
        <w:rPr>
          <w:rFonts w:ascii="Times New Roman" w:eastAsia="Times New Roman" w:hAnsi="Times New Roman" w:cs="Times New Roman"/>
          <w:b/>
          <w:bCs/>
          <w:sz w:val="24"/>
          <w:szCs w:val="24"/>
        </w:rPr>
        <w:t>Competing Interests:</w:t>
      </w:r>
      <w:r w:rsidRPr="00F450A5">
        <w:rPr>
          <w:rFonts w:ascii="Times New Roman" w:eastAsia="Times New Roman" w:hAnsi="Times New Roman" w:cs="Times New Roman"/>
          <w:sz w:val="24"/>
          <w:szCs w:val="24"/>
        </w:rPr>
        <w:t xml:space="preserve"> All the authors declare that they have no conflict of interest.</w:t>
      </w:r>
    </w:p>
    <w:p w14:paraId="235D835A" w14:textId="77777777" w:rsidR="00445D29" w:rsidRPr="00F450A5" w:rsidRDefault="00D316A5">
      <w:pPr>
        <w:shd w:val="clear" w:color="auto" w:fill="FCFCFC"/>
        <w:spacing w:after="100" w:line="360" w:lineRule="auto"/>
        <w:rPr>
          <w:rFonts w:ascii="Times New Roman" w:eastAsia="Times New Roman" w:hAnsi="Times New Roman" w:cs="Times New Roman"/>
          <w:color w:val="333333"/>
          <w:sz w:val="24"/>
          <w:szCs w:val="24"/>
        </w:rPr>
      </w:pPr>
      <w:r w:rsidRPr="00F450A5">
        <w:rPr>
          <w:rFonts w:ascii="Times New Roman" w:eastAsia="Times New Roman" w:hAnsi="Times New Roman" w:cs="Times New Roman"/>
          <w:b/>
          <w:bCs/>
          <w:color w:val="333333"/>
          <w:sz w:val="24"/>
          <w:szCs w:val="24"/>
        </w:rPr>
        <w:t xml:space="preserve">Ethics approval and consent to </w:t>
      </w:r>
      <w:r w:rsidRPr="00F450A5">
        <w:rPr>
          <w:rFonts w:ascii="Times New Roman" w:eastAsia="Times New Roman" w:hAnsi="Times New Roman" w:cs="Times New Roman"/>
          <w:b/>
          <w:bCs/>
          <w:color w:val="333333"/>
          <w:sz w:val="24"/>
          <w:szCs w:val="24"/>
        </w:rPr>
        <w:t>participate:</w:t>
      </w:r>
      <w:r w:rsidRPr="00F450A5">
        <w:rPr>
          <w:rFonts w:ascii="Times New Roman" w:eastAsia="Times New Roman" w:hAnsi="Times New Roman" w:cs="Times New Roman"/>
          <w:color w:val="333333"/>
          <w:sz w:val="24"/>
          <w:szCs w:val="24"/>
        </w:rPr>
        <w:t xml:space="preserve"> Not applicable</w:t>
      </w:r>
    </w:p>
    <w:p w14:paraId="5584DCAD" w14:textId="77777777" w:rsidR="00445D29" w:rsidRPr="00F450A5" w:rsidRDefault="00D316A5">
      <w:pPr>
        <w:shd w:val="clear" w:color="auto" w:fill="FCFCFC"/>
        <w:spacing w:after="100" w:line="360" w:lineRule="auto"/>
        <w:rPr>
          <w:rFonts w:ascii="Times New Roman" w:eastAsia="Times New Roman" w:hAnsi="Times New Roman" w:cs="Times New Roman"/>
          <w:b/>
          <w:bCs/>
          <w:color w:val="333333"/>
          <w:sz w:val="24"/>
          <w:szCs w:val="24"/>
        </w:rPr>
      </w:pPr>
      <w:r w:rsidRPr="00F450A5">
        <w:rPr>
          <w:rFonts w:ascii="Times New Roman" w:eastAsia="Times New Roman" w:hAnsi="Times New Roman" w:cs="Times New Roman"/>
          <w:b/>
          <w:bCs/>
          <w:color w:val="333333"/>
          <w:sz w:val="24"/>
          <w:szCs w:val="24"/>
        </w:rPr>
        <w:t xml:space="preserve">Consent for publication: </w:t>
      </w:r>
      <w:r w:rsidRPr="00F450A5">
        <w:rPr>
          <w:rFonts w:ascii="Times New Roman" w:eastAsia="Times New Roman" w:hAnsi="Times New Roman" w:cs="Times New Roman"/>
          <w:color w:val="333333"/>
          <w:sz w:val="24"/>
          <w:szCs w:val="24"/>
        </w:rPr>
        <w:t>Not applicable</w:t>
      </w:r>
    </w:p>
    <w:p w14:paraId="6512AF8A" w14:textId="77777777" w:rsidR="00445D29" w:rsidRPr="00F450A5" w:rsidRDefault="00D316A5">
      <w:pPr>
        <w:shd w:val="clear" w:color="auto" w:fill="FCFCFC"/>
        <w:spacing w:after="100" w:line="360" w:lineRule="auto"/>
        <w:rPr>
          <w:rFonts w:ascii="Times New Roman" w:eastAsia="Times New Roman" w:hAnsi="Times New Roman" w:cs="Times New Roman"/>
          <w:color w:val="333333"/>
          <w:sz w:val="24"/>
          <w:szCs w:val="24"/>
        </w:rPr>
      </w:pPr>
      <w:r w:rsidRPr="00F450A5">
        <w:rPr>
          <w:rFonts w:ascii="Times New Roman" w:eastAsia="Times New Roman" w:hAnsi="Times New Roman" w:cs="Times New Roman"/>
          <w:b/>
          <w:bCs/>
          <w:color w:val="333333"/>
          <w:sz w:val="24"/>
          <w:szCs w:val="24"/>
        </w:rPr>
        <w:t xml:space="preserve">Availability of data and material: </w:t>
      </w:r>
      <w:r w:rsidRPr="00F450A5">
        <w:rPr>
          <w:rFonts w:ascii="Times New Roman" w:eastAsia="Times New Roman" w:hAnsi="Times New Roman" w:cs="Times New Roman"/>
          <w:color w:val="333333"/>
          <w:sz w:val="24"/>
          <w:szCs w:val="24"/>
        </w:rPr>
        <w:t>All the resources consulted in the review are provided in the reference section</w:t>
      </w:r>
    </w:p>
    <w:p w14:paraId="67AF1085" w14:textId="77777777" w:rsidR="00445D29" w:rsidRPr="00F450A5" w:rsidRDefault="00445D29">
      <w:pPr>
        <w:spacing w:before="240" w:after="240"/>
        <w:jc w:val="both"/>
        <w:rPr>
          <w:rFonts w:ascii="Times New Roman" w:eastAsia="Times New Roman" w:hAnsi="Times New Roman" w:cs="Times New Roman"/>
          <w:sz w:val="24"/>
          <w:szCs w:val="24"/>
        </w:rPr>
      </w:pPr>
      <w:bookmarkStart w:id="14" w:name="_GoBack"/>
      <w:bookmarkEnd w:id="14"/>
    </w:p>
    <w:p w14:paraId="4219AAE3" w14:textId="77777777" w:rsidR="00445D29" w:rsidRPr="00F450A5" w:rsidRDefault="00445D29">
      <w:pPr>
        <w:spacing w:before="240" w:after="240"/>
        <w:jc w:val="both"/>
        <w:rPr>
          <w:rFonts w:ascii="Times New Roman" w:eastAsia="Times New Roman" w:hAnsi="Times New Roman" w:cs="Times New Roman"/>
          <w:sz w:val="24"/>
          <w:szCs w:val="24"/>
        </w:rPr>
      </w:pPr>
    </w:p>
    <w:p w14:paraId="6DBDA7DF" w14:textId="77777777" w:rsidR="00445D29" w:rsidRPr="00F450A5" w:rsidRDefault="00D316A5">
      <w:pPr>
        <w:widowControl w:val="0"/>
        <w:numPr>
          <w:ilvl w:val="0"/>
          <w:numId w:val="2"/>
        </w:numPr>
        <w:spacing w:before="240" w:after="240" w:line="360" w:lineRule="auto"/>
        <w:jc w:val="both"/>
        <w:rPr>
          <w:rFonts w:ascii="Times New Roman" w:eastAsia="Times New Roman" w:hAnsi="Times New Roman" w:cs="Times New Roman"/>
          <w:b/>
          <w:bCs/>
          <w:sz w:val="28"/>
          <w:szCs w:val="28"/>
        </w:rPr>
      </w:pPr>
      <w:r w:rsidRPr="00F450A5">
        <w:rPr>
          <w:rFonts w:ascii="Times New Roman" w:eastAsia="Times New Roman" w:hAnsi="Times New Roman" w:cs="Times New Roman"/>
          <w:b/>
          <w:bCs/>
          <w:sz w:val="28"/>
          <w:szCs w:val="28"/>
        </w:rPr>
        <w:t>References</w:t>
      </w:r>
    </w:p>
    <w:p w14:paraId="1FDDF4F3"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Alghamdi, B. M., Rogers, S., </w:t>
      </w:r>
      <w:proofErr w:type="spellStart"/>
      <w:r w:rsidRPr="00F450A5">
        <w:rPr>
          <w:rFonts w:ascii="Times New Roman" w:eastAsia="Times New Roman" w:hAnsi="Times New Roman" w:cs="Times New Roman"/>
          <w:sz w:val="24"/>
          <w:szCs w:val="24"/>
        </w:rPr>
        <w:t>Roberman</w:t>
      </w:r>
      <w:proofErr w:type="spellEnd"/>
      <w:r w:rsidRPr="00F450A5">
        <w:rPr>
          <w:rFonts w:ascii="Times New Roman" w:eastAsia="Times New Roman" w:hAnsi="Times New Roman" w:cs="Times New Roman"/>
          <w:sz w:val="24"/>
          <w:szCs w:val="24"/>
        </w:rPr>
        <w:t xml:space="preserve">, S., Williamson, M., &amp; Panahi, L. (2025). Implementation and integration of a multidisciplinary pharmacogenomics service in an underserved integrated behavioral health clinic. </w:t>
      </w:r>
      <w:r w:rsidRPr="00F450A5">
        <w:rPr>
          <w:rFonts w:ascii="Times New Roman" w:eastAsia="Times New Roman" w:hAnsi="Times New Roman" w:cs="Times New Roman"/>
          <w:i/>
          <w:iCs/>
          <w:sz w:val="24"/>
          <w:szCs w:val="24"/>
        </w:rPr>
        <w:t>Frontiers in Pharmacology</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16</w:t>
      </w:r>
      <w:r w:rsidRPr="00F450A5">
        <w:rPr>
          <w:rFonts w:ascii="Times New Roman" w:eastAsia="Times New Roman" w:hAnsi="Times New Roman" w:cs="Times New Roman"/>
          <w:sz w:val="24"/>
          <w:szCs w:val="24"/>
        </w:rPr>
        <w:t>, 1594032.</w:t>
      </w:r>
      <w:hyperlink r:id="rId9">
        <w:r w:rsidR="00445D29" w:rsidRPr="00F450A5">
          <w:rPr>
            <w:rFonts w:ascii="Times New Roman" w:eastAsia="Times New Roman" w:hAnsi="Times New Roman" w:cs="Times New Roman"/>
            <w:sz w:val="24"/>
            <w:szCs w:val="24"/>
          </w:rPr>
          <w:t xml:space="preserve"> </w:t>
        </w:r>
      </w:hyperlink>
      <w:hyperlink r:id="rId10">
        <w:r w:rsidR="00445D29" w:rsidRPr="00F450A5">
          <w:rPr>
            <w:rFonts w:ascii="Times New Roman" w:eastAsia="Times New Roman" w:hAnsi="Times New Roman" w:cs="Times New Roman"/>
            <w:color w:val="1155CC"/>
            <w:sz w:val="24"/>
            <w:szCs w:val="24"/>
            <w:u w:val="single"/>
          </w:rPr>
          <w:t>https://doi.org/10.3389/fphar.2025.1594032</w:t>
        </w:r>
      </w:hyperlink>
    </w:p>
    <w:p w14:paraId="210AC726"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Amstutz, U., Henricks, L. M., Offer, S. M., Barbarino, J., </w:t>
      </w:r>
      <w:proofErr w:type="spellStart"/>
      <w:r w:rsidRPr="00F450A5">
        <w:rPr>
          <w:rFonts w:ascii="Times New Roman" w:eastAsia="Times New Roman" w:hAnsi="Times New Roman" w:cs="Times New Roman"/>
          <w:sz w:val="24"/>
          <w:szCs w:val="24"/>
        </w:rPr>
        <w:t>Schellens</w:t>
      </w:r>
      <w:proofErr w:type="spellEnd"/>
      <w:r w:rsidRPr="00F450A5">
        <w:rPr>
          <w:rFonts w:ascii="Times New Roman" w:eastAsia="Times New Roman" w:hAnsi="Times New Roman" w:cs="Times New Roman"/>
          <w:sz w:val="24"/>
          <w:szCs w:val="24"/>
        </w:rPr>
        <w:t>, J. H. M., Swen, J. J., Klein, T. E., McLeod, H. L., Caudle</w:t>
      </w:r>
      <w:r w:rsidRPr="00F450A5">
        <w:rPr>
          <w:rFonts w:ascii="Times New Roman" w:eastAsia="Times New Roman" w:hAnsi="Times New Roman" w:cs="Times New Roman"/>
          <w:sz w:val="24"/>
          <w:szCs w:val="24"/>
        </w:rPr>
        <w:t xml:space="preserve">, K. E., Diasio, R. B., &amp; Schwab, M. (2018). Clinical Pharmacogenetics Implementation Consortium (CPIC) Guideline for </w:t>
      </w:r>
      <w:proofErr w:type="spellStart"/>
      <w:r w:rsidRPr="00F450A5">
        <w:rPr>
          <w:rFonts w:ascii="Times New Roman" w:eastAsia="Times New Roman" w:hAnsi="Times New Roman" w:cs="Times New Roman"/>
          <w:sz w:val="24"/>
          <w:szCs w:val="24"/>
        </w:rPr>
        <w:t>Dihydropyrimidine</w:t>
      </w:r>
      <w:proofErr w:type="spellEnd"/>
      <w:r w:rsidRPr="00F450A5">
        <w:rPr>
          <w:rFonts w:ascii="Times New Roman" w:eastAsia="Times New Roman" w:hAnsi="Times New Roman" w:cs="Times New Roman"/>
          <w:sz w:val="24"/>
          <w:szCs w:val="24"/>
        </w:rPr>
        <w:t xml:space="preserve"> Dehydrogenase Genotype and Fluoropyrimidine Dosing: 2017 Update. </w:t>
      </w:r>
      <w:r w:rsidRPr="00F450A5">
        <w:rPr>
          <w:rFonts w:ascii="Times New Roman" w:eastAsia="Times New Roman" w:hAnsi="Times New Roman" w:cs="Times New Roman"/>
          <w:i/>
          <w:iCs/>
          <w:sz w:val="24"/>
          <w:szCs w:val="24"/>
        </w:rPr>
        <w:t>Clinical Pharmacology and Therapeutics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103</w:t>
      </w:r>
      <w:r w:rsidRPr="00F450A5">
        <w:rPr>
          <w:rFonts w:ascii="Times New Roman" w:eastAsia="Times New Roman" w:hAnsi="Times New Roman" w:cs="Times New Roman"/>
          <w:sz w:val="24"/>
          <w:szCs w:val="24"/>
        </w:rPr>
        <w:t>(2), 210–216</w:t>
      </w:r>
      <w:r w:rsidRPr="00F450A5">
        <w:rPr>
          <w:rFonts w:ascii="Times New Roman" w:eastAsia="Times New Roman" w:hAnsi="Times New Roman" w:cs="Times New Roman"/>
          <w:sz w:val="24"/>
          <w:szCs w:val="24"/>
        </w:rPr>
        <w:t>.</w:t>
      </w:r>
      <w:hyperlink r:id="rId11">
        <w:r w:rsidR="00445D29" w:rsidRPr="00F450A5">
          <w:rPr>
            <w:rFonts w:ascii="Times New Roman" w:eastAsia="Times New Roman" w:hAnsi="Times New Roman" w:cs="Times New Roman"/>
            <w:sz w:val="24"/>
            <w:szCs w:val="24"/>
          </w:rPr>
          <w:t xml:space="preserve"> </w:t>
        </w:r>
      </w:hyperlink>
      <w:hyperlink r:id="rId12">
        <w:r w:rsidR="00445D29" w:rsidRPr="00F450A5">
          <w:rPr>
            <w:rFonts w:ascii="Times New Roman" w:eastAsia="Times New Roman" w:hAnsi="Times New Roman" w:cs="Times New Roman"/>
            <w:color w:val="1155CC"/>
            <w:sz w:val="24"/>
            <w:szCs w:val="24"/>
            <w:u w:val="single"/>
          </w:rPr>
          <w:t>https://doi.org/10.1002/cpt.911</w:t>
        </w:r>
      </w:hyperlink>
    </w:p>
    <w:p w14:paraId="3586D17A"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Arksey, H., &amp; O’Malley, L. (2005). Scoping studies: Towards a methodological framework. </w:t>
      </w:r>
      <w:r w:rsidRPr="00F450A5">
        <w:rPr>
          <w:rFonts w:ascii="Times New Roman" w:eastAsia="Times New Roman" w:hAnsi="Times New Roman" w:cs="Times New Roman"/>
          <w:i/>
          <w:iCs/>
          <w:sz w:val="24"/>
          <w:szCs w:val="24"/>
        </w:rPr>
        <w:t xml:space="preserve">International Journal of Social </w:t>
      </w:r>
      <w:r w:rsidRPr="00F450A5">
        <w:rPr>
          <w:rFonts w:ascii="Times New Roman" w:eastAsia="Times New Roman" w:hAnsi="Times New Roman" w:cs="Times New Roman"/>
          <w:i/>
          <w:iCs/>
          <w:sz w:val="24"/>
          <w:szCs w:val="24"/>
        </w:rPr>
        <w:t>Research Methodology</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8</w:t>
      </w:r>
      <w:r w:rsidRPr="00F450A5">
        <w:rPr>
          <w:rFonts w:ascii="Times New Roman" w:eastAsia="Times New Roman" w:hAnsi="Times New Roman" w:cs="Times New Roman"/>
          <w:sz w:val="24"/>
          <w:szCs w:val="24"/>
        </w:rPr>
        <w:t>(1), 19–32.</w:t>
      </w:r>
      <w:hyperlink r:id="rId13">
        <w:r w:rsidR="00445D29" w:rsidRPr="00F450A5">
          <w:rPr>
            <w:rFonts w:ascii="Times New Roman" w:eastAsia="Times New Roman" w:hAnsi="Times New Roman" w:cs="Times New Roman"/>
            <w:sz w:val="24"/>
            <w:szCs w:val="24"/>
          </w:rPr>
          <w:t xml:space="preserve"> </w:t>
        </w:r>
      </w:hyperlink>
      <w:hyperlink r:id="rId14">
        <w:r w:rsidR="00445D29" w:rsidRPr="00F450A5">
          <w:rPr>
            <w:rFonts w:ascii="Times New Roman" w:eastAsia="Times New Roman" w:hAnsi="Times New Roman" w:cs="Times New Roman"/>
            <w:color w:val="1155CC"/>
            <w:sz w:val="24"/>
            <w:szCs w:val="24"/>
            <w:u w:val="single"/>
          </w:rPr>
          <w:t>https://doi.org/10.1080/1364557032000119616</w:t>
        </w:r>
      </w:hyperlink>
    </w:p>
    <w:p w14:paraId="101EF28A"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Bosic-Reiniger, J., Martin, J. L., Brown, K. E., An</w:t>
      </w:r>
      <w:r w:rsidRPr="00F450A5">
        <w:rPr>
          <w:rFonts w:ascii="Times New Roman" w:eastAsia="Times New Roman" w:hAnsi="Times New Roman" w:cs="Times New Roman"/>
          <w:sz w:val="24"/>
          <w:szCs w:val="24"/>
        </w:rPr>
        <w:t xml:space="preserve">derson, H. D., Blackburn, H., Kao, D. P., Trinkley, K. E., Woodahl, E. L., &amp; Aquilante, C. L. (2024). Barriers and facilitators of the use of clinical informatics resources to facilitate pharmacogenomic implementation in resource-limited settings. </w:t>
      </w:r>
      <w:r w:rsidRPr="00F450A5">
        <w:rPr>
          <w:rFonts w:ascii="Times New Roman" w:eastAsia="Times New Roman" w:hAnsi="Times New Roman" w:cs="Times New Roman"/>
          <w:i/>
          <w:iCs/>
          <w:sz w:val="24"/>
          <w:szCs w:val="24"/>
        </w:rPr>
        <w:t>JAMIA Op</w:t>
      </w:r>
      <w:r w:rsidRPr="00F450A5">
        <w:rPr>
          <w:rFonts w:ascii="Times New Roman" w:eastAsia="Times New Roman" w:hAnsi="Times New Roman" w:cs="Times New Roman"/>
          <w:i/>
          <w:iCs/>
          <w:sz w:val="24"/>
          <w:szCs w:val="24"/>
        </w:rPr>
        <w:t>en</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7</w:t>
      </w:r>
      <w:r w:rsidRPr="00F450A5">
        <w:rPr>
          <w:rFonts w:ascii="Times New Roman" w:eastAsia="Times New Roman" w:hAnsi="Times New Roman" w:cs="Times New Roman"/>
          <w:sz w:val="24"/>
          <w:szCs w:val="24"/>
        </w:rPr>
        <w:t>(4), ooae101.</w:t>
      </w:r>
      <w:hyperlink r:id="rId15">
        <w:r w:rsidR="00445D29" w:rsidRPr="00F450A5">
          <w:rPr>
            <w:rFonts w:ascii="Times New Roman" w:eastAsia="Times New Roman" w:hAnsi="Times New Roman" w:cs="Times New Roman"/>
            <w:sz w:val="24"/>
            <w:szCs w:val="24"/>
          </w:rPr>
          <w:t xml:space="preserve"> </w:t>
        </w:r>
      </w:hyperlink>
      <w:hyperlink r:id="rId16">
        <w:r w:rsidR="00445D29" w:rsidRPr="00F450A5">
          <w:rPr>
            <w:rFonts w:ascii="Times New Roman" w:eastAsia="Times New Roman" w:hAnsi="Times New Roman" w:cs="Times New Roman"/>
            <w:color w:val="1155CC"/>
            <w:sz w:val="24"/>
            <w:szCs w:val="24"/>
            <w:u w:val="single"/>
          </w:rPr>
          <w:t>https://doi.org/10.1093/jamiaopen/ooae101</w:t>
        </w:r>
      </w:hyperlink>
    </w:p>
    <w:p w14:paraId="0E4B5AF9"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Brown, J. T., McGonagle, E., Seifert, R., Speedie, M., &amp; Jacobson, P. A. </w:t>
      </w:r>
      <w:r w:rsidRPr="00F450A5">
        <w:rPr>
          <w:rFonts w:ascii="Times New Roman" w:eastAsia="Times New Roman" w:hAnsi="Times New Roman" w:cs="Times New Roman"/>
          <w:sz w:val="24"/>
          <w:szCs w:val="24"/>
        </w:rPr>
        <w:t xml:space="preserve">(2022). Addressing disparities in pharmacogenomics through rural and underserved workforce education. </w:t>
      </w:r>
      <w:r w:rsidRPr="00F450A5">
        <w:rPr>
          <w:rFonts w:ascii="Times New Roman" w:eastAsia="Times New Roman" w:hAnsi="Times New Roman" w:cs="Times New Roman"/>
          <w:i/>
          <w:iCs/>
          <w:sz w:val="24"/>
          <w:szCs w:val="24"/>
        </w:rPr>
        <w:t>Frontiers in Genetics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13</w:t>
      </w:r>
      <w:r w:rsidRPr="00F450A5">
        <w:rPr>
          <w:rFonts w:ascii="Times New Roman" w:eastAsia="Times New Roman" w:hAnsi="Times New Roman" w:cs="Times New Roman"/>
          <w:sz w:val="24"/>
          <w:szCs w:val="24"/>
        </w:rPr>
        <w:t>, 1082985.</w:t>
      </w:r>
      <w:hyperlink r:id="rId17">
        <w:r w:rsidR="00445D29" w:rsidRPr="00F450A5">
          <w:rPr>
            <w:rFonts w:ascii="Times New Roman" w:eastAsia="Times New Roman" w:hAnsi="Times New Roman" w:cs="Times New Roman"/>
            <w:sz w:val="24"/>
            <w:szCs w:val="24"/>
          </w:rPr>
          <w:t xml:space="preserve"> </w:t>
        </w:r>
      </w:hyperlink>
      <w:hyperlink r:id="rId18">
        <w:r w:rsidR="00445D29" w:rsidRPr="00F450A5">
          <w:rPr>
            <w:rFonts w:ascii="Times New Roman" w:eastAsia="Times New Roman" w:hAnsi="Times New Roman" w:cs="Times New Roman"/>
            <w:color w:val="1155CC"/>
            <w:sz w:val="24"/>
            <w:szCs w:val="24"/>
            <w:u w:val="single"/>
          </w:rPr>
          <w:t>https://doi.org/10.3389/fgene.2022.1082985</w:t>
        </w:r>
      </w:hyperlink>
    </w:p>
    <w:p w14:paraId="7BEDB6D4"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Cicali, E. J., Weitzel, K. W., Elsey, A. R., Orlando, F. A., Vinson, M., Mosley, S., Smith, D. M., Davis, R., Drum, L., Estores, D., Franciosi, J. P., Hagen, M. G., Jerkins, G. J., Mercado, E. S., </w:t>
      </w:r>
      <w:proofErr w:type="spellStart"/>
      <w:r w:rsidRPr="00F450A5">
        <w:rPr>
          <w:rFonts w:ascii="Times New Roman" w:eastAsia="Times New Roman" w:hAnsi="Times New Roman" w:cs="Times New Roman"/>
          <w:sz w:val="24"/>
          <w:szCs w:val="24"/>
        </w:rPr>
        <w:t>Nainaparam</w:t>
      </w:r>
      <w:r w:rsidRPr="00F450A5">
        <w:rPr>
          <w:rFonts w:ascii="Times New Roman" w:eastAsia="Times New Roman" w:hAnsi="Times New Roman" w:cs="Times New Roman"/>
          <w:sz w:val="24"/>
          <w:szCs w:val="24"/>
        </w:rPr>
        <w:t>pil</w:t>
      </w:r>
      <w:proofErr w:type="spellEnd"/>
      <w:r w:rsidRPr="00F450A5">
        <w:rPr>
          <w:rFonts w:ascii="Times New Roman" w:eastAsia="Times New Roman" w:hAnsi="Times New Roman" w:cs="Times New Roman"/>
          <w:sz w:val="24"/>
          <w:szCs w:val="24"/>
        </w:rPr>
        <w:t xml:space="preserve">, J., Padron, A., Rosenberg, E. I., Wright, A., Schmidt, S. O., … Johnson, J. A. (2019). Challenges and lessons learned from clinical pharmacogenetic implementation of multiple gene-drug pairs across ambulatory care settings. </w:t>
      </w:r>
      <w:r w:rsidRPr="00F450A5">
        <w:rPr>
          <w:rFonts w:ascii="Times New Roman" w:eastAsia="Times New Roman" w:hAnsi="Times New Roman" w:cs="Times New Roman"/>
          <w:i/>
          <w:iCs/>
          <w:sz w:val="24"/>
          <w:szCs w:val="24"/>
        </w:rPr>
        <w:t>Genetics in Medicine: Offic</w:t>
      </w:r>
      <w:r w:rsidRPr="00F450A5">
        <w:rPr>
          <w:rFonts w:ascii="Times New Roman" w:eastAsia="Times New Roman" w:hAnsi="Times New Roman" w:cs="Times New Roman"/>
          <w:i/>
          <w:iCs/>
          <w:sz w:val="24"/>
          <w:szCs w:val="24"/>
        </w:rPr>
        <w:t>ial Journal of the American College of Medical Genetics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21</w:t>
      </w:r>
      <w:r w:rsidRPr="00F450A5">
        <w:rPr>
          <w:rFonts w:ascii="Times New Roman" w:eastAsia="Times New Roman" w:hAnsi="Times New Roman" w:cs="Times New Roman"/>
          <w:sz w:val="24"/>
          <w:szCs w:val="24"/>
        </w:rPr>
        <w:t>(10), 2264–2274.</w:t>
      </w:r>
      <w:hyperlink r:id="rId19">
        <w:r w:rsidR="00445D29" w:rsidRPr="00F450A5">
          <w:rPr>
            <w:rFonts w:ascii="Times New Roman" w:eastAsia="Times New Roman" w:hAnsi="Times New Roman" w:cs="Times New Roman"/>
            <w:sz w:val="24"/>
            <w:szCs w:val="24"/>
          </w:rPr>
          <w:t xml:space="preserve"> </w:t>
        </w:r>
      </w:hyperlink>
      <w:hyperlink r:id="rId20">
        <w:r w:rsidR="00445D29" w:rsidRPr="00F450A5">
          <w:rPr>
            <w:rFonts w:ascii="Times New Roman" w:eastAsia="Times New Roman" w:hAnsi="Times New Roman" w:cs="Times New Roman"/>
            <w:color w:val="1155CC"/>
            <w:sz w:val="24"/>
            <w:szCs w:val="24"/>
            <w:u w:val="single"/>
          </w:rPr>
          <w:t>https://doi.org/10.1038/s41436-019-0500-7</w:t>
        </w:r>
      </w:hyperlink>
    </w:p>
    <w:p w14:paraId="698BE1F1"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Claw, K. G., Dorr, C. R., &amp; </w:t>
      </w:r>
      <w:proofErr w:type="spellStart"/>
      <w:r w:rsidRPr="00F450A5">
        <w:rPr>
          <w:rFonts w:ascii="Times New Roman" w:eastAsia="Times New Roman" w:hAnsi="Times New Roman" w:cs="Times New Roman"/>
          <w:sz w:val="24"/>
          <w:szCs w:val="24"/>
        </w:rPr>
        <w:t>Woodahl</w:t>
      </w:r>
      <w:proofErr w:type="spellEnd"/>
      <w:r w:rsidRPr="00F450A5">
        <w:rPr>
          <w:rFonts w:ascii="Times New Roman" w:eastAsia="Times New Roman" w:hAnsi="Times New Roman" w:cs="Times New Roman"/>
          <w:sz w:val="24"/>
          <w:szCs w:val="24"/>
        </w:rPr>
        <w:t xml:space="preserve">, E. L. (2024). Implementing community-engaged pharmacogenomics in Indigenous communities. </w:t>
      </w:r>
      <w:r w:rsidRPr="00F450A5">
        <w:rPr>
          <w:rFonts w:ascii="Times New Roman" w:eastAsia="Times New Roman" w:hAnsi="Times New Roman" w:cs="Times New Roman"/>
          <w:i/>
          <w:iCs/>
          <w:sz w:val="24"/>
          <w:szCs w:val="24"/>
        </w:rPr>
        <w:t>Nature Communications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15</w:t>
      </w:r>
      <w:r w:rsidRPr="00F450A5">
        <w:rPr>
          <w:rFonts w:ascii="Times New Roman" w:eastAsia="Times New Roman" w:hAnsi="Times New Roman" w:cs="Times New Roman"/>
          <w:sz w:val="24"/>
          <w:szCs w:val="24"/>
        </w:rPr>
        <w:t>(1), 920.</w:t>
      </w:r>
      <w:hyperlink r:id="rId21">
        <w:r w:rsidR="00445D29" w:rsidRPr="00F450A5">
          <w:rPr>
            <w:rFonts w:ascii="Times New Roman" w:eastAsia="Times New Roman" w:hAnsi="Times New Roman" w:cs="Times New Roman"/>
            <w:sz w:val="24"/>
            <w:szCs w:val="24"/>
          </w:rPr>
          <w:t xml:space="preserve"> </w:t>
        </w:r>
      </w:hyperlink>
      <w:hyperlink r:id="rId22">
        <w:r w:rsidR="00445D29" w:rsidRPr="00F450A5">
          <w:rPr>
            <w:rFonts w:ascii="Times New Roman" w:eastAsia="Times New Roman" w:hAnsi="Times New Roman" w:cs="Times New Roman"/>
            <w:color w:val="1155CC"/>
            <w:sz w:val="24"/>
            <w:szCs w:val="24"/>
            <w:u w:val="single"/>
          </w:rPr>
          <w:t>https://doi.org/10.1038/s41467-024-45032-5</w:t>
        </w:r>
      </w:hyperlink>
    </w:p>
    <w:p w14:paraId="3667CF5D"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Clin. Pharmacogenetics Implement. </w:t>
      </w:r>
      <w:proofErr w:type="gramStart"/>
      <w:r w:rsidRPr="00F450A5">
        <w:rPr>
          <w:rFonts w:ascii="Times New Roman" w:eastAsia="Times New Roman" w:hAnsi="Times New Roman" w:cs="Times New Roman"/>
          <w:sz w:val="24"/>
          <w:szCs w:val="24"/>
        </w:rPr>
        <w:t>Consort.(</w:t>
      </w:r>
      <w:proofErr w:type="gramEnd"/>
      <w:r w:rsidRPr="00F450A5">
        <w:rPr>
          <w:rFonts w:ascii="Times New Roman" w:eastAsia="Times New Roman" w:hAnsi="Times New Roman" w:cs="Times New Roman"/>
          <w:sz w:val="24"/>
          <w:szCs w:val="24"/>
        </w:rPr>
        <w:t xml:space="preserve">CPIC). (n.d.). </w:t>
      </w:r>
      <w:r w:rsidRPr="00F450A5">
        <w:rPr>
          <w:rFonts w:ascii="Times New Roman" w:eastAsia="Times New Roman" w:hAnsi="Times New Roman" w:cs="Times New Roman"/>
          <w:i/>
          <w:iCs/>
          <w:sz w:val="24"/>
          <w:szCs w:val="24"/>
        </w:rPr>
        <w:t>CPIC Genes-Drugs</w:t>
      </w:r>
      <w:r w:rsidRPr="00F450A5">
        <w:rPr>
          <w:rFonts w:ascii="Times New Roman" w:eastAsia="Times New Roman" w:hAnsi="Times New Roman" w:cs="Times New Roman"/>
          <w:sz w:val="24"/>
          <w:szCs w:val="24"/>
        </w:rPr>
        <w:t xml:space="preserve">. </w:t>
      </w:r>
      <w:proofErr w:type="spellStart"/>
      <w:r w:rsidRPr="00F450A5">
        <w:rPr>
          <w:rFonts w:ascii="Times New Roman" w:eastAsia="Times New Roman" w:hAnsi="Times New Roman" w:cs="Times New Roman"/>
          <w:sz w:val="24"/>
          <w:szCs w:val="24"/>
        </w:rPr>
        <w:t>ClinPGx</w:t>
      </w:r>
      <w:proofErr w:type="spellEnd"/>
      <w:r w:rsidRPr="00F450A5">
        <w:rPr>
          <w:rFonts w:ascii="Times New Roman" w:eastAsia="Times New Roman" w:hAnsi="Times New Roman" w:cs="Times New Roman"/>
          <w:sz w:val="24"/>
          <w:szCs w:val="24"/>
        </w:rPr>
        <w:t>. Retrieved March 21, 2026, from</w:t>
      </w:r>
      <w:hyperlink r:id="rId23">
        <w:r w:rsidR="00445D29" w:rsidRPr="00F450A5">
          <w:rPr>
            <w:rFonts w:ascii="Times New Roman" w:eastAsia="Times New Roman" w:hAnsi="Times New Roman" w:cs="Times New Roman"/>
            <w:sz w:val="24"/>
            <w:szCs w:val="24"/>
          </w:rPr>
          <w:t xml:space="preserve"> </w:t>
        </w:r>
      </w:hyperlink>
      <w:hyperlink r:id="rId24">
        <w:r w:rsidR="00445D29" w:rsidRPr="00F450A5">
          <w:rPr>
            <w:rFonts w:ascii="Times New Roman" w:eastAsia="Times New Roman" w:hAnsi="Times New Roman" w:cs="Times New Roman"/>
            <w:color w:val="1155CC"/>
            <w:sz w:val="24"/>
            <w:szCs w:val="24"/>
            <w:u w:val="single"/>
          </w:rPr>
          <w:t>https://www.clinpgx.org/cpic/pairs</w:t>
        </w:r>
      </w:hyperlink>
    </w:p>
    <w:p w14:paraId="478B0371"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proofErr w:type="spellStart"/>
      <w:r w:rsidRPr="00F450A5">
        <w:rPr>
          <w:rFonts w:ascii="Times New Roman" w:eastAsia="Times New Roman" w:hAnsi="Times New Roman" w:cs="Times New Roman"/>
          <w:sz w:val="24"/>
          <w:szCs w:val="24"/>
        </w:rPr>
        <w:t>Coumau</w:t>
      </w:r>
      <w:proofErr w:type="spellEnd"/>
      <w:r w:rsidRPr="00F450A5">
        <w:rPr>
          <w:rFonts w:ascii="Times New Roman" w:eastAsia="Times New Roman" w:hAnsi="Times New Roman" w:cs="Times New Roman"/>
          <w:sz w:val="24"/>
          <w:szCs w:val="24"/>
        </w:rPr>
        <w:t xml:space="preserve">, A., </w:t>
      </w:r>
      <w:proofErr w:type="spellStart"/>
      <w:r w:rsidRPr="00F450A5">
        <w:rPr>
          <w:rFonts w:ascii="Times New Roman" w:eastAsia="Times New Roman" w:hAnsi="Times New Roman" w:cs="Times New Roman"/>
          <w:sz w:val="24"/>
          <w:szCs w:val="24"/>
        </w:rPr>
        <w:t>Coumau</w:t>
      </w:r>
      <w:proofErr w:type="spellEnd"/>
      <w:r w:rsidRPr="00F450A5">
        <w:rPr>
          <w:rFonts w:ascii="Times New Roman" w:eastAsia="Times New Roman" w:hAnsi="Times New Roman" w:cs="Times New Roman"/>
          <w:sz w:val="24"/>
          <w:szCs w:val="24"/>
        </w:rPr>
        <w:t xml:space="preserve">, C., &amp; Csajka, C. (2025). Implementing pharmacogenetic testing in community pharmacy practice: A scoping review. </w:t>
      </w:r>
      <w:r w:rsidRPr="00F450A5">
        <w:rPr>
          <w:rFonts w:ascii="Times New Roman" w:eastAsia="Times New Roman" w:hAnsi="Times New Roman" w:cs="Times New Roman"/>
          <w:i/>
          <w:iCs/>
          <w:sz w:val="24"/>
          <w:szCs w:val="24"/>
        </w:rPr>
        <w:t>Frontiers in Pharmacology</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16</w:t>
      </w:r>
      <w:r w:rsidRPr="00F450A5">
        <w:rPr>
          <w:rFonts w:ascii="Times New Roman" w:eastAsia="Times New Roman" w:hAnsi="Times New Roman" w:cs="Times New Roman"/>
          <w:sz w:val="24"/>
          <w:szCs w:val="24"/>
        </w:rPr>
        <w:t>.</w:t>
      </w:r>
      <w:hyperlink r:id="rId25">
        <w:r w:rsidR="00445D29" w:rsidRPr="00F450A5">
          <w:rPr>
            <w:rFonts w:ascii="Times New Roman" w:eastAsia="Times New Roman" w:hAnsi="Times New Roman" w:cs="Times New Roman"/>
            <w:sz w:val="24"/>
            <w:szCs w:val="24"/>
          </w:rPr>
          <w:t xml:space="preserve"> </w:t>
        </w:r>
      </w:hyperlink>
      <w:hyperlink r:id="rId26">
        <w:r w:rsidR="00445D29" w:rsidRPr="00F450A5">
          <w:rPr>
            <w:rFonts w:ascii="Times New Roman" w:eastAsia="Times New Roman" w:hAnsi="Times New Roman" w:cs="Times New Roman"/>
            <w:color w:val="1155CC"/>
            <w:sz w:val="24"/>
            <w:szCs w:val="24"/>
            <w:u w:val="single"/>
          </w:rPr>
          <w:t>https://doi.org/10.3389/fphar.2025.1659875</w:t>
        </w:r>
      </w:hyperlink>
    </w:p>
    <w:p w14:paraId="3B0FEC07"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Díaz-Villamarín, X., Martínez-Pérez, M., Nieto-Sánchez, M. T., Fernández-</w:t>
      </w:r>
      <w:proofErr w:type="spellStart"/>
      <w:r w:rsidRPr="00F450A5">
        <w:rPr>
          <w:rFonts w:ascii="Times New Roman" w:eastAsia="Times New Roman" w:hAnsi="Times New Roman" w:cs="Times New Roman"/>
          <w:sz w:val="24"/>
          <w:szCs w:val="24"/>
        </w:rPr>
        <w:t>Varón</w:t>
      </w:r>
      <w:proofErr w:type="spellEnd"/>
      <w:r w:rsidRPr="00F450A5">
        <w:rPr>
          <w:rFonts w:ascii="Times New Roman" w:eastAsia="Times New Roman" w:hAnsi="Times New Roman" w:cs="Times New Roman"/>
          <w:sz w:val="24"/>
          <w:szCs w:val="24"/>
        </w:rPr>
        <w:t>, E., Torres-García, A., Blan</w:t>
      </w:r>
      <w:r w:rsidRPr="00F450A5">
        <w:rPr>
          <w:rFonts w:ascii="Times New Roman" w:eastAsia="Times New Roman" w:hAnsi="Times New Roman" w:cs="Times New Roman"/>
          <w:sz w:val="24"/>
          <w:szCs w:val="24"/>
        </w:rPr>
        <w:t xml:space="preserve">cas, I., Cabeza-Barrera, J., &amp; Morón, R. (2025). Clinical Pharmacogenetics: Results After Implementation of Preemptive Tests in Daily Routine. </w:t>
      </w:r>
      <w:r w:rsidRPr="00F450A5">
        <w:rPr>
          <w:rFonts w:ascii="Times New Roman" w:eastAsia="Times New Roman" w:hAnsi="Times New Roman" w:cs="Times New Roman"/>
          <w:i/>
          <w:iCs/>
          <w:sz w:val="24"/>
          <w:szCs w:val="24"/>
        </w:rPr>
        <w:lastRenderedPageBreak/>
        <w:t>Journal of Personalized Medicine</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15</w:t>
      </w:r>
      <w:r w:rsidRPr="00F450A5">
        <w:rPr>
          <w:rFonts w:ascii="Times New Roman" w:eastAsia="Times New Roman" w:hAnsi="Times New Roman" w:cs="Times New Roman"/>
          <w:sz w:val="24"/>
          <w:szCs w:val="24"/>
        </w:rPr>
        <w:t>(6).</w:t>
      </w:r>
      <w:hyperlink r:id="rId27">
        <w:r w:rsidR="00445D29" w:rsidRPr="00F450A5">
          <w:rPr>
            <w:rFonts w:ascii="Times New Roman" w:eastAsia="Times New Roman" w:hAnsi="Times New Roman" w:cs="Times New Roman"/>
            <w:sz w:val="24"/>
            <w:szCs w:val="24"/>
          </w:rPr>
          <w:t xml:space="preserve"> </w:t>
        </w:r>
      </w:hyperlink>
      <w:hyperlink r:id="rId28">
        <w:r w:rsidR="00445D29" w:rsidRPr="00F450A5">
          <w:rPr>
            <w:rFonts w:ascii="Times New Roman" w:eastAsia="Times New Roman" w:hAnsi="Times New Roman" w:cs="Times New Roman"/>
            <w:color w:val="1155CC"/>
            <w:sz w:val="24"/>
            <w:szCs w:val="24"/>
            <w:u w:val="single"/>
          </w:rPr>
          <w:t>https://doi.org/10.3390/jpm15060245</w:t>
        </w:r>
      </w:hyperlink>
    </w:p>
    <w:p w14:paraId="6CDEAA8C"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Donnelly, R. S., Cavallari, L. H., McCune, J. S., </w:t>
      </w:r>
      <w:proofErr w:type="spellStart"/>
      <w:r w:rsidRPr="00F450A5">
        <w:rPr>
          <w:rFonts w:ascii="Times New Roman" w:eastAsia="Times New Roman" w:hAnsi="Times New Roman" w:cs="Times New Roman"/>
          <w:sz w:val="24"/>
          <w:szCs w:val="24"/>
        </w:rPr>
        <w:t>Trofe</w:t>
      </w:r>
      <w:proofErr w:type="spellEnd"/>
      <w:r w:rsidRPr="00F450A5">
        <w:rPr>
          <w:rFonts w:ascii="Times New Roman" w:eastAsia="Times New Roman" w:hAnsi="Times New Roman" w:cs="Times New Roman"/>
          <w:sz w:val="24"/>
          <w:szCs w:val="24"/>
        </w:rPr>
        <w:t xml:space="preserve">-Clark, J., </w:t>
      </w:r>
      <w:proofErr w:type="spellStart"/>
      <w:r w:rsidRPr="00F450A5">
        <w:rPr>
          <w:rFonts w:ascii="Times New Roman" w:eastAsia="Times New Roman" w:hAnsi="Times New Roman" w:cs="Times New Roman"/>
          <w:sz w:val="24"/>
          <w:szCs w:val="24"/>
        </w:rPr>
        <w:t>Formea</w:t>
      </w:r>
      <w:proofErr w:type="spellEnd"/>
      <w:r w:rsidRPr="00F450A5">
        <w:rPr>
          <w:rFonts w:ascii="Times New Roman" w:eastAsia="Times New Roman" w:hAnsi="Times New Roman" w:cs="Times New Roman"/>
          <w:sz w:val="24"/>
          <w:szCs w:val="24"/>
        </w:rPr>
        <w:t xml:space="preserve">, C. M., Hoffecker, G., Csere, M. M., Anderson, K. C., Bhat, S., Mosley, S. A., Ma, Q., </w:t>
      </w:r>
      <w:proofErr w:type="spellStart"/>
      <w:r w:rsidRPr="00F450A5">
        <w:rPr>
          <w:rFonts w:ascii="Times New Roman" w:eastAsia="Times New Roman" w:hAnsi="Times New Roman" w:cs="Times New Roman"/>
          <w:sz w:val="24"/>
          <w:szCs w:val="24"/>
        </w:rPr>
        <w:t>Ferdock</w:t>
      </w:r>
      <w:proofErr w:type="spellEnd"/>
      <w:r w:rsidRPr="00F450A5">
        <w:rPr>
          <w:rFonts w:ascii="Times New Roman" w:eastAsia="Times New Roman" w:hAnsi="Times New Roman" w:cs="Times New Roman"/>
          <w:sz w:val="24"/>
          <w:szCs w:val="24"/>
        </w:rPr>
        <w:t>, A., Hoffman,</w:t>
      </w:r>
      <w:r w:rsidRPr="00F450A5">
        <w:rPr>
          <w:rFonts w:ascii="Times New Roman" w:eastAsia="Times New Roman" w:hAnsi="Times New Roman" w:cs="Times New Roman"/>
          <w:sz w:val="24"/>
          <w:szCs w:val="24"/>
        </w:rPr>
        <w:t xml:space="preserve"> J. M., Hicks, J. K., &amp; Caudle, K. E. (2024). Decoding Pharmacogenomic Test Interpretation and Application to Patient Care. </w:t>
      </w:r>
      <w:r w:rsidRPr="00F450A5">
        <w:rPr>
          <w:rFonts w:ascii="Times New Roman" w:eastAsia="Times New Roman" w:hAnsi="Times New Roman" w:cs="Times New Roman"/>
          <w:i/>
          <w:iCs/>
          <w:sz w:val="24"/>
          <w:szCs w:val="24"/>
        </w:rPr>
        <w:t>Journal of the American College of Clinical Pharmacy : JACCP</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7</w:t>
      </w:r>
      <w:r w:rsidRPr="00F450A5">
        <w:rPr>
          <w:rFonts w:ascii="Times New Roman" w:eastAsia="Times New Roman" w:hAnsi="Times New Roman" w:cs="Times New Roman"/>
          <w:sz w:val="24"/>
          <w:szCs w:val="24"/>
        </w:rPr>
        <w:t>(6), 581–588.</w:t>
      </w:r>
      <w:hyperlink r:id="rId29">
        <w:r w:rsidR="00445D29" w:rsidRPr="00F450A5">
          <w:rPr>
            <w:rFonts w:ascii="Times New Roman" w:eastAsia="Times New Roman" w:hAnsi="Times New Roman" w:cs="Times New Roman"/>
            <w:sz w:val="24"/>
            <w:szCs w:val="24"/>
          </w:rPr>
          <w:t xml:space="preserve"> </w:t>
        </w:r>
      </w:hyperlink>
      <w:hyperlink r:id="rId30">
        <w:r w:rsidR="00445D29" w:rsidRPr="00F450A5">
          <w:rPr>
            <w:rFonts w:ascii="Times New Roman" w:eastAsia="Times New Roman" w:hAnsi="Times New Roman" w:cs="Times New Roman"/>
            <w:color w:val="1155CC"/>
            <w:sz w:val="24"/>
            <w:szCs w:val="24"/>
            <w:u w:val="single"/>
          </w:rPr>
          <w:t>https://doi.org/10.1002/jac5.1958</w:t>
        </w:r>
      </w:hyperlink>
    </w:p>
    <w:p w14:paraId="3541AD2E"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Dorfman, E. H., Trinidad, S. B., Morales, C. T., Howlett, K., Burke, W., &amp; </w:t>
      </w:r>
      <w:proofErr w:type="spellStart"/>
      <w:r w:rsidRPr="00F450A5">
        <w:rPr>
          <w:rFonts w:ascii="Times New Roman" w:eastAsia="Times New Roman" w:hAnsi="Times New Roman" w:cs="Times New Roman"/>
          <w:sz w:val="24"/>
          <w:szCs w:val="24"/>
        </w:rPr>
        <w:t>Woodahl</w:t>
      </w:r>
      <w:proofErr w:type="spellEnd"/>
      <w:r w:rsidRPr="00F450A5">
        <w:rPr>
          <w:rFonts w:ascii="Times New Roman" w:eastAsia="Times New Roman" w:hAnsi="Times New Roman" w:cs="Times New Roman"/>
          <w:sz w:val="24"/>
          <w:szCs w:val="24"/>
        </w:rPr>
        <w:t>, E. L. (2015). Pharmacogenomics in diverse practice settings: Implementation beyond majo</w:t>
      </w:r>
      <w:r w:rsidRPr="00F450A5">
        <w:rPr>
          <w:rFonts w:ascii="Times New Roman" w:eastAsia="Times New Roman" w:hAnsi="Times New Roman" w:cs="Times New Roman"/>
          <w:sz w:val="24"/>
          <w:szCs w:val="24"/>
        </w:rPr>
        <w:t xml:space="preserve">r metropolitan areas. </w:t>
      </w:r>
      <w:r w:rsidRPr="00F450A5">
        <w:rPr>
          <w:rFonts w:ascii="Times New Roman" w:eastAsia="Times New Roman" w:hAnsi="Times New Roman" w:cs="Times New Roman"/>
          <w:i/>
          <w:iCs/>
          <w:sz w:val="24"/>
          <w:szCs w:val="24"/>
        </w:rPr>
        <w:t>Pharmacogenomics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16</w:t>
      </w:r>
      <w:r w:rsidRPr="00F450A5">
        <w:rPr>
          <w:rFonts w:ascii="Times New Roman" w:eastAsia="Times New Roman" w:hAnsi="Times New Roman" w:cs="Times New Roman"/>
          <w:sz w:val="24"/>
          <w:szCs w:val="24"/>
        </w:rPr>
        <w:t>(3), 227–237.</w:t>
      </w:r>
      <w:hyperlink r:id="rId31">
        <w:r w:rsidR="00445D29" w:rsidRPr="00F450A5">
          <w:rPr>
            <w:rFonts w:ascii="Times New Roman" w:eastAsia="Times New Roman" w:hAnsi="Times New Roman" w:cs="Times New Roman"/>
            <w:sz w:val="24"/>
            <w:szCs w:val="24"/>
          </w:rPr>
          <w:t xml:space="preserve"> </w:t>
        </w:r>
      </w:hyperlink>
      <w:hyperlink r:id="rId32">
        <w:r w:rsidR="00445D29" w:rsidRPr="00F450A5">
          <w:rPr>
            <w:rFonts w:ascii="Times New Roman" w:eastAsia="Times New Roman" w:hAnsi="Times New Roman" w:cs="Times New Roman"/>
            <w:color w:val="1155CC"/>
            <w:sz w:val="24"/>
            <w:szCs w:val="24"/>
            <w:u w:val="single"/>
          </w:rPr>
          <w:t>https://doi.org/10.2217/pgs.14.174</w:t>
        </w:r>
      </w:hyperlink>
    </w:p>
    <w:p w14:paraId="339D7BFA"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Dressler, L. G., Bell, G. C., Abernathy, P. M., Ruch, K., &amp; Denslow, S. (2019). Implementing pharmacogenetic testing in rural primary care practices: A pilot feasibility study. </w:t>
      </w:r>
      <w:r w:rsidRPr="00F450A5">
        <w:rPr>
          <w:rFonts w:ascii="Times New Roman" w:eastAsia="Times New Roman" w:hAnsi="Times New Roman" w:cs="Times New Roman"/>
          <w:i/>
          <w:iCs/>
          <w:sz w:val="24"/>
          <w:szCs w:val="24"/>
        </w:rPr>
        <w:t>Pharmacogenomics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20</w:t>
      </w:r>
      <w:r w:rsidRPr="00F450A5">
        <w:rPr>
          <w:rFonts w:ascii="Times New Roman" w:eastAsia="Times New Roman" w:hAnsi="Times New Roman" w:cs="Times New Roman"/>
          <w:sz w:val="24"/>
          <w:szCs w:val="24"/>
        </w:rPr>
        <w:t>(6), 433–446.</w:t>
      </w:r>
      <w:hyperlink r:id="rId33">
        <w:r w:rsidR="00445D29" w:rsidRPr="00F450A5">
          <w:rPr>
            <w:rFonts w:ascii="Times New Roman" w:eastAsia="Times New Roman" w:hAnsi="Times New Roman" w:cs="Times New Roman"/>
            <w:sz w:val="24"/>
            <w:szCs w:val="24"/>
          </w:rPr>
          <w:t xml:space="preserve"> </w:t>
        </w:r>
      </w:hyperlink>
      <w:hyperlink r:id="rId34">
        <w:r w:rsidR="00445D29" w:rsidRPr="00F450A5">
          <w:rPr>
            <w:rFonts w:ascii="Times New Roman" w:eastAsia="Times New Roman" w:hAnsi="Times New Roman" w:cs="Times New Roman"/>
            <w:color w:val="1155CC"/>
            <w:sz w:val="24"/>
            <w:szCs w:val="24"/>
            <w:u w:val="single"/>
          </w:rPr>
          <w:t>https://doi.org/10.2217/pgs-2018-0200</w:t>
        </w:r>
      </w:hyperlink>
    </w:p>
    <w:p w14:paraId="3BA9FD7D"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proofErr w:type="spellStart"/>
      <w:r w:rsidRPr="00F450A5">
        <w:rPr>
          <w:rFonts w:ascii="Times New Roman" w:eastAsia="Times New Roman" w:hAnsi="Times New Roman" w:cs="Times New Roman"/>
          <w:sz w:val="24"/>
          <w:szCs w:val="24"/>
        </w:rPr>
        <w:t>Dunnenberger</w:t>
      </w:r>
      <w:proofErr w:type="spellEnd"/>
      <w:r w:rsidRPr="00F450A5">
        <w:rPr>
          <w:rFonts w:ascii="Times New Roman" w:eastAsia="Times New Roman" w:hAnsi="Times New Roman" w:cs="Times New Roman"/>
          <w:sz w:val="24"/>
          <w:szCs w:val="24"/>
        </w:rPr>
        <w:t xml:space="preserve">, H. M., Crews, K. R., Hoffman, J. M., Caudle, K. E., Broeckel, U., Howard, S. C., Hunkler, R. J., Klein, T. E., Evans, W. E., &amp; </w:t>
      </w:r>
      <w:proofErr w:type="spellStart"/>
      <w:r w:rsidRPr="00F450A5">
        <w:rPr>
          <w:rFonts w:ascii="Times New Roman" w:eastAsia="Times New Roman" w:hAnsi="Times New Roman" w:cs="Times New Roman"/>
          <w:sz w:val="24"/>
          <w:szCs w:val="24"/>
        </w:rPr>
        <w:t>Relling</w:t>
      </w:r>
      <w:proofErr w:type="spellEnd"/>
      <w:r w:rsidRPr="00F450A5">
        <w:rPr>
          <w:rFonts w:ascii="Times New Roman" w:eastAsia="Times New Roman" w:hAnsi="Times New Roman" w:cs="Times New Roman"/>
          <w:sz w:val="24"/>
          <w:szCs w:val="24"/>
        </w:rPr>
        <w:t>,</w:t>
      </w:r>
      <w:r w:rsidRPr="00F450A5">
        <w:rPr>
          <w:rFonts w:ascii="Times New Roman" w:eastAsia="Times New Roman" w:hAnsi="Times New Roman" w:cs="Times New Roman"/>
          <w:sz w:val="24"/>
          <w:szCs w:val="24"/>
        </w:rPr>
        <w:t xml:space="preserve"> M. V. (2015). Preemptive Clinical Pharmacogenetics Implementation: Current programs in five United States medical centers. </w:t>
      </w:r>
      <w:r w:rsidRPr="00F450A5">
        <w:rPr>
          <w:rFonts w:ascii="Times New Roman" w:eastAsia="Times New Roman" w:hAnsi="Times New Roman" w:cs="Times New Roman"/>
          <w:i/>
          <w:iCs/>
          <w:sz w:val="24"/>
          <w:szCs w:val="24"/>
        </w:rPr>
        <w:t>Annual Review of Pharmacology and Toxicology</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55</w:t>
      </w:r>
      <w:r w:rsidRPr="00F450A5">
        <w:rPr>
          <w:rFonts w:ascii="Times New Roman" w:eastAsia="Times New Roman" w:hAnsi="Times New Roman" w:cs="Times New Roman"/>
          <w:sz w:val="24"/>
          <w:szCs w:val="24"/>
        </w:rPr>
        <w:t>, 89–106.</w:t>
      </w:r>
      <w:hyperlink r:id="rId35">
        <w:r w:rsidR="00445D29" w:rsidRPr="00F450A5">
          <w:rPr>
            <w:rFonts w:ascii="Times New Roman" w:eastAsia="Times New Roman" w:hAnsi="Times New Roman" w:cs="Times New Roman"/>
            <w:sz w:val="24"/>
            <w:szCs w:val="24"/>
          </w:rPr>
          <w:t xml:space="preserve"> </w:t>
        </w:r>
      </w:hyperlink>
      <w:hyperlink r:id="rId36">
        <w:r w:rsidR="00445D29" w:rsidRPr="00F450A5">
          <w:rPr>
            <w:rFonts w:ascii="Times New Roman" w:eastAsia="Times New Roman" w:hAnsi="Times New Roman" w:cs="Times New Roman"/>
            <w:color w:val="1155CC"/>
            <w:sz w:val="24"/>
            <w:szCs w:val="24"/>
            <w:u w:val="single"/>
          </w:rPr>
          <w:t>https://doi.org/10.1146/annurev-pharmtox-010814-124835</w:t>
        </w:r>
      </w:hyperlink>
    </w:p>
    <w:p w14:paraId="036E6BD2"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Fohner, A. E., Killam, S. R., Volk, K. G., &amp; </w:t>
      </w:r>
      <w:proofErr w:type="spellStart"/>
      <w:r w:rsidRPr="00F450A5">
        <w:rPr>
          <w:rFonts w:ascii="Times New Roman" w:eastAsia="Times New Roman" w:hAnsi="Times New Roman" w:cs="Times New Roman"/>
          <w:sz w:val="24"/>
          <w:szCs w:val="24"/>
        </w:rPr>
        <w:t>Woodahl</w:t>
      </w:r>
      <w:proofErr w:type="spellEnd"/>
      <w:r w:rsidRPr="00F450A5">
        <w:rPr>
          <w:rFonts w:ascii="Times New Roman" w:eastAsia="Times New Roman" w:hAnsi="Times New Roman" w:cs="Times New Roman"/>
          <w:sz w:val="24"/>
          <w:szCs w:val="24"/>
        </w:rPr>
        <w:t xml:space="preserve">, E. L. (2022). Advancing equity in the promise of pharmacogenomics. In </w:t>
      </w:r>
      <w:r w:rsidRPr="00F450A5">
        <w:rPr>
          <w:rFonts w:ascii="Times New Roman" w:eastAsia="Times New Roman" w:hAnsi="Times New Roman" w:cs="Times New Roman"/>
          <w:i/>
          <w:iCs/>
          <w:sz w:val="24"/>
          <w:szCs w:val="24"/>
        </w:rPr>
        <w:t>Cli</w:t>
      </w:r>
      <w:r w:rsidRPr="00F450A5">
        <w:rPr>
          <w:rFonts w:ascii="Times New Roman" w:eastAsia="Times New Roman" w:hAnsi="Times New Roman" w:cs="Times New Roman"/>
          <w:i/>
          <w:iCs/>
          <w:sz w:val="24"/>
          <w:szCs w:val="24"/>
        </w:rPr>
        <w:t>nical Decision Support for Pharmacogenomic Precision Medicine</w:t>
      </w:r>
      <w:r w:rsidRPr="00F450A5">
        <w:rPr>
          <w:rFonts w:ascii="Times New Roman" w:eastAsia="Times New Roman" w:hAnsi="Times New Roman" w:cs="Times New Roman"/>
          <w:sz w:val="24"/>
          <w:szCs w:val="24"/>
        </w:rPr>
        <w:t xml:space="preserve"> (pp. 85–106). Academic Press.</w:t>
      </w:r>
      <w:hyperlink r:id="rId37">
        <w:r w:rsidR="00445D29" w:rsidRPr="00F450A5">
          <w:rPr>
            <w:rFonts w:ascii="Times New Roman" w:eastAsia="Times New Roman" w:hAnsi="Times New Roman" w:cs="Times New Roman"/>
            <w:sz w:val="24"/>
            <w:szCs w:val="24"/>
          </w:rPr>
          <w:t xml:space="preserve"> </w:t>
        </w:r>
      </w:hyperlink>
      <w:hyperlink r:id="rId38">
        <w:r w:rsidR="00445D29" w:rsidRPr="00F450A5">
          <w:rPr>
            <w:rFonts w:ascii="Times New Roman" w:eastAsia="Times New Roman" w:hAnsi="Times New Roman" w:cs="Times New Roman"/>
            <w:color w:val="1155CC"/>
            <w:sz w:val="24"/>
            <w:szCs w:val="24"/>
            <w:u w:val="single"/>
          </w:rPr>
          <w:t>https://doi.org/10.1016/B978-0-12-824453-1.00011-7</w:t>
        </w:r>
      </w:hyperlink>
    </w:p>
    <w:p w14:paraId="3E2B0EBD"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Fohner, A. E., Volk, K. G., &amp; </w:t>
      </w:r>
      <w:proofErr w:type="spellStart"/>
      <w:r w:rsidRPr="00F450A5">
        <w:rPr>
          <w:rFonts w:ascii="Times New Roman" w:eastAsia="Times New Roman" w:hAnsi="Times New Roman" w:cs="Times New Roman"/>
          <w:sz w:val="24"/>
          <w:szCs w:val="24"/>
        </w:rPr>
        <w:t>Woodahl</w:t>
      </w:r>
      <w:proofErr w:type="spellEnd"/>
      <w:r w:rsidRPr="00F450A5">
        <w:rPr>
          <w:rFonts w:ascii="Times New Roman" w:eastAsia="Times New Roman" w:hAnsi="Times New Roman" w:cs="Times New Roman"/>
          <w:sz w:val="24"/>
          <w:szCs w:val="24"/>
        </w:rPr>
        <w:t xml:space="preserve">, E. L. (2019). Democratizing Precision Medicine Through Community Engagement. </w:t>
      </w:r>
      <w:r w:rsidRPr="00F450A5">
        <w:rPr>
          <w:rFonts w:ascii="Times New Roman" w:eastAsia="Times New Roman" w:hAnsi="Times New Roman" w:cs="Times New Roman"/>
          <w:i/>
          <w:iCs/>
          <w:sz w:val="24"/>
          <w:szCs w:val="24"/>
        </w:rPr>
        <w:t>Clinical Pharmacology and Therapeutics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106</w:t>
      </w:r>
      <w:r w:rsidRPr="00F450A5">
        <w:rPr>
          <w:rFonts w:ascii="Times New Roman" w:eastAsia="Times New Roman" w:hAnsi="Times New Roman" w:cs="Times New Roman"/>
          <w:sz w:val="24"/>
          <w:szCs w:val="24"/>
        </w:rPr>
        <w:t>(3), 488–490.</w:t>
      </w:r>
      <w:hyperlink r:id="rId39">
        <w:r w:rsidR="00445D29" w:rsidRPr="00F450A5">
          <w:rPr>
            <w:rFonts w:ascii="Times New Roman" w:eastAsia="Times New Roman" w:hAnsi="Times New Roman" w:cs="Times New Roman"/>
            <w:sz w:val="24"/>
            <w:szCs w:val="24"/>
          </w:rPr>
          <w:t xml:space="preserve"> </w:t>
        </w:r>
      </w:hyperlink>
      <w:hyperlink r:id="rId40">
        <w:r w:rsidR="00445D29" w:rsidRPr="00F450A5">
          <w:rPr>
            <w:rFonts w:ascii="Times New Roman" w:eastAsia="Times New Roman" w:hAnsi="Times New Roman" w:cs="Times New Roman"/>
            <w:color w:val="1155CC"/>
            <w:sz w:val="24"/>
            <w:szCs w:val="24"/>
            <w:u w:val="single"/>
          </w:rPr>
          <w:t>https://doi.org/10.1002/cpt.1508</w:t>
        </w:r>
      </w:hyperlink>
    </w:p>
    <w:p w14:paraId="14E12C06"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Food and Drug Administration (FDA). (2026). Table of Pharmacogenomic Biomarkers in Drug Labeling. </w:t>
      </w:r>
      <w:r w:rsidRPr="00F450A5">
        <w:rPr>
          <w:rFonts w:ascii="Times New Roman" w:eastAsia="Times New Roman" w:hAnsi="Times New Roman" w:cs="Times New Roman"/>
          <w:i/>
          <w:iCs/>
          <w:sz w:val="24"/>
          <w:szCs w:val="24"/>
        </w:rPr>
        <w:t>FDA</w:t>
      </w:r>
      <w:r w:rsidRPr="00F450A5">
        <w:rPr>
          <w:rFonts w:ascii="Times New Roman" w:eastAsia="Times New Roman" w:hAnsi="Times New Roman" w:cs="Times New Roman"/>
          <w:sz w:val="24"/>
          <w:szCs w:val="24"/>
        </w:rPr>
        <w:t>.</w:t>
      </w:r>
      <w:hyperlink r:id="rId41">
        <w:r w:rsidR="00445D29" w:rsidRPr="00F450A5">
          <w:rPr>
            <w:rFonts w:ascii="Times New Roman" w:eastAsia="Times New Roman" w:hAnsi="Times New Roman" w:cs="Times New Roman"/>
            <w:sz w:val="24"/>
            <w:szCs w:val="24"/>
          </w:rPr>
          <w:t xml:space="preserve"> </w:t>
        </w:r>
      </w:hyperlink>
      <w:hyperlink r:id="rId42">
        <w:r w:rsidR="00445D29" w:rsidRPr="00F450A5">
          <w:rPr>
            <w:rFonts w:ascii="Times New Roman" w:eastAsia="Times New Roman" w:hAnsi="Times New Roman" w:cs="Times New Roman"/>
            <w:color w:val="1155CC"/>
            <w:sz w:val="24"/>
            <w:szCs w:val="24"/>
            <w:u w:val="single"/>
          </w:rPr>
          <w:t>https://www.fda.gov/drugs/science-and-research-drugs/table-</w:t>
        </w:r>
        <w:r w:rsidR="00445D29" w:rsidRPr="00F450A5">
          <w:rPr>
            <w:rFonts w:ascii="Times New Roman" w:eastAsia="Times New Roman" w:hAnsi="Times New Roman" w:cs="Times New Roman"/>
            <w:color w:val="1155CC"/>
            <w:sz w:val="24"/>
            <w:szCs w:val="24"/>
            <w:u w:val="single"/>
          </w:rPr>
          <w:lastRenderedPageBreak/>
          <w:t>pharmacogenomic-biomarkers-drug-labeling</w:t>
        </w:r>
      </w:hyperlink>
    </w:p>
    <w:p w14:paraId="1D62A0F9"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Frigon, M.-P., Blackburn, M.-È., Dubois-Bouchard, C., Gagnon, A.-L., Tardif, S., &amp; Tremblay, K. (2019). Pharmacogenetic Testing in Primary Care Practice: Opinions of Physician</w:t>
      </w:r>
      <w:r w:rsidRPr="00F450A5">
        <w:rPr>
          <w:rFonts w:ascii="Times New Roman" w:eastAsia="Times New Roman" w:hAnsi="Times New Roman" w:cs="Times New Roman"/>
          <w:sz w:val="24"/>
          <w:szCs w:val="24"/>
        </w:rPr>
        <w:t xml:space="preserve">s, Pharmacists and Patients. </w:t>
      </w:r>
      <w:r w:rsidRPr="00F450A5">
        <w:rPr>
          <w:rFonts w:ascii="Times New Roman" w:eastAsia="Times New Roman" w:hAnsi="Times New Roman" w:cs="Times New Roman"/>
          <w:i/>
          <w:iCs/>
          <w:sz w:val="24"/>
          <w:szCs w:val="24"/>
        </w:rPr>
        <w:t>Pharmacogenomics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20</w:t>
      </w:r>
      <w:r w:rsidRPr="00F450A5">
        <w:rPr>
          <w:rFonts w:ascii="Times New Roman" w:eastAsia="Times New Roman" w:hAnsi="Times New Roman" w:cs="Times New Roman"/>
          <w:sz w:val="24"/>
          <w:szCs w:val="24"/>
        </w:rPr>
        <w:t>(8), 589–598.</w:t>
      </w:r>
      <w:hyperlink r:id="rId43">
        <w:r w:rsidR="00445D29" w:rsidRPr="00F450A5">
          <w:rPr>
            <w:rFonts w:ascii="Times New Roman" w:eastAsia="Times New Roman" w:hAnsi="Times New Roman" w:cs="Times New Roman"/>
            <w:sz w:val="24"/>
            <w:szCs w:val="24"/>
          </w:rPr>
          <w:t xml:space="preserve"> </w:t>
        </w:r>
      </w:hyperlink>
      <w:hyperlink r:id="rId44">
        <w:r w:rsidR="00445D29" w:rsidRPr="00F450A5">
          <w:rPr>
            <w:rFonts w:ascii="Times New Roman" w:eastAsia="Times New Roman" w:hAnsi="Times New Roman" w:cs="Times New Roman"/>
            <w:color w:val="1155CC"/>
            <w:sz w:val="24"/>
            <w:szCs w:val="24"/>
            <w:u w:val="single"/>
          </w:rPr>
          <w:t>https://doi.org/10.2217/pgs-2019-0004</w:t>
        </w:r>
      </w:hyperlink>
    </w:p>
    <w:p w14:paraId="6BC62C2C"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Gawronski, B. E., </w:t>
      </w:r>
      <w:proofErr w:type="spellStart"/>
      <w:r w:rsidRPr="00F450A5">
        <w:rPr>
          <w:rFonts w:ascii="Times New Roman" w:eastAsia="Times New Roman" w:hAnsi="Times New Roman" w:cs="Times New Roman"/>
          <w:sz w:val="24"/>
          <w:szCs w:val="24"/>
        </w:rPr>
        <w:t>Fofanova</w:t>
      </w:r>
      <w:proofErr w:type="spellEnd"/>
      <w:r w:rsidRPr="00F450A5">
        <w:rPr>
          <w:rFonts w:ascii="Times New Roman" w:eastAsia="Times New Roman" w:hAnsi="Times New Roman" w:cs="Times New Roman"/>
          <w:sz w:val="24"/>
          <w:szCs w:val="24"/>
        </w:rPr>
        <w:t xml:space="preserve">, I., Miranda, </w:t>
      </w:r>
      <w:r w:rsidRPr="00F450A5">
        <w:rPr>
          <w:rFonts w:ascii="Times New Roman" w:eastAsia="Times New Roman" w:hAnsi="Times New Roman" w:cs="Times New Roman"/>
          <w:sz w:val="24"/>
          <w:szCs w:val="24"/>
        </w:rPr>
        <w:t xml:space="preserve">A. M., Malave, J. G., &amp; Duarte, J. D. (2025). Implementation of clinical pharmacogenetic testing in medically underserved patients: A narrative review. </w:t>
      </w:r>
      <w:r w:rsidRPr="00F450A5">
        <w:rPr>
          <w:rFonts w:ascii="Times New Roman" w:eastAsia="Times New Roman" w:hAnsi="Times New Roman" w:cs="Times New Roman"/>
          <w:i/>
          <w:iCs/>
          <w:sz w:val="24"/>
          <w:szCs w:val="24"/>
        </w:rPr>
        <w:t>Pharmacogenomics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26</w:t>
      </w:r>
      <w:r w:rsidRPr="00F450A5">
        <w:rPr>
          <w:rFonts w:ascii="Times New Roman" w:eastAsia="Times New Roman" w:hAnsi="Times New Roman" w:cs="Times New Roman"/>
          <w:sz w:val="24"/>
          <w:szCs w:val="24"/>
        </w:rPr>
        <w:t>(3–4), 107–119.</w:t>
      </w:r>
      <w:hyperlink r:id="rId45">
        <w:r w:rsidR="00445D29" w:rsidRPr="00F450A5">
          <w:rPr>
            <w:rFonts w:ascii="Times New Roman" w:eastAsia="Times New Roman" w:hAnsi="Times New Roman" w:cs="Times New Roman"/>
            <w:sz w:val="24"/>
            <w:szCs w:val="24"/>
          </w:rPr>
          <w:t xml:space="preserve"> </w:t>
        </w:r>
      </w:hyperlink>
      <w:hyperlink r:id="rId46">
        <w:r w:rsidR="00445D29" w:rsidRPr="00F450A5">
          <w:rPr>
            <w:rFonts w:ascii="Times New Roman" w:eastAsia="Times New Roman" w:hAnsi="Times New Roman" w:cs="Times New Roman"/>
            <w:color w:val="1155CC"/>
            <w:sz w:val="24"/>
            <w:szCs w:val="24"/>
            <w:u w:val="single"/>
          </w:rPr>
          <w:t>https://doi.org/10.1080/14622416.2025.2490461</w:t>
        </w:r>
      </w:hyperlink>
    </w:p>
    <w:p w14:paraId="2C998B46"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Henricks, L. M., Lunenburg, C. A. T. C., de Man, F. M., Meulendijks, D., </w:t>
      </w:r>
      <w:proofErr w:type="spellStart"/>
      <w:r w:rsidRPr="00F450A5">
        <w:rPr>
          <w:rFonts w:ascii="Times New Roman" w:eastAsia="Times New Roman" w:hAnsi="Times New Roman" w:cs="Times New Roman"/>
          <w:sz w:val="24"/>
          <w:szCs w:val="24"/>
        </w:rPr>
        <w:t>Frederix</w:t>
      </w:r>
      <w:proofErr w:type="spellEnd"/>
      <w:r w:rsidRPr="00F450A5">
        <w:rPr>
          <w:rFonts w:ascii="Times New Roman" w:eastAsia="Times New Roman" w:hAnsi="Times New Roman" w:cs="Times New Roman"/>
          <w:sz w:val="24"/>
          <w:szCs w:val="24"/>
        </w:rPr>
        <w:t xml:space="preserve">, G. W. J., </w:t>
      </w:r>
      <w:proofErr w:type="spellStart"/>
      <w:r w:rsidRPr="00F450A5">
        <w:rPr>
          <w:rFonts w:ascii="Times New Roman" w:eastAsia="Times New Roman" w:hAnsi="Times New Roman" w:cs="Times New Roman"/>
          <w:sz w:val="24"/>
          <w:szCs w:val="24"/>
        </w:rPr>
        <w:t>Kienhuis</w:t>
      </w:r>
      <w:proofErr w:type="spellEnd"/>
      <w:r w:rsidRPr="00F450A5">
        <w:rPr>
          <w:rFonts w:ascii="Times New Roman" w:eastAsia="Times New Roman" w:hAnsi="Times New Roman" w:cs="Times New Roman"/>
          <w:sz w:val="24"/>
          <w:szCs w:val="24"/>
        </w:rPr>
        <w:t xml:space="preserve">, E., Creemers, G.-J., Baars, A., </w:t>
      </w:r>
      <w:proofErr w:type="spellStart"/>
      <w:r w:rsidRPr="00F450A5">
        <w:rPr>
          <w:rFonts w:ascii="Times New Roman" w:eastAsia="Times New Roman" w:hAnsi="Times New Roman" w:cs="Times New Roman"/>
          <w:sz w:val="24"/>
          <w:szCs w:val="24"/>
        </w:rPr>
        <w:t>Dezentjé</w:t>
      </w:r>
      <w:proofErr w:type="spellEnd"/>
      <w:r w:rsidRPr="00F450A5">
        <w:rPr>
          <w:rFonts w:ascii="Times New Roman" w:eastAsia="Times New Roman" w:hAnsi="Times New Roman" w:cs="Times New Roman"/>
          <w:sz w:val="24"/>
          <w:szCs w:val="24"/>
        </w:rPr>
        <w:t xml:space="preserve">, V. </w:t>
      </w:r>
      <w:r w:rsidRPr="00F450A5">
        <w:rPr>
          <w:rFonts w:ascii="Times New Roman" w:eastAsia="Times New Roman" w:hAnsi="Times New Roman" w:cs="Times New Roman"/>
          <w:sz w:val="24"/>
          <w:szCs w:val="24"/>
        </w:rPr>
        <w:t xml:space="preserve">O., Imholz, A. L. T., Jeurissen, F. J. F., </w:t>
      </w:r>
      <w:proofErr w:type="spellStart"/>
      <w:r w:rsidRPr="00F450A5">
        <w:rPr>
          <w:rFonts w:ascii="Times New Roman" w:eastAsia="Times New Roman" w:hAnsi="Times New Roman" w:cs="Times New Roman"/>
          <w:sz w:val="24"/>
          <w:szCs w:val="24"/>
        </w:rPr>
        <w:t>Portielje</w:t>
      </w:r>
      <w:proofErr w:type="spellEnd"/>
      <w:r w:rsidRPr="00F450A5">
        <w:rPr>
          <w:rFonts w:ascii="Times New Roman" w:eastAsia="Times New Roman" w:hAnsi="Times New Roman" w:cs="Times New Roman"/>
          <w:sz w:val="24"/>
          <w:szCs w:val="24"/>
        </w:rPr>
        <w:t xml:space="preserve">, J. E. A., Jansen, R. L. H., Hamberg, P., Ten </w:t>
      </w:r>
      <w:proofErr w:type="spellStart"/>
      <w:r w:rsidRPr="00F450A5">
        <w:rPr>
          <w:rFonts w:ascii="Times New Roman" w:eastAsia="Times New Roman" w:hAnsi="Times New Roman" w:cs="Times New Roman"/>
          <w:sz w:val="24"/>
          <w:szCs w:val="24"/>
        </w:rPr>
        <w:t>Tije</w:t>
      </w:r>
      <w:proofErr w:type="spellEnd"/>
      <w:r w:rsidRPr="00F450A5">
        <w:rPr>
          <w:rFonts w:ascii="Times New Roman" w:eastAsia="Times New Roman" w:hAnsi="Times New Roman" w:cs="Times New Roman"/>
          <w:sz w:val="24"/>
          <w:szCs w:val="24"/>
        </w:rPr>
        <w:t xml:space="preserve">, A. J., </w:t>
      </w:r>
      <w:proofErr w:type="spellStart"/>
      <w:r w:rsidRPr="00F450A5">
        <w:rPr>
          <w:rFonts w:ascii="Times New Roman" w:eastAsia="Times New Roman" w:hAnsi="Times New Roman" w:cs="Times New Roman"/>
          <w:sz w:val="24"/>
          <w:szCs w:val="24"/>
        </w:rPr>
        <w:t>Droogendijk</w:t>
      </w:r>
      <w:proofErr w:type="spellEnd"/>
      <w:r w:rsidRPr="00F450A5">
        <w:rPr>
          <w:rFonts w:ascii="Times New Roman" w:eastAsia="Times New Roman" w:hAnsi="Times New Roman" w:cs="Times New Roman"/>
          <w:sz w:val="24"/>
          <w:szCs w:val="24"/>
        </w:rPr>
        <w:t xml:space="preserve">, H. J., Koopman, M., Nieboer, P., van de Poel, M. H. W., … </w:t>
      </w:r>
      <w:proofErr w:type="spellStart"/>
      <w:r w:rsidRPr="00F450A5">
        <w:rPr>
          <w:rFonts w:ascii="Times New Roman" w:eastAsia="Times New Roman" w:hAnsi="Times New Roman" w:cs="Times New Roman"/>
          <w:sz w:val="24"/>
          <w:szCs w:val="24"/>
        </w:rPr>
        <w:t>Schellens</w:t>
      </w:r>
      <w:proofErr w:type="spellEnd"/>
      <w:r w:rsidRPr="00F450A5">
        <w:rPr>
          <w:rFonts w:ascii="Times New Roman" w:eastAsia="Times New Roman" w:hAnsi="Times New Roman" w:cs="Times New Roman"/>
          <w:sz w:val="24"/>
          <w:szCs w:val="24"/>
        </w:rPr>
        <w:t xml:space="preserve">, J. H. M. (2018). DPYD genotype-guided dose </w:t>
      </w:r>
      <w:proofErr w:type="spellStart"/>
      <w:r w:rsidRPr="00F450A5">
        <w:rPr>
          <w:rFonts w:ascii="Times New Roman" w:eastAsia="Times New Roman" w:hAnsi="Times New Roman" w:cs="Times New Roman"/>
          <w:sz w:val="24"/>
          <w:szCs w:val="24"/>
        </w:rPr>
        <w:t>individualisation</w:t>
      </w:r>
      <w:proofErr w:type="spellEnd"/>
      <w:r w:rsidRPr="00F450A5">
        <w:rPr>
          <w:rFonts w:ascii="Times New Roman" w:eastAsia="Times New Roman" w:hAnsi="Times New Roman" w:cs="Times New Roman"/>
          <w:sz w:val="24"/>
          <w:szCs w:val="24"/>
        </w:rPr>
        <w:t xml:space="preserve"> o</w:t>
      </w:r>
      <w:r w:rsidRPr="00F450A5">
        <w:rPr>
          <w:rFonts w:ascii="Times New Roman" w:eastAsia="Times New Roman" w:hAnsi="Times New Roman" w:cs="Times New Roman"/>
          <w:sz w:val="24"/>
          <w:szCs w:val="24"/>
        </w:rPr>
        <w:t xml:space="preserve">f fluoropyrimidine therapy in patients with cancer: A prospective safety analysis. </w:t>
      </w:r>
      <w:r w:rsidRPr="00F450A5">
        <w:rPr>
          <w:rFonts w:ascii="Times New Roman" w:eastAsia="Times New Roman" w:hAnsi="Times New Roman" w:cs="Times New Roman"/>
          <w:i/>
          <w:iCs/>
          <w:sz w:val="24"/>
          <w:szCs w:val="24"/>
        </w:rPr>
        <w:t>The Lancet. Oncology</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19</w:t>
      </w:r>
      <w:r w:rsidRPr="00F450A5">
        <w:rPr>
          <w:rFonts w:ascii="Times New Roman" w:eastAsia="Times New Roman" w:hAnsi="Times New Roman" w:cs="Times New Roman"/>
          <w:sz w:val="24"/>
          <w:szCs w:val="24"/>
        </w:rPr>
        <w:t>(11), 1459–1467.</w:t>
      </w:r>
      <w:hyperlink r:id="rId47">
        <w:r w:rsidR="00445D29" w:rsidRPr="00F450A5">
          <w:rPr>
            <w:rFonts w:ascii="Times New Roman" w:eastAsia="Times New Roman" w:hAnsi="Times New Roman" w:cs="Times New Roman"/>
            <w:sz w:val="24"/>
            <w:szCs w:val="24"/>
          </w:rPr>
          <w:t xml:space="preserve"> </w:t>
        </w:r>
      </w:hyperlink>
      <w:hyperlink r:id="rId48">
        <w:r w:rsidR="00445D29" w:rsidRPr="00F450A5">
          <w:rPr>
            <w:rFonts w:ascii="Times New Roman" w:eastAsia="Times New Roman" w:hAnsi="Times New Roman" w:cs="Times New Roman"/>
            <w:color w:val="1155CC"/>
            <w:sz w:val="24"/>
            <w:szCs w:val="24"/>
            <w:u w:val="single"/>
          </w:rPr>
          <w:t>https://doi.org/10.1016/S1470-2045(18)30686-7</w:t>
        </w:r>
      </w:hyperlink>
    </w:p>
    <w:p w14:paraId="1980B680"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Javed, A. (2025). Bridging the Health Care Gap in Rural Populations: Challenges, Innovations, and Solutions. </w:t>
      </w:r>
      <w:r w:rsidRPr="00F450A5">
        <w:rPr>
          <w:rFonts w:ascii="Times New Roman" w:eastAsia="Times New Roman" w:hAnsi="Times New Roman" w:cs="Times New Roman"/>
          <w:i/>
          <w:iCs/>
          <w:sz w:val="24"/>
          <w:szCs w:val="24"/>
        </w:rPr>
        <w:t>The American Journal of Medicine</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138</w:t>
      </w:r>
      <w:r w:rsidRPr="00F450A5">
        <w:rPr>
          <w:rFonts w:ascii="Times New Roman" w:eastAsia="Times New Roman" w:hAnsi="Times New Roman" w:cs="Times New Roman"/>
          <w:sz w:val="24"/>
          <w:szCs w:val="24"/>
        </w:rPr>
        <w:t>(5), 761–762.</w:t>
      </w:r>
      <w:hyperlink r:id="rId49">
        <w:r w:rsidR="00445D29" w:rsidRPr="00F450A5">
          <w:rPr>
            <w:rFonts w:ascii="Times New Roman" w:eastAsia="Times New Roman" w:hAnsi="Times New Roman" w:cs="Times New Roman"/>
            <w:sz w:val="24"/>
            <w:szCs w:val="24"/>
          </w:rPr>
          <w:t xml:space="preserve"> </w:t>
        </w:r>
      </w:hyperlink>
      <w:hyperlink r:id="rId50">
        <w:r w:rsidR="00445D29" w:rsidRPr="00F450A5">
          <w:rPr>
            <w:rFonts w:ascii="Times New Roman" w:eastAsia="Times New Roman" w:hAnsi="Times New Roman" w:cs="Times New Roman"/>
            <w:color w:val="1155CC"/>
            <w:sz w:val="24"/>
            <w:szCs w:val="24"/>
            <w:u w:val="single"/>
          </w:rPr>
          <w:t>https://doi.org/10.1016/j.amjmed.2025.01.008</w:t>
        </w:r>
      </w:hyperlink>
    </w:p>
    <w:p w14:paraId="79E61D92"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Johnson, A., Broughton, S., Aponte-Soto, L., Watson, K., Pinto, C. D. G., Empey, P., Reis, S., Winn, R., &amp; Massart, M. (2020). Particip</w:t>
      </w:r>
      <w:r w:rsidRPr="00F450A5">
        <w:rPr>
          <w:rFonts w:ascii="Times New Roman" w:eastAsia="Times New Roman" w:hAnsi="Times New Roman" w:cs="Times New Roman"/>
          <w:sz w:val="24"/>
          <w:szCs w:val="24"/>
        </w:rPr>
        <w:t xml:space="preserve">atory Genomic Testing Can Effectively Disseminate Cardiovascular Pharmacogenomics Concepts within Federally Qualified Health Centers: A Feasibility Study. </w:t>
      </w:r>
      <w:r w:rsidRPr="00F450A5">
        <w:rPr>
          <w:rFonts w:ascii="Times New Roman" w:eastAsia="Times New Roman" w:hAnsi="Times New Roman" w:cs="Times New Roman"/>
          <w:i/>
          <w:iCs/>
          <w:sz w:val="24"/>
          <w:szCs w:val="24"/>
        </w:rPr>
        <w:t>Ethnicity &amp; Disease</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30</w:t>
      </w:r>
      <w:r w:rsidRPr="00F450A5">
        <w:rPr>
          <w:rFonts w:ascii="Times New Roman" w:eastAsia="Times New Roman" w:hAnsi="Times New Roman" w:cs="Times New Roman"/>
          <w:sz w:val="24"/>
          <w:szCs w:val="24"/>
        </w:rPr>
        <w:t>(Suppl 1), 167–176.</w:t>
      </w:r>
      <w:hyperlink r:id="rId51">
        <w:r w:rsidR="00445D29" w:rsidRPr="00F450A5">
          <w:rPr>
            <w:rFonts w:ascii="Times New Roman" w:eastAsia="Times New Roman" w:hAnsi="Times New Roman" w:cs="Times New Roman"/>
            <w:sz w:val="24"/>
            <w:szCs w:val="24"/>
          </w:rPr>
          <w:t xml:space="preserve"> </w:t>
        </w:r>
      </w:hyperlink>
      <w:hyperlink r:id="rId52">
        <w:r w:rsidR="00445D29" w:rsidRPr="00F450A5">
          <w:rPr>
            <w:rFonts w:ascii="Times New Roman" w:eastAsia="Times New Roman" w:hAnsi="Times New Roman" w:cs="Times New Roman"/>
            <w:color w:val="1155CC"/>
            <w:sz w:val="24"/>
            <w:szCs w:val="24"/>
            <w:u w:val="single"/>
          </w:rPr>
          <w:t>https://doi.org/10.18865/ed.30.S1.167</w:t>
        </w:r>
      </w:hyperlink>
    </w:p>
    <w:p w14:paraId="0C095869"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Leitch, T. M., Killam, S. R., Brown, K. E., </w:t>
      </w:r>
      <w:proofErr w:type="spellStart"/>
      <w:r w:rsidRPr="00F450A5">
        <w:rPr>
          <w:rFonts w:ascii="Times New Roman" w:eastAsia="Times New Roman" w:hAnsi="Times New Roman" w:cs="Times New Roman"/>
          <w:sz w:val="24"/>
          <w:szCs w:val="24"/>
        </w:rPr>
        <w:t>Katseanes</w:t>
      </w:r>
      <w:proofErr w:type="spellEnd"/>
      <w:r w:rsidRPr="00F450A5">
        <w:rPr>
          <w:rFonts w:ascii="Times New Roman" w:eastAsia="Times New Roman" w:hAnsi="Times New Roman" w:cs="Times New Roman"/>
          <w:sz w:val="24"/>
          <w:szCs w:val="24"/>
        </w:rPr>
        <w:t>, K. C., George, K. M., Schwanke, C., Loveland, J., Elias, A. F., Haney, K., Krebsbach, K., Muzquiz, L. I., T</w:t>
      </w:r>
      <w:r w:rsidRPr="00F450A5">
        <w:rPr>
          <w:rFonts w:ascii="Times New Roman" w:eastAsia="Times New Roman" w:hAnsi="Times New Roman" w:cs="Times New Roman"/>
          <w:sz w:val="24"/>
          <w:szCs w:val="24"/>
        </w:rPr>
        <w:t xml:space="preserve">rinidad, S. B., &amp; </w:t>
      </w:r>
      <w:proofErr w:type="spellStart"/>
      <w:r w:rsidRPr="00F450A5">
        <w:rPr>
          <w:rFonts w:ascii="Times New Roman" w:eastAsia="Times New Roman" w:hAnsi="Times New Roman" w:cs="Times New Roman"/>
          <w:sz w:val="24"/>
          <w:szCs w:val="24"/>
        </w:rPr>
        <w:t>Woodahl</w:t>
      </w:r>
      <w:proofErr w:type="spellEnd"/>
      <w:r w:rsidRPr="00F450A5">
        <w:rPr>
          <w:rFonts w:ascii="Times New Roman" w:eastAsia="Times New Roman" w:hAnsi="Times New Roman" w:cs="Times New Roman"/>
          <w:sz w:val="24"/>
          <w:szCs w:val="24"/>
        </w:rPr>
        <w:t xml:space="preserve">, E. L. (2022). Ensuring equity: Pharmacogenetic implementation in rural and tribal communities. </w:t>
      </w:r>
      <w:r w:rsidRPr="00F450A5">
        <w:rPr>
          <w:rFonts w:ascii="Times New Roman" w:eastAsia="Times New Roman" w:hAnsi="Times New Roman" w:cs="Times New Roman"/>
          <w:i/>
          <w:iCs/>
          <w:sz w:val="24"/>
          <w:szCs w:val="24"/>
        </w:rPr>
        <w:t>Frontiers in Pharmacology</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13</w:t>
      </w:r>
      <w:r w:rsidRPr="00F450A5">
        <w:rPr>
          <w:rFonts w:ascii="Times New Roman" w:eastAsia="Times New Roman" w:hAnsi="Times New Roman" w:cs="Times New Roman"/>
          <w:sz w:val="24"/>
          <w:szCs w:val="24"/>
        </w:rPr>
        <w:t>, 953142.</w:t>
      </w:r>
      <w:hyperlink r:id="rId53">
        <w:r w:rsidR="00445D29" w:rsidRPr="00F450A5">
          <w:rPr>
            <w:rFonts w:ascii="Times New Roman" w:eastAsia="Times New Roman" w:hAnsi="Times New Roman" w:cs="Times New Roman"/>
            <w:sz w:val="24"/>
            <w:szCs w:val="24"/>
          </w:rPr>
          <w:t xml:space="preserve"> </w:t>
        </w:r>
      </w:hyperlink>
      <w:hyperlink r:id="rId54">
        <w:r w:rsidR="00445D29" w:rsidRPr="00F450A5">
          <w:rPr>
            <w:rFonts w:ascii="Times New Roman" w:eastAsia="Times New Roman" w:hAnsi="Times New Roman" w:cs="Times New Roman"/>
            <w:color w:val="1155CC"/>
            <w:sz w:val="24"/>
            <w:szCs w:val="24"/>
            <w:u w:val="single"/>
          </w:rPr>
          <w:t>https://doi.org/10.3389/fphar.2022.953142</w:t>
        </w:r>
      </w:hyperlink>
    </w:p>
    <w:p w14:paraId="5D917D0C"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Levac, D., Colquhoun, H., &amp; O’Brien, K. K. (2010). Scoping studies: Advancing the methodology. </w:t>
      </w:r>
      <w:r w:rsidRPr="00F450A5">
        <w:rPr>
          <w:rFonts w:ascii="Times New Roman" w:eastAsia="Times New Roman" w:hAnsi="Times New Roman" w:cs="Times New Roman"/>
          <w:i/>
          <w:iCs/>
          <w:sz w:val="24"/>
          <w:szCs w:val="24"/>
        </w:rPr>
        <w:t>Implementation Science: IS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5</w:t>
      </w:r>
      <w:r w:rsidRPr="00F450A5">
        <w:rPr>
          <w:rFonts w:ascii="Times New Roman" w:eastAsia="Times New Roman" w:hAnsi="Times New Roman" w:cs="Times New Roman"/>
          <w:sz w:val="24"/>
          <w:szCs w:val="24"/>
        </w:rPr>
        <w:t>, 69.</w:t>
      </w:r>
      <w:hyperlink r:id="rId55">
        <w:r w:rsidR="00445D29" w:rsidRPr="00F450A5">
          <w:rPr>
            <w:rFonts w:ascii="Times New Roman" w:eastAsia="Times New Roman" w:hAnsi="Times New Roman" w:cs="Times New Roman"/>
            <w:sz w:val="24"/>
            <w:szCs w:val="24"/>
          </w:rPr>
          <w:t xml:space="preserve"> </w:t>
        </w:r>
      </w:hyperlink>
      <w:hyperlink r:id="rId56">
        <w:r w:rsidR="00445D29" w:rsidRPr="00F450A5">
          <w:rPr>
            <w:rFonts w:ascii="Times New Roman" w:eastAsia="Times New Roman" w:hAnsi="Times New Roman" w:cs="Times New Roman"/>
            <w:color w:val="1155CC"/>
            <w:sz w:val="24"/>
            <w:szCs w:val="24"/>
            <w:u w:val="single"/>
          </w:rPr>
          <w:t>https://doi.org/10.1186/1748-5908-5-69</w:t>
        </w:r>
      </w:hyperlink>
    </w:p>
    <w:p w14:paraId="31772B73"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Luzum, J. A., </w:t>
      </w:r>
      <w:proofErr w:type="spellStart"/>
      <w:r w:rsidRPr="00F450A5">
        <w:rPr>
          <w:rFonts w:ascii="Times New Roman" w:eastAsia="Times New Roman" w:hAnsi="Times New Roman" w:cs="Times New Roman"/>
          <w:sz w:val="24"/>
          <w:szCs w:val="24"/>
        </w:rPr>
        <w:t>Pakyz</w:t>
      </w:r>
      <w:proofErr w:type="spellEnd"/>
      <w:r w:rsidRPr="00F450A5">
        <w:rPr>
          <w:rFonts w:ascii="Times New Roman" w:eastAsia="Times New Roman" w:hAnsi="Times New Roman" w:cs="Times New Roman"/>
          <w:sz w:val="24"/>
          <w:szCs w:val="24"/>
        </w:rPr>
        <w:t xml:space="preserve">, R. E., Elsey, A. R., Haidar, C. E., Peterson, J. F., Whirl-Carrillo, M., Handelman, S. K., Palmer, K., Pulley, J. M., Beller, M., </w:t>
      </w:r>
      <w:proofErr w:type="spellStart"/>
      <w:r w:rsidRPr="00F450A5">
        <w:rPr>
          <w:rFonts w:ascii="Times New Roman" w:eastAsia="Times New Roman" w:hAnsi="Times New Roman" w:cs="Times New Roman"/>
          <w:sz w:val="24"/>
          <w:szCs w:val="24"/>
        </w:rPr>
        <w:t>Schildc</w:t>
      </w:r>
      <w:r w:rsidRPr="00F450A5">
        <w:rPr>
          <w:rFonts w:ascii="Times New Roman" w:eastAsia="Times New Roman" w:hAnsi="Times New Roman" w:cs="Times New Roman"/>
          <w:sz w:val="24"/>
          <w:szCs w:val="24"/>
        </w:rPr>
        <w:t>rout</w:t>
      </w:r>
      <w:proofErr w:type="spellEnd"/>
      <w:r w:rsidRPr="00F450A5">
        <w:rPr>
          <w:rFonts w:ascii="Times New Roman" w:eastAsia="Times New Roman" w:hAnsi="Times New Roman" w:cs="Times New Roman"/>
          <w:sz w:val="24"/>
          <w:szCs w:val="24"/>
        </w:rPr>
        <w:t xml:space="preserve">, J. S., Field, J. R., Weitzel, K. W., Cooper-DeHoff, R. M., Cavallari, L. H., O’Donnell, P. H., Altman, R. B., Pereira, N., </w:t>
      </w:r>
      <w:proofErr w:type="spellStart"/>
      <w:r w:rsidRPr="00F450A5">
        <w:rPr>
          <w:rFonts w:ascii="Times New Roman" w:eastAsia="Times New Roman" w:hAnsi="Times New Roman" w:cs="Times New Roman"/>
          <w:sz w:val="24"/>
          <w:szCs w:val="24"/>
        </w:rPr>
        <w:t>Ratain</w:t>
      </w:r>
      <w:proofErr w:type="spellEnd"/>
      <w:r w:rsidRPr="00F450A5">
        <w:rPr>
          <w:rFonts w:ascii="Times New Roman" w:eastAsia="Times New Roman" w:hAnsi="Times New Roman" w:cs="Times New Roman"/>
          <w:sz w:val="24"/>
          <w:szCs w:val="24"/>
        </w:rPr>
        <w:t xml:space="preserve">, M. J., … Freimuth, R. R. (2017). </w:t>
      </w:r>
      <w:r w:rsidRPr="00F450A5">
        <w:rPr>
          <w:rFonts w:ascii="Times New Roman" w:eastAsia="Times New Roman" w:hAnsi="Times New Roman" w:cs="Times New Roman"/>
          <w:i/>
          <w:iCs/>
          <w:sz w:val="24"/>
          <w:szCs w:val="24"/>
        </w:rPr>
        <w:t>The Pharmacogenomics Research Network Translational Pharmacogenetics Program: Outcomes</w:t>
      </w:r>
      <w:r w:rsidRPr="00F450A5">
        <w:rPr>
          <w:rFonts w:ascii="Times New Roman" w:eastAsia="Times New Roman" w:hAnsi="Times New Roman" w:cs="Times New Roman"/>
          <w:i/>
          <w:iCs/>
          <w:sz w:val="24"/>
          <w:szCs w:val="24"/>
        </w:rPr>
        <w:t xml:space="preserve"> and Metrics of Pharmacogenetic Implementations Across Diverse Healthcare Systems</w:t>
      </w:r>
      <w:r w:rsidRPr="00F450A5">
        <w:rPr>
          <w:rFonts w:ascii="Times New Roman" w:eastAsia="Times New Roman" w:hAnsi="Times New Roman" w:cs="Times New Roman"/>
          <w:sz w:val="24"/>
          <w:szCs w:val="24"/>
        </w:rPr>
        <w:t>.</w:t>
      </w:r>
      <w:hyperlink r:id="rId57">
        <w:r w:rsidR="00445D29" w:rsidRPr="00F450A5">
          <w:rPr>
            <w:rFonts w:ascii="Times New Roman" w:eastAsia="Times New Roman" w:hAnsi="Times New Roman" w:cs="Times New Roman"/>
            <w:sz w:val="24"/>
            <w:szCs w:val="24"/>
          </w:rPr>
          <w:t xml:space="preserve"> </w:t>
        </w:r>
      </w:hyperlink>
      <w:hyperlink r:id="rId58">
        <w:r w:rsidR="00445D29" w:rsidRPr="00F450A5">
          <w:rPr>
            <w:rFonts w:ascii="Times New Roman" w:eastAsia="Times New Roman" w:hAnsi="Times New Roman" w:cs="Times New Roman"/>
            <w:color w:val="1155CC"/>
            <w:sz w:val="24"/>
            <w:szCs w:val="24"/>
            <w:u w:val="single"/>
          </w:rPr>
          <w:t>https://doi.org/10.1002/cpt.630</w:t>
        </w:r>
      </w:hyperlink>
    </w:p>
    <w:p w14:paraId="43CA9872"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Magavern, E. F., Kaski, J. C., Turner, </w:t>
      </w:r>
      <w:r w:rsidRPr="00F450A5">
        <w:rPr>
          <w:rFonts w:ascii="Times New Roman" w:eastAsia="Times New Roman" w:hAnsi="Times New Roman" w:cs="Times New Roman"/>
          <w:sz w:val="24"/>
          <w:szCs w:val="24"/>
        </w:rPr>
        <w:t xml:space="preserve">R. M., </w:t>
      </w:r>
      <w:proofErr w:type="spellStart"/>
      <w:r w:rsidRPr="00F450A5">
        <w:rPr>
          <w:rFonts w:ascii="Times New Roman" w:eastAsia="Times New Roman" w:hAnsi="Times New Roman" w:cs="Times New Roman"/>
          <w:sz w:val="24"/>
          <w:szCs w:val="24"/>
        </w:rPr>
        <w:t>Janmohamed</w:t>
      </w:r>
      <w:proofErr w:type="spellEnd"/>
      <w:r w:rsidRPr="00F450A5">
        <w:rPr>
          <w:rFonts w:ascii="Times New Roman" w:eastAsia="Times New Roman" w:hAnsi="Times New Roman" w:cs="Times New Roman"/>
          <w:sz w:val="24"/>
          <w:szCs w:val="24"/>
        </w:rPr>
        <w:t xml:space="preserve">, A., </w:t>
      </w:r>
      <w:proofErr w:type="spellStart"/>
      <w:r w:rsidRPr="00F450A5">
        <w:rPr>
          <w:rFonts w:ascii="Times New Roman" w:eastAsia="Times New Roman" w:hAnsi="Times New Roman" w:cs="Times New Roman"/>
          <w:sz w:val="24"/>
          <w:szCs w:val="24"/>
        </w:rPr>
        <w:t>Borry</w:t>
      </w:r>
      <w:proofErr w:type="spellEnd"/>
      <w:r w:rsidRPr="00F450A5">
        <w:rPr>
          <w:rFonts w:ascii="Times New Roman" w:eastAsia="Times New Roman" w:hAnsi="Times New Roman" w:cs="Times New Roman"/>
          <w:sz w:val="24"/>
          <w:szCs w:val="24"/>
        </w:rPr>
        <w:t xml:space="preserve">, P., &amp; </w:t>
      </w:r>
      <w:proofErr w:type="spellStart"/>
      <w:r w:rsidRPr="00F450A5">
        <w:rPr>
          <w:rFonts w:ascii="Times New Roman" w:eastAsia="Times New Roman" w:hAnsi="Times New Roman" w:cs="Times New Roman"/>
          <w:sz w:val="24"/>
          <w:szCs w:val="24"/>
        </w:rPr>
        <w:t>Pirmohamed</w:t>
      </w:r>
      <w:proofErr w:type="spellEnd"/>
      <w:r w:rsidRPr="00F450A5">
        <w:rPr>
          <w:rFonts w:ascii="Times New Roman" w:eastAsia="Times New Roman" w:hAnsi="Times New Roman" w:cs="Times New Roman"/>
          <w:sz w:val="24"/>
          <w:szCs w:val="24"/>
        </w:rPr>
        <w:t xml:space="preserve">, M. (2021). The Interface of Therapeutics and Genomics in Cardiovascular Medicine. </w:t>
      </w:r>
      <w:r w:rsidRPr="00F450A5">
        <w:rPr>
          <w:rFonts w:ascii="Times New Roman" w:eastAsia="Times New Roman" w:hAnsi="Times New Roman" w:cs="Times New Roman"/>
          <w:i/>
          <w:iCs/>
          <w:sz w:val="24"/>
          <w:szCs w:val="24"/>
        </w:rPr>
        <w:t>Cardiovascular Drugs and Therapy</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35</w:t>
      </w:r>
      <w:r w:rsidRPr="00F450A5">
        <w:rPr>
          <w:rFonts w:ascii="Times New Roman" w:eastAsia="Times New Roman" w:hAnsi="Times New Roman" w:cs="Times New Roman"/>
          <w:sz w:val="24"/>
          <w:szCs w:val="24"/>
        </w:rPr>
        <w:t>(3), 663–676.</w:t>
      </w:r>
      <w:hyperlink r:id="rId59">
        <w:r w:rsidR="00445D29" w:rsidRPr="00F450A5">
          <w:rPr>
            <w:rFonts w:ascii="Times New Roman" w:eastAsia="Times New Roman" w:hAnsi="Times New Roman" w:cs="Times New Roman"/>
            <w:sz w:val="24"/>
            <w:szCs w:val="24"/>
          </w:rPr>
          <w:t xml:space="preserve"> </w:t>
        </w:r>
      </w:hyperlink>
      <w:hyperlink r:id="rId60">
        <w:r w:rsidR="00445D29" w:rsidRPr="00F450A5">
          <w:rPr>
            <w:rFonts w:ascii="Times New Roman" w:eastAsia="Times New Roman" w:hAnsi="Times New Roman" w:cs="Times New Roman"/>
            <w:color w:val="1155CC"/>
            <w:sz w:val="24"/>
            <w:szCs w:val="24"/>
            <w:u w:val="single"/>
          </w:rPr>
          <w:t>https://doi.org/10.1007/s10557-021-07149-3</w:t>
        </w:r>
      </w:hyperlink>
    </w:p>
    <w:p w14:paraId="4E4713B2"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Martin, A. R., Kanai, M., </w:t>
      </w:r>
      <w:proofErr w:type="spellStart"/>
      <w:r w:rsidRPr="00F450A5">
        <w:rPr>
          <w:rFonts w:ascii="Times New Roman" w:eastAsia="Times New Roman" w:hAnsi="Times New Roman" w:cs="Times New Roman"/>
          <w:sz w:val="24"/>
          <w:szCs w:val="24"/>
        </w:rPr>
        <w:t>Kamatani</w:t>
      </w:r>
      <w:proofErr w:type="spellEnd"/>
      <w:r w:rsidRPr="00F450A5">
        <w:rPr>
          <w:rFonts w:ascii="Times New Roman" w:eastAsia="Times New Roman" w:hAnsi="Times New Roman" w:cs="Times New Roman"/>
          <w:sz w:val="24"/>
          <w:szCs w:val="24"/>
        </w:rPr>
        <w:t>, Y., Okada, Y., Neale, B. M., &amp; Daly, M. J. (2019). Clinical use of current polygenic risk scores may exacerbate health disparitie</w:t>
      </w:r>
      <w:r w:rsidRPr="00F450A5">
        <w:rPr>
          <w:rFonts w:ascii="Times New Roman" w:eastAsia="Times New Roman" w:hAnsi="Times New Roman" w:cs="Times New Roman"/>
          <w:sz w:val="24"/>
          <w:szCs w:val="24"/>
        </w:rPr>
        <w:t xml:space="preserve">s. </w:t>
      </w:r>
      <w:r w:rsidRPr="00F450A5">
        <w:rPr>
          <w:rFonts w:ascii="Times New Roman" w:eastAsia="Times New Roman" w:hAnsi="Times New Roman" w:cs="Times New Roman"/>
          <w:i/>
          <w:iCs/>
          <w:sz w:val="24"/>
          <w:szCs w:val="24"/>
        </w:rPr>
        <w:t>Nature Genetics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51</w:t>
      </w:r>
      <w:r w:rsidRPr="00F450A5">
        <w:rPr>
          <w:rFonts w:ascii="Times New Roman" w:eastAsia="Times New Roman" w:hAnsi="Times New Roman" w:cs="Times New Roman"/>
          <w:sz w:val="24"/>
          <w:szCs w:val="24"/>
        </w:rPr>
        <w:t>(4), 584–591.</w:t>
      </w:r>
      <w:hyperlink r:id="rId61">
        <w:r w:rsidR="00445D29" w:rsidRPr="00F450A5">
          <w:rPr>
            <w:rFonts w:ascii="Times New Roman" w:eastAsia="Times New Roman" w:hAnsi="Times New Roman" w:cs="Times New Roman"/>
            <w:sz w:val="24"/>
            <w:szCs w:val="24"/>
          </w:rPr>
          <w:t xml:space="preserve"> </w:t>
        </w:r>
      </w:hyperlink>
      <w:hyperlink r:id="rId62">
        <w:r w:rsidR="00445D29" w:rsidRPr="00F450A5">
          <w:rPr>
            <w:rFonts w:ascii="Times New Roman" w:eastAsia="Times New Roman" w:hAnsi="Times New Roman" w:cs="Times New Roman"/>
            <w:color w:val="1155CC"/>
            <w:sz w:val="24"/>
            <w:szCs w:val="24"/>
            <w:u w:val="single"/>
          </w:rPr>
          <w:t>https://doi.org/10.1038/s41588-019-0379-x</w:t>
        </w:r>
      </w:hyperlink>
    </w:p>
    <w:p w14:paraId="17CB7C0B"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Martin, J. L., Lee, Y. M., Corbin, L. W., Colson, R., &amp; Aquilante, C. L. (2022). Patients’ perspectives of a pharmacist-provided clinical pharmacogenomics service. </w:t>
      </w:r>
      <w:r w:rsidRPr="00F450A5">
        <w:rPr>
          <w:rFonts w:ascii="Times New Roman" w:eastAsia="Times New Roman" w:hAnsi="Times New Roman" w:cs="Times New Roman"/>
          <w:i/>
          <w:iCs/>
          <w:sz w:val="24"/>
          <w:szCs w:val="24"/>
        </w:rPr>
        <w:t>Pharmacogenomics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23</w:t>
      </w:r>
      <w:r w:rsidRPr="00F450A5">
        <w:rPr>
          <w:rFonts w:ascii="Times New Roman" w:eastAsia="Times New Roman" w:hAnsi="Times New Roman" w:cs="Times New Roman"/>
          <w:sz w:val="24"/>
          <w:szCs w:val="24"/>
        </w:rPr>
        <w:t>(8), 463–474.</w:t>
      </w:r>
      <w:hyperlink r:id="rId63">
        <w:r w:rsidR="00445D29" w:rsidRPr="00F450A5">
          <w:rPr>
            <w:rFonts w:ascii="Times New Roman" w:eastAsia="Times New Roman" w:hAnsi="Times New Roman" w:cs="Times New Roman"/>
            <w:sz w:val="24"/>
            <w:szCs w:val="24"/>
          </w:rPr>
          <w:t xml:space="preserve"> </w:t>
        </w:r>
      </w:hyperlink>
      <w:hyperlink r:id="rId64">
        <w:r w:rsidR="00445D29" w:rsidRPr="00F450A5">
          <w:rPr>
            <w:rFonts w:ascii="Times New Roman" w:eastAsia="Times New Roman" w:hAnsi="Times New Roman" w:cs="Times New Roman"/>
            <w:color w:val="1155CC"/>
            <w:sz w:val="24"/>
            <w:szCs w:val="24"/>
            <w:u w:val="single"/>
          </w:rPr>
          <w:t>https://doi.org/10.2217/pgs-2022-0013</w:t>
        </w:r>
      </w:hyperlink>
    </w:p>
    <w:p w14:paraId="74626671"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Mohamed, M., Jacobson, P. A., Johnson, A., &amp; Brown, J. T. (2026). Pharmacist workforce training in pharmacogenomics with a focus on rural and underserved areas. </w:t>
      </w:r>
      <w:r w:rsidRPr="00F450A5">
        <w:rPr>
          <w:rFonts w:ascii="Times New Roman" w:eastAsia="Times New Roman" w:hAnsi="Times New Roman" w:cs="Times New Roman"/>
          <w:i/>
          <w:iCs/>
          <w:sz w:val="24"/>
          <w:szCs w:val="24"/>
        </w:rPr>
        <w:t>F</w:t>
      </w:r>
      <w:r w:rsidRPr="00F450A5">
        <w:rPr>
          <w:rFonts w:ascii="Times New Roman" w:eastAsia="Times New Roman" w:hAnsi="Times New Roman" w:cs="Times New Roman"/>
          <w:i/>
          <w:iCs/>
          <w:sz w:val="24"/>
          <w:szCs w:val="24"/>
        </w:rPr>
        <w:t>rontiers in Genetics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17</w:t>
      </w:r>
      <w:r w:rsidRPr="00F450A5">
        <w:rPr>
          <w:rFonts w:ascii="Times New Roman" w:eastAsia="Times New Roman" w:hAnsi="Times New Roman" w:cs="Times New Roman"/>
          <w:sz w:val="24"/>
          <w:szCs w:val="24"/>
        </w:rPr>
        <w:t>.</w:t>
      </w:r>
      <w:hyperlink r:id="rId65">
        <w:r w:rsidR="00445D29" w:rsidRPr="00F450A5">
          <w:rPr>
            <w:rFonts w:ascii="Times New Roman" w:eastAsia="Times New Roman" w:hAnsi="Times New Roman" w:cs="Times New Roman"/>
            <w:sz w:val="24"/>
            <w:szCs w:val="24"/>
          </w:rPr>
          <w:t xml:space="preserve"> </w:t>
        </w:r>
      </w:hyperlink>
      <w:hyperlink r:id="rId66">
        <w:r w:rsidR="00445D29" w:rsidRPr="00F450A5">
          <w:rPr>
            <w:rFonts w:ascii="Times New Roman" w:eastAsia="Times New Roman" w:hAnsi="Times New Roman" w:cs="Times New Roman"/>
            <w:color w:val="1155CC"/>
            <w:sz w:val="24"/>
            <w:szCs w:val="24"/>
            <w:u w:val="single"/>
          </w:rPr>
          <w:t>https://doi.org/10.3389/fgene.2026.1794122</w:t>
        </w:r>
      </w:hyperlink>
    </w:p>
    <w:p w14:paraId="7E0102F2"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Morales, C. T., Muzquiz, L. I., Howlett, K., Azure, B., Bodnar,</w:t>
      </w:r>
      <w:r w:rsidRPr="00F450A5">
        <w:rPr>
          <w:rFonts w:ascii="Times New Roman" w:eastAsia="Times New Roman" w:hAnsi="Times New Roman" w:cs="Times New Roman"/>
          <w:sz w:val="24"/>
          <w:szCs w:val="24"/>
        </w:rPr>
        <w:t xml:space="preserve"> B., Finley, V., </w:t>
      </w:r>
      <w:proofErr w:type="spellStart"/>
      <w:r w:rsidRPr="00F450A5">
        <w:rPr>
          <w:rFonts w:ascii="Times New Roman" w:eastAsia="Times New Roman" w:hAnsi="Times New Roman" w:cs="Times New Roman"/>
          <w:sz w:val="24"/>
          <w:szCs w:val="24"/>
        </w:rPr>
        <w:t>Incashola</w:t>
      </w:r>
      <w:proofErr w:type="spellEnd"/>
      <w:r w:rsidRPr="00F450A5">
        <w:rPr>
          <w:rFonts w:ascii="Times New Roman" w:eastAsia="Times New Roman" w:hAnsi="Times New Roman" w:cs="Times New Roman"/>
          <w:sz w:val="24"/>
          <w:szCs w:val="24"/>
        </w:rPr>
        <w:t xml:space="preserve">, T., Mathias, C., </w:t>
      </w:r>
      <w:proofErr w:type="spellStart"/>
      <w:r w:rsidRPr="00F450A5">
        <w:rPr>
          <w:rFonts w:ascii="Times New Roman" w:eastAsia="Times New Roman" w:hAnsi="Times New Roman" w:cs="Times New Roman"/>
          <w:sz w:val="24"/>
          <w:szCs w:val="24"/>
        </w:rPr>
        <w:t>Laukes</w:t>
      </w:r>
      <w:proofErr w:type="spellEnd"/>
      <w:r w:rsidRPr="00F450A5">
        <w:rPr>
          <w:rFonts w:ascii="Times New Roman" w:eastAsia="Times New Roman" w:hAnsi="Times New Roman" w:cs="Times New Roman"/>
          <w:sz w:val="24"/>
          <w:szCs w:val="24"/>
        </w:rPr>
        <w:t xml:space="preserve">, C., Beatty, P., Burke, W., Pershouse, M. A., Putnam, E. A., Trinidad, S. B., James, R., &amp; </w:t>
      </w:r>
      <w:proofErr w:type="spellStart"/>
      <w:r w:rsidRPr="00F450A5">
        <w:rPr>
          <w:rFonts w:ascii="Times New Roman" w:eastAsia="Times New Roman" w:hAnsi="Times New Roman" w:cs="Times New Roman"/>
          <w:sz w:val="24"/>
          <w:szCs w:val="24"/>
        </w:rPr>
        <w:t>Woodahl</w:t>
      </w:r>
      <w:proofErr w:type="spellEnd"/>
      <w:r w:rsidRPr="00F450A5">
        <w:rPr>
          <w:rFonts w:ascii="Times New Roman" w:eastAsia="Times New Roman" w:hAnsi="Times New Roman" w:cs="Times New Roman"/>
          <w:sz w:val="24"/>
          <w:szCs w:val="24"/>
        </w:rPr>
        <w:t xml:space="preserve">, E. L. (2016). Partnership with the Confederated </w:t>
      </w:r>
      <w:r w:rsidRPr="00F450A5">
        <w:rPr>
          <w:rFonts w:ascii="Times New Roman" w:eastAsia="Times New Roman" w:hAnsi="Times New Roman" w:cs="Times New Roman"/>
          <w:sz w:val="24"/>
          <w:szCs w:val="24"/>
        </w:rPr>
        <w:lastRenderedPageBreak/>
        <w:t>Salish and Kootenai Tribes: Establishing an Advisory Com</w:t>
      </w:r>
      <w:r w:rsidRPr="00F450A5">
        <w:rPr>
          <w:rFonts w:ascii="Times New Roman" w:eastAsia="Times New Roman" w:hAnsi="Times New Roman" w:cs="Times New Roman"/>
          <w:sz w:val="24"/>
          <w:szCs w:val="24"/>
        </w:rPr>
        <w:t xml:space="preserve">mittee for Pharmacogenetic Research. </w:t>
      </w:r>
      <w:r w:rsidRPr="00F450A5">
        <w:rPr>
          <w:rFonts w:ascii="Times New Roman" w:eastAsia="Times New Roman" w:hAnsi="Times New Roman" w:cs="Times New Roman"/>
          <w:i/>
          <w:iCs/>
          <w:sz w:val="24"/>
          <w:szCs w:val="24"/>
        </w:rPr>
        <w:t>Progress in Community Health Partnerships : Research, Education, and Action</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10</w:t>
      </w:r>
      <w:r w:rsidRPr="00F450A5">
        <w:rPr>
          <w:rFonts w:ascii="Times New Roman" w:eastAsia="Times New Roman" w:hAnsi="Times New Roman" w:cs="Times New Roman"/>
          <w:sz w:val="24"/>
          <w:szCs w:val="24"/>
        </w:rPr>
        <w:t>(2), 173–183.</w:t>
      </w:r>
      <w:hyperlink r:id="rId67">
        <w:r w:rsidR="00445D29" w:rsidRPr="00F450A5">
          <w:rPr>
            <w:rFonts w:ascii="Times New Roman" w:eastAsia="Times New Roman" w:hAnsi="Times New Roman" w:cs="Times New Roman"/>
            <w:sz w:val="24"/>
            <w:szCs w:val="24"/>
          </w:rPr>
          <w:t xml:space="preserve"> </w:t>
        </w:r>
      </w:hyperlink>
      <w:hyperlink r:id="rId68">
        <w:r w:rsidR="00445D29" w:rsidRPr="00F450A5">
          <w:rPr>
            <w:rFonts w:ascii="Times New Roman" w:eastAsia="Times New Roman" w:hAnsi="Times New Roman" w:cs="Times New Roman"/>
            <w:color w:val="1155CC"/>
            <w:sz w:val="24"/>
            <w:szCs w:val="24"/>
            <w:u w:val="single"/>
          </w:rPr>
          <w:t>https://doi.org/10.1353/cpr.2016.0035</w:t>
        </w:r>
      </w:hyperlink>
    </w:p>
    <w:p w14:paraId="07DAEE89"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Natasha Petry, null, Baye, J., </w:t>
      </w:r>
      <w:proofErr w:type="spellStart"/>
      <w:r w:rsidRPr="00F450A5">
        <w:rPr>
          <w:rFonts w:ascii="Times New Roman" w:eastAsia="Times New Roman" w:hAnsi="Times New Roman" w:cs="Times New Roman"/>
          <w:sz w:val="24"/>
          <w:szCs w:val="24"/>
        </w:rPr>
        <w:t>Aifaoui</w:t>
      </w:r>
      <w:proofErr w:type="spellEnd"/>
      <w:r w:rsidRPr="00F450A5">
        <w:rPr>
          <w:rFonts w:ascii="Times New Roman" w:eastAsia="Times New Roman" w:hAnsi="Times New Roman" w:cs="Times New Roman"/>
          <w:sz w:val="24"/>
          <w:szCs w:val="24"/>
        </w:rPr>
        <w:t xml:space="preserve">, A., Wilke, R. A., Lupu, R. A., Savageau, J., Gapp, B., Massmann, A., Hahn, D., Hajek, C., &amp; Schultz, A. (2019). Implementation of wide-scale pharmacogenetic testing in primary care. </w:t>
      </w:r>
      <w:r w:rsidRPr="00F450A5">
        <w:rPr>
          <w:rFonts w:ascii="Times New Roman" w:eastAsia="Times New Roman" w:hAnsi="Times New Roman" w:cs="Times New Roman"/>
          <w:i/>
          <w:iCs/>
          <w:sz w:val="24"/>
          <w:szCs w:val="24"/>
        </w:rPr>
        <w:t>Pharmaco</w:t>
      </w:r>
      <w:r w:rsidRPr="00F450A5">
        <w:rPr>
          <w:rFonts w:ascii="Times New Roman" w:eastAsia="Times New Roman" w:hAnsi="Times New Roman" w:cs="Times New Roman"/>
          <w:i/>
          <w:iCs/>
          <w:sz w:val="24"/>
          <w:szCs w:val="24"/>
        </w:rPr>
        <w:t>genomics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20</w:t>
      </w:r>
      <w:r w:rsidRPr="00F450A5">
        <w:rPr>
          <w:rFonts w:ascii="Times New Roman" w:eastAsia="Times New Roman" w:hAnsi="Times New Roman" w:cs="Times New Roman"/>
          <w:sz w:val="24"/>
          <w:szCs w:val="24"/>
        </w:rPr>
        <w:t>(12), 903–913.</w:t>
      </w:r>
      <w:hyperlink r:id="rId69">
        <w:r w:rsidR="00445D29" w:rsidRPr="00F450A5">
          <w:rPr>
            <w:rFonts w:ascii="Times New Roman" w:eastAsia="Times New Roman" w:hAnsi="Times New Roman" w:cs="Times New Roman"/>
            <w:sz w:val="24"/>
            <w:szCs w:val="24"/>
          </w:rPr>
          <w:t xml:space="preserve"> </w:t>
        </w:r>
      </w:hyperlink>
      <w:hyperlink r:id="rId70">
        <w:r w:rsidR="00445D29" w:rsidRPr="00F450A5">
          <w:rPr>
            <w:rFonts w:ascii="Times New Roman" w:eastAsia="Times New Roman" w:hAnsi="Times New Roman" w:cs="Times New Roman"/>
            <w:color w:val="1155CC"/>
            <w:sz w:val="24"/>
            <w:szCs w:val="24"/>
            <w:u w:val="single"/>
          </w:rPr>
          <w:t>https://doi.org/10.2217/pgs-2019-0043</w:t>
        </w:r>
      </w:hyperlink>
    </w:p>
    <w:p w14:paraId="74FDB18B"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proofErr w:type="spellStart"/>
      <w:r w:rsidRPr="00F450A5">
        <w:rPr>
          <w:rFonts w:ascii="Times New Roman" w:eastAsia="Times New Roman" w:hAnsi="Times New Roman" w:cs="Times New Roman"/>
          <w:sz w:val="24"/>
          <w:szCs w:val="24"/>
        </w:rPr>
        <w:t>Oleribe</w:t>
      </w:r>
      <w:proofErr w:type="spellEnd"/>
      <w:r w:rsidRPr="00F450A5">
        <w:rPr>
          <w:rFonts w:ascii="Times New Roman" w:eastAsia="Times New Roman" w:hAnsi="Times New Roman" w:cs="Times New Roman"/>
          <w:sz w:val="24"/>
          <w:szCs w:val="24"/>
        </w:rPr>
        <w:t>, O. O., Momoh, J., Uzochukwu, B. S., Mbofana, F., Adebiyi, A., Barber</w:t>
      </w:r>
      <w:r w:rsidRPr="00F450A5">
        <w:rPr>
          <w:rFonts w:ascii="Times New Roman" w:eastAsia="Times New Roman" w:hAnsi="Times New Roman" w:cs="Times New Roman"/>
          <w:sz w:val="24"/>
          <w:szCs w:val="24"/>
        </w:rPr>
        <w:t xml:space="preserve">a, T., Williams, R., &amp; Taylor-Robinson, S. D. (2019). Identifying Key Challenges Facing Healthcare Systems </w:t>
      </w:r>
      <w:proofErr w:type="gramStart"/>
      <w:r w:rsidRPr="00F450A5">
        <w:rPr>
          <w:rFonts w:ascii="Times New Roman" w:eastAsia="Times New Roman" w:hAnsi="Times New Roman" w:cs="Times New Roman"/>
          <w:sz w:val="24"/>
          <w:szCs w:val="24"/>
        </w:rPr>
        <w:t>In</w:t>
      </w:r>
      <w:proofErr w:type="gramEnd"/>
      <w:r w:rsidRPr="00F450A5">
        <w:rPr>
          <w:rFonts w:ascii="Times New Roman" w:eastAsia="Times New Roman" w:hAnsi="Times New Roman" w:cs="Times New Roman"/>
          <w:sz w:val="24"/>
          <w:szCs w:val="24"/>
        </w:rPr>
        <w:t xml:space="preserve"> Africa And Potential Solutions. </w:t>
      </w:r>
      <w:r w:rsidRPr="00F450A5">
        <w:rPr>
          <w:rFonts w:ascii="Times New Roman" w:eastAsia="Times New Roman" w:hAnsi="Times New Roman" w:cs="Times New Roman"/>
          <w:i/>
          <w:iCs/>
          <w:sz w:val="24"/>
          <w:szCs w:val="24"/>
        </w:rPr>
        <w:t>International Journal of General Medicine</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12</w:t>
      </w:r>
      <w:r w:rsidRPr="00F450A5">
        <w:rPr>
          <w:rFonts w:ascii="Times New Roman" w:eastAsia="Times New Roman" w:hAnsi="Times New Roman" w:cs="Times New Roman"/>
          <w:sz w:val="24"/>
          <w:szCs w:val="24"/>
        </w:rPr>
        <w:t>, 395–403.</w:t>
      </w:r>
      <w:hyperlink r:id="rId71">
        <w:r w:rsidR="00445D29" w:rsidRPr="00F450A5">
          <w:rPr>
            <w:rFonts w:ascii="Times New Roman" w:eastAsia="Times New Roman" w:hAnsi="Times New Roman" w:cs="Times New Roman"/>
            <w:sz w:val="24"/>
            <w:szCs w:val="24"/>
          </w:rPr>
          <w:t xml:space="preserve"> </w:t>
        </w:r>
      </w:hyperlink>
      <w:hyperlink r:id="rId72">
        <w:r w:rsidR="00445D29" w:rsidRPr="00F450A5">
          <w:rPr>
            <w:rFonts w:ascii="Times New Roman" w:eastAsia="Times New Roman" w:hAnsi="Times New Roman" w:cs="Times New Roman"/>
            <w:color w:val="1155CC"/>
            <w:sz w:val="24"/>
            <w:szCs w:val="24"/>
            <w:u w:val="single"/>
          </w:rPr>
          <w:t>https://doi.org/10.2147/IJGM.S223882</w:t>
        </w:r>
      </w:hyperlink>
    </w:p>
    <w:p w14:paraId="43910F0B"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Petry, N. J., Van Heukelom, J., Schultz, A. J., Jacobsen, K., Baye, J. F., Mills, S., Figueroa, D. M., &amp; Massmann, A. (2024). Implementation of CYP2C19 and CYP2D6 ge</w:t>
      </w:r>
      <w:r w:rsidRPr="00F450A5">
        <w:rPr>
          <w:rFonts w:ascii="Times New Roman" w:eastAsia="Times New Roman" w:hAnsi="Times New Roman" w:cs="Times New Roman"/>
          <w:sz w:val="24"/>
          <w:szCs w:val="24"/>
        </w:rPr>
        <w:t xml:space="preserve">notyping to guide antidepressant use in a large rural health system. </w:t>
      </w:r>
      <w:r w:rsidRPr="00F450A5">
        <w:rPr>
          <w:rFonts w:ascii="Times New Roman" w:eastAsia="Times New Roman" w:hAnsi="Times New Roman" w:cs="Times New Roman"/>
          <w:i/>
          <w:iCs/>
          <w:sz w:val="24"/>
          <w:szCs w:val="24"/>
        </w:rPr>
        <w:t>American Journal of Health-System Pharmacy: AJHP: Official Journal of the American Society of Health-System Pharmacists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81</w:t>
      </w:r>
      <w:r w:rsidRPr="00F450A5">
        <w:rPr>
          <w:rFonts w:ascii="Times New Roman" w:eastAsia="Times New Roman" w:hAnsi="Times New Roman" w:cs="Times New Roman"/>
          <w:sz w:val="24"/>
          <w:szCs w:val="24"/>
        </w:rPr>
        <w:t>(16), 723–732.</w:t>
      </w:r>
      <w:hyperlink r:id="rId73">
        <w:r w:rsidR="00445D29" w:rsidRPr="00F450A5">
          <w:rPr>
            <w:rFonts w:ascii="Times New Roman" w:eastAsia="Times New Roman" w:hAnsi="Times New Roman" w:cs="Times New Roman"/>
            <w:sz w:val="24"/>
            <w:szCs w:val="24"/>
          </w:rPr>
          <w:t xml:space="preserve"> </w:t>
        </w:r>
      </w:hyperlink>
      <w:hyperlink r:id="rId74">
        <w:r w:rsidR="00445D29" w:rsidRPr="00F450A5">
          <w:rPr>
            <w:rFonts w:ascii="Times New Roman" w:eastAsia="Times New Roman" w:hAnsi="Times New Roman" w:cs="Times New Roman"/>
            <w:color w:val="1155CC"/>
            <w:sz w:val="24"/>
            <w:szCs w:val="24"/>
            <w:u w:val="single"/>
          </w:rPr>
          <w:t>https://doi.org/10.1093/ajhp/zxae083</w:t>
        </w:r>
      </w:hyperlink>
    </w:p>
    <w:p w14:paraId="2EFAE20D"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proofErr w:type="spellStart"/>
      <w:r w:rsidRPr="00F450A5">
        <w:rPr>
          <w:rFonts w:ascii="Times New Roman" w:eastAsia="Times New Roman" w:hAnsi="Times New Roman" w:cs="Times New Roman"/>
          <w:sz w:val="24"/>
          <w:szCs w:val="24"/>
        </w:rPr>
        <w:t>Relling</w:t>
      </w:r>
      <w:proofErr w:type="spellEnd"/>
      <w:r w:rsidRPr="00F450A5">
        <w:rPr>
          <w:rFonts w:ascii="Times New Roman" w:eastAsia="Times New Roman" w:hAnsi="Times New Roman" w:cs="Times New Roman"/>
          <w:sz w:val="24"/>
          <w:szCs w:val="24"/>
        </w:rPr>
        <w:t>, M. V., Schwab, M., Whirl-Carrillo, M., Suarez-Kurtz, G., Pui, C.-H., Stein, C. M., Moyer, A. M., Evans, W. E., Klein, T. E., Antillon-Klussmann, F.</w:t>
      </w:r>
      <w:r w:rsidRPr="00F450A5">
        <w:rPr>
          <w:rFonts w:ascii="Times New Roman" w:eastAsia="Times New Roman" w:hAnsi="Times New Roman" w:cs="Times New Roman"/>
          <w:sz w:val="24"/>
          <w:szCs w:val="24"/>
        </w:rPr>
        <w:t xml:space="preserve"> G., Caudle, K. E., Kato, M., Yeoh, A. E. J., Schmiegelow, K., &amp; Yang, J. J. (2019). Clinical Pharmacogenetics Implementation Consortium Guideline for Thiopurine Dosing Based on TPMT and NUDT15 Genotypes: 2018 Update. </w:t>
      </w:r>
      <w:r w:rsidRPr="00F450A5">
        <w:rPr>
          <w:rFonts w:ascii="Times New Roman" w:eastAsia="Times New Roman" w:hAnsi="Times New Roman" w:cs="Times New Roman"/>
          <w:i/>
          <w:iCs/>
          <w:sz w:val="24"/>
          <w:szCs w:val="24"/>
        </w:rPr>
        <w:t>Clinical Pharmacology and Therapeutics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105</w:t>
      </w:r>
      <w:r w:rsidRPr="00F450A5">
        <w:rPr>
          <w:rFonts w:ascii="Times New Roman" w:eastAsia="Times New Roman" w:hAnsi="Times New Roman" w:cs="Times New Roman"/>
          <w:sz w:val="24"/>
          <w:szCs w:val="24"/>
        </w:rPr>
        <w:t>(5), 1095–1105.</w:t>
      </w:r>
      <w:hyperlink r:id="rId75">
        <w:r w:rsidR="00445D29" w:rsidRPr="00F450A5">
          <w:rPr>
            <w:rFonts w:ascii="Times New Roman" w:eastAsia="Times New Roman" w:hAnsi="Times New Roman" w:cs="Times New Roman"/>
            <w:sz w:val="24"/>
            <w:szCs w:val="24"/>
          </w:rPr>
          <w:t xml:space="preserve"> </w:t>
        </w:r>
      </w:hyperlink>
      <w:hyperlink r:id="rId76">
        <w:r w:rsidR="00445D29" w:rsidRPr="00F450A5">
          <w:rPr>
            <w:rFonts w:ascii="Times New Roman" w:eastAsia="Times New Roman" w:hAnsi="Times New Roman" w:cs="Times New Roman"/>
            <w:color w:val="1155CC"/>
            <w:sz w:val="24"/>
            <w:szCs w:val="24"/>
            <w:u w:val="single"/>
          </w:rPr>
          <w:t>https://doi.org/10.1002/cpt.1304</w:t>
        </w:r>
      </w:hyperlink>
    </w:p>
    <w:p w14:paraId="69BEEA61"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Roden, D. M., McLeod, H. L., </w:t>
      </w:r>
      <w:proofErr w:type="spellStart"/>
      <w:r w:rsidRPr="00F450A5">
        <w:rPr>
          <w:rFonts w:ascii="Times New Roman" w:eastAsia="Times New Roman" w:hAnsi="Times New Roman" w:cs="Times New Roman"/>
          <w:sz w:val="24"/>
          <w:szCs w:val="24"/>
        </w:rPr>
        <w:t>Relling</w:t>
      </w:r>
      <w:proofErr w:type="spellEnd"/>
      <w:r w:rsidRPr="00F450A5">
        <w:rPr>
          <w:rFonts w:ascii="Times New Roman" w:eastAsia="Times New Roman" w:hAnsi="Times New Roman" w:cs="Times New Roman"/>
          <w:sz w:val="24"/>
          <w:szCs w:val="24"/>
        </w:rPr>
        <w:t>, M. V., Williams, M. S., Mensah, G. A., Peterson, J. F., &amp; Va</w:t>
      </w:r>
      <w:r w:rsidRPr="00F450A5">
        <w:rPr>
          <w:rFonts w:ascii="Times New Roman" w:eastAsia="Times New Roman" w:hAnsi="Times New Roman" w:cs="Times New Roman"/>
          <w:sz w:val="24"/>
          <w:szCs w:val="24"/>
        </w:rPr>
        <w:t xml:space="preserve">n Driest, S. L. (2019). Pharmacogenomics. </w:t>
      </w:r>
      <w:r w:rsidRPr="00F450A5">
        <w:rPr>
          <w:rFonts w:ascii="Times New Roman" w:eastAsia="Times New Roman" w:hAnsi="Times New Roman" w:cs="Times New Roman"/>
          <w:i/>
          <w:iCs/>
          <w:sz w:val="24"/>
          <w:szCs w:val="24"/>
        </w:rPr>
        <w:t>Lancet</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394</w:t>
      </w:r>
      <w:r w:rsidRPr="00F450A5">
        <w:rPr>
          <w:rFonts w:ascii="Times New Roman" w:eastAsia="Times New Roman" w:hAnsi="Times New Roman" w:cs="Times New Roman"/>
          <w:sz w:val="24"/>
          <w:szCs w:val="24"/>
        </w:rPr>
        <w:t>(10197), 521–532.</w:t>
      </w:r>
      <w:hyperlink r:id="rId77">
        <w:r w:rsidR="00445D29" w:rsidRPr="00F450A5">
          <w:rPr>
            <w:rFonts w:ascii="Times New Roman" w:eastAsia="Times New Roman" w:hAnsi="Times New Roman" w:cs="Times New Roman"/>
            <w:sz w:val="24"/>
            <w:szCs w:val="24"/>
          </w:rPr>
          <w:t xml:space="preserve"> </w:t>
        </w:r>
      </w:hyperlink>
      <w:hyperlink r:id="rId78">
        <w:r w:rsidR="00445D29" w:rsidRPr="00F450A5">
          <w:rPr>
            <w:rFonts w:ascii="Times New Roman" w:eastAsia="Times New Roman" w:hAnsi="Times New Roman" w:cs="Times New Roman"/>
            <w:color w:val="1155CC"/>
            <w:sz w:val="24"/>
            <w:szCs w:val="24"/>
            <w:u w:val="single"/>
          </w:rPr>
          <w:t>https://doi.org/10.1016/S0140-6736(19)31276-0</w:t>
        </w:r>
      </w:hyperlink>
    </w:p>
    <w:p w14:paraId="5C328D63"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Shugg, T.</w:t>
      </w:r>
      <w:r w:rsidRPr="00F450A5">
        <w:rPr>
          <w:rFonts w:ascii="Times New Roman" w:eastAsia="Times New Roman" w:hAnsi="Times New Roman" w:cs="Times New Roman"/>
          <w:sz w:val="24"/>
          <w:szCs w:val="24"/>
        </w:rPr>
        <w:t xml:space="preserve">, Tillman, E. M., Breman, A. M., Hodge, J. C., McDonald, C. A., Ly, R. C., Rowe, E. J., Osei, W., Smith, T. B., Schwartz, P. H., Callaghan, J. T., Pratt, V. M., Lynch, S., Eadon, M. T., &amp; Skaar, T. C. (2024). Development of a Multifaceted Program for </w:t>
      </w:r>
      <w:r w:rsidRPr="00F450A5">
        <w:rPr>
          <w:rFonts w:ascii="Times New Roman" w:eastAsia="Times New Roman" w:hAnsi="Times New Roman" w:cs="Times New Roman"/>
          <w:sz w:val="24"/>
          <w:szCs w:val="24"/>
        </w:rPr>
        <w:lastRenderedPageBreak/>
        <w:t>Pharm</w:t>
      </w:r>
      <w:r w:rsidRPr="00F450A5">
        <w:rPr>
          <w:rFonts w:ascii="Times New Roman" w:eastAsia="Times New Roman" w:hAnsi="Times New Roman" w:cs="Times New Roman"/>
          <w:sz w:val="24"/>
          <w:szCs w:val="24"/>
        </w:rPr>
        <w:t xml:space="preserve">acogenetics Adoption at an Academic Medical Center: Practical Considerations and Lessons Learned. </w:t>
      </w:r>
      <w:r w:rsidRPr="00F450A5">
        <w:rPr>
          <w:rFonts w:ascii="Times New Roman" w:eastAsia="Times New Roman" w:hAnsi="Times New Roman" w:cs="Times New Roman"/>
          <w:i/>
          <w:iCs/>
          <w:sz w:val="24"/>
          <w:szCs w:val="24"/>
        </w:rPr>
        <w:t>Clinical Pharmacology and Therapeutics</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116</w:t>
      </w:r>
      <w:r w:rsidRPr="00F450A5">
        <w:rPr>
          <w:rFonts w:ascii="Times New Roman" w:eastAsia="Times New Roman" w:hAnsi="Times New Roman" w:cs="Times New Roman"/>
          <w:sz w:val="24"/>
          <w:szCs w:val="24"/>
        </w:rPr>
        <w:t>(4), 914–931.</w:t>
      </w:r>
      <w:hyperlink r:id="rId79">
        <w:r w:rsidR="00445D29" w:rsidRPr="00F450A5">
          <w:rPr>
            <w:rFonts w:ascii="Times New Roman" w:eastAsia="Times New Roman" w:hAnsi="Times New Roman" w:cs="Times New Roman"/>
            <w:sz w:val="24"/>
            <w:szCs w:val="24"/>
          </w:rPr>
          <w:t xml:space="preserve"> </w:t>
        </w:r>
      </w:hyperlink>
      <w:hyperlink r:id="rId80">
        <w:r w:rsidR="00445D29" w:rsidRPr="00F450A5">
          <w:rPr>
            <w:rFonts w:ascii="Times New Roman" w:eastAsia="Times New Roman" w:hAnsi="Times New Roman" w:cs="Times New Roman"/>
            <w:color w:val="1155CC"/>
            <w:sz w:val="24"/>
            <w:szCs w:val="24"/>
            <w:u w:val="single"/>
          </w:rPr>
          <w:t>https://doi.org/10.1002/cpt.3402</w:t>
        </w:r>
      </w:hyperlink>
    </w:p>
    <w:p w14:paraId="1A66FC5D"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Silver, J., Forman, E., Barrett, D., </w:t>
      </w:r>
      <w:proofErr w:type="spellStart"/>
      <w:r w:rsidRPr="00F450A5">
        <w:rPr>
          <w:rFonts w:ascii="Times New Roman" w:eastAsia="Times New Roman" w:hAnsi="Times New Roman" w:cs="Times New Roman"/>
          <w:sz w:val="24"/>
          <w:szCs w:val="24"/>
        </w:rPr>
        <w:t>Sibalija</w:t>
      </w:r>
      <w:proofErr w:type="spellEnd"/>
      <w:r w:rsidRPr="00F450A5">
        <w:rPr>
          <w:rFonts w:ascii="Times New Roman" w:eastAsia="Times New Roman" w:hAnsi="Times New Roman" w:cs="Times New Roman"/>
          <w:sz w:val="24"/>
          <w:szCs w:val="24"/>
        </w:rPr>
        <w:t xml:space="preserve">, J., &amp; Kim, R. (2025). Enhancing Rural Healthcare Accessibility: A Model for Pharmacogenomics Adoption via an Outreach-Focused Integration Strategy. </w:t>
      </w:r>
      <w:r w:rsidRPr="00F450A5">
        <w:rPr>
          <w:rFonts w:ascii="Times New Roman" w:eastAsia="Times New Roman" w:hAnsi="Times New Roman" w:cs="Times New Roman"/>
          <w:i/>
          <w:iCs/>
          <w:sz w:val="24"/>
          <w:szCs w:val="24"/>
        </w:rPr>
        <w:t>Journal of Personalized M</w:t>
      </w:r>
      <w:r w:rsidRPr="00F450A5">
        <w:rPr>
          <w:rFonts w:ascii="Times New Roman" w:eastAsia="Times New Roman" w:hAnsi="Times New Roman" w:cs="Times New Roman"/>
          <w:i/>
          <w:iCs/>
          <w:sz w:val="24"/>
          <w:szCs w:val="24"/>
        </w:rPr>
        <w:t>edicine</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15</w:t>
      </w:r>
      <w:r w:rsidRPr="00F450A5">
        <w:rPr>
          <w:rFonts w:ascii="Times New Roman" w:eastAsia="Times New Roman" w:hAnsi="Times New Roman" w:cs="Times New Roman"/>
          <w:sz w:val="24"/>
          <w:szCs w:val="24"/>
        </w:rPr>
        <w:t>(3).</w:t>
      </w:r>
      <w:hyperlink r:id="rId81">
        <w:r w:rsidR="00445D29" w:rsidRPr="00F450A5">
          <w:rPr>
            <w:rFonts w:ascii="Times New Roman" w:eastAsia="Times New Roman" w:hAnsi="Times New Roman" w:cs="Times New Roman"/>
            <w:sz w:val="24"/>
            <w:szCs w:val="24"/>
          </w:rPr>
          <w:t xml:space="preserve"> </w:t>
        </w:r>
      </w:hyperlink>
      <w:hyperlink r:id="rId82">
        <w:r w:rsidR="00445D29" w:rsidRPr="00F450A5">
          <w:rPr>
            <w:rFonts w:ascii="Times New Roman" w:eastAsia="Times New Roman" w:hAnsi="Times New Roman" w:cs="Times New Roman"/>
            <w:color w:val="1155CC"/>
            <w:sz w:val="24"/>
            <w:szCs w:val="24"/>
            <w:u w:val="single"/>
          </w:rPr>
          <w:t>https://doi.org/10.3390/jpm15030110</w:t>
        </w:r>
      </w:hyperlink>
    </w:p>
    <w:p w14:paraId="7BEC36C0"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r w:rsidRPr="00F450A5">
        <w:rPr>
          <w:rFonts w:ascii="Times New Roman" w:eastAsia="Times New Roman" w:hAnsi="Times New Roman" w:cs="Times New Roman"/>
          <w:sz w:val="24"/>
          <w:szCs w:val="24"/>
        </w:rPr>
        <w:t xml:space="preserve">Swen, J. J., van der </w:t>
      </w:r>
      <w:proofErr w:type="spellStart"/>
      <w:r w:rsidRPr="00F450A5">
        <w:rPr>
          <w:rFonts w:ascii="Times New Roman" w:eastAsia="Times New Roman" w:hAnsi="Times New Roman" w:cs="Times New Roman"/>
          <w:sz w:val="24"/>
          <w:szCs w:val="24"/>
        </w:rPr>
        <w:t>Wouden</w:t>
      </w:r>
      <w:proofErr w:type="spellEnd"/>
      <w:r w:rsidRPr="00F450A5">
        <w:rPr>
          <w:rFonts w:ascii="Times New Roman" w:eastAsia="Times New Roman" w:hAnsi="Times New Roman" w:cs="Times New Roman"/>
          <w:sz w:val="24"/>
          <w:szCs w:val="24"/>
        </w:rPr>
        <w:t>, C. H., Manson, L. E., Abdullah-</w:t>
      </w:r>
      <w:proofErr w:type="spellStart"/>
      <w:r w:rsidRPr="00F450A5">
        <w:rPr>
          <w:rFonts w:ascii="Times New Roman" w:eastAsia="Times New Roman" w:hAnsi="Times New Roman" w:cs="Times New Roman"/>
          <w:sz w:val="24"/>
          <w:szCs w:val="24"/>
        </w:rPr>
        <w:t>Koolmees</w:t>
      </w:r>
      <w:proofErr w:type="spellEnd"/>
      <w:r w:rsidRPr="00F450A5">
        <w:rPr>
          <w:rFonts w:ascii="Times New Roman" w:eastAsia="Times New Roman" w:hAnsi="Times New Roman" w:cs="Times New Roman"/>
          <w:sz w:val="24"/>
          <w:szCs w:val="24"/>
        </w:rPr>
        <w:t xml:space="preserve">, H., </w:t>
      </w:r>
      <w:proofErr w:type="spellStart"/>
      <w:r w:rsidRPr="00F450A5">
        <w:rPr>
          <w:rFonts w:ascii="Times New Roman" w:eastAsia="Times New Roman" w:hAnsi="Times New Roman" w:cs="Times New Roman"/>
          <w:sz w:val="24"/>
          <w:szCs w:val="24"/>
        </w:rPr>
        <w:t>Blagec</w:t>
      </w:r>
      <w:proofErr w:type="spellEnd"/>
      <w:r w:rsidRPr="00F450A5">
        <w:rPr>
          <w:rFonts w:ascii="Times New Roman" w:eastAsia="Times New Roman" w:hAnsi="Times New Roman" w:cs="Times New Roman"/>
          <w:sz w:val="24"/>
          <w:szCs w:val="24"/>
        </w:rPr>
        <w:t xml:space="preserve">, K., </w:t>
      </w:r>
      <w:proofErr w:type="spellStart"/>
      <w:r w:rsidRPr="00F450A5">
        <w:rPr>
          <w:rFonts w:ascii="Times New Roman" w:eastAsia="Times New Roman" w:hAnsi="Times New Roman" w:cs="Times New Roman"/>
          <w:sz w:val="24"/>
          <w:szCs w:val="24"/>
        </w:rPr>
        <w:t>Blagus</w:t>
      </w:r>
      <w:proofErr w:type="spellEnd"/>
      <w:r w:rsidRPr="00F450A5">
        <w:rPr>
          <w:rFonts w:ascii="Times New Roman" w:eastAsia="Times New Roman" w:hAnsi="Times New Roman" w:cs="Times New Roman"/>
          <w:sz w:val="24"/>
          <w:szCs w:val="24"/>
        </w:rPr>
        <w:t xml:space="preserve">, T., </w:t>
      </w:r>
      <w:proofErr w:type="spellStart"/>
      <w:r w:rsidRPr="00F450A5">
        <w:rPr>
          <w:rFonts w:ascii="Times New Roman" w:eastAsia="Times New Roman" w:hAnsi="Times New Roman" w:cs="Times New Roman"/>
          <w:sz w:val="24"/>
          <w:szCs w:val="24"/>
        </w:rPr>
        <w:t>Böhringer</w:t>
      </w:r>
      <w:proofErr w:type="spellEnd"/>
      <w:r w:rsidRPr="00F450A5">
        <w:rPr>
          <w:rFonts w:ascii="Times New Roman" w:eastAsia="Times New Roman" w:hAnsi="Times New Roman" w:cs="Times New Roman"/>
          <w:sz w:val="24"/>
          <w:szCs w:val="24"/>
        </w:rPr>
        <w:t xml:space="preserve">, S., Cambon-Thomsen, A., Cecchin, E., Cheung, K.-C., </w:t>
      </w:r>
      <w:proofErr w:type="spellStart"/>
      <w:r w:rsidRPr="00F450A5">
        <w:rPr>
          <w:rFonts w:ascii="Times New Roman" w:eastAsia="Times New Roman" w:hAnsi="Times New Roman" w:cs="Times New Roman"/>
          <w:sz w:val="24"/>
          <w:szCs w:val="24"/>
        </w:rPr>
        <w:t>Deneer</w:t>
      </w:r>
      <w:proofErr w:type="spellEnd"/>
      <w:r w:rsidRPr="00F450A5">
        <w:rPr>
          <w:rFonts w:ascii="Times New Roman" w:eastAsia="Times New Roman" w:hAnsi="Times New Roman" w:cs="Times New Roman"/>
          <w:sz w:val="24"/>
          <w:szCs w:val="24"/>
        </w:rPr>
        <w:t>, V. H., Dupui, M., Ingelman-Sundberg, M., Jonsson, S., Joefield-Roka, C., Just, K. S., Karlsson, M. O., Konta, L., Koopmann, R., … Ubiquitous Pharmacogenomics Consortium. (2023). A</w:t>
      </w:r>
      <w:r w:rsidRPr="00F450A5">
        <w:rPr>
          <w:rFonts w:ascii="Times New Roman" w:eastAsia="Times New Roman" w:hAnsi="Times New Roman" w:cs="Times New Roman"/>
          <w:sz w:val="24"/>
          <w:szCs w:val="24"/>
        </w:rPr>
        <w:t xml:space="preserve"> 12-gene pharmacogenetic panel to prevent adverse drug reactions: An open-label, </w:t>
      </w:r>
      <w:proofErr w:type="spellStart"/>
      <w:r w:rsidRPr="00F450A5">
        <w:rPr>
          <w:rFonts w:ascii="Times New Roman" w:eastAsia="Times New Roman" w:hAnsi="Times New Roman" w:cs="Times New Roman"/>
          <w:sz w:val="24"/>
          <w:szCs w:val="24"/>
        </w:rPr>
        <w:t>multicentre</w:t>
      </w:r>
      <w:proofErr w:type="spellEnd"/>
      <w:r w:rsidRPr="00F450A5">
        <w:rPr>
          <w:rFonts w:ascii="Times New Roman" w:eastAsia="Times New Roman" w:hAnsi="Times New Roman" w:cs="Times New Roman"/>
          <w:sz w:val="24"/>
          <w:szCs w:val="24"/>
        </w:rPr>
        <w:t>, controlled, cluster-</w:t>
      </w:r>
      <w:proofErr w:type="spellStart"/>
      <w:r w:rsidRPr="00F450A5">
        <w:rPr>
          <w:rFonts w:ascii="Times New Roman" w:eastAsia="Times New Roman" w:hAnsi="Times New Roman" w:cs="Times New Roman"/>
          <w:sz w:val="24"/>
          <w:szCs w:val="24"/>
        </w:rPr>
        <w:t>randomised</w:t>
      </w:r>
      <w:proofErr w:type="spellEnd"/>
      <w:r w:rsidRPr="00F450A5">
        <w:rPr>
          <w:rFonts w:ascii="Times New Roman" w:eastAsia="Times New Roman" w:hAnsi="Times New Roman" w:cs="Times New Roman"/>
          <w:sz w:val="24"/>
          <w:szCs w:val="24"/>
        </w:rPr>
        <w:t xml:space="preserve"> crossover implementation study. </w:t>
      </w:r>
      <w:r w:rsidRPr="00F450A5">
        <w:rPr>
          <w:rFonts w:ascii="Times New Roman" w:eastAsia="Times New Roman" w:hAnsi="Times New Roman" w:cs="Times New Roman"/>
          <w:i/>
          <w:iCs/>
          <w:sz w:val="24"/>
          <w:szCs w:val="24"/>
        </w:rPr>
        <w:t>Lancet</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401</w:t>
      </w:r>
      <w:r w:rsidRPr="00F450A5">
        <w:rPr>
          <w:rFonts w:ascii="Times New Roman" w:eastAsia="Times New Roman" w:hAnsi="Times New Roman" w:cs="Times New Roman"/>
          <w:sz w:val="24"/>
          <w:szCs w:val="24"/>
        </w:rPr>
        <w:t>(10374), 347–356.</w:t>
      </w:r>
      <w:hyperlink r:id="rId83">
        <w:r w:rsidR="00445D29" w:rsidRPr="00F450A5">
          <w:rPr>
            <w:rFonts w:ascii="Times New Roman" w:eastAsia="Times New Roman" w:hAnsi="Times New Roman" w:cs="Times New Roman"/>
            <w:sz w:val="24"/>
            <w:szCs w:val="24"/>
          </w:rPr>
          <w:t xml:space="preserve"> </w:t>
        </w:r>
      </w:hyperlink>
      <w:hyperlink r:id="rId84">
        <w:r w:rsidR="00445D29" w:rsidRPr="00F450A5">
          <w:rPr>
            <w:rFonts w:ascii="Times New Roman" w:eastAsia="Times New Roman" w:hAnsi="Times New Roman" w:cs="Times New Roman"/>
            <w:color w:val="1155CC"/>
            <w:sz w:val="24"/>
            <w:szCs w:val="24"/>
            <w:u w:val="single"/>
          </w:rPr>
          <w:t>https://doi.org/10.1016/S0140-6736(22)01841-4</w:t>
        </w:r>
      </w:hyperlink>
    </w:p>
    <w:p w14:paraId="2FFD6215" w14:textId="77777777" w:rsidR="00445D29" w:rsidRPr="00F450A5" w:rsidRDefault="00D316A5">
      <w:pPr>
        <w:widowControl w:val="0"/>
        <w:spacing w:before="240" w:after="240" w:line="360" w:lineRule="auto"/>
        <w:ind w:left="880" w:hanging="440"/>
        <w:jc w:val="both"/>
        <w:rPr>
          <w:rFonts w:ascii="Times New Roman" w:eastAsia="Times New Roman" w:hAnsi="Times New Roman" w:cs="Times New Roman"/>
          <w:color w:val="1155CC"/>
          <w:sz w:val="24"/>
          <w:szCs w:val="24"/>
          <w:u w:val="single"/>
        </w:rPr>
      </w:pPr>
      <w:proofErr w:type="spellStart"/>
      <w:r w:rsidRPr="00F450A5">
        <w:rPr>
          <w:rFonts w:ascii="Times New Roman" w:eastAsia="Times New Roman" w:hAnsi="Times New Roman" w:cs="Times New Roman"/>
          <w:sz w:val="24"/>
          <w:szCs w:val="24"/>
        </w:rPr>
        <w:t>Tricco</w:t>
      </w:r>
      <w:proofErr w:type="spellEnd"/>
      <w:r w:rsidRPr="00F450A5">
        <w:rPr>
          <w:rFonts w:ascii="Times New Roman" w:eastAsia="Times New Roman" w:hAnsi="Times New Roman" w:cs="Times New Roman"/>
          <w:sz w:val="24"/>
          <w:szCs w:val="24"/>
        </w:rPr>
        <w:t xml:space="preserve">, A. C., Lillie, E., Zarin, W., O’Brien, K. K., Colquhoun, H., Levac, D., Moher, D., Peters, M. D. J., Horsley, T., Weeks, L., Hempel, S., Akl, </w:t>
      </w:r>
      <w:r w:rsidRPr="00F450A5">
        <w:rPr>
          <w:rFonts w:ascii="Times New Roman" w:eastAsia="Times New Roman" w:hAnsi="Times New Roman" w:cs="Times New Roman"/>
          <w:sz w:val="24"/>
          <w:szCs w:val="24"/>
        </w:rPr>
        <w:t xml:space="preserve">E. A., Chang, C., McGowan, J., Stewart, L., Hartling, L., </w:t>
      </w:r>
      <w:proofErr w:type="spellStart"/>
      <w:r w:rsidRPr="00F450A5">
        <w:rPr>
          <w:rFonts w:ascii="Times New Roman" w:eastAsia="Times New Roman" w:hAnsi="Times New Roman" w:cs="Times New Roman"/>
          <w:sz w:val="24"/>
          <w:szCs w:val="24"/>
        </w:rPr>
        <w:t>Aldcroft</w:t>
      </w:r>
      <w:proofErr w:type="spellEnd"/>
      <w:r w:rsidRPr="00F450A5">
        <w:rPr>
          <w:rFonts w:ascii="Times New Roman" w:eastAsia="Times New Roman" w:hAnsi="Times New Roman" w:cs="Times New Roman"/>
          <w:sz w:val="24"/>
          <w:szCs w:val="24"/>
        </w:rPr>
        <w:t>, A., Wilson, M. G., Garritty, C., … Straus, S. E. (2018). PRISMA Extension for Scoping Reviews (PRISMA-</w:t>
      </w:r>
      <w:proofErr w:type="spellStart"/>
      <w:r w:rsidRPr="00F450A5">
        <w:rPr>
          <w:rFonts w:ascii="Times New Roman" w:eastAsia="Times New Roman" w:hAnsi="Times New Roman" w:cs="Times New Roman"/>
          <w:sz w:val="24"/>
          <w:szCs w:val="24"/>
        </w:rPr>
        <w:t>ScR</w:t>
      </w:r>
      <w:proofErr w:type="spellEnd"/>
      <w:r w:rsidRPr="00F450A5">
        <w:rPr>
          <w:rFonts w:ascii="Times New Roman" w:eastAsia="Times New Roman" w:hAnsi="Times New Roman" w:cs="Times New Roman"/>
          <w:sz w:val="24"/>
          <w:szCs w:val="24"/>
        </w:rPr>
        <w:t xml:space="preserve">): Checklist and Explanation. </w:t>
      </w:r>
      <w:r w:rsidRPr="00F450A5">
        <w:rPr>
          <w:rFonts w:ascii="Times New Roman" w:eastAsia="Times New Roman" w:hAnsi="Times New Roman" w:cs="Times New Roman"/>
          <w:i/>
          <w:iCs/>
          <w:sz w:val="24"/>
          <w:szCs w:val="24"/>
        </w:rPr>
        <w:t>Annals of Internal Medicine</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169</w:t>
      </w:r>
      <w:r w:rsidRPr="00F450A5">
        <w:rPr>
          <w:rFonts w:ascii="Times New Roman" w:eastAsia="Times New Roman" w:hAnsi="Times New Roman" w:cs="Times New Roman"/>
          <w:sz w:val="24"/>
          <w:szCs w:val="24"/>
        </w:rPr>
        <w:t>(7), 467–473.</w:t>
      </w:r>
      <w:hyperlink r:id="rId85">
        <w:r w:rsidR="00445D29" w:rsidRPr="00F450A5">
          <w:rPr>
            <w:rFonts w:ascii="Times New Roman" w:eastAsia="Times New Roman" w:hAnsi="Times New Roman" w:cs="Times New Roman"/>
            <w:sz w:val="24"/>
            <w:szCs w:val="24"/>
          </w:rPr>
          <w:t xml:space="preserve"> </w:t>
        </w:r>
      </w:hyperlink>
      <w:hyperlink r:id="rId86">
        <w:r w:rsidR="00445D29" w:rsidRPr="00F450A5">
          <w:rPr>
            <w:rFonts w:ascii="Times New Roman" w:eastAsia="Times New Roman" w:hAnsi="Times New Roman" w:cs="Times New Roman"/>
            <w:color w:val="1155CC"/>
            <w:sz w:val="24"/>
            <w:szCs w:val="24"/>
            <w:u w:val="single"/>
          </w:rPr>
          <w:t>https://doi.org/10.7326/M18-0850</w:t>
        </w:r>
      </w:hyperlink>
    </w:p>
    <w:p w14:paraId="26A87CB3" w14:textId="77777777" w:rsidR="00445D29" w:rsidRDefault="00D316A5">
      <w:pPr>
        <w:widowControl w:val="0"/>
        <w:spacing w:before="240" w:after="240" w:line="480" w:lineRule="auto"/>
        <w:ind w:left="880" w:hanging="440"/>
        <w:jc w:val="both"/>
        <w:rPr>
          <w:rFonts w:ascii="Times New Roman" w:eastAsia="Times New Roman" w:hAnsi="Times New Roman" w:cs="Times New Roman"/>
          <w:i/>
          <w:iCs/>
          <w:sz w:val="24"/>
          <w:szCs w:val="24"/>
        </w:rPr>
        <w:sectPr w:rsidR="00445D29">
          <w:headerReference w:type="even" r:id="rId87"/>
          <w:headerReference w:type="default" r:id="rId88"/>
          <w:footerReference w:type="even" r:id="rId89"/>
          <w:footerReference w:type="default" r:id="rId90"/>
          <w:headerReference w:type="first" r:id="rId91"/>
          <w:footerReference w:type="first" r:id="rId92"/>
          <w:pgSz w:w="12240" w:h="15840"/>
          <w:pgMar w:top="1440" w:right="1440" w:bottom="1440" w:left="1440" w:header="720" w:footer="720" w:gutter="0"/>
          <w:pgNumType w:start="1"/>
          <w:cols w:space="720"/>
        </w:sectPr>
      </w:pPr>
      <w:r w:rsidRPr="00F450A5">
        <w:rPr>
          <w:rFonts w:ascii="Times New Roman" w:eastAsia="Times New Roman" w:hAnsi="Times New Roman" w:cs="Times New Roman"/>
          <w:sz w:val="24"/>
          <w:szCs w:val="24"/>
        </w:rPr>
        <w:t xml:space="preserve">Van Heukelom, J., Morgan, J., Massmann, A., Jacobsen, K., Petry, N. J., Baye, J. F., Frear, S., &amp; Schultz, A. (2023). Evolution of pharmacogenomic services and implementation of a multi-state pharmacogenomics clinic across a large rural healthcare system. </w:t>
      </w:r>
      <w:r w:rsidRPr="00F450A5">
        <w:rPr>
          <w:rFonts w:ascii="Times New Roman" w:eastAsia="Times New Roman" w:hAnsi="Times New Roman" w:cs="Times New Roman"/>
          <w:i/>
          <w:iCs/>
          <w:sz w:val="24"/>
          <w:szCs w:val="24"/>
        </w:rPr>
        <w:t>Frontiers in Pharmacology</w:t>
      </w:r>
      <w:r w:rsidRPr="00F450A5">
        <w:rPr>
          <w:rFonts w:ascii="Times New Roman" w:eastAsia="Times New Roman" w:hAnsi="Times New Roman" w:cs="Times New Roman"/>
          <w:sz w:val="24"/>
          <w:szCs w:val="24"/>
        </w:rPr>
        <w:t xml:space="preserve">, </w:t>
      </w:r>
      <w:r w:rsidRPr="00F450A5">
        <w:rPr>
          <w:rFonts w:ascii="Times New Roman" w:eastAsia="Times New Roman" w:hAnsi="Times New Roman" w:cs="Times New Roman"/>
          <w:i/>
          <w:iCs/>
          <w:sz w:val="24"/>
          <w:szCs w:val="24"/>
        </w:rPr>
        <w:t>14</w:t>
      </w:r>
      <w:r w:rsidRPr="00F450A5">
        <w:rPr>
          <w:rFonts w:ascii="Times New Roman" w:eastAsia="Times New Roman" w:hAnsi="Times New Roman" w:cs="Times New Roman"/>
          <w:sz w:val="24"/>
          <w:szCs w:val="24"/>
        </w:rPr>
        <w:t>, 1274165.</w:t>
      </w:r>
      <w:hyperlink r:id="rId93">
        <w:r w:rsidR="00445D29" w:rsidRPr="00F450A5">
          <w:rPr>
            <w:rFonts w:ascii="Times New Roman" w:eastAsia="Times New Roman" w:hAnsi="Times New Roman" w:cs="Times New Roman"/>
            <w:sz w:val="24"/>
            <w:szCs w:val="24"/>
          </w:rPr>
          <w:t xml:space="preserve"> </w:t>
        </w:r>
      </w:hyperlink>
      <w:hyperlink r:id="rId94">
        <w:r w:rsidR="00445D29" w:rsidRPr="00F450A5">
          <w:rPr>
            <w:rFonts w:ascii="Times New Roman" w:eastAsia="Times New Roman" w:hAnsi="Times New Roman" w:cs="Times New Roman"/>
            <w:color w:val="1155CC"/>
            <w:sz w:val="24"/>
            <w:szCs w:val="24"/>
            <w:u w:val="single"/>
          </w:rPr>
          <w:t>https://doi.org/10.3389/fphar.2023.1274165</w:t>
        </w:r>
      </w:hyperlink>
      <w:r>
        <w:rPr>
          <w:rFonts w:ascii="Times New Roman" w:eastAsia="Times New Roman" w:hAnsi="Times New Roman" w:cs="Times New Roman"/>
          <w:sz w:val="24"/>
          <w:szCs w:val="24"/>
        </w:rPr>
        <w:t xml:space="preserve"> </w:t>
      </w:r>
    </w:p>
    <w:p w14:paraId="28C493EE" w14:textId="77777777" w:rsidR="00445D29" w:rsidRDefault="00445D29">
      <w:pPr>
        <w:widowControl w:val="0"/>
        <w:spacing w:before="142" w:line="240" w:lineRule="auto"/>
        <w:rPr>
          <w:rFonts w:ascii="Times New Roman" w:eastAsia="Times New Roman" w:hAnsi="Times New Roman" w:cs="Times New Roman"/>
          <w:sz w:val="24"/>
          <w:szCs w:val="24"/>
        </w:rPr>
      </w:pPr>
    </w:p>
    <w:p w14:paraId="186BCE15" w14:textId="77777777" w:rsidR="00445D29" w:rsidRDefault="00445D29">
      <w:pPr>
        <w:widowControl w:val="0"/>
        <w:spacing w:before="86" w:line="240" w:lineRule="auto"/>
        <w:rPr>
          <w:rFonts w:ascii="Times New Roman" w:eastAsia="Times New Roman" w:hAnsi="Times New Roman" w:cs="Times New Roman"/>
          <w:sz w:val="24"/>
          <w:szCs w:val="24"/>
        </w:rPr>
      </w:pPr>
    </w:p>
    <w:p w14:paraId="7ACDAD14" w14:textId="77777777" w:rsidR="00445D29" w:rsidRDefault="00445D29">
      <w:pPr>
        <w:widowControl w:val="0"/>
        <w:spacing w:before="200" w:line="360" w:lineRule="auto"/>
        <w:ind w:right="357"/>
        <w:jc w:val="both"/>
        <w:rPr>
          <w:rFonts w:ascii="Times New Roman" w:eastAsia="Times New Roman" w:hAnsi="Times New Roman" w:cs="Times New Roman"/>
          <w:sz w:val="24"/>
          <w:szCs w:val="24"/>
        </w:rPr>
      </w:pPr>
    </w:p>
    <w:p w14:paraId="3F75D3F9" w14:textId="77777777" w:rsidR="00445D29" w:rsidRDefault="00445D29">
      <w:pPr>
        <w:widowControl w:val="0"/>
        <w:spacing w:before="202" w:line="360" w:lineRule="auto"/>
        <w:ind w:right="359"/>
        <w:jc w:val="both"/>
        <w:rPr>
          <w:rFonts w:ascii="Times New Roman" w:eastAsia="Times New Roman" w:hAnsi="Times New Roman" w:cs="Times New Roman"/>
          <w:sz w:val="24"/>
          <w:szCs w:val="24"/>
        </w:rPr>
      </w:pPr>
    </w:p>
    <w:sectPr w:rsidR="00445D29">
      <w:pgSz w:w="12240" w:h="15840"/>
      <w:pgMar w:top="1320" w:right="1080" w:bottom="900" w:left="1440" w:header="715" w:footer="7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21628" w14:textId="77777777" w:rsidR="00D316A5" w:rsidRDefault="00D316A5">
      <w:pPr>
        <w:spacing w:line="240" w:lineRule="auto"/>
      </w:pPr>
      <w:r>
        <w:separator/>
      </w:r>
    </w:p>
  </w:endnote>
  <w:endnote w:type="continuationSeparator" w:id="0">
    <w:p w14:paraId="39B6D468" w14:textId="77777777" w:rsidR="00D316A5" w:rsidRDefault="00D316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A017D2-AEA7-4477-99E9-EB3B7B5B888C}"/>
  </w:font>
  <w:font w:name="Cambria">
    <w:panose1 w:val="02040503050406030204"/>
    <w:charset w:val="00"/>
    <w:family w:val="roman"/>
    <w:pitch w:val="variable"/>
    <w:sig w:usb0="E00006FF" w:usb1="420024FF" w:usb2="02000000" w:usb3="00000000" w:csb0="0000019F" w:csb1="00000000"/>
    <w:embedRegular r:id="rId2" w:fontKey="{36FDF105-C80D-4A44-BB47-C9EF7208A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3BA2E" w14:textId="77777777" w:rsidR="00080301" w:rsidRDefault="00080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153C4" w14:textId="77777777" w:rsidR="00080301" w:rsidRDefault="000803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2A799" w14:textId="77777777" w:rsidR="00080301" w:rsidRDefault="000803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4707A" w14:textId="77777777" w:rsidR="00D316A5" w:rsidRDefault="00D316A5">
      <w:pPr>
        <w:spacing w:line="240" w:lineRule="auto"/>
      </w:pPr>
      <w:r>
        <w:separator/>
      </w:r>
    </w:p>
  </w:footnote>
  <w:footnote w:type="continuationSeparator" w:id="0">
    <w:p w14:paraId="400A0EFB" w14:textId="77777777" w:rsidR="00D316A5" w:rsidRDefault="00D316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8AE8E" w14:textId="2F448B6C" w:rsidR="00080301" w:rsidRDefault="00080301">
    <w:pPr>
      <w:pStyle w:val="Header"/>
    </w:pPr>
    <w:r>
      <w:rPr>
        <w:noProof/>
      </w:rPr>
      <w:pict w14:anchorId="3032F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37378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2D91" w14:textId="4158977C" w:rsidR="00445D29" w:rsidRDefault="00080301">
    <w:r>
      <w:rPr>
        <w:noProof/>
      </w:rPr>
      <w:pict w14:anchorId="39064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37378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69E14" w14:textId="1BF112A5" w:rsidR="00080301" w:rsidRDefault="00080301">
    <w:pPr>
      <w:pStyle w:val="Header"/>
    </w:pPr>
    <w:r>
      <w:rPr>
        <w:noProof/>
      </w:rPr>
      <w:pict w14:anchorId="736F9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37378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07EC9"/>
    <w:multiLevelType w:val="multilevel"/>
    <w:tmpl w:val="66900D6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63DF3D31"/>
    <w:multiLevelType w:val="multilevel"/>
    <w:tmpl w:val="A8380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D29"/>
    <w:rsid w:val="00080301"/>
    <w:rsid w:val="000F00CE"/>
    <w:rsid w:val="00445D29"/>
    <w:rsid w:val="005D34D7"/>
    <w:rsid w:val="005D4ACB"/>
    <w:rsid w:val="006F5AE4"/>
    <w:rsid w:val="007411D7"/>
    <w:rsid w:val="00B72C75"/>
    <w:rsid w:val="00D316A5"/>
    <w:rsid w:val="00F450A5"/>
    <w:rsid w:val="00FF50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27D40F"/>
  <w15:docId w15:val="{54791E0E-DC61-43F1-B4CF-341F9E20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6F5AE4"/>
    <w:rPr>
      <w:color w:val="0000FF" w:themeColor="hyperlink"/>
      <w:u w:val="single"/>
    </w:rPr>
  </w:style>
  <w:style w:type="character" w:styleId="UnresolvedMention">
    <w:name w:val="Unresolved Mention"/>
    <w:basedOn w:val="DefaultParagraphFont"/>
    <w:uiPriority w:val="99"/>
    <w:semiHidden/>
    <w:unhideWhenUsed/>
    <w:rsid w:val="006F5AE4"/>
    <w:rPr>
      <w:color w:val="605E5C"/>
      <w:shd w:val="clear" w:color="auto" w:fill="E1DFDD"/>
    </w:rPr>
  </w:style>
  <w:style w:type="paragraph" w:styleId="Header">
    <w:name w:val="header"/>
    <w:basedOn w:val="Normal"/>
    <w:link w:val="HeaderChar"/>
    <w:uiPriority w:val="99"/>
    <w:unhideWhenUsed/>
    <w:rsid w:val="00080301"/>
    <w:pPr>
      <w:tabs>
        <w:tab w:val="center" w:pos="4680"/>
        <w:tab w:val="right" w:pos="9360"/>
      </w:tabs>
      <w:spacing w:line="240" w:lineRule="auto"/>
    </w:pPr>
  </w:style>
  <w:style w:type="character" w:customStyle="1" w:styleId="HeaderChar">
    <w:name w:val="Header Char"/>
    <w:basedOn w:val="DefaultParagraphFont"/>
    <w:link w:val="Header"/>
    <w:uiPriority w:val="99"/>
    <w:rsid w:val="00080301"/>
  </w:style>
  <w:style w:type="paragraph" w:styleId="Footer">
    <w:name w:val="footer"/>
    <w:basedOn w:val="Normal"/>
    <w:link w:val="FooterChar"/>
    <w:uiPriority w:val="99"/>
    <w:unhideWhenUsed/>
    <w:rsid w:val="00080301"/>
    <w:pPr>
      <w:tabs>
        <w:tab w:val="center" w:pos="4680"/>
        <w:tab w:val="right" w:pos="9360"/>
      </w:tabs>
      <w:spacing w:line="240" w:lineRule="auto"/>
    </w:pPr>
  </w:style>
  <w:style w:type="character" w:customStyle="1" w:styleId="FooterChar">
    <w:name w:val="Footer Char"/>
    <w:basedOn w:val="DefaultParagraphFont"/>
    <w:link w:val="Footer"/>
    <w:uiPriority w:val="99"/>
    <w:rsid w:val="00080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3389/fphar.2025.1659875" TargetMode="External"/><Relationship Id="rId21" Type="http://schemas.openxmlformats.org/officeDocument/2006/relationships/hyperlink" Target="https://doi.org/10.1038/s41467-024-45032-5" TargetMode="External"/><Relationship Id="rId42" Type="http://schemas.openxmlformats.org/officeDocument/2006/relationships/hyperlink" Target="https://www.fda.gov/drugs/science-and-research-drugs/table-pharmacogenomic-biomarkers-drug-labeling" TargetMode="External"/><Relationship Id="rId47" Type="http://schemas.openxmlformats.org/officeDocument/2006/relationships/hyperlink" Target="https://doi.org/10.1016/S1470-2045(18)30686-7" TargetMode="External"/><Relationship Id="rId63" Type="http://schemas.openxmlformats.org/officeDocument/2006/relationships/hyperlink" Target="https://doi.org/10.2217/pgs-2022-0013" TargetMode="External"/><Relationship Id="rId68" Type="http://schemas.openxmlformats.org/officeDocument/2006/relationships/hyperlink" Target="https://doi.org/10.1353/cpr.2016.0035" TargetMode="External"/><Relationship Id="rId84" Type="http://schemas.openxmlformats.org/officeDocument/2006/relationships/hyperlink" Target="https://doi.org/10.1016/S0140-6736(22)01841-4" TargetMode="External"/><Relationship Id="rId89" Type="http://schemas.openxmlformats.org/officeDocument/2006/relationships/footer" Target="footer1.xml"/><Relationship Id="rId16" Type="http://schemas.openxmlformats.org/officeDocument/2006/relationships/hyperlink" Target="https://doi.org/10.1093/jamiaopen/ooae101" TargetMode="External"/><Relationship Id="rId11" Type="http://schemas.openxmlformats.org/officeDocument/2006/relationships/hyperlink" Target="https://doi.org/10.1002/cpt.911" TargetMode="External"/><Relationship Id="rId32" Type="http://schemas.openxmlformats.org/officeDocument/2006/relationships/hyperlink" Target="https://doi.org/10.2217/pgs.14.174" TargetMode="External"/><Relationship Id="rId37" Type="http://schemas.openxmlformats.org/officeDocument/2006/relationships/hyperlink" Target="https://doi.org/10.1016/B978-0-12-824453-1.00011-7" TargetMode="External"/><Relationship Id="rId53" Type="http://schemas.openxmlformats.org/officeDocument/2006/relationships/hyperlink" Target="https://doi.org/10.3389/fphar.2022.953142" TargetMode="External"/><Relationship Id="rId58" Type="http://schemas.openxmlformats.org/officeDocument/2006/relationships/hyperlink" Target="https://doi.org/10.1002/cpt.630" TargetMode="External"/><Relationship Id="rId74" Type="http://schemas.openxmlformats.org/officeDocument/2006/relationships/hyperlink" Target="https://doi.org/10.1093/ajhp/zxae083" TargetMode="External"/><Relationship Id="rId79" Type="http://schemas.openxmlformats.org/officeDocument/2006/relationships/hyperlink" Target="https://doi.org/10.1002/cpt.3402"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fontTable" Target="fontTable.xml"/><Relationship Id="rId22" Type="http://schemas.openxmlformats.org/officeDocument/2006/relationships/hyperlink" Target="https://doi.org/10.1038/s41467-024-45032-5" TargetMode="External"/><Relationship Id="rId27" Type="http://schemas.openxmlformats.org/officeDocument/2006/relationships/hyperlink" Target="https://doi.org/10.3390/jpm15060245" TargetMode="External"/><Relationship Id="rId43" Type="http://schemas.openxmlformats.org/officeDocument/2006/relationships/hyperlink" Target="https://doi.org/10.2217/pgs-2019-0004" TargetMode="External"/><Relationship Id="rId48" Type="http://schemas.openxmlformats.org/officeDocument/2006/relationships/hyperlink" Target="https://doi.org/10.1016/S1470-2045(18)30686-7" TargetMode="External"/><Relationship Id="rId64" Type="http://schemas.openxmlformats.org/officeDocument/2006/relationships/hyperlink" Target="https://doi.org/10.2217/pgs-2022-0013" TargetMode="External"/><Relationship Id="rId69" Type="http://schemas.openxmlformats.org/officeDocument/2006/relationships/hyperlink" Target="https://doi.org/10.2217/pgs-2019-0043" TargetMode="External"/><Relationship Id="rId8" Type="http://schemas.openxmlformats.org/officeDocument/2006/relationships/image" Target="media/image1.png"/><Relationship Id="rId51" Type="http://schemas.openxmlformats.org/officeDocument/2006/relationships/hyperlink" Target="https://doi.org/10.18865/ed.30.S1.167" TargetMode="External"/><Relationship Id="rId72" Type="http://schemas.openxmlformats.org/officeDocument/2006/relationships/hyperlink" Target="https://doi.org/10.2147/IJGM.S223882" TargetMode="External"/><Relationship Id="rId80" Type="http://schemas.openxmlformats.org/officeDocument/2006/relationships/hyperlink" Target="https://doi.org/10.1002/cpt.3402" TargetMode="External"/><Relationship Id="rId85" Type="http://schemas.openxmlformats.org/officeDocument/2006/relationships/hyperlink" Target="https://doi.org/10.7326/M18-0850" TargetMode="External"/><Relationship Id="rId93" Type="http://schemas.openxmlformats.org/officeDocument/2006/relationships/hyperlink" Target="https://doi.org/10.3389/fphar.2023.1274165" TargetMode="External"/><Relationship Id="rId3" Type="http://schemas.openxmlformats.org/officeDocument/2006/relationships/styles" Target="styles.xml"/><Relationship Id="rId12" Type="http://schemas.openxmlformats.org/officeDocument/2006/relationships/hyperlink" Target="https://doi.org/10.1002/cpt.911" TargetMode="External"/><Relationship Id="rId17" Type="http://schemas.openxmlformats.org/officeDocument/2006/relationships/hyperlink" Target="https://doi.org/10.3389/fgene.2022.1082985" TargetMode="External"/><Relationship Id="rId25" Type="http://schemas.openxmlformats.org/officeDocument/2006/relationships/hyperlink" Target="https://doi.org/10.3389/fphar.2025.1659875" TargetMode="External"/><Relationship Id="rId33" Type="http://schemas.openxmlformats.org/officeDocument/2006/relationships/hyperlink" Target="https://doi.org/10.2217/pgs-2018-0200" TargetMode="External"/><Relationship Id="rId38" Type="http://schemas.openxmlformats.org/officeDocument/2006/relationships/hyperlink" Target="https://doi.org/10.1016/B978-0-12-824453-1.00011-7" TargetMode="External"/><Relationship Id="rId46" Type="http://schemas.openxmlformats.org/officeDocument/2006/relationships/hyperlink" Target="https://doi.org/10.1080/14622416.2025.2490461" TargetMode="External"/><Relationship Id="rId59" Type="http://schemas.openxmlformats.org/officeDocument/2006/relationships/hyperlink" Target="https://doi.org/10.1007/s10557-021-07149-3" TargetMode="External"/><Relationship Id="rId67" Type="http://schemas.openxmlformats.org/officeDocument/2006/relationships/hyperlink" Target="https://doi.org/10.1353/cpr.2016.0035" TargetMode="External"/><Relationship Id="rId20" Type="http://schemas.openxmlformats.org/officeDocument/2006/relationships/hyperlink" Target="https://doi.org/10.1038/s41436-019-0500-7" TargetMode="External"/><Relationship Id="rId41" Type="http://schemas.openxmlformats.org/officeDocument/2006/relationships/hyperlink" Target="https://www.fda.gov/drugs/science-and-research-drugs/table-pharmacogenomic-biomarkers-drug-labeling" TargetMode="External"/><Relationship Id="rId54" Type="http://schemas.openxmlformats.org/officeDocument/2006/relationships/hyperlink" Target="https://doi.org/10.3389/fphar.2022.953142" TargetMode="External"/><Relationship Id="rId62" Type="http://schemas.openxmlformats.org/officeDocument/2006/relationships/hyperlink" Target="https://doi.org/10.1038/s41588-019-0379-x" TargetMode="External"/><Relationship Id="rId70" Type="http://schemas.openxmlformats.org/officeDocument/2006/relationships/hyperlink" Target="https://doi.org/10.2217/pgs-2019-0043" TargetMode="External"/><Relationship Id="rId75" Type="http://schemas.openxmlformats.org/officeDocument/2006/relationships/hyperlink" Target="https://doi.org/10.1002/cpt.1304" TargetMode="External"/><Relationship Id="rId83" Type="http://schemas.openxmlformats.org/officeDocument/2006/relationships/hyperlink" Target="https://doi.org/10.1016/S0140-6736(22)01841-4" TargetMode="External"/><Relationship Id="rId88" Type="http://schemas.openxmlformats.org/officeDocument/2006/relationships/header" Target="header2.xml"/><Relationship Id="rId91" Type="http://schemas.openxmlformats.org/officeDocument/2006/relationships/header" Target="header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93/jamiaopen/ooae101" TargetMode="External"/><Relationship Id="rId23" Type="http://schemas.openxmlformats.org/officeDocument/2006/relationships/hyperlink" Target="https://www.clinpgx.org/cpic/pairs" TargetMode="External"/><Relationship Id="rId28" Type="http://schemas.openxmlformats.org/officeDocument/2006/relationships/hyperlink" Target="https://doi.org/10.3390/jpm15060245" TargetMode="External"/><Relationship Id="rId36" Type="http://schemas.openxmlformats.org/officeDocument/2006/relationships/hyperlink" Target="https://doi.org/10.1146/annurev-pharmtox-010814-124835" TargetMode="External"/><Relationship Id="rId49" Type="http://schemas.openxmlformats.org/officeDocument/2006/relationships/hyperlink" Target="https://doi.org/10.1016/j.amjmed.2025.01.008" TargetMode="External"/><Relationship Id="rId57" Type="http://schemas.openxmlformats.org/officeDocument/2006/relationships/hyperlink" Target="https://doi.org/10.1002/cpt.630" TargetMode="External"/><Relationship Id="rId10" Type="http://schemas.openxmlformats.org/officeDocument/2006/relationships/hyperlink" Target="https://doi.org/10.3389/fphar.2025.1594032" TargetMode="External"/><Relationship Id="rId31" Type="http://schemas.openxmlformats.org/officeDocument/2006/relationships/hyperlink" Target="https://doi.org/10.2217/pgs.14.174" TargetMode="External"/><Relationship Id="rId44" Type="http://schemas.openxmlformats.org/officeDocument/2006/relationships/hyperlink" Target="https://doi.org/10.2217/pgs-2019-0004" TargetMode="External"/><Relationship Id="rId52" Type="http://schemas.openxmlformats.org/officeDocument/2006/relationships/hyperlink" Target="https://doi.org/10.18865/ed.30.S1.167" TargetMode="External"/><Relationship Id="rId60" Type="http://schemas.openxmlformats.org/officeDocument/2006/relationships/hyperlink" Target="https://doi.org/10.1007/s10557-021-07149-3" TargetMode="External"/><Relationship Id="rId65" Type="http://schemas.openxmlformats.org/officeDocument/2006/relationships/hyperlink" Target="https://doi.org/10.3389/fgene.2026.1794122" TargetMode="External"/><Relationship Id="rId73" Type="http://schemas.openxmlformats.org/officeDocument/2006/relationships/hyperlink" Target="https://doi.org/10.1093/ajhp/zxae083" TargetMode="External"/><Relationship Id="rId78" Type="http://schemas.openxmlformats.org/officeDocument/2006/relationships/hyperlink" Target="https://doi.org/10.1016/S0140-6736(19)31276-0" TargetMode="External"/><Relationship Id="rId81" Type="http://schemas.openxmlformats.org/officeDocument/2006/relationships/hyperlink" Target="https://doi.org/10.3390/jpm15030110" TargetMode="External"/><Relationship Id="rId86" Type="http://schemas.openxmlformats.org/officeDocument/2006/relationships/hyperlink" Target="https://doi.org/10.7326/M18-0850" TargetMode="External"/><Relationship Id="rId94" Type="http://schemas.openxmlformats.org/officeDocument/2006/relationships/hyperlink" Target="https://doi.org/10.3389/fphar.2023.1274165" TargetMode="External"/><Relationship Id="rId4" Type="http://schemas.openxmlformats.org/officeDocument/2006/relationships/settings" Target="settings.xml"/><Relationship Id="rId9" Type="http://schemas.openxmlformats.org/officeDocument/2006/relationships/hyperlink" Target="https://doi.org/10.3389/fphar.2025.1594032" TargetMode="External"/><Relationship Id="rId13" Type="http://schemas.openxmlformats.org/officeDocument/2006/relationships/hyperlink" Target="https://doi.org/10.1080/1364557032000119616" TargetMode="External"/><Relationship Id="rId18" Type="http://schemas.openxmlformats.org/officeDocument/2006/relationships/hyperlink" Target="https://doi.org/10.3389/fgene.2022.1082985" TargetMode="External"/><Relationship Id="rId39" Type="http://schemas.openxmlformats.org/officeDocument/2006/relationships/hyperlink" Target="https://doi.org/10.1002/cpt.1508" TargetMode="External"/><Relationship Id="rId34" Type="http://schemas.openxmlformats.org/officeDocument/2006/relationships/hyperlink" Target="https://doi.org/10.2217/pgs-2018-0200" TargetMode="External"/><Relationship Id="rId50" Type="http://schemas.openxmlformats.org/officeDocument/2006/relationships/hyperlink" Target="https://doi.org/10.1016/j.amjmed.2025.01.008" TargetMode="External"/><Relationship Id="rId55" Type="http://schemas.openxmlformats.org/officeDocument/2006/relationships/hyperlink" Target="https://doi.org/10.1186/1748-5908-5-69" TargetMode="External"/><Relationship Id="rId76" Type="http://schemas.openxmlformats.org/officeDocument/2006/relationships/hyperlink" Target="https://doi.org/10.1002/cpt.1304" TargetMode="External"/><Relationship Id="rId7" Type="http://schemas.openxmlformats.org/officeDocument/2006/relationships/endnotes" Target="endnotes.xml"/><Relationship Id="rId71" Type="http://schemas.openxmlformats.org/officeDocument/2006/relationships/hyperlink" Target="https://doi.org/10.2147/IJGM.S223882"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doi.org/10.1002/jac5.1958" TargetMode="External"/><Relationship Id="rId24" Type="http://schemas.openxmlformats.org/officeDocument/2006/relationships/hyperlink" Target="https://www.clinpgx.org/cpic/pairs" TargetMode="External"/><Relationship Id="rId40" Type="http://schemas.openxmlformats.org/officeDocument/2006/relationships/hyperlink" Target="https://doi.org/10.1002/cpt.1508" TargetMode="External"/><Relationship Id="rId45" Type="http://schemas.openxmlformats.org/officeDocument/2006/relationships/hyperlink" Target="https://doi.org/10.1080/14622416.2025.2490461" TargetMode="External"/><Relationship Id="rId66" Type="http://schemas.openxmlformats.org/officeDocument/2006/relationships/hyperlink" Target="https://doi.org/10.3389/fgene.2026.1794122" TargetMode="External"/><Relationship Id="rId87" Type="http://schemas.openxmlformats.org/officeDocument/2006/relationships/header" Target="header1.xml"/><Relationship Id="rId61" Type="http://schemas.openxmlformats.org/officeDocument/2006/relationships/hyperlink" Target="https://doi.org/10.1038/s41588-019-0379-x" TargetMode="External"/><Relationship Id="rId82" Type="http://schemas.openxmlformats.org/officeDocument/2006/relationships/hyperlink" Target="https://doi.org/10.3390/jpm15030110" TargetMode="External"/><Relationship Id="rId19" Type="http://schemas.openxmlformats.org/officeDocument/2006/relationships/hyperlink" Target="https://doi.org/10.1038/s41436-019-0500-7" TargetMode="External"/><Relationship Id="rId14" Type="http://schemas.openxmlformats.org/officeDocument/2006/relationships/hyperlink" Target="https://doi.org/10.1080/1364557032000119616" TargetMode="External"/><Relationship Id="rId30" Type="http://schemas.openxmlformats.org/officeDocument/2006/relationships/hyperlink" Target="https://doi.org/10.1002/jac5.1958" TargetMode="External"/><Relationship Id="rId35" Type="http://schemas.openxmlformats.org/officeDocument/2006/relationships/hyperlink" Target="https://doi.org/10.1146/annurev-pharmtox-010814-124835" TargetMode="External"/><Relationship Id="rId56" Type="http://schemas.openxmlformats.org/officeDocument/2006/relationships/hyperlink" Target="https://doi.org/10.1186/1748-5908-5-69" TargetMode="External"/><Relationship Id="rId77" Type="http://schemas.openxmlformats.org/officeDocument/2006/relationships/hyperlink" Target="https://doi.org/10.1016/S0140-6736(19)31276-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BC3KwG2IVrGwQHpmDjhatFrfrw==">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7025</Words>
  <Characters>40045</Characters>
  <Application>Microsoft Office Word</Application>
  <DocSecurity>0</DocSecurity>
  <Lines>333</Lines>
  <Paragraphs>93</Paragraphs>
  <ScaleCrop>false</ScaleCrop>
  <Company/>
  <LinksUpToDate>false</LinksUpToDate>
  <CharactersWithSpaces>46977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2026-04-30T04:52:00Z</dcterms:created>
  <dcterms:modified xsi:type="dcterms:W3CDTF">2026-04-30T11:17:00Z</dcterms:modified>
</cp:coreProperties>
</file>