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BD51E" w14:textId="77777777" w:rsidR="0090468B" w:rsidRPr="0090468B" w:rsidRDefault="0090468B" w:rsidP="0090468B">
      <w:pPr>
        <w:pStyle w:val="Title"/>
        <w:jc w:val="both"/>
        <w:rPr>
          <w:rFonts w:ascii="Arial" w:hAnsi="Arial" w:cs="Arial"/>
          <w:bCs/>
          <w:i/>
          <w:iCs/>
          <w:u w:val="single"/>
        </w:rPr>
      </w:pPr>
      <w:r w:rsidRPr="0090468B">
        <w:rPr>
          <w:rFonts w:ascii="Arial" w:hAnsi="Arial" w:cs="Arial"/>
          <w:bCs/>
          <w:i/>
          <w:iCs/>
          <w:u w:val="single"/>
        </w:rPr>
        <w:t>Original Research Article</w:t>
      </w:r>
    </w:p>
    <w:p w14:paraId="10E8BE18" w14:textId="77777777" w:rsidR="00754C9A" w:rsidRDefault="00754C9A" w:rsidP="00441B6F">
      <w:pPr>
        <w:pStyle w:val="Title"/>
        <w:spacing w:after="0"/>
        <w:jc w:val="both"/>
        <w:rPr>
          <w:rFonts w:ascii="Arial" w:hAnsi="Arial" w:cs="Arial"/>
        </w:rPr>
      </w:pPr>
    </w:p>
    <w:p w14:paraId="4BD15BB6" w14:textId="19636B71" w:rsidR="00163BC4" w:rsidRPr="00163BC4" w:rsidRDefault="001A30DA" w:rsidP="00441B6F">
      <w:pPr>
        <w:pStyle w:val="Author"/>
        <w:spacing w:line="240" w:lineRule="auto"/>
        <w:rPr>
          <w:rFonts w:ascii="Arial" w:hAnsi="Arial" w:cs="Arial"/>
          <w:bCs/>
          <w:iCs/>
          <w:kern w:val="28"/>
          <w:sz w:val="36"/>
        </w:rPr>
      </w:pPr>
      <w:r w:rsidRPr="001A30DA">
        <w:rPr>
          <w:rFonts w:ascii="Arial" w:hAnsi="Arial" w:cs="Arial"/>
          <w:bCs/>
          <w:iCs/>
          <w:kern w:val="28"/>
          <w:sz w:val="36"/>
        </w:rPr>
        <w:t>The Effect of Environmental, Social, and Governance (ESG) Disclosure on the Earnings Response Coefficient (ERC) with Firm Size as a Moderating Variable</w:t>
      </w:r>
    </w:p>
    <w:p w14:paraId="39B8296A" w14:textId="77777777" w:rsidR="00A258C3" w:rsidRPr="00790ADA" w:rsidRDefault="00A258C3" w:rsidP="00441B6F">
      <w:pPr>
        <w:pStyle w:val="Author"/>
        <w:spacing w:line="240" w:lineRule="auto"/>
        <w:jc w:val="both"/>
        <w:rPr>
          <w:rFonts w:ascii="Arial" w:hAnsi="Arial" w:cs="Arial"/>
          <w:sz w:val="36"/>
        </w:rPr>
      </w:pPr>
    </w:p>
    <w:p w14:paraId="570009C4" w14:textId="77777777" w:rsidR="00081C48" w:rsidRDefault="00081C48" w:rsidP="00441B6F">
      <w:pPr>
        <w:pStyle w:val="Affiliation"/>
        <w:spacing w:after="0" w:line="240" w:lineRule="auto"/>
        <w:jc w:val="both"/>
        <w:rPr>
          <w:rFonts w:ascii="Arial" w:hAnsi="Arial" w:cs="Arial"/>
        </w:rPr>
      </w:pPr>
    </w:p>
    <w:p w14:paraId="7181A631" w14:textId="77777777" w:rsidR="002C57D2" w:rsidRPr="00FB3A86" w:rsidRDefault="002C57D2" w:rsidP="00441B6F">
      <w:pPr>
        <w:pStyle w:val="Affiliation"/>
        <w:spacing w:after="0" w:line="240" w:lineRule="auto"/>
        <w:jc w:val="both"/>
        <w:rPr>
          <w:rFonts w:ascii="Arial" w:hAnsi="Arial" w:cs="Arial"/>
        </w:rPr>
      </w:pPr>
    </w:p>
    <w:p w14:paraId="15D19779" w14:textId="77777777" w:rsidR="00B01FCD" w:rsidRPr="00FB3A86" w:rsidRDefault="001A762D" w:rsidP="00441B6F">
      <w:pPr>
        <w:pStyle w:val="Copyright"/>
        <w:spacing w:after="0" w:line="240" w:lineRule="auto"/>
        <w:jc w:val="both"/>
        <w:rPr>
          <w:rFonts w:ascii="Arial" w:hAnsi="Arial" w:cs="Arial"/>
        </w:rPr>
        <w:sectPr w:rsidR="00B01FCD" w:rsidRPr="00FB3A86" w:rsidSect="000D5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763DB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4ACB621" w14:textId="653CCF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D3DA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BC047E" w14:textId="77777777" w:rsidTr="001E44FE">
        <w:tc>
          <w:tcPr>
            <w:tcW w:w="9576" w:type="dxa"/>
            <w:shd w:val="clear" w:color="auto" w:fill="F2F2F2"/>
          </w:tcPr>
          <w:p w14:paraId="71661838" w14:textId="53BEC501" w:rsidR="00505F06" w:rsidRPr="00C34DE4" w:rsidRDefault="00C34DE4" w:rsidP="00441B6F">
            <w:pPr>
              <w:pStyle w:val="Body"/>
              <w:spacing w:after="0"/>
              <w:rPr>
                <w:rFonts w:ascii="Arial" w:eastAsia="Calibri" w:hAnsi="Arial" w:cs="Arial"/>
                <w:bCs/>
                <w:szCs w:val="22"/>
                <w:lang w:val="en-ID"/>
              </w:rPr>
            </w:pPr>
            <w:r w:rsidRPr="00C34DE4">
              <w:rPr>
                <w:rFonts w:ascii="Arial" w:eastAsia="Calibri" w:hAnsi="Arial" w:cs="Arial"/>
                <w:b/>
                <w:bCs/>
                <w:szCs w:val="22"/>
                <w:lang w:val="en-ID"/>
              </w:rPr>
              <w:t>Aims:</w:t>
            </w:r>
            <w:r w:rsidRPr="00C34DE4">
              <w:rPr>
                <w:rFonts w:ascii="Arial" w:eastAsia="Calibri" w:hAnsi="Arial" w:cs="Arial"/>
                <w:b/>
                <w:szCs w:val="22"/>
                <w:lang w:val="en-ID"/>
              </w:rPr>
              <w:t xml:space="preserve"> </w:t>
            </w:r>
            <w:r w:rsidRPr="00C34DE4">
              <w:rPr>
                <w:rFonts w:ascii="Arial" w:eastAsia="Calibri" w:hAnsi="Arial" w:cs="Arial"/>
                <w:bCs/>
                <w:szCs w:val="22"/>
                <w:lang w:val="en-ID"/>
              </w:rPr>
              <w:t>This study aims to examine the effect of Environmental, Social, and Governance (ESG) disclosure on the Earnings Response Coefficient (ERC), and to investigate whether firm size moderates that relationship among banking sector companies listed on the Indonesia Stock Exchange.</w:t>
            </w:r>
            <w:r>
              <w:rPr>
                <w:rFonts w:ascii="Arial" w:eastAsia="Calibri" w:hAnsi="Arial" w:cs="Arial"/>
                <w:bCs/>
                <w:szCs w:val="22"/>
                <w:lang w:val="en-ID"/>
              </w:rPr>
              <w:t xml:space="preserve"> </w:t>
            </w:r>
            <w:r w:rsidRPr="00C34DE4">
              <w:rPr>
                <w:rFonts w:ascii="Arial" w:eastAsia="Calibri" w:hAnsi="Arial" w:cs="Arial"/>
                <w:b/>
                <w:bCs/>
                <w:szCs w:val="22"/>
                <w:lang w:val="en-ID"/>
              </w:rPr>
              <w:t>Study Design:</w:t>
            </w:r>
            <w:r w:rsidRPr="00C34DE4">
              <w:rPr>
                <w:rFonts w:ascii="Arial" w:eastAsia="Calibri" w:hAnsi="Arial" w:cs="Arial"/>
                <w:b/>
                <w:szCs w:val="22"/>
                <w:lang w:val="en-ID"/>
              </w:rPr>
              <w:t xml:space="preserve"> </w:t>
            </w:r>
            <w:r w:rsidRPr="00C34DE4">
              <w:rPr>
                <w:rFonts w:ascii="Arial" w:eastAsia="Calibri" w:hAnsi="Arial" w:cs="Arial"/>
                <w:bCs/>
                <w:szCs w:val="22"/>
                <w:lang w:val="en-ID"/>
              </w:rPr>
              <w:t>Quantitative research with a moderated regression analysis approach.</w:t>
            </w:r>
            <w:r>
              <w:rPr>
                <w:rFonts w:ascii="Arial" w:eastAsia="Calibri" w:hAnsi="Arial" w:cs="Arial"/>
                <w:bCs/>
                <w:szCs w:val="22"/>
                <w:lang w:val="en-ID"/>
              </w:rPr>
              <w:t xml:space="preserve"> </w:t>
            </w:r>
            <w:r w:rsidRPr="00C34DE4">
              <w:rPr>
                <w:rFonts w:ascii="Arial" w:eastAsia="Calibri" w:hAnsi="Arial" w:cs="Arial"/>
                <w:b/>
                <w:bCs/>
                <w:szCs w:val="22"/>
                <w:lang w:val="en-ID"/>
              </w:rPr>
              <w:t>Place and Duration of Study:</w:t>
            </w:r>
            <w:r w:rsidRPr="00C34DE4">
              <w:rPr>
                <w:rFonts w:ascii="Arial" w:eastAsia="Calibri" w:hAnsi="Arial" w:cs="Arial"/>
                <w:b/>
                <w:szCs w:val="22"/>
                <w:lang w:val="en-ID"/>
              </w:rPr>
              <w:t xml:space="preserve"> </w:t>
            </w:r>
            <w:r w:rsidRPr="00C34DE4">
              <w:rPr>
                <w:rFonts w:ascii="Arial" w:eastAsia="Calibri" w:hAnsi="Arial" w:cs="Arial"/>
                <w:bCs/>
                <w:szCs w:val="22"/>
                <w:lang w:val="en-ID"/>
              </w:rPr>
              <w:t>Banking sector companies listed on the Indonesia Stock Exchange (IDX), Indonesia, covering the period from 2020 to 2024</w:t>
            </w:r>
            <w:r w:rsidRPr="00C34DE4">
              <w:rPr>
                <w:rFonts w:ascii="Arial" w:eastAsia="Calibri" w:hAnsi="Arial" w:cs="Arial"/>
                <w:b/>
                <w:szCs w:val="22"/>
                <w:lang w:val="en-ID"/>
              </w:rPr>
              <w:t>.</w:t>
            </w:r>
            <w:r>
              <w:rPr>
                <w:rFonts w:ascii="Arial" w:eastAsia="Calibri" w:hAnsi="Arial" w:cs="Arial"/>
                <w:b/>
                <w:szCs w:val="22"/>
                <w:lang w:val="en-ID"/>
              </w:rPr>
              <w:t xml:space="preserve"> </w:t>
            </w:r>
            <w:r w:rsidRPr="00C34DE4">
              <w:rPr>
                <w:rFonts w:ascii="Arial" w:eastAsia="Calibri" w:hAnsi="Arial" w:cs="Arial"/>
                <w:b/>
                <w:bCs/>
                <w:szCs w:val="22"/>
                <w:lang w:val="en-ID"/>
              </w:rPr>
              <w:t>Methodology:</w:t>
            </w:r>
            <w:r w:rsidRPr="00C34DE4">
              <w:rPr>
                <w:rFonts w:ascii="Arial" w:eastAsia="Calibri" w:hAnsi="Arial" w:cs="Arial"/>
                <w:b/>
                <w:szCs w:val="22"/>
                <w:lang w:val="en-ID"/>
              </w:rPr>
              <w:t xml:space="preserve"> </w:t>
            </w:r>
            <w:r w:rsidRPr="00C34DE4">
              <w:rPr>
                <w:rFonts w:ascii="Arial" w:eastAsia="Calibri" w:hAnsi="Arial" w:cs="Arial"/>
                <w:bCs/>
                <w:szCs w:val="22"/>
                <w:lang w:val="en-ID"/>
              </w:rPr>
              <w:t xml:space="preserve">The sample was selected using purposive sampling, yielding 20 banking companies and 96 firm-year observations after removing 4 outliers. Secondary data were obtained from audited annual reports and sustainability reports. ESG disclosure was measured using a disclosure index based on the Global Reporting Initiative (GRI) 2021 standards across three dimensions: Environmental (ENV), Social (SOC), and Governance (GOV). The Earnings Response Coefficient (ERC) was derived from the regression coefficient between Cumulative Abnormal Return (CAR) and Unexpected Earnings (UE) using an event window of t-3 to t+3. Firm size was measured as the natural logarithm of total assets. Data were </w:t>
            </w:r>
            <w:proofErr w:type="spellStart"/>
            <w:r w:rsidRPr="00C34DE4">
              <w:rPr>
                <w:rFonts w:ascii="Arial" w:eastAsia="Calibri" w:hAnsi="Arial" w:cs="Arial"/>
                <w:bCs/>
                <w:szCs w:val="22"/>
                <w:lang w:val="en-ID"/>
              </w:rPr>
              <w:t>analyzed</w:t>
            </w:r>
            <w:proofErr w:type="spellEnd"/>
            <w:r w:rsidRPr="00C34DE4">
              <w:rPr>
                <w:rFonts w:ascii="Arial" w:eastAsia="Calibri" w:hAnsi="Arial" w:cs="Arial"/>
                <w:bCs/>
                <w:szCs w:val="22"/>
                <w:lang w:val="en-ID"/>
              </w:rPr>
              <w:t xml:space="preserve"> using hierarchical moderated regression analysis with IBM SPSS 30.0, preceded by classical assumption tests including normality, multicollinearity, heteroskedasticity, and autocorrelation.</w:t>
            </w:r>
            <w:r>
              <w:rPr>
                <w:rFonts w:ascii="Arial" w:eastAsia="Calibri" w:hAnsi="Arial" w:cs="Arial"/>
                <w:bCs/>
                <w:szCs w:val="22"/>
                <w:lang w:val="en-ID"/>
              </w:rPr>
              <w:t xml:space="preserve"> </w:t>
            </w:r>
            <w:r w:rsidRPr="00C34DE4">
              <w:rPr>
                <w:rFonts w:ascii="Arial" w:eastAsia="Calibri" w:hAnsi="Arial" w:cs="Arial"/>
                <w:b/>
                <w:bCs/>
                <w:szCs w:val="22"/>
                <w:lang w:val="en-ID"/>
              </w:rPr>
              <w:t>Results:</w:t>
            </w:r>
            <w:r w:rsidRPr="00C34DE4">
              <w:rPr>
                <w:rFonts w:ascii="Arial" w:eastAsia="Calibri" w:hAnsi="Arial" w:cs="Arial"/>
                <w:b/>
                <w:szCs w:val="22"/>
                <w:lang w:val="en-ID"/>
              </w:rPr>
              <w:t xml:space="preserve"> </w:t>
            </w:r>
            <w:r w:rsidRPr="00C34DE4">
              <w:rPr>
                <w:rFonts w:ascii="Arial" w:eastAsia="Calibri" w:hAnsi="Arial" w:cs="Arial"/>
                <w:bCs/>
                <w:szCs w:val="22"/>
                <w:lang w:val="en-ID"/>
              </w:rPr>
              <w:t>The results show that environmental disclosure (β = −0.121; p = 0.038) and social disclosure (β = −0.122; p = 0.013) have a significant negative effect on ERC, while governance disclosure (β = −0.020; p = 0.719) has no significant effect. Regarding moderation, firm size significantly and positively moderates the effect of environmental disclosure (β = 0.274; p = 0.002) and social disclosure (β = 0.182; p = 0.014) on ERC, but does not significantly moderate the effect of governance disclosure (β = −0.011; p = 0.903). The overall model is statistically significant (F = 2.596; p = 0.007), with an R² of 0.254 and Adjusted R² of 0.156.</w:t>
            </w:r>
            <w:r>
              <w:rPr>
                <w:rFonts w:ascii="Arial" w:eastAsia="Calibri" w:hAnsi="Arial" w:cs="Arial"/>
                <w:bCs/>
                <w:szCs w:val="22"/>
                <w:lang w:val="en-ID"/>
              </w:rPr>
              <w:t xml:space="preserve"> </w:t>
            </w:r>
            <w:r w:rsidRPr="00C34DE4">
              <w:rPr>
                <w:rFonts w:ascii="Arial" w:eastAsia="Calibri" w:hAnsi="Arial" w:cs="Arial"/>
                <w:b/>
                <w:bCs/>
                <w:szCs w:val="22"/>
                <w:lang w:val="en-ID"/>
              </w:rPr>
              <w:t>Conclusion:</w:t>
            </w:r>
            <w:r w:rsidRPr="00C34DE4">
              <w:rPr>
                <w:rFonts w:ascii="Arial" w:eastAsia="Calibri" w:hAnsi="Arial" w:cs="Arial"/>
                <w:b/>
                <w:szCs w:val="22"/>
                <w:lang w:val="en-ID"/>
              </w:rPr>
              <w:t xml:space="preserve"> </w:t>
            </w:r>
            <w:r w:rsidRPr="00C34DE4">
              <w:rPr>
                <w:rFonts w:ascii="Arial" w:eastAsia="Calibri" w:hAnsi="Arial" w:cs="Arial"/>
                <w:bCs/>
                <w:szCs w:val="22"/>
                <w:lang w:val="en-ID"/>
              </w:rPr>
              <w:t>ESG disclosure alone does not consistently strengthen market reactions to earnings information; however, firm size plays a significant amplifying role in the relationship between environmental and social disclosure and ERC. Larger banking firms produce more credible and visible ESG signals, enhancing investor sensitivity to earnings. Governance disclosure, being largely standardized across Indonesian banks, does not serve as a differentiating signal for investors.</w:t>
            </w:r>
          </w:p>
        </w:tc>
      </w:tr>
    </w:tbl>
    <w:p w14:paraId="6C05420B" w14:textId="77777777" w:rsidR="00636EB2" w:rsidRDefault="00636EB2" w:rsidP="00441B6F">
      <w:pPr>
        <w:pStyle w:val="Body"/>
        <w:spacing w:after="0"/>
        <w:rPr>
          <w:rFonts w:ascii="Arial" w:hAnsi="Arial" w:cs="Arial"/>
          <w:i/>
        </w:rPr>
      </w:pPr>
    </w:p>
    <w:p w14:paraId="20C38BF8" w14:textId="051DF0E6" w:rsidR="00A24E7E" w:rsidRDefault="00A24E7E" w:rsidP="00441B6F">
      <w:pPr>
        <w:pStyle w:val="Body"/>
        <w:spacing w:after="0"/>
        <w:rPr>
          <w:rFonts w:ascii="Arial" w:hAnsi="Arial" w:cs="Arial"/>
          <w:i/>
        </w:rPr>
      </w:pPr>
      <w:r>
        <w:rPr>
          <w:rFonts w:ascii="Arial" w:hAnsi="Arial" w:cs="Arial"/>
          <w:i/>
        </w:rPr>
        <w:t xml:space="preserve">Keywords: </w:t>
      </w:r>
      <w:r w:rsidR="00C34DE4" w:rsidRPr="00C34DE4">
        <w:rPr>
          <w:rFonts w:ascii="Arial" w:hAnsi="Arial" w:cs="Arial"/>
          <w:i/>
        </w:rPr>
        <w:t>ESG disclosure, Earnings Response Coefficient (ERC), firm size, banking sector, Indonesia Stock Exchange</w:t>
      </w:r>
    </w:p>
    <w:p w14:paraId="08DD7932" w14:textId="77777777" w:rsidR="00790ADA" w:rsidRDefault="00790ADA" w:rsidP="00441B6F">
      <w:pPr>
        <w:pStyle w:val="Body"/>
        <w:spacing w:after="0"/>
        <w:rPr>
          <w:rFonts w:ascii="Arial" w:hAnsi="Arial" w:cs="Arial"/>
          <w:i/>
        </w:rPr>
      </w:pPr>
    </w:p>
    <w:p w14:paraId="5C8CFED9" w14:textId="77777777" w:rsidR="0024282C" w:rsidRDefault="0024282C" w:rsidP="00441B6F">
      <w:pPr>
        <w:pStyle w:val="Body"/>
        <w:spacing w:after="0"/>
        <w:rPr>
          <w:rFonts w:ascii="Arial" w:hAnsi="Arial" w:cs="Arial"/>
          <w:i/>
          <w:sz w:val="18"/>
        </w:rPr>
      </w:pPr>
    </w:p>
    <w:p w14:paraId="2819B66F" w14:textId="77777777" w:rsidR="00505F06" w:rsidRPr="00A24E7E" w:rsidRDefault="00505F06" w:rsidP="00441B6F">
      <w:pPr>
        <w:pStyle w:val="Body"/>
        <w:spacing w:after="0"/>
        <w:rPr>
          <w:rFonts w:ascii="Arial" w:hAnsi="Arial" w:cs="Arial"/>
          <w:i/>
        </w:rPr>
      </w:pPr>
    </w:p>
    <w:p w14:paraId="7D788481" w14:textId="08A65D6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80544F" w14:textId="77777777" w:rsidR="00790ADA" w:rsidRPr="00FB3A86" w:rsidRDefault="00790ADA" w:rsidP="00441B6F">
      <w:pPr>
        <w:pStyle w:val="AbstHead"/>
        <w:spacing w:after="0"/>
        <w:jc w:val="both"/>
        <w:rPr>
          <w:rFonts w:ascii="Arial" w:hAnsi="Arial" w:cs="Arial"/>
        </w:rPr>
      </w:pPr>
    </w:p>
    <w:p w14:paraId="5B06AD3F" w14:textId="77777777" w:rsidR="0045601C" w:rsidRPr="0045601C" w:rsidRDefault="0045601C" w:rsidP="0045601C">
      <w:pPr>
        <w:pStyle w:val="Body"/>
        <w:rPr>
          <w:rFonts w:ascii="Arial" w:hAnsi="Arial" w:cs="Arial"/>
        </w:rPr>
      </w:pPr>
      <w:r w:rsidRPr="0045601C">
        <w:rPr>
          <w:rFonts w:ascii="Arial" w:hAnsi="Arial" w:cs="Arial"/>
        </w:rPr>
        <w:t xml:space="preserve">The idea of sustainable finance has received considerable attention worldwide in recent years, especially regarding the incorporation of non-financial elements in investment choices. The </w:t>
      </w:r>
      <w:proofErr w:type="spellStart"/>
      <w:r w:rsidRPr="0045601C">
        <w:rPr>
          <w:rFonts w:ascii="Arial" w:hAnsi="Arial" w:cs="Arial"/>
        </w:rPr>
        <w:t>Organisation</w:t>
      </w:r>
      <w:proofErr w:type="spellEnd"/>
      <w:r w:rsidRPr="0045601C">
        <w:rPr>
          <w:rFonts w:ascii="Arial" w:hAnsi="Arial" w:cs="Arial"/>
        </w:rPr>
        <w:t xml:space="preserve"> for Economic Co-operation and Development states that Boffo and Patalano (2020) define sustainable finance as a method that integrates environmental, social, and governance (ESG) factors into investment choices, ultimately fostering long-term investments in sustainable economic initiatives. The concept of ESG has been extensively covered in academic literature, with Gunnar Friede et al. (2015) defining ESG as a collection of environmental, social, and governance variables used to assess the sustainability and ethical significance of investments in companies or assets. In Indonesia, the Indonesia Stock Exchange emphasizes that ESG has gained increasing importance, particularly following the government’s pledge to fulfill the United Nations Sustainable Development Goals (SDGs) established in 2015. This commitment seeks to achieve sustainable development by 2030, prioritizing poverty alleviation, environmental conservation, and societal welfare. As a result, ESG has arisen as a crucial standard for evaluating corporate sustainability and promoting responsible investment strategies (</w:t>
      </w:r>
      <w:proofErr w:type="spellStart"/>
      <w:r w:rsidRPr="0045601C">
        <w:rPr>
          <w:rFonts w:ascii="Arial" w:hAnsi="Arial" w:cs="Arial"/>
        </w:rPr>
        <w:t>Noviarianti</w:t>
      </w:r>
      <w:proofErr w:type="spellEnd"/>
      <w:r w:rsidRPr="0045601C">
        <w:rPr>
          <w:rFonts w:ascii="Arial" w:hAnsi="Arial" w:cs="Arial"/>
        </w:rPr>
        <w:t xml:space="preserve">, 2020; </w:t>
      </w:r>
      <w:proofErr w:type="spellStart"/>
      <w:r w:rsidRPr="0045601C">
        <w:rPr>
          <w:rFonts w:ascii="Arial" w:hAnsi="Arial" w:cs="Arial"/>
        </w:rPr>
        <w:t>Pratama</w:t>
      </w:r>
      <w:proofErr w:type="spellEnd"/>
      <w:r w:rsidRPr="0045601C">
        <w:rPr>
          <w:rFonts w:ascii="Arial" w:hAnsi="Arial" w:cs="Arial"/>
        </w:rPr>
        <w:t xml:space="preserve"> &amp; Robinson, 2024).</w:t>
      </w:r>
    </w:p>
    <w:p w14:paraId="3D7602BD" w14:textId="77777777" w:rsidR="0045601C" w:rsidRPr="0045601C" w:rsidRDefault="0045601C" w:rsidP="0045601C">
      <w:pPr>
        <w:pStyle w:val="Body"/>
        <w:rPr>
          <w:rFonts w:ascii="Arial" w:hAnsi="Arial" w:cs="Arial"/>
        </w:rPr>
      </w:pPr>
      <w:r w:rsidRPr="0045601C">
        <w:rPr>
          <w:rFonts w:ascii="Arial" w:hAnsi="Arial" w:cs="Arial"/>
        </w:rPr>
        <w:t>The increasing importance of ESG is also evident in corporate reporting practices within Indonesia. A report by PricewaterhouseCoopers (2023) indicates that 88% of companies listed in Indonesia produced sustainability reports in 2022, with a 36% rise in disclosures regarding the board of directors’ responsibilities compared to the prior year. This increase is among the highest observed in the Asia-Pacific region, reflecting a robust commitment to transparency and accountability. Major institutions in the banking sector, including Bank Rakyat Indonesia and Bank Central Asia, have demonstrated marked improvements in ESG performance, achieving high ESG ratings in 2024. These advancements indicate that Indonesian firms are progressively aligning their strategies with ESG principles to boost their competitiveness and reputation in both national and international markets.</w:t>
      </w:r>
    </w:p>
    <w:p w14:paraId="73CD1908" w14:textId="77777777" w:rsidR="0045601C" w:rsidRPr="0045601C" w:rsidRDefault="0045601C" w:rsidP="0045601C">
      <w:pPr>
        <w:pStyle w:val="Body"/>
        <w:rPr>
          <w:rFonts w:ascii="Arial" w:hAnsi="Arial" w:cs="Arial"/>
        </w:rPr>
      </w:pPr>
      <w:r w:rsidRPr="0045601C">
        <w:rPr>
          <w:rFonts w:ascii="Arial" w:hAnsi="Arial" w:cs="Arial"/>
        </w:rPr>
        <w:t>However, despite these advancements, the overall degree of ESG disclosure in Indonesia remains relatively limited. Data from the Indonesia Stock Exchange in collaboration with Morningstar Sustainalytics (2024) reveals that ESG disclosure among Indonesian firms stands at only 28.12%, indicating that many organizations have yet to adopt thorough ESG reporting practices. This discrepancy underscores a significant concern, as ESG disclosure is crucial for enhancing the quality of financial reporting by offering additional non-financial context. According to Handi et al. (2021), earnings information holds value when it leads to market reactions, reflected in stock price fluctuations or returns surrounding earnings announcements. Consequently, ESG disclosure can affect how investors interpret earnings information and react to it within the capital market.</w:t>
      </w:r>
    </w:p>
    <w:p w14:paraId="095A6B25" w14:textId="77777777" w:rsidR="0045601C" w:rsidRPr="0045601C" w:rsidRDefault="0045601C" w:rsidP="0045601C">
      <w:pPr>
        <w:pStyle w:val="Body"/>
        <w:rPr>
          <w:rFonts w:ascii="Arial" w:hAnsi="Arial" w:cs="Arial"/>
        </w:rPr>
      </w:pPr>
      <w:r w:rsidRPr="0045601C">
        <w:rPr>
          <w:rFonts w:ascii="Arial" w:hAnsi="Arial" w:cs="Arial"/>
        </w:rPr>
        <w:t xml:space="preserve">Empirical data regarding stock price shifts in major Indonesian banks further demonstrates the variation in market responses to financial information. For example, institutions like Bank </w:t>
      </w:r>
      <w:proofErr w:type="spellStart"/>
      <w:r w:rsidRPr="0045601C">
        <w:rPr>
          <w:rFonts w:ascii="Arial" w:hAnsi="Arial" w:cs="Arial"/>
        </w:rPr>
        <w:t>Mandiri</w:t>
      </w:r>
      <w:proofErr w:type="spellEnd"/>
      <w:r w:rsidRPr="0045601C">
        <w:rPr>
          <w:rFonts w:ascii="Arial" w:hAnsi="Arial" w:cs="Arial"/>
        </w:rPr>
        <w:t xml:space="preserve"> and Bank Negara Indonesia show changes in stock prices both before and after financial report releases, signifying different investor reactions. These fluctuations are captured by the Earnings Response Coefficient (ERC), which gauges the sensitivity of abnormal stock returns to unexpected earnings. As William R. Scott (2015) notes, ERC indicates the degree to which market participants respond to earnings information, making it an essential measure of earnings quality and information relevance.</w:t>
      </w:r>
    </w:p>
    <w:p w14:paraId="061DD4B2" w14:textId="7CE69251" w:rsidR="0045601C" w:rsidRDefault="0045601C" w:rsidP="0045601C">
      <w:pPr>
        <w:pStyle w:val="Body"/>
        <w:rPr>
          <w:rFonts w:ascii="Arial" w:hAnsi="Arial" w:cs="Arial"/>
        </w:rPr>
      </w:pPr>
      <w:r w:rsidRPr="0045601C">
        <w:rPr>
          <w:rFonts w:ascii="Arial" w:hAnsi="Arial" w:cs="Arial"/>
        </w:rPr>
        <w:t xml:space="preserve">Theoretically, ESG disclosure is anticipated to improve ERC through enhanced transparency, accountability, and investor confidence. Companies that actively share ESG </w:t>
      </w:r>
      <w:r w:rsidRPr="0045601C">
        <w:rPr>
          <w:rFonts w:ascii="Arial" w:hAnsi="Arial" w:cs="Arial"/>
        </w:rPr>
        <w:lastRenderedPageBreak/>
        <w:t>information indicate their dedication to sustainable practices, which may lower information asymmetry and build investor trust. As a consequence, the market may react more significantly to earnings announcements, resulting in higher ERC values. However, the connection between ESG and ERC is not always straightforward, as it may vary based on firm-specific characteristics like firm size. According to Joshua D. Margolis Orlitzky (2001), firm size can function as a confounding variable influencing the relationship between corporate social responsibility and financial performance. Larger companies typically have more resources to implement ESG initiatives and communicate them efficiently (</w:t>
      </w:r>
      <w:proofErr w:type="spellStart"/>
      <w:r w:rsidRPr="0045601C">
        <w:rPr>
          <w:rFonts w:ascii="Arial" w:hAnsi="Arial" w:cs="Arial"/>
        </w:rPr>
        <w:t>Wijayanti</w:t>
      </w:r>
      <w:proofErr w:type="spellEnd"/>
      <w:r w:rsidRPr="0045601C">
        <w:rPr>
          <w:rFonts w:ascii="Arial" w:hAnsi="Arial" w:cs="Arial"/>
        </w:rPr>
        <w:t xml:space="preserve"> et al., 2020), along with stronger reputational pressures (Antonio et al., 2019).</w:t>
      </w:r>
      <w:r>
        <w:rPr>
          <w:rFonts w:ascii="Arial" w:hAnsi="Arial" w:cs="Arial"/>
        </w:rPr>
        <w:t xml:space="preserve"> </w:t>
      </w:r>
      <w:r w:rsidRPr="0045601C">
        <w:rPr>
          <w:rFonts w:ascii="Arial" w:hAnsi="Arial" w:cs="Arial"/>
        </w:rPr>
        <w:t>Nonetheless, the role of firm size as a moderating factor remains uncertain. While larger firms may enhance the credibility of ESG disclosures and amplify their effect on ERC, they may also engage in symbolic reporting or greenwashing behaviors that could detract from investor trust (</w:t>
      </w:r>
      <w:proofErr w:type="spellStart"/>
      <w:r w:rsidRPr="0045601C">
        <w:rPr>
          <w:rFonts w:ascii="Arial" w:hAnsi="Arial" w:cs="Arial"/>
        </w:rPr>
        <w:t>Orlitzky</w:t>
      </w:r>
      <w:proofErr w:type="spellEnd"/>
      <w:r w:rsidRPr="0045601C">
        <w:rPr>
          <w:rFonts w:ascii="Arial" w:hAnsi="Arial" w:cs="Arial"/>
        </w:rPr>
        <w:t xml:space="preserve">, 2001; </w:t>
      </w:r>
      <w:proofErr w:type="spellStart"/>
      <w:r w:rsidRPr="0045601C">
        <w:rPr>
          <w:rFonts w:ascii="Arial" w:hAnsi="Arial" w:cs="Arial"/>
        </w:rPr>
        <w:t>Capelle-Blancard</w:t>
      </w:r>
      <w:proofErr w:type="spellEnd"/>
      <w:r w:rsidRPr="0045601C">
        <w:rPr>
          <w:rFonts w:ascii="Arial" w:hAnsi="Arial" w:cs="Arial"/>
        </w:rPr>
        <w:t xml:space="preserve"> &amp; Petit, 2019). This dual perspective implies that firm size could either strengthen or weaken the relationship between ESG disclosure and ERC. </w:t>
      </w:r>
    </w:p>
    <w:p w14:paraId="51A04E21" w14:textId="77777777" w:rsidR="00790ADA" w:rsidRPr="00FB3A86" w:rsidRDefault="00790ADA" w:rsidP="00441B6F">
      <w:pPr>
        <w:pStyle w:val="Body"/>
        <w:spacing w:after="0"/>
        <w:rPr>
          <w:rFonts w:ascii="Arial" w:hAnsi="Arial" w:cs="Arial"/>
        </w:rPr>
      </w:pPr>
    </w:p>
    <w:p w14:paraId="0DE22115" w14:textId="6CB01BA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71BD4FB" w14:textId="77777777" w:rsidR="00790ADA" w:rsidRPr="00FB3A86" w:rsidRDefault="00790ADA" w:rsidP="00441B6F">
      <w:pPr>
        <w:pStyle w:val="AbstHead"/>
        <w:spacing w:after="0"/>
        <w:jc w:val="both"/>
        <w:rPr>
          <w:rFonts w:ascii="Arial" w:hAnsi="Arial" w:cs="Arial"/>
        </w:rPr>
      </w:pPr>
    </w:p>
    <w:p w14:paraId="026A19F2" w14:textId="3662F332" w:rsidR="00D06EF3" w:rsidRDefault="00D06EF3" w:rsidP="00D06EF3">
      <w:pPr>
        <w:pStyle w:val="Body"/>
        <w:rPr>
          <w:rFonts w:ascii="Arial" w:hAnsi="Arial" w:cs="Arial"/>
          <w:b/>
          <w:sz w:val="22"/>
        </w:rPr>
      </w:pPr>
      <w:r w:rsidRPr="00D06EF3">
        <w:rPr>
          <w:rFonts w:ascii="Arial" w:hAnsi="Arial" w:cs="Arial"/>
          <w:b/>
          <w:sz w:val="22"/>
        </w:rPr>
        <w:t xml:space="preserve">2.1 Population </w:t>
      </w:r>
      <w:r w:rsidR="009E2A1D" w:rsidRPr="00D06EF3">
        <w:rPr>
          <w:rFonts w:ascii="Arial" w:hAnsi="Arial" w:cs="Arial"/>
          <w:b/>
          <w:sz w:val="22"/>
        </w:rPr>
        <w:t>and</w:t>
      </w:r>
      <w:r w:rsidRPr="00D06EF3">
        <w:rPr>
          <w:rFonts w:ascii="Arial" w:hAnsi="Arial" w:cs="Arial"/>
          <w:b/>
          <w:sz w:val="22"/>
        </w:rPr>
        <w:t xml:space="preserve"> Sample</w:t>
      </w:r>
    </w:p>
    <w:p w14:paraId="3ACD0424" w14:textId="6F299F46" w:rsidR="009E2A1D" w:rsidRPr="009E2A1D" w:rsidRDefault="009E2A1D" w:rsidP="00D06EF3">
      <w:pPr>
        <w:pStyle w:val="Body"/>
        <w:rPr>
          <w:rFonts w:ascii="Arial" w:hAnsi="Arial" w:cs="Arial"/>
        </w:rPr>
      </w:pPr>
      <w:r w:rsidRPr="009E2A1D">
        <w:rPr>
          <w:rFonts w:ascii="Arial" w:hAnsi="Arial" w:cs="Arial"/>
        </w:rPr>
        <w:t xml:space="preserve">The study's population consists of banking sector firms that are listed on the Indonesia Stock Exchange from 2020 to 2024. The sample is selected using a purposive sampling technique, where companies are chosen according to specific criteria to guarantee data relevance and consistency. These criteria </w:t>
      </w:r>
      <w:r>
        <w:rPr>
          <w:rFonts w:ascii="Arial" w:hAnsi="Arial" w:cs="Arial"/>
        </w:rPr>
        <w:t xml:space="preserve">including the </w:t>
      </w:r>
      <w:r w:rsidRPr="009E2A1D">
        <w:rPr>
          <w:rFonts w:ascii="Arial" w:hAnsi="Arial" w:cs="Arial"/>
        </w:rPr>
        <w:t>companies that remain consistently listed and provide accessible annual reports throughout the 2020–2024 timeframe on the official IDX website or their individual corporate sites; companies that offer complete information regarding Environmental, Social, and Governance (ESG) variables as well as firm size; and companies that do not undergo mergers, acquisitions, or sector reclassification during the observation period, to maintain data stability and comparability.</w:t>
      </w:r>
    </w:p>
    <w:p w14:paraId="3B71FA2F" w14:textId="1A984883" w:rsidR="00D06EF3" w:rsidRDefault="00D06EF3" w:rsidP="00D06EF3">
      <w:pPr>
        <w:pStyle w:val="Body"/>
        <w:rPr>
          <w:rFonts w:ascii="Arial" w:hAnsi="Arial" w:cs="Arial"/>
          <w:b/>
          <w:sz w:val="22"/>
        </w:rPr>
      </w:pPr>
      <w:r w:rsidRPr="00D06EF3">
        <w:rPr>
          <w:rFonts w:ascii="Arial" w:hAnsi="Arial" w:cs="Arial"/>
          <w:b/>
          <w:sz w:val="22"/>
        </w:rPr>
        <w:t xml:space="preserve">2.2 Data Types </w:t>
      </w:r>
      <w:r w:rsidR="009E2A1D" w:rsidRPr="00D06EF3">
        <w:rPr>
          <w:rFonts w:ascii="Arial" w:hAnsi="Arial" w:cs="Arial"/>
          <w:b/>
          <w:sz w:val="22"/>
        </w:rPr>
        <w:t>and</w:t>
      </w:r>
      <w:r w:rsidRPr="00D06EF3">
        <w:rPr>
          <w:rFonts w:ascii="Arial" w:hAnsi="Arial" w:cs="Arial"/>
          <w:b/>
          <w:sz w:val="22"/>
        </w:rPr>
        <w:t xml:space="preserve"> Sources</w:t>
      </w:r>
    </w:p>
    <w:p w14:paraId="723736A2" w14:textId="7ED291EA" w:rsidR="009E2A1D" w:rsidRPr="009E2A1D" w:rsidRDefault="009E2A1D" w:rsidP="00D06EF3">
      <w:pPr>
        <w:pStyle w:val="Body"/>
        <w:rPr>
          <w:rFonts w:ascii="Arial" w:hAnsi="Arial" w:cs="Arial"/>
        </w:rPr>
      </w:pPr>
      <w:r w:rsidRPr="009E2A1D">
        <w:rPr>
          <w:rFonts w:ascii="Arial" w:hAnsi="Arial" w:cs="Arial"/>
        </w:rPr>
        <w:t>This research leverages secondary data sourced from the audited annual and sustainability reports of companies spanning the years 2020 to 2024, which are accessed via the official websites of the respective firms, along with additional materials such as journals, research articles, books, and pertinent online sources. The data collection approach used in this study involves documentation, where the researcher methodically compiles and examines data from existing documents to ensure the accuracy and credibility of the information utilized in the research.</w:t>
      </w:r>
    </w:p>
    <w:p w14:paraId="612BEA68" w14:textId="4AA39F5D" w:rsidR="009E2A1D" w:rsidRDefault="00D06EF3" w:rsidP="00D06EF3">
      <w:pPr>
        <w:pStyle w:val="Body"/>
        <w:rPr>
          <w:rFonts w:ascii="Arial" w:hAnsi="Arial" w:cs="Arial"/>
          <w:b/>
          <w:sz w:val="22"/>
        </w:rPr>
      </w:pPr>
      <w:r w:rsidRPr="00D06EF3">
        <w:rPr>
          <w:rFonts w:ascii="Arial" w:hAnsi="Arial" w:cs="Arial"/>
          <w:b/>
          <w:sz w:val="22"/>
        </w:rPr>
        <w:t xml:space="preserve">2.3 </w:t>
      </w:r>
      <w:r w:rsidR="009E2A1D">
        <w:rPr>
          <w:rFonts w:ascii="Arial" w:hAnsi="Arial" w:cs="Arial"/>
          <w:b/>
          <w:sz w:val="22"/>
        </w:rPr>
        <w:t xml:space="preserve">Hypothesis Development </w:t>
      </w:r>
    </w:p>
    <w:p w14:paraId="1B099240" w14:textId="77777777" w:rsidR="00320632" w:rsidRPr="00320632" w:rsidRDefault="00320632" w:rsidP="00320632">
      <w:pPr>
        <w:pStyle w:val="Body"/>
        <w:rPr>
          <w:rFonts w:ascii="Arial" w:hAnsi="Arial" w:cs="Arial"/>
          <w:bCs/>
          <w:sz w:val="22"/>
        </w:rPr>
      </w:pPr>
      <w:r w:rsidRPr="00320632">
        <w:rPr>
          <w:rFonts w:ascii="Arial" w:hAnsi="Arial" w:cs="Arial"/>
          <w:bCs/>
          <w:sz w:val="22"/>
        </w:rPr>
        <w:t xml:space="preserve">Signaling theory highlights the significance of communication in situations where companies and investors experience information asymmetry, with firms acting as signal senders and investors as receivers who interpret the provided information (Connelly et al., 2011). In this framework, Environmental, Social, and Governance (ESG) disclosures act as favorable signals that reflect management quality, risk management capabilities, and a long-term focus. Environmental disclosures, including energy efficiency measures, waste management strategies, and initiatives aimed at reducing carbon footprints, minimize uncertainty and boost investor confidence in the quality of earnings, which in turn enhances the Earnings Response Coefficient (ERC). From the standpoint of the Efficient Market </w:t>
      </w:r>
      <w:r w:rsidRPr="00320632">
        <w:rPr>
          <w:rFonts w:ascii="Arial" w:hAnsi="Arial" w:cs="Arial"/>
          <w:bCs/>
          <w:sz w:val="22"/>
        </w:rPr>
        <w:lastRenderedPageBreak/>
        <w:t xml:space="preserve">Hypothesis, as put forth by Eugene F. Fama (1970), markets rapidly incorporate publicly accessible information into stock valuations. Thus, reliable environmental disclosures bolster the significance of earnings data, resulting in an increased ERC. Prior research supports this view, demonstrating that sustainability efforts positively affect investor perception and ERC (Baskoro et al., 2021; Kim et al., 2022; </w:t>
      </w:r>
      <w:proofErr w:type="spellStart"/>
      <w:r w:rsidRPr="00320632">
        <w:rPr>
          <w:rFonts w:ascii="Arial" w:hAnsi="Arial" w:cs="Arial"/>
          <w:bCs/>
          <w:sz w:val="22"/>
        </w:rPr>
        <w:t>Sudaryati</w:t>
      </w:r>
      <w:proofErr w:type="spellEnd"/>
      <w:r w:rsidRPr="00320632">
        <w:rPr>
          <w:rFonts w:ascii="Arial" w:hAnsi="Arial" w:cs="Arial"/>
          <w:bCs/>
          <w:sz w:val="22"/>
        </w:rPr>
        <w:t xml:space="preserve"> et al., 2020).</w:t>
      </w:r>
    </w:p>
    <w:p w14:paraId="7CAA7CCC" w14:textId="77777777" w:rsidR="00320632" w:rsidRPr="00320632" w:rsidRDefault="00320632" w:rsidP="00320632">
      <w:pPr>
        <w:pStyle w:val="Body"/>
        <w:rPr>
          <w:rFonts w:ascii="Arial" w:hAnsi="Arial" w:cs="Arial"/>
          <w:bCs/>
          <w:sz w:val="22"/>
        </w:rPr>
      </w:pPr>
      <w:r w:rsidRPr="00320632">
        <w:rPr>
          <w:rFonts w:ascii="Arial" w:hAnsi="Arial" w:cs="Arial"/>
          <w:bCs/>
          <w:sz w:val="22"/>
        </w:rPr>
        <w:t>In a similar manner, social disclosures represent a company's ethical obligations, engagement with stakeholders, and the strength of its reputation, all of which are highly regarded by investors. According to Wang et al. (2023), companies demonstrating superior social performance generate greater investor interest, leading to heightened stock price sensitivity to earnings information. Social disclosures alleviate information asymmetry by offering insights not found in conventional financial statements (Connelly et al., 2011), while also signaling a commitment to corporate responsibility and sustainability (</w:t>
      </w:r>
      <w:proofErr w:type="spellStart"/>
      <w:r w:rsidRPr="00320632">
        <w:rPr>
          <w:rFonts w:ascii="Arial" w:hAnsi="Arial" w:cs="Arial"/>
          <w:bCs/>
          <w:sz w:val="22"/>
        </w:rPr>
        <w:t>Prihatiningrum</w:t>
      </w:r>
      <w:proofErr w:type="spellEnd"/>
      <w:r w:rsidRPr="00320632">
        <w:rPr>
          <w:rFonts w:ascii="Arial" w:hAnsi="Arial" w:cs="Arial"/>
          <w:bCs/>
          <w:sz w:val="22"/>
        </w:rPr>
        <w:t xml:space="preserve">, 2020; </w:t>
      </w:r>
      <w:proofErr w:type="spellStart"/>
      <w:r w:rsidRPr="00320632">
        <w:rPr>
          <w:rFonts w:ascii="Arial" w:hAnsi="Arial" w:cs="Arial"/>
          <w:bCs/>
          <w:sz w:val="22"/>
        </w:rPr>
        <w:t>Sudaryati</w:t>
      </w:r>
      <w:proofErr w:type="spellEnd"/>
      <w:r w:rsidRPr="00320632">
        <w:rPr>
          <w:rFonts w:ascii="Arial" w:hAnsi="Arial" w:cs="Arial"/>
          <w:bCs/>
          <w:sz w:val="22"/>
        </w:rPr>
        <w:t xml:space="preserve"> et al., 2020). Additionally, ESG-related data, particularly social components, can provoke significant market reactions as it complements financial information (</w:t>
      </w:r>
      <w:proofErr w:type="spellStart"/>
      <w:r w:rsidRPr="00320632">
        <w:rPr>
          <w:rFonts w:ascii="Arial" w:hAnsi="Arial" w:cs="Arial"/>
          <w:bCs/>
          <w:sz w:val="22"/>
        </w:rPr>
        <w:t>Capelle-Blancard</w:t>
      </w:r>
      <w:proofErr w:type="spellEnd"/>
      <w:r w:rsidRPr="00320632">
        <w:rPr>
          <w:rFonts w:ascii="Arial" w:hAnsi="Arial" w:cs="Arial"/>
          <w:bCs/>
          <w:sz w:val="22"/>
        </w:rPr>
        <w:t xml:space="preserve"> &amp; Petit, 2019). Conversely, governance disclosures indicate transparency, accountability, and the presence of effective internal control systems. Strong governance practices mitigate agency conflicts and enhance the reliability of financial reporting, thereby reinforcing the ERC (</w:t>
      </w:r>
      <w:proofErr w:type="spellStart"/>
      <w:r w:rsidRPr="00320632">
        <w:rPr>
          <w:rFonts w:ascii="Arial" w:hAnsi="Arial" w:cs="Arial"/>
          <w:bCs/>
          <w:sz w:val="22"/>
        </w:rPr>
        <w:t>Prihatiningrum</w:t>
      </w:r>
      <w:proofErr w:type="spellEnd"/>
      <w:r w:rsidRPr="00320632">
        <w:rPr>
          <w:rFonts w:ascii="Arial" w:hAnsi="Arial" w:cs="Arial"/>
          <w:bCs/>
          <w:sz w:val="22"/>
        </w:rPr>
        <w:t>, 2020; Kim et al., 2022). In efficient markets, governance-related information is rapidly reflected in stock prices, which strengthens investor confidence in reported earnings (Fama, 1970).</w:t>
      </w:r>
    </w:p>
    <w:p w14:paraId="59637A66" w14:textId="3331698F" w:rsidR="009E2A1D" w:rsidRPr="009E2A1D" w:rsidRDefault="00320632" w:rsidP="00320632">
      <w:pPr>
        <w:pStyle w:val="Body"/>
        <w:rPr>
          <w:rFonts w:ascii="Arial" w:hAnsi="Arial" w:cs="Arial"/>
          <w:bCs/>
          <w:sz w:val="22"/>
        </w:rPr>
      </w:pPr>
      <w:r w:rsidRPr="00320632">
        <w:rPr>
          <w:rFonts w:ascii="Arial" w:hAnsi="Arial" w:cs="Arial"/>
          <w:bCs/>
          <w:sz w:val="22"/>
        </w:rPr>
        <w:t>The size of a firm plays an essential moderating role in the connection between ESG disclosures and ERC. Larger companies possess more resources, visibility, and reputational pressures, allowing them to implement ESG initiatives more effectively and communicate them with greater credibility (</w:t>
      </w:r>
      <w:proofErr w:type="spellStart"/>
      <w:r w:rsidRPr="00320632">
        <w:rPr>
          <w:rFonts w:ascii="Arial" w:hAnsi="Arial" w:cs="Arial"/>
          <w:bCs/>
          <w:sz w:val="22"/>
        </w:rPr>
        <w:t>Orlitzky</w:t>
      </w:r>
      <w:proofErr w:type="spellEnd"/>
      <w:r w:rsidRPr="00320632">
        <w:rPr>
          <w:rFonts w:ascii="Arial" w:hAnsi="Arial" w:cs="Arial"/>
          <w:bCs/>
          <w:sz w:val="22"/>
        </w:rPr>
        <w:t xml:space="preserve">, 2001; </w:t>
      </w:r>
      <w:proofErr w:type="spellStart"/>
      <w:r w:rsidRPr="00320632">
        <w:rPr>
          <w:rFonts w:ascii="Arial" w:hAnsi="Arial" w:cs="Arial"/>
          <w:bCs/>
          <w:sz w:val="22"/>
        </w:rPr>
        <w:t>Wijayanti</w:t>
      </w:r>
      <w:proofErr w:type="spellEnd"/>
      <w:r w:rsidRPr="00320632">
        <w:rPr>
          <w:rFonts w:ascii="Arial" w:hAnsi="Arial" w:cs="Arial"/>
          <w:bCs/>
          <w:sz w:val="22"/>
        </w:rPr>
        <w:t xml:space="preserve"> et al., 2020). Consequently, the positive impacts of environmental, social, and governance disclosures on ERC are anticipated to be more pronounced in larger firms. In contrast, smaller firms may encounter challenges in implementing ESG practices, which could lessen the influence of such disclosures on investor reactions (D’Amato &amp; </w:t>
      </w:r>
      <w:proofErr w:type="spellStart"/>
      <w:r w:rsidRPr="00320632">
        <w:rPr>
          <w:rFonts w:ascii="Arial" w:hAnsi="Arial" w:cs="Arial"/>
          <w:bCs/>
          <w:sz w:val="22"/>
        </w:rPr>
        <w:t>Falivena</w:t>
      </w:r>
      <w:proofErr w:type="spellEnd"/>
      <w:r w:rsidRPr="00320632">
        <w:rPr>
          <w:rFonts w:ascii="Arial" w:hAnsi="Arial" w:cs="Arial"/>
          <w:bCs/>
          <w:sz w:val="22"/>
        </w:rPr>
        <w:t>, 2019). Furthermore, the ESG disclosures of larger firms are more likely to garner market attention and analyst coverage, thus amplifying their effect on stock price responses and ERC. Therefore, it is posited that firm size enhances the relationship between aspects of ESG and ERC, underscoring its significance as a moderating variable in understanding market reactions to sustainability-related information.</w:t>
      </w:r>
    </w:p>
    <w:p w14:paraId="50723719" w14:textId="77777777" w:rsidR="00554E02" w:rsidRDefault="00554E02">
      <w:pPr>
        <w:rPr>
          <w:rFonts w:ascii="Arial" w:hAnsi="Arial" w:cs="Arial"/>
          <w:b/>
          <w:sz w:val="22"/>
        </w:rPr>
      </w:pPr>
      <w:r>
        <w:rPr>
          <w:rFonts w:ascii="Arial" w:hAnsi="Arial" w:cs="Arial"/>
          <w:b/>
          <w:sz w:val="22"/>
        </w:rPr>
        <w:br w:type="page"/>
      </w:r>
    </w:p>
    <w:p w14:paraId="1E97A96E" w14:textId="6643C1E4" w:rsidR="00D06EF3" w:rsidRDefault="009E2A1D" w:rsidP="00D06EF3">
      <w:pPr>
        <w:pStyle w:val="Body"/>
        <w:rPr>
          <w:rFonts w:ascii="Arial" w:hAnsi="Arial" w:cs="Arial"/>
          <w:b/>
          <w:sz w:val="22"/>
        </w:rPr>
      </w:pPr>
      <w:r>
        <w:rPr>
          <w:rFonts w:ascii="Arial" w:hAnsi="Arial" w:cs="Arial"/>
          <w:b/>
          <w:sz w:val="22"/>
        </w:rPr>
        <w:lastRenderedPageBreak/>
        <w:t xml:space="preserve">2.4 </w:t>
      </w:r>
      <w:r w:rsidR="00D06EF3" w:rsidRPr="00D06EF3">
        <w:rPr>
          <w:rFonts w:ascii="Arial" w:hAnsi="Arial" w:cs="Arial"/>
          <w:b/>
          <w:sz w:val="22"/>
        </w:rPr>
        <w:t xml:space="preserve">Variables </w:t>
      </w:r>
      <w:r w:rsidRPr="00D06EF3">
        <w:rPr>
          <w:rFonts w:ascii="Arial" w:hAnsi="Arial" w:cs="Arial"/>
          <w:b/>
          <w:sz w:val="22"/>
        </w:rPr>
        <w:t>and</w:t>
      </w:r>
      <w:r w:rsidR="00D06EF3" w:rsidRPr="00D06EF3">
        <w:rPr>
          <w:rFonts w:ascii="Arial" w:hAnsi="Arial" w:cs="Arial"/>
          <w:b/>
          <w:sz w:val="22"/>
        </w:rPr>
        <w:t xml:space="preserve"> Operational Definitions</w:t>
      </w:r>
    </w:p>
    <w:p w14:paraId="20090AFE" w14:textId="77777777" w:rsidR="00554E02" w:rsidRPr="00554E02" w:rsidRDefault="00554E02" w:rsidP="00554E02">
      <w:pPr>
        <w:pStyle w:val="Body"/>
        <w:rPr>
          <w:rFonts w:ascii="Arial" w:hAnsi="Arial" w:cs="Arial"/>
          <w:bCs/>
          <w:sz w:val="22"/>
        </w:rPr>
      </w:pPr>
      <w:r w:rsidRPr="00554E02">
        <w:rPr>
          <w:rFonts w:ascii="Arial" w:hAnsi="Arial" w:cs="Arial"/>
          <w:bCs/>
          <w:sz w:val="22"/>
        </w:rPr>
        <w:t>The dependent variable for this research is the Earnings Response Coefficient (ERC), which quantifies the extent of market reaction to earnings announcements made by a company. As stated by William R. Scott (2015), the ERC indicates how significantly stock returns react to unexpected earnings, while Subramanyam (2020) describes it as the responsiveness of stock returns to earnings announcements. In this analysis, ERC is derived from the regression coefficient (β) that exists between Cumulative Abnormal Return (CAR) and Unexpected Earnings (UE), in accordance with Liu (2024). CAR is calculated by employing an event study methodology with a focused window of three days prior to and three days following the earnings announcement (t-3 to t+3), which captures short-term market responses through abnormal returns, defined as the discrepancy between actual returns and expected returns. On the other hand, UE is evaluated as the change in earnings per share (EPS) from the previous period, adjusted for the prior stock price. The ERC is subsequently estimated using a regression model that connects CAR and UE, where the slope coefficient indicates the intensity of the market's response to earnings information.</w:t>
      </w:r>
    </w:p>
    <w:p w14:paraId="54066EDF" w14:textId="77777777" w:rsidR="00554E02" w:rsidRPr="00554E02" w:rsidRDefault="00554E02" w:rsidP="00554E02">
      <w:pPr>
        <w:pStyle w:val="Body"/>
        <w:rPr>
          <w:rFonts w:ascii="Arial" w:hAnsi="Arial" w:cs="Arial"/>
          <w:bCs/>
          <w:sz w:val="22"/>
        </w:rPr>
      </w:pPr>
      <w:r w:rsidRPr="00554E02">
        <w:rPr>
          <w:rFonts w:ascii="Arial" w:hAnsi="Arial" w:cs="Arial"/>
          <w:bCs/>
          <w:sz w:val="22"/>
        </w:rPr>
        <w:t xml:space="preserve">The independent variables in this research comprise Environmental, Social, and Governance (ESG) disclosures, which are considered distinct dimensions rather than a composite measure. ESG signifies non-financial metrics employed to assess corporate sustainability performance alongside its financial implications (Friede et al., 2015). The assessment of ESG disclosure aligns with the guidelines provided by the Global Reporting Initiative (2021) and is implemented based on </w:t>
      </w:r>
      <w:proofErr w:type="spellStart"/>
      <w:r w:rsidRPr="00554E02">
        <w:rPr>
          <w:rFonts w:ascii="Arial" w:hAnsi="Arial" w:cs="Arial"/>
          <w:bCs/>
          <w:sz w:val="22"/>
        </w:rPr>
        <w:t>Aydogmus</w:t>
      </w:r>
      <w:proofErr w:type="spellEnd"/>
      <w:r w:rsidRPr="00554E02">
        <w:rPr>
          <w:rFonts w:ascii="Arial" w:hAnsi="Arial" w:cs="Arial"/>
          <w:bCs/>
          <w:sz w:val="22"/>
        </w:rPr>
        <w:t xml:space="preserve"> et al. (2022), utilizing a disclosure index approach. Environmental disclosure (ENV) gathers information concerning energy consumption, emissions, waste management, and environmental initiatives. Social disclosure (SOC) encompasses elements such as labor practices, occupational health and safety, diversity, and human rights. Governance disclosure (GOV) involves aspects like transparency, board structure, ethics in business, and internal control frameworks. Each dimension is quantified as the portion of disclosed items in relation to the total GRI index, using a non-repetitive scoring method whereby each item is counted only once, irrespective of its recurrence in multiple reports.</w:t>
      </w:r>
    </w:p>
    <w:p w14:paraId="6FBABAA6" w14:textId="2467A295" w:rsidR="00554E02" w:rsidRPr="00554E02" w:rsidRDefault="00554E02" w:rsidP="00554E02">
      <w:pPr>
        <w:pStyle w:val="Body"/>
        <w:rPr>
          <w:rFonts w:ascii="Arial" w:hAnsi="Arial" w:cs="Arial"/>
          <w:bCs/>
          <w:sz w:val="22"/>
        </w:rPr>
      </w:pPr>
      <w:r w:rsidRPr="00554E02">
        <w:rPr>
          <w:rFonts w:ascii="Arial" w:hAnsi="Arial" w:cs="Arial"/>
          <w:bCs/>
          <w:sz w:val="22"/>
        </w:rPr>
        <w:t xml:space="preserve">The moderating variable in this research is firm size, which reflects the magnitude of a company’s operations and available resources. As indicated by Eugene F. Brigham and Joel F. Houston (2019), firm size can be evaluated through indicators such as total assets, sales, or market capitalization. Larger firms typically have more financial, human, and technological resources, allowing them to more effectively implement and transparently disclose ESG practices. Consequently, ESG disclosures from larger companies are viewed as more credible and verifiable by investors, thereby heightening market sensitivity to this information. This perspective aligns with the views of </w:t>
      </w:r>
      <w:proofErr w:type="spellStart"/>
      <w:r w:rsidRPr="00554E02">
        <w:rPr>
          <w:rFonts w:ascii="Arial" w:hAnsi="Arial" w:cs="Arial"/>
          <w:bCs/>
          <w:sz w:val="22"/>
        </w:rPr>
        <w:t>Orlitzky</w:t>
      </w:r>
      <w:proofErr w:type="spellEnd"/>
      <w:r w:rsidRPr="00554E02">
        <w:rPr>
          <w:rFonts w:ascii="Arial" w:hAnsi="Arial" w:cs="Arial"/>
          <w:bCs/>
          <w:sz w:val="22"/>
        </w:rPr>
        <w:t xml:space="preserve"> (2001) and </w:t>
      </w:r>
      <w:proofErr w:type="spellStart"/>
      <w:r w:rsidRPr="00554E02">
        <w:rPr>
          <w:rFonts w:ascii="Arial" w:hAnsi="Arial" w:cs="Arial"/>
          <w:bCs/>
          <w:sz w:val="22"/>
        </w:rPr>
        <w:t>Wijayanti</w:t>
      </w:r>
      <w:proofErr w:type="spellEnd"/>
      <w:r w:rsidRPr="00554E02">
        <w:rPr>
          <w:rFonts w:ascii="Arial" w:hAnsi="Arial" w:cs="Arial"/>
          <w:bCs/>
          <w:sz w:val="22"/>
        </w:rPr>
        <w:t xml:space="preserve"> et al. (2020), who argue that firm size moderates the relationship between ESG and financial performance. For the purpose of this research, firm size is represented by the natural logarithm of total assets, following Liu et al. (2024), to account for variations in operational scale within the regression model.</w:t>
      </w:r>
    </w:p>
    <w:p w14:paraId="354FD196" w14:textId="22C53253" w:rsidR="00D06EF3" w:rsidRPr="00D06EF3" w:rsidRDefault="00D06EF3" w:rsidP="00D06EF3">
      <w:pPr>
        <w:pStyle w:val="Body"/>
        <w:rPr>
          <w:rFonts w:ascii="Arial" w:hAnsi="Arial" w:cs="Arial"/>
          <w:b/>
          <w:sz w:val="22"/>
        </w:rPr>
      </w:pPr>
      <w:r w:rsidRPr="00D06EF3">
        <w:rPr>
          <w:rFonts w:ascii="Arial" w:hAnsi="Arial" w:cs="Arial"/>
          <w:b/>
          <w:sz w:val="22"/>
        </w:rPr>
        <w:lastRenderedPageBreak/>
        <w:t>2.</w:t>
      </w:r>
      <w:r w:rsidR="009E2A1D">
        <w:rPr>
          <w:rFonts w:ascii="Arial" w:hAnsi="Arial" w:cs="Arial"/>
          <w:b/>
          <w:sz w:val="22"/>
        </w:rPr>
        <w:t>5</w:t>
      </w:r>
      <w:r w:rsidRPr="00D06EF3">
        <w:rPr>
          <w:rFonts w:ascii="Arial" w:hAnsi="Arial" w:cs="Arial"/>
          <w:b/>
          <w:sz w:val="22"/>
        </w:rPr>
        <w:t xml:space="preserve"> Analysis Methods </w:t>
      </w:r>
    </w:p>
    <w:p w14:paraId="5AB485DC" w14:textId="77777777" w:rsidR="00A74007" w:rsidRDefault="00A74007" w:rsidP="00D06EF3">
      <w:pPr>
        <w:pStyle w:val="Body"/>
        <w:spacing w:after="0"/>
        <w:rPr>
          <w:rFonts w:ascii="Arial" w:hAnsi="Arial" w:cs="Arial"/>
        </w:rPr>
      </w:pPr>
      <w:r w:rsidRPr="00A74007">
        <w:rPr>
          <w:rFonts w:ascii="Arial" w:hAnsi="Arial" w:cs="Arial"/>
        </w:rPr>
        <w:t>The data analysis in this study begins with descriptive statistics to summarize the characteristics of variables using measures such as mean, median, maximum, and minimum (</w:t>
      </w:r>
      <w:proofErr w:type="spellStart"/>
      <w:r w:rsidRPr="00A74007">
        <w:rPr>
          <w:rFonts w:ascii="Arial" w:hAnsi="Arial" w:cs="Arial"/>
        </w:rPr>
        <w:t>Sugiyono</w:t>
      </w:r>
      <w:proofErr w:type="spellEnd"/>
      <w:r w:rsidRPr="00A74007">
        <w:rPr>
          <w:rFonts w:ascii="Arial" w:hAnsi="Arial" w:cs="Arial"/>
        </w:rPr>
        <w:t>, 2013). This is followed by classical assumption tests, including normality (using probability plots and Kolmogorov–Smirnov), multicollinearity (tolerance ≤ 0.10; VIF ≥ 10), heteroskedasticity (scatterplot), and autocorrelation (Durbin–Watson), to ensure unbiased regression results (</w:t>
      </w:r>
      <w:proofErr w:type="spellStart"/>
      <w:r w:rsidRPr="00A74007">
        <w:rPr>
          <w:rFonts w:ascii="Arial" w:hAnsi="Arial" w:cs="Arial"/>
        </w:rPr>
        <w:t>Ghozali</w:t>
      </w:r>
      <w:proofErr w:type="spellEnd"/>
      <w:r w:rsidRPr="00A74007">
        <w:rPr>
          <w:rFonts w:ascii="Arial" w:hAnsi="Arial" w:cs="Arial"/>
        </w:rPr>
        <w:t>, 2013). Model feasibility is tested using the F-test with a 5% significance level, while the coefficient of determination (R²) evaluates the explanatory power of the model (</w:t>
      </w:r>
      <w:proofErr w:type="spellStart"/>
      <w:r w:rsidRPr="00A74007">
        <w:rPr>
          <w:rFonts w:ascii="Arial" w:hAnsi="Arial" w:cs="Arial"/>
        </w:rPr>
        <w:t>Ghozali</w:t>
      </w:r>
      <w:proofErr w:type="spellEnd"/>
      <w:r w:rsidRPr="00A74007">
        <w:rPr>
          <w:rFonts w:ascii="Arial" w:hAnsi="Arial" w:cs="Arial"/>
        </w:rPr>
        <w:t xml:space="preserve">, 2013). Multiple linear regression is applied to examine the relationships between ESG, firm size, and ERC. </w:t>
      </w:r>
    </w:p>
    <w:p w14:paraId="2BFB89A6" w14:textId="77777777" w:rsidR="00A74007" w:rsidRDefault="00A74007" w:rsidP="00D06EF3">
      <w:pPr>
        <w:pStyle w:val="Body"/>
        <w:spacing w:after="0"/>
        <w:rPr>
          <w:rFonts w:ascii="Arial" w:hAnsi="Arial" w:cs="Arial"/>
        </w:rPr>
      </w:pPr>
    </w:p>
    <w:p w14:paraId="74B1D673" w14:textId="68C1A9A4" w:rsidR="00A74007" w:rsidRDefault="00A74007" w:rsidP="00A74007">
      <w:pPr>
        <w:pStyle w:val="Body"/>
        <w:spacing w:after="0"/>
        <w:jc w:val="center"/>
        <w:rPr>
          <w:rFonts w:ascii="Arial" w:hAnsi="Arial" w:cs="Arial"/>
        </w:rPr>
      </w:pPr>
      <w:r w:rsidRPr="00A74007">
        <w:rPr>
          <w:rFonts w:ascii="Arial" w:hAnsi="Arial" w:cs="Arial"/>
        </w:rPr>
        <w:t>The baseline model is: CAR = α + β1UE + β2Env + β3(</w:t>
      </w:r>
      <w:proofErr w:type="spellStart"/>
      <w:r w:rsidRPr="00A74007">
        <w:rPr>
          <w:rFonts w:ascii="Arial" w:hAnsi="Arial" w:cs="Arial"/>
        </w:rPr>
        <w:t>UE×Env</w:t>
      </w:r>
      <w:proofErr w:type="spellEnd"/>
      <w:r w:rsidRPr="00A74007">
        <w:rPr>
          <w:rFonts w:ascii="Arial" w:hAnsi="Arial" w:cs="Arial"/>
        </w:rPr>
        <w:t>) + β4Soc + β5(</w:t>
      </w:r>
      <w:proofErr w:type="spellStart"/>
      <w:r w:rsidRPr="00A74007">
        <w:rPr>
          <w:rFonts w:ascii="Arial" w:hAnsi="Arial" w:cs="Arial"/>
        </w:rPr>
        <w:t>UE×Soc</w:t>
      </w:r>
      <w:proofErr w:type="spellEnd"/>
      <w:r w:rsidRPr="00A74007">
        <w:rPr>
          <w:rFonts w:ascii="Arial" w:hAnsi="Arial" w:cs="Arial"/>
        </w:rPr>
        <w:t>) + β6Gov + β7(</w:t>
      </w:r>
      <w:proofErr w:type="spellStart"/>
      <w:r w:rsidRPr="00A74007">
        <w:rPr>
          <w:rFonts w:ascii="Arial" w:hAnsi="Arial" w:cs="Arial"/>
        </w:rPr>
        <w:t>UE×Gov</w:t>
      </w:r>
      <w:proofErr w:type="spellEnd"/>
      <w:r w:rsidRPr="00A74007">
        <w:rPr>
          <w:rFonts w:ascii="Arial" w:hAnsi="Arial" w:cs="Arial"/>
        </w:rPr>
        <w:t>) + ε, while the moderated model is: CAR = α + β1UE + β2Env + β3(</w:t>
      </w:r>
      <w:proofErr w:type="spellStart"/>
      <w:r w:rsidRPr="00A74007">
        <w:rPr>
          <w:rFonts w:ascii="Arial" w:hAnsi="Arial" w:cs="Arial"/>
        </w:rPr>
        <w:t>UE×Env</w:t>
      </w:r>
      <w:proofErr w:type="spellEnd"/>
      <w:r w:rsidRPr="00A74007">
        <w:rPr>
          <w:rFonts w:ascii="Arial" w:hAnsi="Arial" w:cs="Arial"/>
        </w:rPr>
        <w:t>) + β4Soc + β5(</w:t>
      </w:r>
      <w:proofErr w:type="spellStart"/>
      <w:r w:rsidRPr="00A74007">
        <w:rPr>
          <w:rFonts w:ascii="Arial" w:hAnsi="Arial" w:cs="Arial"/>
        </w:rPr>
        <w:t>UE×Soc</w:t>
      </w:r>
      <w:proofErr w:type="spellEnd"/>
      <w:r w:rsidRPr="00A74007">
        <w:rPr>
          <w:rFonts w:ascii="Arial" w:hAnsi="Arial" w:cs="Arial"/>
        </w:rPr>
        <w:t>) + β6Gov + β7(</w:t>
      </w:r>
      <w:proofErr w:type="spellStart"/>
      <w:r w:rsidRPr="00A74007">
        <w:rPr>
          <w:rFonts w:ascii="Arial" w:hAnsi="Arial" w:cs="Arial"/>
        </w:rPr>
        <w:t>UE×Gov</w:t>
      </w:r>
      <w:proofErr w:type="spellEnd"/>
      <w:r w:rsidRPr="00A74007">
        <w:rPr>
          <w:rFonts w:ascii="Arial" w:hAnsi="Arial" w:cs="Arial"/>
        </w:rPr>
        <w:t>) + β8(</w:t>
      </w:r>
      <w:proofErr w:type="spellStart"/>
      <w:r w:rsidRPr="00A74007">
        <w:rPr>
          <w:rFonts w:ascii="Arial" w:hAnsi="Arial" w:cs="Arial"/>
        </w:rPr>
        <w:t>UE×Env×Size</w:t>
      </w:r>
      <w:proofErr w:type="spellEnd"/>
      <w:r w:rsidRPr="00A74007">
        <w:rPr>
          <w:rFonts w:ascii="Arial" w:hAnsi="Arial" w:cs="Arial"/>
        </w:rPr>
        <w:t>) + β9(</w:t>
      </w:r>
      <w:proofErr w:type="spellStart"/>
      <w:r w:rsidRPr="00A74007">
        <w:rPr>
          <w:rFonts w:ascii="Arial" w:hAnsi="Arial" w:cs="Arial"/>
        </w:rPr>
        <w:t>UE×Soc×Size</w:t>
      </w:r>
      <w:proofErr w:type="spellEnd"/>
      <w:r w:rsidRPr="00A74007">
        <w:rPr>
          <w:rFonts w:ascii="Arial" w:hAnsi="Arial" w:cs="Arial"/>
        </w:rPr>
        <w:t>) + β10(</w:t>
      </w:r>
      <w:proofErr w:type="spellStart"/>
      <w:r w:rsidRPr="00A74007">
        <w:rPr>
          <w:rFonts w:ascii="Arial" w:hAnsi="Arial" w:cs="Arial"/>
        </w:rPr>
        <w:t>UE×Gov×Size</w:t>
      </w:r>
      <w:proofErr w:type="spellEnd"/>
      <w:r w:rsidRPr="00A74007">
        <w:rPr>
          <w:rFonts w:ascii="Arial" w:hAnsi="Arial" w:cs="Arial"/>
        </w:rPr>
        <w:t>) + ε.</w:t>
      </w:r>
    </w:p>
    <w:p w14:paraId="57D958C7" w14:textId="77777777" w:rsidR="00790ADA" w:rsidRPr="00FB3A86" w:rsidRDefault="00790ADA" w:rsidP="00441B6F">
      <w:pPr>
        <w:pStyle w:val="Body"/>
        <w:spacing w:after="0"/>
        <w:rPr>
          <w:rFonts w:ascii="Arial" w:hAnsi="Arial" w:cs="Arial"/>
        </w:rPr>
      </w:pPr>
    </w:p>
    <w:p w14:paraId="482FA42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B87E05" w14:textId="77777777" w:rsidR="00790ADA" w:rsidRPr="00FB3A86" w:rsidRDefault="00790ADA" w:rsidP="00441B6F">
      <w:pPr>
        <w:pStyle w:val="Head1"/>
        <w:spacing w:after="0"/>
        <w:jc w:val="both"/>
        <w:rPr>
          <w:rFonts w:ascii="Arial" w:hAnsi="Arial" w:cs="Arial"/>
        </w:rPr>
      </w:pPr>
    </w:p>
    <w:p w14:paraId="015F29A1" w14:textId="2936A099" w:rsidR="00D6400C" w:rsidRDefault="00D6400C" w:rsidP="00D6400C">
      <w:pPr>
        <w:pStyle w:val="Body"/>
        <w:rPr>
          <w:rFonts w:ascii="Arial" w:hAnsi="Arial" w:cs="Arial"/>
          <w:b/>
          <w:sz w:val="22"/>
        </w:rPr>
      </w:pPr>
      <w:r>
        <w:rPr>
          <w:rFonts w:ascii="Arial" w:hAnsi="Arial" w:cs="Arial"/>
          <w:b/>
          <w:sz w:val="22"/>
        </w:rPr>
        <w:t xml:space="preserve">3.1 </w:t>
      </w:r>
      <w:r w:rsidRPr="00D6400C">
        <w:rPr>
          <w:rFonts w:ascii="Arial" w:hAnsi="Arial" w:cs="Arial"/>
          <w:b/>
          <w:sz w:val="22"/>
        </w:rPr>
        <w:t>Descriptive Statistics</w:t>
      </w:r>
    </w:p>
    <w:p w14:paraId="15224321" w14:textId="77777777" w:rsidR="00D6400C" w:rsidRDefault="00D6400C" w:rsidP="00D6400C">
      <w:pPr>
        <w:pStyle w:val="Body"/>
        <w:rPr>
          <w:rFonts w:ascii="Arial" w:hAnsi="Arial" w:cs="Arial"/>
          <w:bCs/>
          <w:sz w:val="22"/>
        </w:rPr>
      </w:pPr>
      <w:r w:rsidRPr="00D6400C">
        <w:rPr>
          <w:rFonts w:ascii="Arial" w:hAnsi="Arial" w:cs="Arial"/>
          <w:bCs/>
          <w:sz w:val="22"/>
        </w:rPr>
        <w:t xml:space="preserve">The information utilized in this research consists of secondary data gathered from annual reports, sustainability reports, and stock market information from the Indonesia Stock Exchange, as well as the official websites of the respective companies. The dataset encompasses total assets, Earnings per Share (EPS), stock closing prices, and Environmental, Social, and Governance (ESG) disclosures. The sample includes all banking sector companies listed on the IDX from 2020 to 2024, with purposive sampling used for selection. Following specific criteria, 20 companies were chosen, leading to 100 firm-year observations, which were later reduced to 96 after removing 4 outliers. These companies form a consistent sample with complete ESG and financial data, thereby ensuring the analysis's reliability. </w:t>
      </w:r>
    </w:p>
    <w:p w14:paraId="18970AA6" w14:textId="3F080299" w:rsidR="00D6400C" w:rsidRDefault="00D6400C" w:rsidP="00D6400C">
      <w:pPr>
        <w:pStyle w:val="Body"/>
        <w:jc w:val="center"/>
        <w:rPr>
          <w:rFonts w:ascii="Arial" w:hAnsi="Arial" w:cs="Arial"/>
          <w:bCs/>
          <w:sz w:val="22"/>
        </w:rPr>
      </w:pPr>
      <w:r w:rsidRPr="00D6400C">
        <w:rPr>
          <w:rFonts w:ascii="Arial" w:hAnsi="Arial" w:cs="Arial"/>
          <w:b/>
          <w:sz w:val="22"/>
        </w:rPr>
        <w:t>Table 1.</w:t>
      </w:r>
      <w:r>
        <w:rPr>
          <w:rFonts w:ascii="Arial" w:hAnsi="Arial" w:cs="Arial"/>
          <w:bCs/>
          <w:sz w:val="22"/>
        </w:rPr>
        <w:t xml:space="preserve"> Descriptive Statistics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207"/>
        <w:gridCol w:w="1231"/>
        <w:gridCol w:w="1379"/>
        <w:gridCol w:w="1683"/>
      </w:tblGrid>
      <w:tr w:rsidR="00D6400C" w:rsidRPr="00D6400C" w14:paraId="6DD48E77" w14:textId="77777777" w:rsidTr="00D6400C">
        <w:trPr>
          <w:jc w:val="center"/>
        </w:trPr>
        <w:tc>
          <w:tcPr>
            <w:tcW w:w="0" w:type="auto"/>
            <w:hideMark/>
          </w:tcPr>
          <w:p w14:paraId="33A57504" w14:textId="77777777" w:rsidR="00D6400C" w:rsidRPr="00D6400C" w:rsidRDefault="00D6400C" w:rsidP="00D6400C">
            <w:pPr>
              <w:jc w:val="center"/>
              <w:rPr>
                <w:rFonts w:ascii="Arial" w:hAnsi="Arial" w:cs="Arial"/>
                <w:b/>
                <w:sz w:val="22"/>
              </w:rPr>
            </w:pPr>
            <w:r w:rsidRPr="00D6400C">
              <w:rPr>
                <w:rFonts w:ascii="Arial" w:hAnsi="Arial" w:cs="Arial"/>
                <w:b/>
                <w:sz w:val="22"/>
              </w:rPr>
              <w:t>Variable</w:t>
            </w:r>
          </w:p>
        </w:tc>
        <w:tc>
          <w:tcPr>
            <w:tcW w:w="0" w:type="auto"/>
            <w:hideMark/>
          </w:tcPr>
          <w:p w14:paraId="6D86E11C" w14:textId="77777777" w:rsidR="00D6400C" w:rsidRPr="00D6400C" w:rsidRDefault="00D6400C" w:rsidP="00D6400C">
            <w:pPr>
              <w:jc w:val="center"/>
              <w:rPr>
                <w:rFonts w:ascii="Arial" w:hAnsi="Arial" w:cs="Arial"/>
                <w:b/>
                <w:sz w:val="22"/>
              </w:rPr>
            </w:pPr>
            <w:r w:rsidRPr="00D6400C">
              <w:rPr>
                <w:rFonts w:ascii="Arial" w:hAnsi="Arial" w:cs="Arial"/>
                <w:b/>
                <w:sz w:val="22"/>
              </w:rPr>
              <w:t>Minimum</w:t>
            </w:r>
          </w:p>
        </w:tc>
        <w:tc>
          <w:tcPr>
            <w:tcW w:w="0" w:type="auto"/>
            <w:hideMark/>
          </w:tcPr>
          <w:p w14:paraId="6A76D406" w14:textId="77777777" w:rsidR="00D6400C" w:rsidRPr="00D6400C" w:rsidRDefault="00D6400C" w:rsidP="00D6400C">
            <w:pPr>
              <w:jc w:val="center"/>
              <w:rPr>
                <w:rFonts w:ascii="Arial" w:hAnsi="Arial" w:cs="Arial"/>
                <w:b/>
                <w:sz w:val="22"/>
              </w:rPr>
            </w:pPr>
            <w:r w:rsidRPr="00D6400C">
              <w:rPr>
                <w:rFonts w:ascii="Arial" w:hAnsi="Arial" w:cs="Arial"/>
                <w:b/>
                <w:sz w:val="22"/>
              </w:rPr>
              <w:t>Maximum</w:t>
            </w:r>
          </w:p>
        </w:tc>
        <w:tc>
          <w:tcPr>
            <w:tcW w:w="0" w:type="auto"/>
            <w:hideMark/>
          </w:tcPr>
          <w:p w14:paraId="6BB0D6C0" w14:textId="77777777" w:rsidR="00D6400C" w:rsidRPr="00D6400C" w:rsidRDefault="00D6400C" w:rsidP="00D6400C">
            <w:pPr>
              <w:jc w:val="center"/>
              <w:rPr>
                <w:rFonts w:ascii="Arial" w:hAnsi="Arial" w:cs="Arial"/>
                <w:b/>
                <w:sz w:val="22"/>
              </w:rPr>
            </w:pPr>
            <w:r w:rsidRPr="00D6400C">
              <w:rPr>
                <w:rFonts w:ascii="Arial" w:hAnsi="Arial" w:cs="Arial"/>
                <w:b/>
                <w:sz w:val="22"/>
              </w:rPr>
              <w:t>Mean</w:t>
            </w:r>
          </w:p>
        </w:tc>
        <w:tc>
          <w:tcPr>
            <w:tcW w:w="0" w:type="auto"/>
            <w:hideMark/>
          </w:tcPr>
          <w:p w14:paraId="7A2B6527" w14:textId="77777777" w:rsidR="00D6400C" w:rsidRPr="00D6400C" w:rsidRDefault="00D6400C" w:rsidP="00D6400C">
            <w:pPr>
              <w:jc w:val="center"/>
              <w:rPr>
                <w:rFonts w:ascii="Arial" w:hAnsi="Arial" w:cs="Arial"/>
                <w:b/>
                <w:sz w:val="22"/>
              </w:rPr>
            </w:pPr>
            <w:r w:rsidRPr="00D6400C">
              <w:rPr>
                <w:rFonts w:ascii="Arial" w:hAnsi="Arial" w:cs="Arial"/>
                <w:b/>
                <w:sz w:val="22"/>
              </w:rPr>
              <w:t>Std. Deviation</w:t>
            </w:r>
          </w:p>
        </w:tc>
      </w:tr>
      <w:tr w:rsidR="00D6400C" w:rsidRPr="00D6400C" w14:paraId="2816DE4E" w14:textId="77777777" w:rsidTr="00D6400C">
        <w:trPr>
          <w:jc w:val="center"/>
        </w:trPr>
        <w:tc>
          <w:tcPr>
            <w:tcW w:w="0" w:type="auto"/>
            <w:hideMark/>
          </w:tcPr>
          <w:p w14:paraId="0E6A4A78" w14:textId="77777777" w:rsidR="00D6400C" w:rsidRPr="00D6400C" w:rsidRDefault="00D6400C" w:rsidP="00D6400C">
            <w:pPr>
              <w:rPr>
                <w:rFonts w:ascii="Arial" w:hAnsi="Arial" w:cs="Arial"/>
                <w:bCs/>
                <w:sz w:val="22"/>
              </w:rPr>
            </w:pPr>
            <w:r w:rsidRPr="00D6400C">
              <w:rPr>
                <w:rFonts w:ascii="Arial" w:hAnsi="Arial" w:cs="Arial"/>
                <w:bCs/>
                <w:sz w:val="22"/>
              </w:rPr>
              <w:t>CAR</w:t>
            </w:r>
          </w:p>
        </w:tc>
        <w:tc>
          <w:tcPr>
            <w:tcW w:w="0" w:type="auto"/>
            <w:hideMark/>
          </w:tcPr>
          <w:p w14:paraId="1EB78BFA" w14:textId="77777777" w:rsidR="00D6400C" w:rsidRPr="00D6400C" w:rsidRDefault="00D6400C" w:rsidP="00D6400C">
            <w:pPr>
              <w:rPr>
                <w:rFonts w:ascii="Arial" w:hAnsi="Arial" w:cs="Arial"/>
                <w:bCs/>
                <w:sz w:val="22"/>
              </w:rPr>
            </w:pPr>
            <w:r w:rsidRPr="00D6400C">
              <w:rPr>
                <w:rFonts w:ascii="Arial" w:hAnsi="Arial" w:cs="Arial"/>
                <w:bCs/>
                <w:sz w:val="22"/>
              </w:rPr>
              <w:t>-0.192280</w:t>
            </w:r>
          </w:p>
        </w:tc>
        <w:tc>
          <w:tcPr>
            <w:tcW w:w="0" w:type="auto"/>
            <w:hideMark/>
          </w:tcPr>
          <w:p w14:paraId="0281BA02" w14:textId="77777777" w:rsidR="00D6400C" w:rsidRPr="00D6400C" w:rsidRDefault="00D6400C" w:rsidP="00D6400C">
            <w:pPr>
              <w:rPr>
                <w:rFonts w:ascii="Arial" w:hAnsi="Arial" w:cs="Arial"/>
                <w:bCs/>
                <w:sz w:val="22"/>
              </w:rPr>
            </w:pPr>
            <w:r w:rsidRPr="00D6400C">
              <w:rPr>
                <w:rFonts w:ascii="Arial" w:hAnsi="Arial" w:cs="Arial"/>
                <w:bCs/>
                <w:sz w:val="22"/>
              </w:rPr>
              <w:t>0.976435</w:t>
            </w:r>
          </w:p>
        </w:tc>
        <w:tc>
          <w:tcPr>
            <w:tcW w:w="0" w:type="auto"/>
            <w:hideMark/>
          </w:tcPr>
          <w:p w14:paraId="45C99D71" w14:textId="77777777" w:rsidR="00D6400C" w:rsidRPr="00D6400C" w:rsidRDefault="00D6400C" w:rsidP="00D6400C">
            <w:pPr>
              <w:rPr>
                <w:rFonts w:ascii="Arial" w:hAnsi="Arial" w:cs="Arial"/>
                <w:bCs/>
                <w:sz w:val="22"/>
              </w:rPr>
            </w:pPr>
            <w:r w:rsidRPr="00D6400C">
              <w:rPr>
                <w:rFonts w:ascii="Arial" w:hAnsi="Arial" w:cs="Arial"/>
                <w:bCs/>
                <w:sz w:val="22"/>
              </w:rPr>
              <w:t>0.01453035</w:t>
            </w:r>
          </w:p>
        </w:tc>
        <w:tc>
          <w:tcPr>
            <w:tcW w:w="0" w:type="auto"/>
            <w:hideMark/>
          </w:tcPr>
          <w:p w14:paraId="62A9D32A" w14:textId="77777777" w:rsidR="00D6400C" w:rsidRPr="00D6400C" w:rsidRDefault="00D6400C" w:rsidP="00D6400C">
            <w:pPr>
              <w:rPr>
                <w:rFonts w:ascii="Arial" w:hAnsi="Arial" w:cs="Arial"/>
                <w:bCs/>
                <w:sz w:val="22"/>
              </w:rPr>
            </w:pPr>
            <w:r w:rsidRPr="00D6400C">
              <w:rPr>
                <w:rFonts w:ascii="Arial" w:hAnsi="Arial" w:cs="Arial"/>
                <w:bCs/>
                <w:sz w:val="22"/>
              </w:rPr>
              <w:t>0.108682616</w:t>
            </w:r>
          </w:p>
        </w:tc>
      </w:tr>
      <w:tr w:rsidR="00D6400C" w:rsidRPr="00D6400C" w14:paraId="6590AC38" w14:textId="77777777" w:rsidTr="00D6400C">
        <w:trPr>
          <w:jc w:val="center"/>
        </w:trPr>
        <w:tc>
          <w:tcPr>
            <w:tcW w:w="0" w:type="auto"/>
            <w:hideMark/>
          </w:tcPr>
          <w:p w14:paraId="105B2D55" w14:textId="77777777" w:rsidR="00D6400C" w:rsidRPr="00D6400C" w:rsidRDefault="00D6400C" w:rsidP="00D6400C">
            <w:pPr>
              <w:rPr>
                <w:rFonts w:ascii="Arial" w:hAnsi="Arial" w:cs="Arial"/>
                <w:bCs/>
                <w:sz w:val="22"/>
              </w:rPr>
            </w:pPr>
            <w:r w:rsidRPr="00D6400C">
              <w:rPr>
                <w:rFonts w:ascii="Arial" w:hAnsi="Arial" w:cs="Arial"/>
                <w:bCs/>
                <w:sz w:val="22"/>
              </w:rPr>
              <w:t>UE</w:t>
            </w:r>
          </w:p>
        </w:tc>
        <w:tc>
          <w:tcPr>
            <w:tcW w:w="0" w:type="auto"/>
            <w:hideMark/>
          </w:tcPr>
          <w:p w14:paraId="14E6C4F0" w14:textId="77777777" w:rsidR="00D6400C" w:rsidRPr="00D6400C" w:rsidRDefault="00D6400C" w:rsidP="00D6400C">
            <w:pPr>
              <w:rPr>
                <w:rFonts w:ascii="Arial" w:hAnsi="Arial" w:cs="Arial"/>
                <w:bCs/>
                <w:sz w:val="22"/>
              </w:rPr>
            </w:pPr>
            <w:r w:rsidRPr="00D6400C">
              <w:rPr>
                <w:rFonts w:ascii="Arial" w:hAnsi="Arial" w:cs="Arial"/>
                <w:bCs/>
                <w:sz w:val="22"/>
              </w:rPr>
              <w:t>-0.217240</w:t>
            </w:r>
          </w:p>
        </w:tc>
        <w:tc>
          <w:tcPr>
            <w:tcW w:w="0" w:type="auto"/>
            <w:hideMark/>
          </w:tcPr>
          <w:p w14:paraId="741DE15C" w14:textId="77777777" w:rsidR="00D6400C" w:rsidRPr="00D6400C" w:rsidRDefault="00D6400C" w:rsidP="00D6400C">
            <w:pPr>
              <w:rPr>
                <w:rFonts w:ascii="Arial" w:hAnsi="Arial" w:cs="Arial"/>
                <w:bCs/>
                <w:sz w:val="22"/>
              </w:rPr>
            </w:pPr>
            <w:r w:rsidRPr="00D6400C">
              <w:rPr>
                <w:rFonts w:ascii="Arial" w:hAnsi="Arial" w:cs="Arial"/>
                <w:bCs/>
                <w:sz w:val="22"/>
              </w:rPr>
              <w:t>0.102600</w:t>
            </w:r>
          </w:p>
        </w:tc>
        <w:tc>
          <w:tcPr>
            <w:tcW w:w="0" w:type="auto"/>
            <w:hideMark/>
          </w:tcPr>
          <w:p w14:paraId="395B6CC6" w14:textId="77777777" w:rsidR="00D6400C" w:rsidRPr="00D6400C" w:rsidRDefault="00D6400C" w:rsidP="00D6400C">
            <w:pPr>
              <w:rPr>
                <w:rFonts w:ascii="Arial" w:hAnsi="Arial" w:cs="Arial"/>
                <w:bCs/>
                <w:sz w:val="22"/>
              </w:rPr>
            </w:pPr>
            <w:r w:rsidRPr="00D6400C">
              <w:rPr>
                <w:rFonts w:ascii="Arial" w:hAnsi="Arial" w:cs="Arial"/>
                <w:bCs/>
                <w:sz w:val="22"/>
              </w:rPr>
              <w:t>0.00467072</w:t>
            </w:r>
          </w:p>
        </w:tc>
        <w:tc>
          <w:tcPr>
            <w:tcW w:w="0" w:type="auto"/>
            <w:hideMark/>
          </w:tcPr>
          <w:p w14:paraId="0368C66B" w14:textId="77777777" w:rsidR="00D6400C" w:rsidRPr="00D6400C" w:rsidRDefault="00D6400C" w:rsidP="00D6400C">
            <w:pPr>
              <w:rPr>
                <w:rFonts w:ascii="Arial" w:hAnsi="Arial" w:cs="Arial"/>
                <w:bCs/>
                <w:sz w:val="22"/>
              </w:rPr>
            </w:pPr>
            <w:r w:rsidRPr="00D6400C">
              <w:rPr>
                <w:rFonts w:ascii="Arial" w:hAnsi="Arial" w:cs="Arial"/>
                <w:bCs/>
                <w:sz w:val="22"/>
              </w:rPr>
              <w:t>0.038731542</w:t>
            </w:r>
          </w:p>
        </w:tc>
      </w:tr>
      <w:tr w:rsidR="00D6400C" w:rsidRPr="00D6400C" w14:paraId="00E628B1" w14:textId="77777777" w:rsidTr="00D6400C">
        <w:trPr>
          <w:jc w:val="center"/>
        </w:trPr>
        <w:tc>
          <w:tcPr>
            <w:tcW w:w="0" w:type="auto"/>
            <w:hideMark/>
          </w:tcPr>
          <w:p w14:paraId="7A2BC6C4" w14:textId="77777777" w:rsidR="00D6400C" w:rsidRPr="00D6400C" w:rsidRDefault="00D6400C" w:rsidP="00D6400C">
            <w:pPr>
              <w:rPr>
                <w:rFonts w:ascii="Arial" w:hAnsi="Arial" w:cs="Arial"/>
                <w:bCs/>
                <w:sz w:val="22"/>
              </w:rPr>
            </w:pPr>
            <w:r w:rsidRPr="00D6400C">
              <w:rPr>
                <w:rFonts w:ascii="Arial" w:hAnsi="Arial" w:cs="Arial"/>
                <w:bCs/>
                <w:sz w:val="22"/>
              </w:rPr>
              <w:t>ENV</w:t>
            </w:r>
          </w:p>
        </w:tc>
        <w:tc>
          <w:tcPr>
            <w:tcW w:w="0" w:type="auto"/>
            <w:hideMark/>
          </w:tcPr>
          <w:p w14:paraId="7C755904" w14:textId="77777777" w:rsidR="00D6400C" w:rsidRPr="00D6400C" w:rsidRDefault="00D6400C" w:rsidP="00D6400C">
            <w:pPr>
              <w:rPr>
                <w:rFonts w:ascii="Arial" w:hAnsi="Arial" w:cs="Arial"/>
                <w:bCs/>
                <w:sz w:val="22"/>
              </w:rPr>
            </w:pPr>
            <w:r w:rsidRPr="00D6400C">
              <w:rPr>
                <w:rFonts w:ascii="Arial" w:hAnsi="Arial" w:cs="Arial"/>
                <w:bCs/>
                <w:sz w:val="22"/>
              </w:rPr>
              <w:t>0.000000</w:t>
            </w:r>
          </w:p>
        </w:tc>
        <w:tc>
          <w:tcPr>
            <w:tcW w:w="0" w:type="auto"/>
            <w:hideMark/>
          </w:tcPr>
          <w:p w14:paraId="3CE4EC68"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354E38A9" w14:textId="77777777" w:rsidR="00D6400C" w:rsidRPr="00D6400C" w:rsidRDefault="00D6400C" w:rsidP="00D6400C">
            <w:pPr>
              <w:rPr>
                <w:rFonts w:ascii="Arial" w:hAnsi="Arial" w:cs="Arial"/>
                <w:bCs/>
                <w:sz w:val="22"/>
              </w:rPr>
            </w:pPr>
            <w:r w:rsidRPr="00D6400C">
              <w:rPr>
                <w:rFonts w:ascii="Arial" w:hAnsi="Arial" w:cs="Arial"/>
                <w:bCs/>
                <w:sz w:val="22"/>
              </w:rPr>
              <w:t>0.42320818</w:t>
            </w:r>
          </w:p>
        </w:tc>
        <w:tc>
          <w:tcPr>
            <w:tcW w:w="0" w:type="auto"/>
            <w:hideMark/>
          </w:tcPr>
          <w:p w14:paraId="14E06DEF" w14:textId="77777777" w:rsidR="00D6400C" w:rsidRPr="00D6400C" w:rsidRDefault="00D6400C" w:rsidP="00D6400C">
            <w:pPr>
              <w:rPr>
                <w:rFonts w:ascii="Arial" w:hAnsi="Arial" w:cs="Arial"/>
                <w:bCs/>
                <w:sz w:val="22"/>
              </w:rPr>
            </w:pPr>
            <w:r w:rsidRPr="00D6400C">
              <w:rPr>
                <w:rFonts w:ascii="Arial" w:hAnsi="Arial" w:cs="Arial"/>
                <w:bCs/>
                <w:sz w:val="22"/>
              </w:rPr>
              <w:t>0.246005244</w:t>
            </w:r>
          </w:p>
        </w:tc>
      </w:tr>
      <w:tr w:rsidR="00D6400C" w:rsidRPr="00D6400C" w14:paraId="54D2D850" w14:textId="77777777" w:rsidTr="00D6400C">
        <w:trPr>
          <w:jc w:val="center"/>
        </w:trPr>
        <w:tc>
          <w:tcPr>
            <w:tcW w:w="0" w:type="auto"/>
            <w:hideMark/>
          </w:tcPr>
          <w:p w14:paraId="18B3D0FD" w14:textId="77777777" w:rsidR="00D6400C" w:rsidRPr="00D6400C" w:rsidRDefault="00D6400C" w:rsidP="00D6400C">
            <w:pPr>
              <w:rPr>
                <w:rFonts w:ascii="Arial" w:hAnsi="Arial" w:cs="Arial"/>
                <w:bCs/>
                <w:sz w:val="22"/>
              </w:rPr>
            </w:pPr>
            <w:r w:rsidRPr="00D6400C">
              <w:rPr>
                <w:rFonts w:ascii="Arial" w:hAnsi="Arial" w:cs="Arial"/>
                <w:bCs/>
                <w:sz w:val="22"/>
              </w:rPr>
              <w:t>SOC</w:t>
            </w:r>
          </w:p>
        </w:tc>
        <w:tc>
          <w:tcPr>
            <w:tcW w:w="0" w:type="auto"/>
            <w:hideMark/>
          </w:tcPr>
          <w:p w14:paraId="456546B6" w14:textId="77777777" w:rsidR="00D6400C" w:rsidRPr="00D6400C" w:rsidRDefault="00D6400C" w:rsidP="00D6400C">
            <w:pPr>
              <w:rPr>
                <w:rFonts w:ascii="Arial" w:hAnsi="Arial" w:cs="Arial"/>
                <w:bCs/>
                <w:sz w:val="22"/>
              </w:rPr>
            </w:pPr>
            <w:r w:rsidRPr="00D6400C">
              <w:rPr>
                <w:rFonts w:ascii="Arial" w:hAnsi="Arial" w:cs="Arial"/>
                <w:bCs/>
                <w:sz w:val="22"/>
              </w:rPr>
              <w:t>0.083333</w:t>
            </w:r>
          </w:p>
        </w:tc>
        <w:tc>
          <w:tcPr>
            <w:tcW w:w="0" w:type="auto"/>
            <w:hideMark/>
          </w:tcPr>
          <w:p w14:paraId="5956A06D"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6B5551D5" w14:textId="77777777" w:rsidR="00D6400C" w:rsidRPr="00D6400C" w:rsidRDefault="00D6400C" w:rsidP="00D6400C">
            <w:pPr>
              <w:rPr>
                <w:rFonts w:ascii="Arial" w:hAnsi="Arial" w:cs="Arial"/>
                <w:bCs/>
                <w:sz w:val="22"/>
              </w:rPr>
            </w:pPr>
            <w:r w:rsidRPr="00D6400C">
              <w:rPr>
                <w:rFonts w:ascii="Arial" w:hAnsi="Arial" w:cs="Arial"/>
                <w:bCs/>
                <w:sz w:val="22"/>
              </w:rPr>
              <w:t>0.52667674</w:t>
            </w:r>
          </w:p>
        </w:tc>
        <w:tc>
          <w:tcPr>
            <w:tcW w:w="0" w:type="auto"/>
            <w:hideMark/>
          </w:tcPr>
          <w:p w14:paraId="43314939" w14:textId="77777777" w:rsidR="00D6400C" w:rsidRPr="00D6400C" w:rsidRDefault="00D6400C" w:rsidP="00D6400C">
            <w:pPr>
              <w:rPr>
                <w:rFonts w:ascii="Arial" w:hAnsi="Arial" w:cs="Arial"/>
                <w:bCs/>
                <w:sz w:val="22"/>
              </w:rPr>
            </w:pPr>
            <w:r w:rsidRPr="00D6400C">
              <w:rPr>
                <w:rFonts w:ascii="Arial" w:hAnsi="Arial" w:cs="Arial"/>
                <w:bCs/>
                <w:sz w:val="22"/>
              </w:rPr>
              <w:t>0.244062033</w:t>
            </w:r>
          </w:p>
        </w:tc>
      </w:tr>
      <w:tr w:rsidR="00D6400C" w:rsidRPr="00D6400C" w14:paraId="2344F365" w14:textId="77777777" w:rsidTr="00D6400C">
        <w:trPr>
          <w:jc w:val="center"/>
        </w:trPr>
        <w:tc>
          <w:tcPr>
            <w:tcW w:w="0" w:type="auto"/>
            <w:hideMark/>
          </w:tcPr>
          <w:p w14:paraId="37C14F47" w14:textId="77777777" w:rsidR="00D6400C" w:rsidRPr="00D6400C" w:rsidRDefault="00D6400C" w:rsidP="00D6400C">
            <w:pPr>
              <w:rPr>
                <w:rFonts w:ascii="Arial" w:hAnsi="Arial" w:cs="Arial"/>
                <w:bCs/>
                <w:sz w:val="22"/>
              </w:rPr>
            </w:pPr>
            <w:r w:rsidRPr="00D6400C">
              <w:rPr>
                <w:rFonts w:ascii="Arial" w:hAnsi="Arial" w:cs="Arial"/>
                <w:bCs/>
                <w:sz w:val="22"/>
              </w:rPr>
              <w:t>GOV</w:t>
            </w:r>
          </w:p>
        </w:tc>
        <w:tc>
          <w:tcPr>
            <w:tcW w:w="0" w:type="auto"/>
            <w:hideMark/>
          </w:tcPr>
          <w:p w14:paraId="0E0B24F2" w14:textId="77777777" w:rsidR="00D6400C" w:rsidRPr="00D6400C" w:rsidRDefault="00D6400C" w:rsidP="00D6400C">
            <w:pPr>
              <w:rPr>
                <w:rFonts w:ascii="Arial" w:hAnsi="Arial" w:cs="Arial"/>
                <w:bCs/>
                <w:sz w:val="22"/>
              </w:rPr>
            </w:pPr>
            <w:r w:rsidRPr="00D6400C">
              <w:rPr>
                <w:rFonts w:ascii="Arial" w:hAnsi="Arial" w:cs="Arial"/>
                <w:bCs/>
                <w:sz w:val="22"/>
              </w:rPr>
              <w:t>0.090910</w:t>
            </w:r>
          </w:p>
        </w:tc>
        <w:tc>
          <w:tcPr>
            <w:tcW w:w="0" w:type="auto"/>
            <w:hideMark/>
          </w:tcPr>
          <w:p w14:paraId="5C951CB2"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5F7ACF20" w14:textId="77777777" w:rsidR="00D6400C" w:rsidRPr="00D6400C" w:rsidRDefault="00D6400C" w:rsidP="00D6400C">
            <w:pPr>
              <w:rPr>
                <w:rFonts w:ascii="Arial" w:hAnsi="Arial" w:cs="Arial"/>
                <w:bCs/>
                <w:sz w:val="22"/>
              </w:rPr>
            </w:pPr>
            <w:r w:rsidRPr="00D6400C">
              <w:rPr>
                <w:rFonts w:ascii="Arial" w:hAnsi="Arial" w:cs="Arial"/>
                <w:bCs/>
                <w:sz w:val="22"/>
              </w:rPr>
              <w:t>0.80112290</w:t>
            </w:r>
          </w:p>
        </w:tc>
        <w:tc>
          <w:tcPr>
            <w:tcW w:w="0" w:type="auto"/>
            <w:hideMark/>
          </w:tcPr>
          <w:p w14:paraId="0568DF23" w14:textId="77777777" w:rsidR="00D6400C" w:rsidRPr="00D6400C" w:rsidRDefault="00D6400C" w:rsidP="00D6400C">
            <w:pPr>
              <w:rPr>
                <w:rFonts w:ascii="Arial" w:hAnsi="Arial" w:cs="Arial"/>
                <w:bCs/>
                <w:sz w:val="22"/>
              </w:rPr>
            </w:pPr>
            <w:r w:rsidRPr="00D6400C">
              <w:rPr>
                <w:rFonts w:ascii="Arial" w:hAnsi="Arial" w:cs="Arial"/>
                <w:bCs/>
                <w:sz w:val="22"/>
              </w:rPr>
              <w:t>0.288113510</w:t>
            </w:r>
          </w:p>
        </w:tc>
      </w:tr>
    </w:tbl>
    <w:p w14:paraId="5166352E" w14:textId="77777777" w:rsidR="00D6400C" w:rsidRPr="00D6400C" w:rsidRDefault="00D6400C" w:rsidP="00D6400C">
      <w:pPr>
        <w:pStyle w:val="Body"/>
        <w:rPr>
          <w:rFonts w:ascii="Arial" w:hAnsi="Arial" w:cs="Arial"/>
          <w:bCs/>
          <w:sz w:val="22"/>
        </w:rPr>
      </w:pPr>
    </w:p>
    <w:p w14:paraId="57B5B105" w14:textId="71B07863" w:rsidR="00D6400C" w:rsidRPr="00D6400C" w:rsidRDefault="00D6400C" w:rsidP="00D6400C">
      <w:pPr>
        <w:pStyle w:val="Body"/>
        <w:rPr>
          <w:rFonts w:ascii="Arial" w:hAnsi="Arial" w:cs="Arial"/>
          <w:bCs/>
          <w:sz w:val="22"/>
        </w:rPr>
      </w:pPr>
      <w:r w:rsidRPr="00D6400C">
        <w:rPr>
          <w:rFonts w:ascii="Arial" w:hAnsi="Arial" w:cs="Arial"/>
          <w:bCs/>
          <w:sz w:val="22"/>
        </w:rPr>
        <w:t xml:space="preserve">Descriptive statistics are employed to provide an overview of the research variables, including minimum, maximum, mean, and standard deviation values. The findings reveal that the average CAR is relatively low (0.014), indicating that, on average, the market's response to earnings announcements within the banking sector is modest, although the broad range of minimum and maximum values shows significant variability among firms. The UE variable also presents a low average (0.004), suggesting that earnings surprises are generally small, but the variation indicates </w:t>
      </w:r>
      <w:r w:rsidRPr="00D6400C">
        <w:rPr>
          <w:rFonts w:ascii="Arial" w:hAnsi="Arial" w:cs="Arial"/>
          <w:bCs/>
          <w:sz w:val="22"/>
        </w:rPr>
        <w:lastRenderedPageBreak/>
        <w:t>that some firms experience considerable deviations in earnings performance. Regarding ESG variables, governance (GOV) exhibits the highest average (0.801), signifying that most firms possess relatively robust governance disclosure practices in comparison to the environmental (ENV) and social (SOC) dimensions. Social disclosure presents a moderate average (0.527), indicating that firms tend to actively report on social activities, whereas environmental disclosure reveals the lowest mean (0.423), implying that environmental reporting is not as comprehensive. The relatively high standard deviations across the ESG variables illustrate heterogeneity in disclosure practices, indicating that the implementation of ESG principles remains inconsistent among banking firms in Indonesia.</w:t>
      </w:r>
    </w:p>
    <w:p w14:paraId="3ACCA64F" w14:textId="3B0B3D3D" w:rsidR="00D6400C" w:rsidRDefault="00D6400C" w:rsidP="00D6400C">
      <w:pPr>
        <w:pStyle w:val="Body"/>
        <w:rPr>
          <w:rFonts w:ascii="Arial" w:hAnsi="Arial" w:cs="Arial"/>
          <w:b/>
          <w:sz w:val="22"/>
        </w:rPr>
      </w:pPr>
      <w:r>
        <w:rPr>
          <w:rFonts w:ascii="Arial" w:hAnsi="Arial" w:cs="Arial"/>
          <w:b/>
          <w:sz w:val="22"/>
        </w:rPr>
        <w:t xml:space="preserve">3.2 </w:t>
      </w:r>
      <w:r w:rsidRPr="00D6400C">
        <w:rPr>
          <w:rFonts w:ascii="Arial" w:hAnsi="Arial" w:cs="Arial"/>
          <w:b/>
          <w:sz w:val="22"/>
        </w:rPr>
        <w:t>Classical Assumption Testing</w:t>
      </w:r>
    </w:p>
    <w:p w14:paraId="15DDE7E3" w14:textId="10352467" w:rsidR="00D6400C" w:rsidRPr="00D6400C" w:rsidRDefault="00D6400C" w:rsidP="00D6400C">
      <w:pPr>
        <w:pStyle w:val="Body"/>
        <w:rPr>
          <w:rFonts w:ascii="Arial" w:hAnsi="Arial" w:cs="Arial"/>
          <w:bCs/>
          <w:sz w:val="22"/>
        </w:rPr>
      </w:pPr>
      <w:r w:rsidRPr="00D6400C">
        <w:rPr>
          <w:rFonts w:ascii="Arial" w:hAnsi="Arial" w:cs="Arial"/>
          <w:bCs/>
          <w:sz w:val="22"/>
        </w:rPr>
        <w:t>The traditional assumption tests were performed to validate the regression model, involving checks for normality, multicollinearity, heteroskedasticity, and autocorrelation. The normality assessment, utilizing both the normal probability plot and the One-Sample Kolmogorov-Smirnov test, demonstrates that the residuals follow a normal distribution, as the data points align with the diagonal line and the significance value is greater than 0.05 (</w:t>
      </w:r>
      <w:proofErr w:type="spellStart"/>
      <w:r w:rsidRPr="00D6400C">
        <w:rPr>
          <w:rFonts w:ascii="Arial" w:hAnsi="Arial" w:cs="Arial"/>
          <w:bCs/>
          <w:sz w:val="22"/>
        </w:rPr>
        <w:t>Asymp</w:t>
      </w:r>
      <w:proofErr w:type="spellEnd"/>
      <w:r w:rsidRPr="00D6400C">
        <w:rPr>
          <w:rFonts w:ascii="Arial" w:hAnsi="Arial" w:cs="Arial"/>
          <w:bCs/>
          <w:sz w:val="22"/>
        </w:rPr>
        <w:t>. Sig. = 0.200), which aligns with the criteria suggested by Imam Ghozali (2013). The multicollinearity evaluation indicates that all variables possess tolerance values exceeding 0.10 and VIF values below 10, signifying no significant correlation among the independent variables. Additionally, the heteroskedasticity analysis, based on the scatterplot, shows no evident pattern, implying homoskedasticity within the model. Regarding autocorrelation, the Durbin-Watson statistic of 1.864 resides in the inconclusive range; however, the Runs Test indicates a significance value of 0.101 (&gt;0.05), confirming that the residuals exhibit a random distribution and are devoid of autocorrelation. In summary, these findings suggest that the regression model meets the classical assumptions and is suitable for further examination.</w:t>
      </w:r>
    </w:p>
    <w:p w14:paraId="5814ED9B" w14:textId="477AEB8E" w:rsidR="00D6400C" w:rsidRDefault="00D6400C" w:rsidP="00D6400C">
      <w:pPr>
        <w:pStyle w:val="Body"/>
        <w:rPr>
          <w:rFonts w:ascii="Arial" w:hAnsi="Arial" w:cs="Arial"/>
          <w:b/>
          <w:sz w:val="22"/>
        </w:rPr>
      </w:pPr>
      <w:r>
        <w:rPr>
          <w:rFonts w:ascii="Arial" w:hAnsi="Arial" w:cs="Arial"/>
          <w:b/>
          <w:sz w:val="22"/>
        </w:rPr>
        <w:t xml:space="preserve">3.3 </w:t>
      </w:r>
      <w:r w:rsidRPr="00D6400C">
        <w:rPr>
          <w:rFonts w:ascii="Arial" w:hAnsi="Arial" w:cs="Arial"/>
          <w:b/>
          <w:sz w:val="22"/>
        </w:rPr>
        <w:t>Moderated Regression Analysis Results</w:t>
      </w:r>
    </w:p>
    <w:p w14:paraId="298C75E3" w14:textId="01399770" w:rsidR="00457225" w:rsidRDefault="007A2F43" w:rsidP="00D6400C">
      <w:pPr>
        <w:pStyle w:val="Body"/>
        <w:rPr>
          <w:rFonts w:ascii="Arial" w:hAnsi="Arial" w:cs="Arial"/>
          <w:sz w:val="22"/>
          <w:szCs w:val="22"/>
        </w:rPr>
      </w:pPr>
      <w:r w:rsidRPr="007A2F43">
        <w:rPr>
          <w:rFonts w:ascii="Arial" w:hAnsi="Arial" w:cs="Arial"/>
          <w:sz w:val="22"/>
          <w:szCs w:val="22"/>
        </w:rPr>
        <w:t>The moderating regression analysis in this study employs Hierarchical Regression Analysis using IBM SPSS 30.0 to examine both direct and moderating effects of Environmental, Social, and Governance (ESG) on Earnings Response Coefficient (ERC). The results of Model I are presented as follows</w:t>
      </w:r>
    </w:p>
    <w:p w14:paraId="4CC2EC37" w14:textId="0703D42D" w:rsidR="00384565" w:rsidRPr="007A2F43" w:rsidRDefault="00384565" w:rsidP="00D6400C">
      <w:pPr>
        <w:pStyle w:val="Body"/>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2 :</w:t>
      </w:r>
      <w:proofErr w:type="gramEnd"/>
      <w:r>
        <w:rPr>
          <w:rFonts w:ascii="Arial" w:hAnsi="Arial" w:cs="Arial"/>
          <w:sz w:val="22"/>
          <w:szCs w:val="22"/>
        </w:rPr>
        <w:t xml:space="preserve">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40"/>
        <w:gridCol w:w="1231"/>
        <w:gridCol w:w="840"/>
        <w:gridCol w:w="840"/>
        <w:gridCol w:w="767"/>
      </w:tblGrid>
      <w:tr w:rsidR="007A2F43" w:rsidRPr="007A2F43" w14:paraId="65ED6CB5" w14:textId="77777777" w:rsidTr="007A2F43">
        <w:trPr>
          <w:jc w:val="center"/>
        </w:trPr>
        <w:tc>
          <w:tcPr>
            <w:tcW w:w="0" w:type="auto"/>
            <w:hideMark/>
          </w:tcPr>
          <w:p w14:paraId="524E65FB"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24AB3D8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58643ABC"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82E1E35"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3C499DE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F3BD87F"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449333B7" w14:textId="77777777" w:rsidTr="007A2F43">
        <w:trPr>
          <w:jc w:val="center"/>
        </w:trPr>
        <w:tc>
          <w:tcPr>
            <w:tcW w:w="0" w:type="auto"/>
            <w:hideMark/>
          </w:tcPr>
          <w:p w14:paraId="60703D3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4CEA0C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-0.035</w:t>
            </w:r>
          </w:p>
        </w:tc>
        <w:tc>
          <w:tcPr>
            <w:tcW w:w="0" w:type="auto"/>
            <w:hideMark/>
          </w:tcPr>
          <w:p w14:paraId="49F60A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7EECFC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6496076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-0.640</w:t>
            </w:r>
          </w:p>
        </w:tc>
        <w:tc>
          <w:tcPr>
            <w:tcW w:w="0" w:type="auto"/>
            <w:hideMark/>
          </w:tcPr>
          <w:p w14:paraId="6AA7DB4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0.524</w:t>
            </w:r>
          </w:p>
        </w:tc>
      </w:tr>
      <w:tr w:rsidR="007A2F43" w:rsidRPr="007A2F43" w14:paraId="16B6B050" w14:textId="77777777" w:rsidTr="007A2F43">
        <w:trPr>
          <w:jc w:val="center"/>
        </w:trPr>
        <w:tc>
          <w:tcPr>
            <w:tcW w:w="0" w:type="auto"/>
            <w:hideMark/>
          </w:tcPr>
          <w:p w14:paraId="5E33CAE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03FC98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c>
          <w:tcPr>
            <w:tcW w:w="0" w:type="auto"/>
            <w:hideMark/>
          </w:tcPr>
          <w:p w14:paraId="0C770F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0.058</w:t>
            </w:r>
          </w:p>
        </w:tc>
        <w:tc>
          <w:tcPr>
            <w:tcW w:w="0" w:type="auto"/>
            <w:hideMark/>
          </w:tcPr>
          <w:p w14:paraId="4EA447B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0.068</w:t>
            </w:r>
          </w:p>
        </w:tc>
        <w:tc>
          <w:tcPr>
            <w:tcW w:w="0" w:type="auto"/>
            <w:hideMark/>
          </w:tcPr>
          <w:p w14:paraId="0F6000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0.654</w:t>
            </w:r>
          </w:p>
        </w:tc>
        <w:tc>
          <w:tcPr>
            <w:tcW w:w="0" w:type="auto"/>
            <w:hideMark/>
          </w:tcPr>
          <w:p w14:paraId="710CE4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0.515</w:t>
            </w:r>
          </w:p>
        </w:tc>
      </w:tr>
      <w:tr w:rsidR="007A2F43" w:rsidRPr="007A2F43" w14:paraId="62868147" w14:textId="77777777" w:rsidTr="007A2F43">
        <w:trPr>
          <w:jc w:val="center"/>
        </w:trPr>
        <w:tc>
          <w:tcPr>
            <w:tcW w:w="0" w:type="auto"/>
            <w:hideMark/>
          </w:tcPr>
          <w:p w14:paraId="7996B5A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Env</w:t>
            </w:r>
          </w:p>
        </w:tc>
        <w:tc>
          <w:tcPr>
            <w:tcW w:w="0" w:type="auto"/>
            <w:hideMark/>
          </w:tcPr>
          <w:p w14:paraId="25C43B5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0.128</w:t>
            </w:r>
          </w:p>
        </w:tc>
        <w:tc>
          <w:tcPr>
            <w:tcW w:w="0" w:type="auto"/>
            <w:hideMark/>
          </w:tcPr>
          <w:p w14:paraId="7425206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4F58877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0.287</w:t>
            </w:r>
          </w:p>
        </w:tc>
        <w:tc>
          <w:tcPr>
            <w:tcW w:w="0" w:type="auto"/>
            <w:hideMark/>
          </w:tcPr>
          <w:p w14:paraId="125223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1.686</w:t>
            </w:r>
          </w:p>
        </w:tc>
        <w:tc>
          <w:tcPr>
            <w:tcW w:w="0" w:type="auto"/>
            <w:hideMark/>
          </w:tcPr>
          <w:p w14:paraId="7425A0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0.095</w:t>
            </w:r>
          </w:p>
        </w:tc>
      </w:tr>
      <w:tr w:rsidR="007A2F43" w:rsidRPr="007A2F43" w14:paraId="2108A40C" w14:textId="77777777" w:rsidTr="007A2F43">
        <w:trPr>
          <w:jc w:val="center"/>
        </w:trPr>
        <w:tc>
          <w:tcPr>
            <w:tcW w:w="0" w:type="auto"/>
            <w:hideMark/>
          </w:tcPr>
          <w:p w14:paraId="5D1A6B1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Soc</w:t>
            </w:r>
          </w:p>
        </w:tc>
        <w:tc>
          <w:tcPr>
            <w:tcW w:w="0" w:type="auto"/>
            <w:hideMark/>
          </w:tcPr>
          <w:p w14:paraId="598C2E1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-0.007</w:t>
            </w:r>
          </w:p>
        </w:tc>
        <w:tc>
          <w:tcPr>
            <w:tcW w:w="0" w:type="auto"/>
            <w:hideMark/>
          </w:tcPr>
          <w:p w14:paraId="71D050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5F9A7D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4C890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-0.099</w:t>
            </w:r>
          </w:p>
        </w:tc>
        <w:tc>
          <w:tcPr>
            <w:tcW w:w="0" w:type="auto"/>
            <w:hideMark/>
          </w:tcPr>
          <w:p w14:paraId="5D4E546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0.921</w:t>
            </w:r>
          </w:p>
        </w:tc>
      </w:tr>
      <w:tr w:rsidR="007A2F43" w:rsidRPr="007A2F43" w14:paraId="3652DE1D" w14:textId="77777777" w:rsidTr="007A2F43">
        <w:trPr>
          <w:jc w:val="center"/>
        </w:trPr>
        <w:tc>
          <w:tcPr>
            <w:tcW w:w="0" w:type="auto"/>
            <w:hideMark/>
          </w:tcPr>
          <w:p w14:paraId="638A35C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Gov</w:t>
            </w:r>
          </w:p>
        </w:tc>
        <w:tc>
          <w:tcPr>
            <w:tcW w:w="0" w:type="auto"/>
            <w:hideMark/>
          </w:tcPr>
          <w:p w14:paraId="483DEF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0.065</w:t>
            </w:r>
          </w:p>
        </w:tc>
        <w:tc>
          <w:tcPr>
            <w:tcW w:w="0" w:type="auto"/>
            <w:hideMark/>
          </w:tcPr>
          <w:p w14:paraId="0B267E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5ECABAA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0.146</w:t>
            </w:r>
          </w:p>
        </w:tc>
        <w:tc>
          <w:tcPr>
            <w:tcW w:w="0" w:type="auto"/>
            <w:hideMark/>
          </w:tcPr>
          <w:p w14:paraId="2266B49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1.394</w:t>
            </w:r>
          </w:p>
        </w:tc>
        <w:tc>
          <w:tcPr>
            <w:tcW w:w="0" w:type="auto"/>
            <w:hideMark/>
          </w:tcPr>
          <w:p w14:paraId="5929DE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0.167</w:t>
            </w:r>
          </w:p>
        </w:tc>
      </w:tr>
      <w:tr w:rsidR="007A2F43" w:rsidRPr="007A2F43" w14:paraId="137AF531" w14:textId="77777777" w:rsidTr="007A2F43">
        <w:trPr>
          <w:jc w:val="center"/>
        </w:trPr>
        <w:tc>
          <w:tcPr>
            <w:tcW w:w="0" w:type="auto"/>
            <w:hideMark/>
          </w:tcPr>
          <w:p w14:paraId="241FD621"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w:t>
            </w:r>
            <w:proofErr w:type="spellEnd"/>
          </w:p>
        </w:tc>
        <w:tc>
          <w:tcPr>
            <w:tcW w:w="0" w:type="auto"/>
            <w:hideMark/>
          </w:tcPr>
          <w:p w14:paraId="746670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18F3E78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0.059</w:t>
            </w:r>
          </w:p>
        </w:tc>
        <w:tc>
          <w:tcPr>
            <w:tcW w:w="0" w:type="auto"/>
            <w:hideMark/>
          </w:tcPr>
          <w:p w14:paraId="60060F7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-0.134</w:t>
            </w:r>
          </w:p>
        </w:tc>
        <w:tc>
          <w:tcPr>
            <w:tcW w:w="0" w:type="auto"/>
            <w:hideMark/>
          </w:tcPr>
          <w:p w14:paraId="638C37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-1.281</w:t>
            </w:r>
          </w:p>
        </w:tc>
        <w:tc>
          <w:tcPr>
            <w:tcW w:w="0" w:type="auto"/>
            <w:hideMark/>
          </w:tcPr>
          <w:p w14:paraId="1548589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0.204</w:t>
            </w:r>
          </w:p>
        </w:tc>
      </w:tr>
      <w:tr w:rsidR="007A2F43" w:rsidRPr="007A2F43" w14:paraId="46E515CF" w14:textId="77777777" w:rsidTr="007A2F43">
        <w:trPr>
          <w:jc w:val="center"/>
        </w:trPr>
        <w:tc>
          <w:tcPr>
            <w:tcW w:w="0" w:type="auto"/>
            <w:hideMark/>
          </w:tcPr>
          <w:p w14:paraId="6F1D20F4"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w:t>
            </w:r>
            <w:proofErr w:type="spellEnd"/>
          </w:p>
        </w:tc>
        <w:tc>
          <w:tcPr>
            <w:tcW w:w="0" w:type="auto"/>
            <w:hideMark/>
          </w:tcPr>
          <w:p w14:paraId="4B862DC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-0.064</w:t>
            </w:r>
          </w:p>
        </w:tc>
        <w:tc>
          <w:tcPr>
            <w:tcW w:w="0" w:type="auto"/>
            <w:hideMark/>
          </w:tcPr>
          <w:p w14:paraId="7596C5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0.046</w:t>
            </w:r>
          </w:p>
        </w:tc>
        <w:tc>
          <w:tcPr>
            <w:tcW w:w="0" w:type="auto"/>
            <w:hideMark/>
          </w:tcPr>
          <w:p w14:paraId="342168F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-0.184</w:t>
            </w:r>
          </w:p>
        </w:tc>
        <w:tc>
          <w:tcPr>
            <w:tcW w:w="0" w:type="auto"/>
            <w:hideMark/>
          </w:tcPr>
          <w:p w14:paraId="00C4178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-1.385</w:t>
            </w:r>
          </w:p>
        </w:tc>
        <w:tc>
          <w:tcPr>
            <w:tcW w:w="0" w:type="auto"/>
            <w:hideMark/>
          </w:tcPr>
          <w:p w14:paraId="7DC698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0.169</w:t>
            </w:r>
          </w:p>
        </w:tc>
      </w:tr>
      <w:tr w:rsidR="007A2F43" w:rsidRPr="007A2F43" w14:paraId="1C089F6D" w14:textId="77777777" w:rsidTr="007A2F43">
        <w:trPr>
          <w:jc w:val="center"/>
        </w:trPr>
        <w:tc>
          <w:tcPr>
            <w:tcW w:w="0" w:type="auto"/>
            <w:hideMark/>
          </w:tcPr>
          <w:p w14:paraId="5D829278"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w:t>
            </w:r>
            <w:proofErr w:type="spellEnd"/>
          </w:p>
        </w:tc>
        <w:tc>
          <w:tcPr>
            <w:tcW w:w="0" w:type="auto"/>
            <w:hideMark/>
          </w:tcPr>
          <w:p w14:paraId="7539F1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-0.031</w:t>
            </w:r>
          </w:p>
        </w:tc>
        <w:tc>
          <w:tcPr>
            <w:tcW w:w="0" w:type="auto"/>
            <w:hideMark/>
          </w:tcPr>
          <w:p w14:paraId="4AF237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0.056</w:t>
            </w:r>
          </w:p>
        </w:tc>
        <w:tc>
          <w:tcPr>
            <w:tcW w:w="0" w:type="auto"/>
            <w:hideMark/>
          </w:tcPr>
          <w:p w14:paraId="4954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4E34B18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-0.548</w:t>
            </w:r>
          </w:p>
        </w:tc>
        <w:tc>
          <w:tcPr>
            <w:tcW w:w="0" w:type="auto"/>
            <w:hideMark/>
          </w:tcPr>
          <w:p w14:paraId="568A8B2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0.585</w:t>
            </w:r>
          </w:p>
        </w:tc>
      </w:tr>
    </w:tbl>
    <w:p w14:paraId="5165771C" w14:textId="7EB8AA81" w:rsidR="007A2F43" w:rsidRPr="007A2F43" w:rsidRDefault="007A2F43" w:rsidP="00D6400C">
      <w:pPr>
        <w:pStyle w:val="Body"/>
        <w:rPr>
          <w:rFonts w:ascii="Arial" w:hAnsi="Arial" w:cs="Arial"/>
          <w:sz w:val="22"/>
          <w:szCs w:val="22"/>
        </w:rPr>
      </w:pPr>
      <w:r w:rsidRPr="007A2F43">
        <w:rPr>
          <w:rFonts w:ascii="Arial" w:hAnsi="Arial" w:cs="Arial"/>
          <w:sz w:val="22"/>
          <w:szCs w:val="22"/>
        </w:rPr>
        <w:lastRenderedPageBreak/>
        <w:t>The regression equation for Model I is:</w:t>
      </w:r>
      <w:r w:rsidRPr="007A2F43">
        <w:rPr>
          <w:rFonts w:ascii="Arial" w:hAnsi="Arial" w:cs="Arial"/>
          <w:sz w:val="22"/>
          <w:szCs w:val="22"/>
        </w:rPr>
        <w:br/>
        <w:t>CAR = -0.035 + 0.038UE + 0.128Env – 0.076UE×Env – 0.007Soc – 0.064UE×Soc + 0.065Gov – 0.031UE×Gov + ε.</w:t>
      </w:r>
    </w:p>
    <w:p w14:paraId="621B6F4F" w14:textId="70455182" w:rsidR="007A2F43" w:rsidRDefault="007A2F43" w:rsidP="007A2F43">
      <w:pPr>
        <w:pStyle w:val="NormalWeb"/>
        <w:rPr>
          <w:rFonts w:ascii="Arial" w:hAnsi="Arial" w:cs="Arial"/>
          <w:sz w:val="22"/>
          <w:szCs w:val="22"/>
          <w:lang w:val="en-US"/>
        </w:rPr>
      </w:pPr>
      <w:r w:rsidRPr="007A2F43">
        <w:rPr>
          <w:rFonts w:ascii="Arial" w:hAnsi="Arial" w:cs="Arial"/>
          <w:sz w:val="22"/>
          <w:szCs w:val="22"/>
          <w:lang w:val="en-US"/>
        </w:rPr>
        <w:t>Furthermore, Model II incorporates firm size as a moderating variable, with the results summarized below</w:t>
      </w:r>
    </w:p>
    <w:p w14:paraId="0511D20C" w14:textId="7ACF7C8D" w:rsidR="00384565" w:rsidRPr="007A2F43" w:rsidRDefault="00384565" w:rsidP="007A2F43">
      <w:pPr>
        <w:pStyle w:val="NormalWeb"/>
        <w:rPr>
          <w:rFonts w:ascii="Arial" w:hAnsi="Arial" w:cs="Arial"/>
          <w:sz w:val="22"/>
          <w:szCs w:val="22"/>
          <w:lang w:val="en-US"/>
        </w:rPr>
      </w:pPr>
      <w:r>
        <w:rPr>
          <w:rFonts w:ascii="Arial" w:hAnsi="Arial" w:cs="Arial"/>
          <w:sz w:val="22"/>
          <w:szCs w:val="22"/>
          <w:lang w:val="en-US"/>
        </w:rPr>
        <w:t xml:space="preserve">Table </w:t>
      </w:r>
      <w:proofErr w:type="gramStart"/>
      <w:r>
        <w:rPr>
          <w:rFonts w:ascii="Arial" w:hAnsi="Arial" w:cs="Arial"/>
          <w:sz w:val="22"/>
          <w:szCs w:val="22"/>
          <w:lang w:val="en-US"/>
        </w:rPr>
        <w:t>3 :</w:t>
      </w:r>
      <w:proofErr w:type="gramEnd"/>
      <w:r>
        <w:rPr>
          <w:rFonts w:ascii="Arial" w:hAnsi="Arial" w:cs="Arial"/>
          <w:sz w:val="22"/>
          <w:szCs w:val="22"/>
          <w:lang w:val="en-US"/>
        </w:rPr>
        <w:t xml:space="preserve">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840"/>
        <w:gridCol w:w="1231"/>
        <w:gridCol w:w="840"/>
        <w:gridCol w:w="840"/>
        <w:gridCol w:w="767"/>
      </w:tblGrid>
      <w:tr w:rsidR="007A2F43" w:rsidRPr="007A2F43" w14:paraId="6664E933" w14:textId="77777777" w:rsidTr="007A2F43">
        <w:trPr>
          <w:jc w:val="center"/>
        </w:trPr>
        <w:tc>
          <w:tcPr>
            <w:tcW w:w="0" w:type="auto"/>
            <w:hideMark/>
          </w:tcPr>
          <w:p w14:paraId="64D9D484"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13BABCB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7DE6C6D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9672ACE"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25E1EEB0"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78EA536"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2B6210FA" w14:textId="77777777" w:rsidTr="007A2F43">
        <w:trPr>
          <w:jc w:val="center"/>
        </w:trPr>
        <w:tc>
          <w:tcPr>
            <w:tcW w:w="0" w:type="auto"/>
            <w:hideMark/>
          </w:tcPr>
          <w:p w14:paraId="4853288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3946F5E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-0.041</w:t>
            </w:r>
          </w:p>
        </w:tc>
        <w:tc>
          <w:tcPr>
            <w:tcW w:w="0" w:type="auto"/>
            <w:hideMark/>
          </w:tcPr>
          <w:p w14:paraId="725442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0.053</w:t>
            </w:r>
          </w:p>
        </w:tc>
        <w:tc>
          <w:tcPr>
            <w:tcW w:w="0" w:type="auto"/>
            <w:hideMark/>
          </w:tcPr>
          <w:p w14:paraId="2579FA6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53890CF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-0.776</w:t>
            </w:r>
          </w:p>
        </w:tc>
        <w:tc>
          <w:tcPr>
            <w:tcW w:w="0" w:type="auto"/>
            <w:hideMark/>
          </w:tcPr>
          <w:p w14:paraId="4BC3A3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0.440</w:t>
            </w:r>
          </w:p>
        </w:tc>
      </w:tr>
      <w:tr w:rsidR="007A2F43" w:rsidRPr="007A2F43" w14:paraId="7D8860F1" w14:textId="77777777" w:rsidTr="007A2F43">
        <w:trPr>
          <w:jc w:val="center"/>
        </w:trPr>
        <w:tc>
          <w:tcPr>
            <w:tcW w:w="0" w:type="auto"/>
            <w:hideMark/>
          </w:tcPr>
          <w:p w14:paraId="6C3202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558419F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47E4C95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2F0DA3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39534BA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B89B8E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0.988</w:t>
            </w:r>
          </w:p>
        </w:tc>
      </w:tr>
      <w:tr w:rsidR="007A2F43" w:rsidRPr="007A2F43" w14:paraId="6A8B1B44" w14:textId="77777777" w:rsidTr="007A2F43">
        <w:trPr>
          <w:jc w:val="center"/>
        </w:trPr>
        <w:tc>
          <w:tcPr>
            <w:tcW w:w="0" w:type="auto"/>
            <w:hideMark/>
          </w:tcPr>
          <w:p w14:paraId="73FBFFA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Env</w:t>
            </w:r>
          </w:p>
        </w:tc>
        <w:tc>
          <w:tcPr>
            <w:tcW w:w="0" w:type="auto"/>
            <w:hideMark/>
          </w:tcPr>
          <w:p w14:paraId="258A838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0.072</w:t>
            </w:r>
          </w:p>
        </w:tc>
        <w:tc>
          <w:tcPr>
            <w:tcW w:w="0" w:type="auto"/>
            <w:hideMark/>
          </w:tcPr>
          <w:p w14:paraId="4DE5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0.074</w:t>
            </w:r>
          </w:p>
        </w:tc>
        <w:tc>
          <w:tcPr>
            <w:tcW w:w="0" w:type="auto"/>
            <w:hideMark/>
          </w:tcPr>
          <w:p w14:paraId="7CE1AD4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0.162</w:t>
            </w:r>
          </w:p>
        </w:tc>
        <w:tc>
          <w:tcPr>
            <w:tcW w:w="0" w:type="auto"/>
            <w:hideMark/>
          </w:tcPr>
          <w:p w14:paraId="78C292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0.976</w:t>
            </w:r>
          </w:p>
        </w:tc>
        <w:tc>
          <w:tcPr>
            <w:tcW w:w="0" w:type="auto"/>
            <w:hideMark/>
          </w:tcPr>
          <w:p w14:paraId="5B76759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0.332</w:t>
            </w:r>
          </w:p>
        </w:tc>
      </w:tr>
      <w:tr w:rsidR="007A2F43" w:rsidRPr="007A2F43" w14:paraId="6293F731" w14:textId="77777777" w:rsidTr="007A2F43">
        <w:trPr>
          <w:jc w:val="center"/>
        </w:trPr>
        <w:tc>
          <w:tcPr>
            <w:tcW w:w="0" w:type="auto"/>
            <w:hideMark/>
          </w:tcPr>
          <w:p w14:paraId="75A1FCF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Soc</w:t>
            </w:r>
          </w:p>
        </w:tc>
        <w:tc>
          <w:tcPr>
            <w:tcW w:w="0" w:type="auto"/>
            <w:hideMark/>
          </w:tcPr>
          <w:p w14:paraId="62731DF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7552A05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7DDF23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-0.135</w:t>
            </w:r>
          </w:p>
        </w:tc>
        <w:tc>
          <w:tcPr>
            <w:tcW w:w="0" w:type="auto"/>
            <w:hideMark/>
          </w:tcPr>
          <w:p w14:paraId="74522D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-0.916</w:t>
            </w:r>
          </w:p>
        </w:tc>
        <w:tc>
          <w:tcPr>
            <w:tcW w:w="0" w:type="auto"/>
            <w:hideMark/>
          </w:tcPr>
          <w:p w14:paraId="0FAC5DB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0.362</w:t>
            </w:r>
          </w:p>
        </w:tc>
      </w:tr>
      <w:tr w:rsidR="007A2F43" w:rsidRPr="007A2F43" w14:paraId="02183BE6" w14:textId="77777777" w:rsidTr="007A2F43">
        <w:trPr>
          <w:jc w:val="center"/>
        </w:trPr>
        <w:tc>
          <w:tcPr>
            <w:tcW w:w="0" w:type="auto"/>
            <w:hideMark/>
          </w:tcPr>
          <w:p w14:paraId="617EF81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Gov</w:t>
            </w:r>
          </w:p>
        </w:tc>
        <w:tc>
          <w:tcPr>
            <w:tcW w:w="0" w:type="auto"/>
            <w:hideMark/>
          </w:tcPr>
          <w:p w14:paraId="5F00ED7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41A2B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1A4FE9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0.188</w:t>
            </w:r>
          </w:p>
        </w:tc>
        <w:tc>
          <w:tcPr>
            <w:tcW w:w="0" w:type="auto"/>
            <w:hideMark/>
          </w:tcPr>
          <w:p w14:paraId="06CA340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1.772</w:t>
            </w:r>
          </w:p>
        </w:tc>
        <w:tc>
          <w:tcPr>
            <w:tcW w:w="0" w:type="auto"/>
            <w:hideMark/>
          </w:tcPr>
          <w:p w14:paraId="163B758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0.080</w:t>
            </w:r>
          </w:p>
        </w:tc>
      </w:tr>
      <w:tr w:rsidR="007A2F43" w:rsidRPr="007A2F43" w14:paraId="06EC7C38" w14:textId="77777777" w:rsidTr="007A2F43">
        <w:trPr>
          <w:jc w:val="center"/>
        </w:trPr>
        <w:tc>
          <w:tcPr>
            <w:tcW w:w="0" w:type="auto"/>
            <w:hideMark/>
          </w:tcPr>
          <w:p w14:paraId="76BE8C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Size</w:t>
            </w:r>
          </w:p>
        </w:tc>
        <w:tc>
          <w:tcPr>
            <w:tcW w:w="0" w:type="auto"/>
            <w:hideMark/>
          </w:tcPr>
          <w:p w14:paraId="07114EA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-0.063</w:t>
            </w:r>
          </w:p>
        </w:tc>
        <w:tc>
          <w:tcPr>
            <w:tcW w:w="0" w:type="auto"/>
            <w:hideMark/>
          </w:tcPr>
          <w:p w14:paraId="3E028C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0.085</w:t>
            </w:r>
          </w:p>
        </w:tc>
        <w:tc>
          <w:tcPr>
            <w:tcW w:w="0" w:type="auto"/>
            <w:hideMark/>
          </w:tcPr>
          <w:p w14:paraId="02D1D07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-0.089</w:t>
            </w:r>
          </w:p>
        </w:tc>
        <w:tc>
          <w:tcPr>
            <w:tcW w:w="0" w:type="auto"/>
            <w:hideMark/>
          </w:tcPr>
          <w:p w14:paraId="46375F2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-0.739</w:t>
            </w:r>
          </w:p>
        </w:tc>
        <w:tc>
          <w:tcPr>
            <w:tcW w:w="0" w:type="auto"/>
            <w:hideMark/>
          </w:tcPr>
          <w:p w14:paraId="5549AFD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0.462</w:t>
            </w:r>
          </w:p>
        </w:tc>
      </w:tr>
      <w:tr w:rsidR="007A2F43" w:rsidRPr="007A2F43" w14:paraId="41170B55" w14:textId="77777777" w:rsidTr="007A2F43">
        <w:trPr>
          <w:jc w:val="center"/>
        </w:trPr>
        <w:tc>
          <w:tcPr>
            <w:tcW w:w="0" w:type="auto"/>
            <w:hideMark/>
          </w:tcPr>
          <w:p w14:paraId="39661609"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w:t>
            </w:r>
            <w:proofErr w:type="spellEnd"/>
          </w:p>
        </w:tc>
        <w:tc>
          <w:tcPr>
            <w:tcW w:w="0" w:type="auto"/>
            <w:hideMark/>
          </w:tcPr>
          <w:p w14:paraId="1C6818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-0.121</w:t>
            </w:r>
          </w:p>
        </w:tc>
        <w:tc>
          <w:tcPr>
            <w:tcW w:w="0" w:type="auto"/>
            <w:hideMark/>
          </w:tcPr>
          <w:p w14:paraId="608A9A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4064596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-0.216</w:t>
            </w:r>
          </w:p>
        </w:tc>
        <w:tc>
          <w:tcPr>
            <w:tcW w:w="0" w:type="auto"/>
            <w:hideMark/>
          </w:tcPr>
          <w:p w14:paraId="64C63F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-2.113</w:t>
            </w:r>
          </w:p>
        </w:tc>
        <w:tc>
          <w:tcPr>
            <w:tcW w:w="0" w:type="auto"/>
            <w:hideMark/>
          </w:tcPr>
          <w:p w14:paraId="24753FA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r>
      <w:tr w:rsidR="007A2F43" w:rsidRPr="007A2F43" w14:paraId="64B60014" w14:textId="77777777" w:rsidTr="007A2F43">
        <w:trPr>
          <w:jc w:val="center"/>
        </w:trPr>
        <w:tc>
          <w:tcPr>
            <w:tcW w:w="0" w:type="auto"/>
            <w:hideMark/>
          </w:tcPr>
          <w:p w14:paraId="2C1AA1C8"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w:t>
            </w:r>
            <w:proofErr w:type="spellEnd"/>
          </w:p>
        </w:tc>
        <w:tc>
          <w:tcPr>
            <w:tcW w:w="0" w:type="auto"/>
            <w:hideMark/>
          </w:tcPr>
          <w:p w14:paraId="14BD50B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3DCD8A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0.048</w:t>
            </w:r>
          </w:p>
        </w:tc>
        <w:tc>
          <w:tcPr>
            <w:tcW w:w="0" w:type="auto"/>
            <w:hideMark/>
          </w:tcPr>
          <w:p w14:paraId="115058D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-0.353</w:t>
            </w:r>
          </w:p>
        </w:tc>
        <w:tc>
          <w:tcPr>
            <w:tcW w:w="0" w:type="auto"/>
            <w:hideMark/>
          </w:tcPr>
          <w:p w14:paraId="526D045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-2.533</w:t>
            </w:r>
          </w:p>
        </w:tc>
        <w:tc>
          <w:tcPr>
            <w:tcW w:w="0" w:type="auto"/>
            <w:hideMark/>
          </w:tcPr>
          <w:p w14:paraId="3B4BC44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0.013</w:t>
            </w:r>
          </w:p>
        </w:tc>
      </w:tr>
      <w:tr w:rsidR="007A2F43" w:rsidRPr="007A2F43" w14:paraId="6EC4F82F" w14:textId="77777777" w:rsidTr="007A2F43">
        <w:trPr>
          <w:jc w:val="center"/>
        </w:trPr>
        <w:tc>
          <w:tcPr>
            <w:tcW w:w="0" w:type="auto"/>
            <w:hideMark/>
          </w:tcPr>
          <w:p w14:paraId="352DFE1F"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w:t>
            </w:r>
            <w:proofErr w:type="spellEnd"/>
          </w:p>
        </w:tc>
        <w:tc>
          <w:tcPr>
            <w:tcW w:w="0" w:type="auto"/>
            <w:hideMark/>
          </w:tcPr>
          <w:p w14:paraId="407AB29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-0.020</w:t>
            </w:r>
          </w:p>
        </w:tc>
        <w:tc>
          <w:tcPr>
            <w:tcW w:w="0" w:type="auto"/>
            <w:hideMark/>
          </w:tcPr>
          <w:p w14:paraId="3E22481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4433554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-0.039</w:t>
            </w:r>
          </w:p>
        </w:tc>
        <w:tc>
          <w:tcPr>
            <w:tcW w:w="0" w:type="auto"/>
            <w:hideMark/>
          </w:tcPr>
          <w:p w14:paraId="005C030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-0.361</w:t>
            </w:r>
          </w:p>
        </w:tc>
        <w:tc>
          <w:tcPr>
            <w:tcW w:w="0" w:type="auto"/>
            <w:hideMark/>
          </w:tcPr>
          <w:p w14:paraId="64ECE2C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0.719</w:t>
            </w:r>
          </w:p>
        </w:tc>
      </w:tr>
      <w:tr w:rsidR="007A2F43" w:rsidRPr="007A2F43" w14:paraId="46F6AC60" w14:textId="77777777" w:rsidTr="007A2F43">
        <w:trPr>
          <w:jc w:val="center"/>
        </w:trPr>
        <w:tc>
          <w:tcPr>
            <w:tcW w:w="0" w:type="auto"/>
            <w:hideMark/>
          </w:tcPr>
          <w:p w14:paraId="15721006"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UE×Env×Size</w:t>
            </w:r>
            <w:proofErr w:type="spellEnd"/>
          </w:p>
        </w:tc>
        <w:tc>
          <w:tcPr>
            <w:tcW w:w="0" w:type="auto"/>
            <w:hideMark/>
          </w:tcPr>
          <w:p w14:paraId="53DD6D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0.274</w:t>
            </w:r>
          </w:p>
        </w:tc>
        <w:tc>
          <w:tcPr>
            <w:tcW w:w="0" w:type="auto"/>
            <w:hideMark/>
          </w:tcPr>
          <w:p w14:paraId="70C65CB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04DFDFE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0.340</w:t>
            </w:r>
          </w:p>
        </w:tc>
        <w:tc>
          <w:tcPr>
            <w:tcW w:w="0" w:type="auto"/>
            <w:hideMark/>
          </w:tcPr>
          <w:p w14:paraId="1B9C7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3.269</w:t>
            </w:r>
          </w:p>
        </w:tc>
        <w:tc>
          <w:tcPr>
            <w:tcW w:w="0" w:type="auto"/>
            <w:hideMark/>
          </w:tcPr>
          <w:p w14:paraId="5C8A76A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0.002</w:t>
            </w:r>
          </w:p>
        </w:tc>
      </w:tr>
      <w:tr w:rsidR="007A2F43" w:rsidRPr="007A2F43" w14:paraId="56A90580" w14:textId="77777777" w:rsidTr="007A2F43">
        <w:trPr>
          <w:jc w:val="center"/>
        </w:trPr>
        <w:tc>
          <w:tcPr>
            <w:tcW w:w="0" w:type="auto"/>
            <w:hideMark/>
          </w:tcPr>
          <w:p w14:paraId="003FB233"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UE×Soc×Size</w:t>
            </w:r>
            <w:proofErr w:type="spellEnd"/>
          </w:p>
        </w:tc>
        <w:tc>
          <w:tcPr>
            <w:tcW w:w="0" w:type="auto"/>
            <w:hideMark/>
          </w:tcPr>
          <w:p w14:paraId="26A4016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0.182</w:t>
            </w:r>
          </w:p>
        </w:tc>
        <w:tc>
          <w:tcPr>
            <w:tcW w:w="0" w:type="auto"/>
            <w:hideMark/>
          </w:tcPr>
          <w:p w14:paraId="7CD6B3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0.073</w:t>
            </w:r>
          </w:p>
        </w:tc>
        <w:tc>
          <w:tcPr>
            <w:tcW w:w="0" w:type="auto"/>
            <w:hideMark/>
          </w:tcPr>
          <w:p w14:paraId="53A09BE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0.415</w:t>
            </w:r>
          </w:p>
        </w:tc>
        <w:tc>
          <w:tcPr>
            <w:tcW w:w="0" w:type="auto"/>
            <w:hideMark/>
          </w:tcPr>
          <w:p w14:paraId="538A733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2.507</w:t>
            </w:r>
          </w:p>
        </w:tc>
        <w:tc>
          <w:tcPr>
            <w:tcW w:w="0" w:type="auto"/>
            <w:hideMark/>
          </w:tcPr>
          <w:p w14:paraId="0173E8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r>
      <w:tr w:rsidR="007A2F43" w:rsidRPr="007A2F43" w14:paraId="4BD43C7B" w14:textId="77777777" w:rsidTr="007A2F43">
        <w:trPr>
          <w:jc w:val="center"/>
        </w:trPr>
        <w:tc>
          <w:tcPr>
            <w:tcW w:w="0" w:type="auto"/>
            <w:hideMark/>
          </w:tcPr>
          <w:p w14:paraId="2D44E029"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UE×Gov×Size</w:t>
            </w:r>
            <w:proofErr w:type="spellEnd"/>
          </w:p>
        </w:tc>
        <w:tc>
          <w:tcPr>
            <w:tcW w:w="0" w:type="auto"/>
            <w:hideMark/>
          </w:tcPr>
          <w:p w14:paraId="46584FF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-0.011</w:t>
            </w:r>
          </w:p>
        </w:tc>
        <w:tc>
          <w:tcPr>
            <w:tcW w:w="0" w:type="auto"/>
            <w:hideMark/>
          </w:tcPr>
          <w:p w14:paraId="4500DD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0.087</w:t>
            </w:r>
          </w:p>
        </w:tc>
        <w:tc>
          <w:tcPr>
            <w:tcW w:w="0" w:type="auto"/>
            <w:hideMark/>
          </w:tcPr>
          <w:p w14:paraId="4D3C3E0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c>
          <w:tcPr>
            <w:tcW w:w="0" w:type="auto"/>
            <w:hideMark/>
          </w:tcPr>
          <w:p w14:paraId="1B243D5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58518E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0.903</w:t>
            </w:r>
          </w:p>
        </w:tc>
      </w:tr>
    </w:tbl>
    <w:p w14:paraId="6A127684" w14:textId="77777777" w:rsidR="007A2F43" w:rsidRPr="007A2F43" w:rsidRDefault="007A2F43" w:rsidP="00D6400C">
      <w:pPr>
        <w:pStyle w:val="Body"/>
        <w:rPr>
          <w:rFonts w:ascii="Arial" w:hAnsi="Arial" w:cs="Arial"/>
          <w:sz w:val="22"/>
          <w:szCs w:val="22"/>
        </w:rPr>
      </w:pPr>
    </w:p>
    <w:p w14:paraId="1078A00F" w14:textId="60F675CF" w:rsidR="007A2F43" w:rsidRPr="007A2F43" w:rsidRDefault="007A2F43" w:rsidP="00D6400C">
      <w:pPr>
        <w:pStyle w:val="Body"/>
        <w:rPr>
          <w:rFonts w:ascii="Arial" w:hAnsi="Arial" w:cs="Arial"/>
          <w:sz w:val="22"/>
          <w:szCs w:val="22"/>
        </w:rPr>
      </w:pPr>
      <w:r w:rsidRPr="007A2F43">
        <w:rPr>
          <w:rFonts w:ascii="Arial" w:hAnsi="Arial" w:cs="Arial"/>
          <w:sz w:val="22"/>
          <w:szCs w:val="22"/>
        </w:rPr>
        <w:t>The regression equation for Model II is:</w:t>
      </w:r>
      <w:r w:rsidRPr="007A2F43">
        <w:rPr>
          <w:rFonts w:ascii="Arial" w:hAnsi="Arial" w:cs="Arial"/>
          <w:sz w:val="22"/>
          <w:szCs w:val="22"/>
        </w:rPr>
        <w:br/>
        <w:t>CAR = -0.041 – 0.001UE + 0.072Env – 0.121UE×Env – 0.061Soc – 0.122UE×Soc + 0.084Gov – 0.020UE×Gov – 0.063Size + 0.274UE×Env×Size + 0.182UE×Soc×Size – 0.011UE×Gov×Size + ε.</w:t>
      </w:r>
    </w:p>
    <w:p w14:paraId="35EC2E7F" w14:textId="751A8C83" w:rsidR="00D6400C" w:rsidRDefault="00D6400C" w:rsidP="00D6400C">
      <w:pPr>
        <w:pStyle w:val="Body"/>
        <w:rPr>
          <w:rFonts w:ascii="Arial" w:hAnsi="Arial" w:cs="Arial"/>
          <w:b/>
          <w:sz w:val="22"/>
        </w:rPr>
      </w:pPr>
      <w:r>
        <w:rPr>
          <w:rFonts w:ascii="Arial" w:hAnsi="Arial" w:cs="Arial"/>
          <w:b/>
          <w:sz w:val="22"/>
        </w:rPr>
        <w:t xml:space="preserve">3.4 </w:t>
      </w:r>
      <w:r w:rsidRPr="00D6400C">
        <w:rPr>
          <w:rFonts w:ascii="Arial" w:hAnsi="Arial" w:cs="Arial"/>
          <w:b/>
          <w:sz w:val="22"/>
        </w:rPr>
        <w:t>Model Fit Test (F-test)</w:t>
      </w:r>
    </w:p>
    <w:p w14:paraId="77507876" w14:textId="2CB6B2BF" w:rsidR="00A87D24" w:rsidRDefault="00A87D24" w:rsidP="00D6400C">
      <w:pPr>
        <w:pStyle w:val="Body"/>
        <w:rPr>
          <w:rFonts w:ascii="Arial" w:hAnsi="Arial" w:cs="Arial"/>
          <w:sz w:val="22"/>
          <w:szCs w:val="22"/>
        </w:rPr>
      </w:pPr>
      <w:r w:rsidRPr="00A87D24">
        <w:rPr>
          <w:rFonts w:ascii="Arial" w:hAnsi="Arial" w:cs="Arial"/>
          <w:sz w:val="22"/>
          <w:szCs w:val="22"/>
        </w:rPr>
        <w:t>The model feasibility test (F-test) is conducted to determine whether the regression model is appropriate for further analysis and whether all independent variables jointly influence the dependent variable, as suggested by Imam Ghozali (2013). The results are presented in the following table</w:t>
      </w:r>
      <w:r w:rsidR="00384565">
        <w:rPr>
          <w:rFonts w:ascii="Arial" w:hAnsi="Arial" w:cs="Arial"/>
          <w:sz w:val="22"/>
          <w:szCs w:val="22"/>
        </w:rPr>
        <w:t>.</w:t>
      </w:r>
    </w:p>
    <w:p w14:paraId="2E5CFC82" w14:textId="4D2052A1" w:rsidR="00384565" w:rsidRPr="00A87D24" w:rsidRDefault="00384565" w:rsidP="00D6400C">
      <w:pPr>
        <w:pStyle w:val="Body"/>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4 :</w:t>
      </w:r>
      <w:proofErr w:type="gramEnd"/>
      <w:r>
        <w:rPr>
          <w:rFonts w:ascii="Arial" w:hAnsi="Arial" w:cs="Arial"/>
          <w:sz w:val="22"/>
          <w:szCs w:val="22"/>
        </w:rPr>
        <w:t xml:space="preserve">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91"/>
        <w:gridCol w:w="461"/>
        <w:gridCol w:w="1586"/>
        <w:gridCol w:w="767"/>
        <w:gridCol w:w="767"/>
      </w:tblGrid>
      <w:tr w:rsidR="00A87D24" w:rsidRPr="00A87D24" w14:paraId="580B72BC" w14:textId="77777777" w:rsidTr="00A87D24">
        <w:trPr>
          <w:jc w:val="center"/>
        </w:trPr>
        <w:tc>
          <w:tcPr>
            <w:tcW w:w="0" w:type="auto"/>
            <w:hideMark/>
          </w:tcPr>
          <w:p w14:paraId="3A2F924D"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Model</w:t>
            </w:r>
          </w:p>
        </w:tc>
        <w:tc>
          <w:tcPr>
            <w:tcW w:w="0" w:type="auto"/>
            <w:hideMark/>
          </w:tcPr>
          <w:p w14:paraId="4E0C7348"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Sum of Squares</w:t>
            </w:r>
          </w:p>
        </w:tc>
        <w:tc>
          <w:tcPr>
            <w:tcW w:w="0" w:type="auto"/>
            <w:hideMark/>
          </w:tcPr>
          <w:p w14:paraId="4EAF6CCB"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df</w:t>
            </w:r>
          </w:p>
        </w:tc>
        <w:tc>
          <w:tcPr>
            <w:tcW w:w="0" w:type="auto"/>
            <w:hideMark/>
          </w:tcPr>
          <w:p w14:paraId="3AED8735"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Mean Square</w:t>
            </w:r>
          </w:p>
        </w:tc>
        <w:tc>
          <w:tcPr>
            <w:tcW w:w="0" w:type="auto"/>
            <w:hideMark/>
          </w:tcPr>
          <w:p w14:paraId="4568BF77"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F</w:t>
            </w:r>
          </w:p>
        </w:tc>
        <w:tc>
          <w:tcPr>
            <w:tcW w:w="0" w:type="auto"/>
            <w:hideMark/>
          </w:tcPr>
          <w:p w14:paraId="5E860F72"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Sig.</w:t>
            </w:r>
          </w:p>
        </w:tc>
      </w:tr>
      <w:tr w:rsidR="00A87D24" w:rsidRPr="00A87D24" w14:paraId="2129E6D3" w14:textId="77777777" w:rsidTr="00A87D24">
        <w:trPr>
          <w:jc w:val="center"/>
        </w:trPr>
        <w:tc>
          <w:tcPr>
            <w:tcW w:w="0" w:type="auto"/>
            <w:hideMark/>
          </w:tcPr>
          <w:p w14:paraId="4A3D8CD5" w14:textId="77777777" w:rsidR="00A87D24" w:rsidRPr="00A87D24" w:rsidRDefault="00A87D24" w:rsidP="00A87D24">
            <w:pPr>
              <w:rPr>
                <w:rFonts w:ascii="Arial" w:hAnsi="Arial" w:cs="Arial"/>
                <w:sz w:val="22"/>
                <w:szCs w:val="22"/>
              </w:rPr>
            </w:pPr>
            <w:r w:rsidRPr="00A87D24">
              <w:rPr>
                <w:rFonts w:ascii="Arial" w:hAnsi="Arial" w:cs="Arial"/>
                <w:sz w:val="22"/>
                <w:szCs w:val="22"/>
              </w:rPr>
              <w:t>Regression</w:t>
            </w:r>
          </w:p>
        </w:tc>
        <w:tc>
          <w:tcPr>
            <w:tcW w:w="0" w:type="auto"/>
            <w:hideMark/>
          </w:tcPr>
          <w:p w14:paraId="3650AED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4.920</w:t>
            </w:r>
          </w:p>
        </w:tc>
        <w:tc>
          <w:tcPr>
            <w:tcW w:w="0" w:type="auto"/>
            <w:hideMark/>
          </w:tcPr>
          <w:p w14:paraId="5050DB7A"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11</w:t>
            </w:r>
          </w:p>
        </w:tc>
        <w:tc>
          <w:tcPr>
            <w:tcW w:w="0" w:type="auto"/>
            <w:hideMark/>
          </w:tcPr>
          <w:p w14:paraId="4900C1F1"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0.447</w:t>
            </w:r>
          </w:p>
        </w:tc>
        <w:tc>
          <w:tcPr>
            <w:tcW w:w="0" w:type="auto"/>
            <w:hideMark/>
          </w:tcPr>
          <w:p w14:paraId="3D1D269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2.596</w:t>
            </w:r>
          </w:p>
        </w:tc>
        <w:tc>
          <w:tcPr>
            <w:tcW w:w="0" w:type="auto"/>
            <w:hideMark/>
          </w:tcPr>
          <w:p w14:paraId="225E9293"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0.007</w:t>
            </w:r>
          </w:p>
        </w:tc>
      </w:tr>
      <w:tr w:rsidR="00A87D24" w:rsidRPr="00A87D24" w14:paraId="425BC107" w14:textId="77777777" w:rsidTr="00A87D24">
        <w:trPr>
          <w:jc w:val="center"/>
        </w:trPr>
        <w:tc>
          <w:tcPr>
            <w:tcW w:w="0" w:type="auto"/>
            <w:hideMark/>
          </w:tcPr>
          <w:p w14:paraId="5F88E2D3" w14:textId="77777777" w:rsidR="00A87D24" w:rsidRPr="00A87D24" w:rsidRDefault="00A87D24" w:rsidP="00A87D24">
            <w:pPr>
              <w:rPr>
                <w:rFonts w:ascii="Arial" w:hAnsi="Arial" w:cs="Arial"/>
                <w:sz w:val="22"/>
                <w:szCs w:val="22"/>
              </w:rPr>
            </w:pPr>
            <w:r w:rsidRPr="00A87D24">
              <w:rPr>
                <w:rFonts w:ascii="Arial" w:hAnsi="Arial" w:cs="Arial"/>
                <w:sz w:val="22"/>
                <w:szCs w:val="22"/>
              </w:rPr>
              <w:t>Residual</w:t>
            </w:r>
          </w:p>
        </w:tc>
        <w:tc>
          <w:tcPr>
            <w:tcW w:w="0" w:type="auto"/>
            <w:hideMark/>
          </w:tcPr>
          <w:p w14:paraId="21729F02"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14.474</w:t>
            </w:r>
          </w:p>
        </w:tc>
        <w:tc>
          <w:tcPr>
            <w:tcW w:w="0" w:type="auto"/>
            <w:hideMark/>
          </w:tcPr>
          <w:p w14:paraId="454AC7D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84</w:t>
            </w:r>
          </w:p>
        </w:tc>
        <w:tc>
          <w:tcPr>
            <w:tcW w:w="0" w:type="auto"/>
            <w:hideMark/>
          </w:tcPr>
          <w:p w14:paraId="60E1AB8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0.172</w:t>
            </w:r>
          </w:p>
        </w:tc>
        <w:tc>
          <w:tcPr>
            <w:tcW w:w="0" w:type="auto"/>
            <w:hideMark/>
          </w:tcPr>
          <w:p w14:paraId="4C7ED9EC" w14:textId="77777777" w:rsidR="00A87D24" w:rsidRPr="00A87D24" w:rsidRDefault="00A87D24" w:rsidP="00A87D24">
            <w:pPr>
              <w:jc w:val="center"/>
              <w:rPr>
                <w:rFonts w:ascii="Arial" w:hAnsi="Arial" w:cs="Arial"/>
                <w:sz w:val="22"/>
                <w:szCs w:val="22"/>
              </w:rPr>
            </w:pPr>
          </w:p>
        </w:tc>
        <w:tc>
          <w:tcPr>
            <w:tcW w:w="0" w:type="auto"/>
            <w:hideMark/>
          </w:tcPr>
          <w:p w14:paraId="397B1830" w14:textId="77777777" w:rsidR="00A87D24" w:rsidRPr="00A87D24" w:rsidRDefault="00A87D24" w:rsidP="00A87D24">
            <w:pPr>
              <w:jc w:val="center"/>
              <w:rPr>
                <w:rFonts w:ascii="Arial" w:hAnsi="Arial" w:cs="Arial"/>
                <w:sz w:val="22"/>
                <w:szCs w:val="22"/>
              </w:rPr>
            </w:pPr>
          </w:p>
        </w:tc>
      </w:tr>
      <w:tr w:rsidR="00A87D24" w:rsidRPr="00A87D24" w14:paraId="5363D79C" w14:textId="77777777" w:rsidTr="00A87D24">
        <w:trPr>
          <w:jc w:val="center"/>
        </w:trPr>
        <w:tc>
          <w:tcPr>
            <w:tcW w:w="0" w:type="auto"/>
            <w:hideMark/>
          </w:tcPr>
          <w:p w14:paraId="55091058" w14:textId="77777777" w:rsidR="00A87D24" w:rsidRPr="00A87D24" w:rsidRDefault="00A87D24" w:rsidP="00A87D24">
            <w:pPr>
              <w:rPr>
                <w:rFonts w:ascii="Arial" w:hAnsi="Arial" w:cs="Arial"/>
                <w:sz w:val="22"/>
                <w:szCs w:val="22"/>
              </w:rPr>
            </w:pPr>
            <w:r w:rsidRPr="00A87D24">
              <w:rPr>
                <w:rFonts w:ascii="Arial" w:hAnsi="Arial" w:cs="Arial"/>
                <w:sz w:val="22"/>
                <w:szCs w:val="22"/>
              </w:rPr>
              <w:t>Total</w:t>
            </w:r>
          </w:p>
        </w:tc>
        <w:tc>
          <w:tcPr>
            <w:tcW w:w="0" w:type="auto"/>
            <w:hideMark/>
          </w:tcPr>
          <w:p w14:paraId="57C4E1E6"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19.394</w:t>
            </w:r>
          </w:p>
        </w:tc>
        <w:tc>
          <w:tcPr>
            <w:tcW w:w="0" w:type="auto"/>
            <w:hideMark/>
          </w:tcPr>
          <w:p w14:paraId="371B1DE8"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95</w:t>
            </w:r>
          </w:p>
        </w:tc>
        <w:tc>
          <w:tcPr>
            <w:tcW w:w="0" w:type="auto"/>
            <w:hideMark/>
          </w:tcPr>
          <w:p w14:paraId="26570F98" w14:textId="77777777" w:rsidR="00A87D24" w:rsidRPr="00A87D24" w:rsidRDefault="00A87D24" w:rsidP="00A87D24">
            <w:pPr>
              <w:jc w:val="center"/>
              <w:rPr>
                <w:rFonts w:ascii="Arial" w:hAnsi="Arial" w:cs="Arial"/>
                <w:sz w:val="22"/>
                <w:szCs w:val="22"/>
              </w:rPr>
            </w:pPr>
          </w:p>
        </w:tc>
        <w:tc>
          <w:tcPr>
            <w:tcW w:w="0" w:type="auto"/>
            <w:hideMark/>
          </w:tcPr>
          <w:p w14:paraId="74FE0A8A" w14:textId="77777777" w:rsidR="00A87D24" w:rsidRPr="00A87D24" w:rsidRDefault="00A87D24" w:rsidP="00A87D24">
            <w:pPr>
              <w:jc w:val="center"/>
              <w:rPr>
                <w:rFonts w:ascii="Arial" w:hAnsi="Arial" w:cs="Arial"/>
                <w:sz w:val="22"/>
                <w:szCs w:val="22"/>
              </w:rPr>
            </w:pPr>
          </w:p>
        </w:tc>
        <w:tc>
          <w:tcPr>
            <w:tcW w:w="0" w:type="auto"/>
            <w:hideMark/>
          </w:tcPr>
          <w:p w14:paraId="50E7458B" w14:textId="77777777" w:rsidR="00A87D24" w:rsidRPr="00A87D24" w:rsidRDefault="00A87D24" w:rsidP="00A87D24">
            <w:pPr>
              <w:jc w:val="center"/>
              <w:rPr>
                <w:rFonts w:ascii="Arial" w:hAnsi="Arial" w:cs="Arial"/>
                <w:sz w:val="22"/>
                <w:szCs w:val="22"/>
              </w:rPr>
            </w:pPr>
          </w:p>
        </w:tc>
      </w:tr>
    </w:tbl>
    <w:p w14:paraId="4240D8A9" w14:textId="77777777" w:rsidR="00A87D24" w:rsidRPr="00A87D24" w:rsidRDefault="00A87D24" w:rsidP="00D6400C">
      <w:pPr>
        <w:pStyle w:val="Body"/>
        <w:rPr>
          <w:rFonts w:ascii="Arial" w:hAnsi="Arial" w:cs="Arial"/>
          <w:sz w:val="22"/>
          <w:szCs w:val="22"/>
        </w:rPr>
      </w:pPr>
    </w:p>
    <w:p w14:paraId="0A4DB094" w14:textId="4036F564" w:rsidR="00A87D24" w:rsidRPr="00A87D24" w:rsidRDefault="00A87D24" w:rsidP="00D6400C">
      <w:pPr>
        <w:pStyle w:val="Body"/>
        <w:rPr>
          <w:rFonts w:ascii="Arial" w:hAnsi="Arial" w:cs="Arial"/>
          <w:sz w:val="22"/>
          <w:szCs w:val="22"/>
        </w:rPr>
      </w:pPr>
      <w:r w:rsidRPr="00A87D24">
        <w:rPr>
          <w:rFonts w:ascii="Arial" w:hAnsi="Arial" w:cs="Arial"/>
          <w:sz w:val="22"/>
          <w:szCs w:val="22"/>
        </w:rPr>
        <w:t xml:space="preserve">The regression model produces an F-value of 2.596 with a significance level of 0.007, which is lower than 0.05, indicating that the model is statistically significant and feasible. This implies that all independent variables—including Environmental (Env), Social (Soc), Governance (Gov), Unexpected Earnings (UE), firm size (Size), </w:t>
      </w:r>
      <w:r w:rsidRPr="00A87D24">
        <w:rPr>
          <w:rFonts w:ascii="Arial" w:hAnsi="Arial" w:cs="Arial"/>
          <w:sz w:val="22"/>
          <w:szCs w:val="22"/>
        </w:rPr>
        <w:lastRenderedPageBreak/>
        <w:t>and their interaction terms—simultaneously affect the dependent variable, Cumulative Abnormal Return (CAR). Thus, the regression model, expressed as CAR = α + β</w:t>
      </w:r>
      <w:r w:rsidRPr="00A87D24">
        <w:rPr>
          <w:rFonts w:ascii="Cambria Math" w:hAnsi="Cambria Math" w:cs="Cambria Math"/>
          <w:sz w:val="22"/>
          <w:szCs w:val="22"/>
        </w:rPr>
        <w:t>₁</w:t>
      </w:r>
      <w:r w:rsidRPr="00A87D24">
        <w:rPr>
          <w:rFonts w:ascii="Arial" w:hAnsi="Arial" w:cs="Arial"/>
          <w:sz w:val="22"/>
          <w:szCs w:val="22"/>
        </w:rPr>
        <w:t>UE + β</w:t>
      </w:r>
      <w:r w:rsidRPr="00A87D24">
        <w:rPr>
          <w:rFonts w:ascii="Cambria Math" w:hAnsi="Cambria Math" w:cs="Cambria Math"/>
          <w:sz w:val="22"/>
          <w:szCs w:val="22"/>
        </w:rPr>
        <w:t>₂</w:t>
      </w:r>
      <w:r w:rsidRPr="00A87D24">
        <w:rPr>
          <w:rFonts w:ascii="Arial" w:hAnsi="Arial" w:cs="Arial"/>
          <w:sz w:val="22"/>
          <w:szCs w:val="22"/>
        </w:rPr>
        <w:t>Env + β</w:t>
      </w:r>
      <w:r w:rsidRPr="00A87D24">
        <w:rPr>
          <w:rFonts w:ascii="Cambria Math" w:hAnsi="Cambria Math" w:cs="Cambria Math"/>
          <w:sz w:val="22"/>
          <w:szCs w:val="22"/>
        </w:rPr>
        <w:t>₃</w:t>
      </w:r>
      <w:r w:rsidRPr="00A87D24">
        <w:rPr>
          <w:rFonts w:ascii="Arial" w:hAnsi="Arial" w:cs="Arial"/>
          <w:sz w:val="22"/>
          <w:szCs w:val="22"/>
        </w:rPr>
        <w:t>(</w:t>
      </w:r>
      <w:proofErr w:type="spellStart"/>
      <w:r w:rsidRPr="00A87D24">
        <w:rPr>
          <w:rFonts w:ascii="Arial" w:hAnsi="Arial" w:cs="Arial"/>
          <w:sz w:val="22"/>
          <w:szCs w:val="22"/>
        </w:rPr>
        <w:t>UE×Env</w:t>
      </w:r>
      <w:proofErr w:type="spellEnd"/>
      <w:r w:rsidRPr="00A87D24">
        <w:rPr>
          <w:rFonts w:ascii="Arial" w:hAnsi="Arial" w:cs="Arial"/>
          <w:sz w:val="22"/>
          <w:szCs w:val="22"/>
        </w:rPr>
        <w:t>) + β</w:t>
      </w:r>
      <w:r w:rsidRPr="00A87D24">
        <w:rPr>
          <w:rFonts w:ascii="Cambria Math" w:hAnsi="Cambria Math" w:cs="Cambria Math"/>
          <w:sz w:val="22"/>
          <w:szCs w:val="22"/>
        </w:rPr>
        <w:t>₄</w:t>
      </w:r>
      <w:r w:rsidRPr="00A87D24">
        <w:rPr>
          <w:rFonts w:ascii="Arial" w:hAnsi="Arial" w:cs="Arial"/>
          <w:sz w:val="22"/>
          <w:szCs w:val="22"/>
        </w:rPr>
        <w:t>Soc + β</w:t>
      </w:r>
      <w:r w:rsidRPr="00A87D24">
        <w:rPr>
          <w:rFonts w:ascii="Cambria Math" w:hAnsi="Cambria Math" w:cs="Cambria Math"/>
          <w:sz w:val="22"/>
          <w:szCs w:val="22"/>
        </w:rPr>
        <w:t>₅</w:t>
      </w:r>
      <w:r w:rsidRPr="00A87D24">
        <w:rPr>
          <w:rFonts w:ascii="Arial" w:hAnsi="Arial" w:cs="Arial"/>
          <w:sz w:val="22"/>
          <w:szCs w:val="22"/>
        </w:rPr>
        <w:t>(</w:t>
      </w:r>
      <w:proofErr w:type="spellStart"/>
      <w:r w:rsidRPr="00A87D24">
        <w:rPr>
          <w:rFonts w:ascii="Arial" w:hAnsi="Arial" w:cs="Arial"/>
          <w:sz w:val="22"/>
          <w:szCs w:val="22"/>
        </w:rPr>
        <w:t>UE×Soc</w:t>
      </w:r>
      <w:proofErr w:type="spellEnd"/>
      <w:r w:rsidRPr="00A87D24">
        <w:rPr>
          <w:rFonts w:ascii="Arial" w:hAnsi="Arial" w:cs="Arial"/>
          <w:sz w:val="22"/>
          <w:szCs w:val="22"/>
        </w:rPr>
        <w:t>) + β</w:t>
      </w:r>
      <w:r w:rsidRPr="00A87D24">
        <w:rPr>
          <w:rFonts w:ascii="Cambria Math" w:hAnsi="Cambria Math" w:cs="Cambria Math"/>
          <w:sz w:val="22"/>
          <w:szCs w:val="22"/>
        </w:rPr>
        <w:t>₆</w:t>
      </w:r>
      <w:r w:rsidRPr="00A87D24">
        <w:rPr>
          <w:rFonts w:ascii="Arial" w:hAnsi="Arial" w:cs="Arial"/>
          <w:sz w:val="22"/>
          <w:szCs w:val="22"/>
        </w:rPr>
        <w:t>Gov + β</w:t>
      </w:r>
      <w:r w:rsidRPr="00A87D24">
        <w:rPr>
          <w:rFonts w:ascii="Cambria Math" w:hAnsi="Cambria Math" w:cs="Cambria Math"/>
          <w:sz w:val="22"/>
          <w:szCs w:val="22"/>
        </w:rPr>
        <w:t>₇</w:t>
      </w:r>
      <w:r w:rsidRPr="00A87D24">
        <w:rPr>
          <w:rFonts w:ascii="Arial" w:hAnsi="Arial" w:cs="Arial"/>
          <w:sz w:val="22"/>
          <w:szCs w:val="22"/>
        </w:rPr>
        <w:t>(</w:t>
      </w:r>
      <w:proofErr w:type="spellStart"/>
      <w:r w:rsidRPr="00A87D24">
        <w:rPr>
          <w:rFonts w:ascii="Arial" w:hAnsi="Arial" w:cs="Arial"/>
          <w:sz w:val="22"/>
          <w:szCs w:val="22"/>
        </w:rPr>
        <w:t>UE×Gov</w:t>
      </w:r>
      <w:proofErr w:type="spellEnd"/>
      <w:r w:rsidRPr="00A87D24">
        <w:rPr>
          <w:rFonts w:ascii="Arial" w:hAnsi="Arial" w:cs="Arial"/>
          <w:sz w:val="22"/>
          <w:szCs w:val="22"/>
        </w:rPr>
        <w:t>) + β</w:t>
      </w:r>
      <w:r w:rsidRPr="00A87D24">
        <w:rPr>
          <w:rFonts w:ascii="Cambria Math" w:hAnsi="Cambria Math" w:cs="Cambria Math"/>
          <w:sz w:val="22"/>
          <w:szCs w:val="22"/>
        </w:rPr>
        <w:t>₈</w:t>
      </w:r>
      <w:r w:rsidRPr="00A87D24">
        <w:rPr>
          <w:rFonts w:ascii="Arial" w:hAnsi="Arial" w:cs="Arial"/>
          <w:sz w:val="22"/>
          <w:szCs w:val="22"/>
        </w:rPr>
        <w:t>Size + β</w:t>
      </w:r>
      <w:r w:rsidRPr="00A87D24">
        <w:rPr>
          <w:rFonts w:ascii="Cambria Math" w:hAnsi="Cambria Math" w:cs="Cambria Math"/>
          <w:sz w:val="22"/>
          <w:szCs w:val="22"/>
        </w:rPr>
        <w:t>₉</w:t>
      </w:r>
      <w:r w:rsidRPr="00A87D24">
        <w:rPr>
          <w:rFonts w:ascii="Arial" w:hAnsi="Arial" w:cs="Arial"/>
          <w:sz w:val="22"/>
          <w:szCs w:val="22"/>
        </w:rPr>
        <w:t>(</w:t>
      </w:r>
      <w:proofErr w:type="spellStart"/>
      <w:r w:rsidRPr="00A87D24">
        <w:rPr>
          <w:rFonts w:ascii="Arial" w:hAnsi="Arial" w:cs="Arial"/>
          <w:sz w:val="22"/>
          <w:szCs w:val="22"/>
        </w:rPr>
        <w:t>UE×Env×Size</w:t>
      </w:r>
      <w:proofErr w:type="spellEnd"/>
      <w:r w:rsidRPr="00A87D24">
        <w:rPr>
          <w:rFonts w:ascii="Arial" w:hAnsi="Arial" w:cs="Arial"/>
          <w:sz w:val="22"/>
          <w:szCs w:val="22"/>
        </w:rPr>
        <w:t>) + β</w:t>
      </w:r>
      <w:r w:rsidRPr="00A87D24">
        <w:rPr>
          <w:rFonts w:ascii="Cambria Math" w:hAnsi="Cambria Math" w:cs="Cambria Math"/>
          <w:sz w:val="22"/>
          <w:szCs w:val="22"/>
        </w:rPr>
        <w:t>₁₀</w:t>
      </w:r>
      <w:r w:rsidRPr="00A87D24">
        <w:rPr>
          <w:rFonts w:ascii="Arial" w:hAnsi="Arial" w:cs="Arial"/>
          <w:sz w:val="22"/>
          <w:szCs w:val="22"/>
        </w:rPr>
        <w:t>(</w:t>
      </w:r>
      <w:proofErr w:type="spellStart"/>
      <w:r w:rsidRPr="00A87D24">
        <w:rPr>
          <w:rFonts w:ascii="Arial" w:hAnsi="Arial" w:cs="Arial"/>
          <w:sz w:val="22"/>
          <w:szCs w:val="22"/>
        </w:rPr>
        <w:t>UE×Soc×Size</w:t>
      </w:r>
      <w:proofErr w:type="spellEnd"/>
      <w:r w:rsidRPr="00A87D24">
        <w:rPr>
          <w:rFonts w:ascii="Arial" w:hAnsi="Arial" w:cs="Arial"/>
          <w:sz w:val="22"/>
          <w:szCs w:val="22"/>
        </w:rPr>
        <w:t>) + β</w:t>
      </w:r>
      <w:r w:rsidRPr="00A87D24">
        <w:rPr>
          <w:rFonts w:ascii="Cambria Math" w:hAnsi="Cambria Math" w:cs="Cambria Math"/>
          <w:sz w:val="22"/>
          <w:szCs w:val="22"/>
        </w:rPr>
        <w:t>₁₁</w:t>
      </w:r>
      <w:r w:rsidRPr="00A87D24">
        <w:rPr>
          <w:rFonts w:ascii="Arial" w:hAnsi="Arial" w:cs="Arial"/>
          <w:sz w:val="22"/>
          <w:szCs w:val="22"/>
        </w:rPr>
        <w:t>(</w:t>
      </w:r>
      <w:proofErr w:type="spellStart"/>
      <w:r w:rsidRPr="00A87D24">
        <w:rPr>
          <w:rFonts w:ascii="Arial" w:hAnsi="Arial" w:cs="Arial"/>
          <w:sz w:val="22"/>
          <w:szCs w:val="22"/>
        </w:rPr>
        <w:t>UE×Gov×Size</w:t>
      </w:r>
      <w:proofErr w:type="spellEnd"/>
      <w:r w:rsidRPr="00A87D24">
        <w:rPr>
          <w:rFonts w:ascii="Arial" w:hAnsi="Arial" w:cs="Arial"/>
          <w:sz w:val="22"/>
          <w:szCs w:val="22"/>
        </w:rPr>
        <w:t>) + ε, is considered fit and reliable for explaining variations in Earnings Response Coefficient (ERC).</w:t>
      </w:r>
    </w:p>
    <w:p w14:paraId="40C09A26" w14:textId="58344B54" w:rsidR="00D6400C" w:rsidRDefault="00D6400C" w:rsidP="00D6400C">
      <w:pPr>
        <w:pStyle w:val="Body"/>
        <w:rPr>
          <w:rFonts w:ascii="Arial" w:hAnsi="Arial" w:cs="Arial"/>
          <w:b/>
          <w:sz w:val="22"/>
        </w:rPr>
      </w:pPr>
      <w:r>
        <w:rPr>
          <w:rFonts w:ascii="Arial" w:hAnsi="Arial" w:cs="Arial"/>
          <w:b/>
          <w:sz w:val="22"/>
        </w:rPr>
        <w:t xml:space="preserve">3.5 </w:t>
      </w:r>
      <w:r w:rsidRPr="00D6400C">
        <w:rPr>
          <w:rFonts w:ascii="Arial" w:hAnsi="Arial" w:cs="Arial"/>
          <w:b/>
          <w:sz w:val="22"/>
        </w:rPr>
        <w:t>Coefficient of Determination Test (R2)</w:t>
      </w:r>
    </w:p>
    <w:p w14:paraId="553B72EE" w14:textId="7144F751" w:rsidR="00A87D24" w:rsidRDefault="00A87D24" w:rsidP="00D6400C">
      <w:pPr>
        <w:pStyle w:val="Body"/>
        <w:rPr>
          <w:rFonts w:ascii="Arial" w:hAnsi="Arial" w:cs="Arial"/>
        </w:rPr>
      </w:pPr>
      <w:r w:rsidRPr="00A87D24">
        <w:rPr>
          <w:rFonts w:ascii="Arial" w:hAnsi="Arial" w:cs="Arial"/>
        </w:rPr>
        <w:t>The coefficient of determination (R²) test is used to evaluate the extent to which the regression model explains the variation in the dependent variable, as noted by Imam Ghozali (2013). The results are presented in the following table</w:t>
      </w:r>
      <w:r w:rsidR="00384565">
        <w:rPr>
          <w:rFonts w:ascii="Arial" w:hAnsi="Arial" w:cs="Arial"/>
        </w:rPr>
        <w:t>.</w:t>
      </w:r>
    </w:p>
    <w:p w14:paraId="0A87DC77" w14:textId="59C94EDD" w:rsidR="00384565" w:rsidRDefault="00384565" w:rsidP="00D6400C">
      <w:pPr>
        <w:pStyle w:val="Body"/>
        <w:rPr>
          <w:rFonts w:ascii="Arial" w:hAnsi="Arial" w:cs="Arial"/>
        </w:rPr>
      </w:pPr>
      <w:r>
        <w:rPr>
          <w:rFonts w:ascii="Arial" w:hAnsi="Arial" w:cs="Arial"/>
        </w:rPr>
        <w:t xml:space="preserve">Table </w:t>
      </w:r>
      <w:proofErr w:type="gramStart"/>
      <w:r>
        <w:rPr>
          <w:rFonts w:ascii="Arial" w:hAnsi="Arial" w:cs="Arial"/>
        </w:rPr>
        <w:t>5 :</w:t>
      </w:r>
      <w:proofErr w:type="gramEnd"/>
      <w:r>
        <w:rPr>
          <w:rFonts w:ascii="Arial" w:hAnsi="Arial" w:cs="Arial"/>
        </w:rPr>
        <w:t xml:space="preserve"> </w:t>
      </w:r>
    </w:p>
    <w:p w14:paraId="5E7924B0" w14:textId="77777777" w:rsidR="00384565" w:rsidRDefault="00384565" w:rsidP="00D6400C">
      <w:pPr>
        <w:pStyle w:val="Body"/>
        <w:rPr>
          <w:rFonts w:ascii="Arial" w:hAnsi="Arial" w:cs="Arial"/>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7"/>
        <w:gridCol w:w="1095"/>
        <w:gridCol w:w="2006"/>
        <w:gridCol w:w="2628"/>
      </w:tblGrid>
      <w:tr w:rsidR="00A87D24" w:rsidRPr="00A87D24" w14:paraId="7FEC44EF" w14:textId="77777777" w:rsidTr="00A87D24">
        <w:trPr>
          <w:jc w:val="center"/>
        </w:trPr>
        <w:tc>
          <w:tcPr>
            <w:tcW w:w="0" w:type="auto"/>
            <w:hideMark/>
          </w:tcPr>
          <w:p w14:paraId="09F20E34"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Model</w:t>
            </w:r>
          </w:p>
        </w:tc>
        <w:tc>
          <w:tcPr>
            <w:tcW w:w="0" w:type="auto"/>
            <w:hideMark/>
          </w:tcPr>
          <w:p w14:paraId="26178981"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w:t>
            </w:r>
          </w:p>
        </w:tc>
        <w:tc>
          <w:tcPr>
            <w:tcW w:w="0" w:type="auto"/>
            <w:hideMark/>
          </w:tcPr>
          <w:p w14:paraId="7002DE92"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 Square</w:t>
            </w:r>
          </w:p>
        </w:tc>
        <w:tc>
          <w:tcPr>
            <w:tcW w:w="0" w:type="auto"/>
            <w:hideMark/>
          </w:tcPr>
          <w:p w14:paraId="39217688"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Adjusted R Square</w:t>
            </w:r>
          </w:p>
        </w:tc>
        <w:tc>
          <w:tcPr>
            <w:tcW w:w="0" w:type="auto"/>
            <w:hideMark/>
          </w:tcPr>
          <w:p w14:paraId="53CD2409"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Std. Error of the Estimate</w:t>
            </w:r>
          </w:p>
        </w:tc>
      </w:tr>
      <w:tr w:rsidR="00A87D24" w:rsidRPr="00A87D24" w14:paraId="7A82ACBD" w14:textId="77777777" w:rsidTr="00A87D24">
        <w:trPr>
          <w:jc w:val="center"/>
        </w:trPr>
        <w:tc>
          <w:tcPr>
            <w:tcW w:w="0" w:type="auto"/>
            <w:hideMark/>
          </w:tcPr>
          <w:p w14:paraId="261D7299" w14:textId="77777777" w:rsidR="00A87D24" w:rsidRPr="00A87D24" w:rsidRDefault="00A87D24" w:rsidP="00A87D24">
            <w:pPr>
              <w:rPr>
                <w:rFonts w:ascii="Arial" w:hAnsi="Arial" w:cs="Arial"/>
                <w:lang w:val="en-ID"/>
              </w:rPr>
            </w:pPr>
            <w:r w:rsidRPr="00A87D24">
              <w:rPr>
                <w:rFonts w:ascii="Arial" w:hAnsi="Arial" w:cs="Arial"/>
                <w:lang w:val="en-ID"/>
              </w:rPr>
              <w:t>1</w:t>
            </w:r>
          </w:p>
        </w:tc>
        <w:tc>
          <w:tcPr>
            <w:tcW w:w="0" w:type="auto"/>
            <w:hideMark/>
          </w:tcPr>
          <w:p w14:paraId="52C20F1A" w14:textId="77777777" w:rsidR="00A87D24" w:rsidRPr="00A87D24" w:rsidRDefault="00A87D24" w:rsidP="00A87D24">
            <w:pPr>
              <w:jc w:val="center"/>
              <w:rPr>
                <w:rFonts w:ascii="Arial" w:hAnsi="Arial" w:cs="Arial"/>
                <w:lang w:val="en-ID"/>
              </w:rPr>
            </w:pPr>
            <w:r w:rsidRPr="00A87D24">
              <w:rPr>
                <w:rFonts w:ascii="Arial" w:hAnsi="Arial" w:cs="Arial"/>
                <w:lang w:val="en-ID"/>
              </w:rPr>
              <w:t>0.504</w:t>
            </w:r>
          </w:p>
        </w:tc>
        <w:tc>
          <w:tcPr>
            <w:tcW w:w="0" w:type="auto"/>
            <w:hideMark/>
          </w:tcPr>
          <w:p w14:paraId="79CA4922" w14:textId="77777777" w:rsidR="00A87D24" w:rsidRPr="00A87D24" w:rsidRDefault="00A87D24" w:rsidP="00A87D24">
            <w:pPr>
              <w:jc w:val="center"/>
              <w:rPr>
                <w:rFonts w:ascii="Arial" w:hAnsi="Arial" w:cs="Arial"/>
                <w:lang w:val="en-ID"/>
              </w:rPr>
            </w:pPr>
            <w:r w:rsidRPr="00A87D24">
              <w:rPr>
                <w:rFonts w:ascii="Arial" w:hAnsi="Arial" w:cs="Arial"/>
                <w:lang w:val="en-ID"/>
              </w:rPr>
              <w:t>0.254</w:t>
            </w:r>
          </w:p>
        </w:tc>
        <w:tc>
          <w:tcPr>
            <w:tcW w:w="0" w:type="auto"/>
            <w:hideMark/>
          </w:tcPr>
          <w:p w14:paraId="6064A4BF" w14:textId="77777777" w:rsidR="00A87D24" w:rsidRPr="00A87D24" w:rsidRDefault="00A87D24" w:rsidP="00A87D24">
            <w:pPr>
              <w:jc w:val="center"/>
              <w:rPr>
                <w:rFonts w:ascii="Arial" w:hAnsi="Arial" w:cs="Arial"/>
                <w:lang w:val="en-ID"/>
              </w:rPr>
            </w:pPr>
            <w:r w:rsidRPr="00A87D24">
              <w:rPr>
                <w:rFonts w:ascii="Arial" w:hAnsi="Arial" w:cs="Arial"/>
                <w:lang w:val="en-ID"/>
              </w:rPr>
              <w:t>0.156</w:t>
            </w:r>
          </w:p>
        </w:tc>
        <w:tc>
          <w:tcPr>
            <w:tcW w:w="0" w:type="auto"/>
            <w:hideMark/>
          </w:tcPr>
          <w:p w14:paraId="101115EC" w14:textId="77777777" w:rsidR="00A87D24" w:rsidRPr="00A87D24" w:rsidRDefault="00A87D24" w:rsidP="00A87D24">
            <w:pPr>
              <w:jc w:val="center"/>
              <w:rPr>
                <w:rFonts w:ascii="Arial" w:hAnsi="Arial" w:cs="Arial"/>
                <w:lang w:val="en-ID"/>
              </w:rPr>
            </w:pPr>
            <w:r w:rsidRPr="00A87D24">
              <w:rPr>
                <w:rFonts w:ascii="Arial" w:hAnsi="Arial" w:cs="Arial"/>
                <w:lang w:val="en-ID"/>
              </w:rPr>
              <w:t>0.415095293</w:t>
            </w:r>
          </w:p>
        </w:tc>
      </w:tr>
    </w:tbl>
    <w:p w14:paraId="0D2FA07F" w14:textId="77777777" w:rsidR="00A87D24" w:rsidRDefault="00A87D24" w:rsidP="00D6400C">
      <w:pPr>
        <w:pStyle w:val="Body"/>
        <w:rPr>
          <w:rFonts w:ascii="Arial" w:hAnsi="Arial" w:cs="Arial"/>
        </w:rPr>
      </w:pPr>
    </w:p>
    <w:p w14:paraId="75446087" w14:textId="1D3173AE" w:rsidR="00A87D24" w:rsidRPr="00A87D24" w:rsidRDefault="00A87D24" w:rsidP="00D6400C">
      <w:pPr>
        <w:pStyle w:val="Body"/>
        <w:rPr>
          <w:rFonts w:ascii="Arial" w:hAnsi="Arial" w:cs="Arial"/>
        </w:rPr>
      </w:pPr>
      <w:r w:rsidRPr="00A87D24">
        <w:rPr>
          <w:rFonts w:ascii="Arial" w:hAnsi="Arial" w:cs="Arial"/>
        </w:rPr>
        <w:t>The R value of 0.504 indicates a moderate correlation between the independent variables and the dependent variable, Cumulative Abnormal Return (CAR) as a proxy for ERC. The R Square value of 0.254 implies that 25.4% of the variation in ERC can be explained by Environmental (Env), Social (Soc), Governance (Gov), Unexpected Earnings (UE), firm size (Size), and their interaction terms, while the remaining 74.6% is influenced by other factors. Furthermore, the Adjusted R Square of 0.156 suggests that after adjusting for the number of variables and sample size, the model explains only 15.6% of the variation, indicating relatively weak explanatory power.</w:t>
      </w:r>
    </w:p>
    <w:p w14:paraId="30CC932E" w14:textId="5559AEBA" w:rsidR="00D6400C" w:rsidRPr="00D6400C" w:rsidRDefault="00D6400C" w:rsidP="00D6400C">
      <w:pPr>
        <w:pStyle w:val="Body"/>
        <w:rPr>
          <w:rFonts w:ascii="Arial" w:hAnsi="Arial" w:cs="Arial"/>
          <w:b/>
          <w:sz w:val="22"/>
        </w:rPr>
      </w:pPr>
      <w:r>
        <w:rPr>
          <w:rFonts w:ascii="Arial" w:hAnsi="Arial" w:cs="Arial"/>
          <w:b/>
          <w:sz w:val="22"/>
        </w:rPr>
        <w:t xml:space="preserve">3.6 </w:t>
      </w:r>
      <w:r w:rsidRPr="00D6400C">
        <w:rPr>
          <w:rFonts w:ascii="Arial" w:hAnsi="Arial" w:cs="Arial"/>
          <w:b/>
          <w:sz w:val="22"/>
        </w:rPr>
        <w:t xml:space="preserve">Partial Test (T-test) </w:t>
      </w:r>
    </w:p>
    <w:p w14:paraId="3BA8005F" w14:textId="06A4548E" w:rsidR="008443F6" w:rsidRDefault="008443F6" w:rsidP="008443F6">
      <w:pPr>
        <w:pStyle w:val="Body"/>
        <w:rPr>
          <w:rFonts w:ascii="Arial" w:hAnsi="Arial" w:cs="Arial"/>
        </w:rPr>
      </w:pPr>
      <w:r w:rsidRPr="008443F6">
        <w:rPr>
          <w:rFonts w:ascii="Arial" w:hAnsi="Arial" w:cs="Arial"/>
        </w:rPr>
        <w:t>The partial test (T-test) is used to examine the individual effect of each independent variable on the dependent variable at a 5% significance level. The results are presented in Table 4, which shows that Environmental disclosure (</w:t>
      </w:r>
      <w:proofErr w:type="spellStart"/>
      <w:r w:rsidRPr="008443F6">
        <w:rPr>
          <w:rFonts w:ascii="Arial" w:hAnsi="Arial" w:cs="Arial"/>
        </w:rPr>
        <w:t>EnvUE</w:t>
      </w:r>
      <w:proofErr w:type="spellEnd"/>
      <w:r w:rsidRPr="008443F6">
        <w:rPr>
          <w:rFonts w:ascii="Arial" w:hAnsi="Arial" w:cs="Arial"/>
        </w:rPr>
        <w:t>) has a negative and significant effect on Earnings Response Coefficient (ERC), with a coefficient of -0.121 and a significance value of 0.038, therefore H1 is not supported. Social disclosure (</w:t>
      </w:r>
      <w:proofErr w:type="spellStart"/>
      <w:r w:rsidRPr="008443F6">
        <w:rPr>
          <w:rFonts w:ascii="Arial" w:hAnsi="Arial" w:cs="Arial"/>
        </w:rPr>
        <w:t>SocUE</w:t>
      </w:r>
      <w:proofErr w:type="spellEnd"/>
      <w:r w:rsidRPr="008443F6">
        <w:rPr>
          <w:rFonts w:ascii="Arial" w:hAnsi="Arial" w:cs="Arial"/>
        </w:rPr>
        <w:t>) also has a negative and significant effect on ERC, with a coefficient of -0.122 and a significance value of 0.013, so H2 is not supported. Meanwhile, Governance disclosure (Gov*UE) has no significant effect on ERC, with a coefficient of -0.020 and a significance value of 0.719, thus H3 is not supported.</w:t>
      </w:r>
    </w:p>
    <w:p w14:paraId="5914ADF8" w14:textId="34774A24" w:rsidR="00384565" w:rsidRDefault="00384565" w:rsidP="008443F6">
      <w:pPr>
        <w:pStyle w:val="Body"/>
        <w:rPr>
          <w:rFonts w:ascii="Arial" w:hAnsi="Arial" w:cs="Arial"/>
        </w:rPr>
      </w:pPr>
      <w:r>
        <w:rPr>
          <w:rFonts w:ascii="Arial" w:hAnsi="Arial" w:cs="Arial"/>
        </w:rPr>
        <w:t xml:space="preserve">Table </w:t>
      </w:r>
      <w:proofErr w:type="gramStart"/>
      <w:r>
        <w:rPr>
          <w:rFonts w:ascii="Arial" w:hAnsi="Arial" w:cs="Arial"/>
        </w:rPr>
        <w:t>6 :</w:t>
      </w:r>
      <w:proofErr w:type="gramEnd"/>
      <w:r>
        <w:rPr>
          <w:rFonts w:ascii="Arial" w:hAnsi="Arial" w:cs="Arial"/>
        </w:rPr>
        <w:t xml:space="preserve">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4"/>
        <w:gridCol w:w="1139"/>
        <w:gridCol w:w="784"/>
        <w:gridCol w:w="784"/>
        <w:gridCol w:w="717"/>
        <w:gridCol w:w="1817"/>
      </w:tblGrid>
      <w:tr w:rsidR="008443F6" w:rsidRPr="008443F6" w14:paraId="590FD9D5" w14:textId="77777777" w:rsidTr="008443F6">
        <w:trPr>
          <w:jc w:val="center"/>
        </w:trPr>
        <w:tc>
          <w:tcPr>
            <w:tcW w:w="0" w:type="auto"/>
            <w:hideMark/>
          </w:tcPr>
          <w:p w14:paraId="16D603E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Variable</w:t>
            </w:r>
          </w:p>
        </w:tc>
        <w:tc>
          <w:tcPr>
            <w:tcW w:w="0" w:type="auto"/>
            <w:hideMark/>
          </w:tcPr>
          <w:p w14:paraId="2B618772"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w:t>
            </w:r>
          </w:p>
        </w:tc>
        <w:tc>
          <w:tcPr>
            <w:tcW w:w="0" w:type="auto"/>
            <w:hideMark/>
          </w:tcPr>
          <w:p w14:paraId="5795ECEA"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Std. Error</w:t>
            </w:r>
          </w:p>
        </w:tc>
        <w:tc>
          <w:tcPr>
            <w:tcW w:w="0" w:type="auto"/>
            <w:hideMark/>
          </w:tcPr>
          <w:p w14:paraId="2DAEB84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Beta</w:t>
            </w:r>
          </w:p>
        </w:tc>
        <w:tc>
          <w:tcPr>
            <w:tcW w:w="0" w:type="auto"/>
            <w:hideMark/>
          </w:tcPr>
          <w:p w14:paraId="22E1665F"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t</w:t>
            </w:r>
          </w:p>
        </w:tc>
        <w:tc>
          <w:tcPr>
            <w:tcW w:w="0" w:type="auto"/>
            <w:hideMark/>
          </w:tcPr>
          <w:p w14:paraId="3C2122C7"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Sig.</w:t>
            </w:r>
          </w:p>
        </w:tc>
        <w:tc>
          <w:tcPr>
            <w:tcW w:w="0" w:type="auto"/>
            <w:hideMark/>
          </w:tcPr>
          <w:p w14:paraId="5E400515"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Conclusion</w:t>
            </w:r>
          </w:p>
        </w:tc>
      </w:tr>
      <w:tr w:rsidR="008443F6" w:rsidRPr="008443F6" w14:paraId="1E3F9E63" w14:textId="77777777" w:rsidTr="008443F6">
        <w:trPr>
          <w:jc w:val="center"/>
        </w:trPr>
        <w:tc>
          <w:tcPr>
            <w:tcW w:w="0" w:type="auto"/>
            <w:hideMark/>
          </w:tcPr>
          <w:p w14:paraId="5024AD19" w14:textId="77777777" w:rsidR="008443F6" w:rsidRPr="008443F6" w:rsidRDefault="008443F6" w:rsidP="008443F6">
            <w:pPr>
              <w:rPr>
                <w:rFonts w:ascii="Arial" w:hAnsi="Arial" w:cs="Arial"/>
                <w:lang w:val="en-ID"/>
              </w:rPr>
            </w:pPr>
            <w:r w:rsidRPr="008443F6">
              <w:rPr>
                <w:rFonts w:ascii="Arial" w:hAnsi="Arial" w:cs="Arial"/>
                <w:lang w:val="en-ID"/>
              </w:rPr>
              <w:t>(Constant)</w:t>
            </w:r>
          </w:p>
        </w:tc>
        <w:tc>
          <w:tcPr>
            <w:tcW w:w="0" w:type="auto"/>
            <w:hideMark/>
          </w:tcPr>
          <w:p w14:paraId="2A11876D" w14:textId="77777777" w:rsidR="008443F6" w:rsidRPr="008443F6" w:rsidRDefault="008443F6" w:rsidP="008443F6">
            <w:pPr>
              <w:jc w:val="center"/>
              <w:rPr>
                <w:rFonts w:ascii="Arial" w:hAnsi="Arial" w:cs="Arial"/>
                <w:lang w:val="en-ID"/>
              </w:rPr>
            </w:pPr>
            <w:r w:rsidRPr="008443F6">
              <w:rPr>
                <w:rFonts w:ascii="Arial" w:hAnsi="Arial" w:cs="Arial"/>
                <w:lang w:val="en-ID"/>
              </w:rPr>
              <w:t>-0.041</w:t>
            </w:r>
          </w:p>
        </w:tc>
        <w:tc>
          <w:tcPr>
            <w:tcW w:w="0" w:type="auto"/>
            <w:hideMark/>
          </w:tcPr>
          <w:p w14:paraId="7D853749" w14:textId="77777777" w:rsidR="008443F6" w:rsidRPr="008443F6" w:rsidRDefault="008443F6" w:rsidP="008443F6">
            <w:pPr>
              <w:jc w:val="center"/>
              <w:rPr>
                <w:rFonts w:ascii="Arial" w:hAnsi="Arial" w:cs="Arial"/>
                <w:lang w:val="en-ID"/>
              </w:rPr>
            </w:pPr>
            <w:r w:rsidRPr="008443F6">
              <w:rPr>
                <w:rFonts w:ascii="Arial" w:hAnsi="Arial" w:cs="Arial"/>
                <w:lang w:val="en-ID"/>
              </w:rPr>
              <w:t>0.053</w:t>
            </w:r>
          </w:p>
        </w:tc>
        <w:tc>
          <w:tcPr>
            <w:tcW w:w="0" w:type="auto"/>
            <w:hideMark/>
          </w:tcPr>
          <w:p w14:paraId="7AA6F1CA" w14:textId="77777777" w:rsidR="008443F6" w:rsidRPr="008443F6" w:rsidRDefault="008443F6" w:rsidP="008443F6">
            <w:pPr>
              <w:jc w:val="center"/>
              <w:rPr>
                <w:rFonts w:ascii="Arial" w:hAnsi="Arial" w:cs="Arial"/>
                <w:lang w:val="en-ID"/>
              </w:rPr>
            </w:pPr>
          </w:p>
        </w:tc>
        <w:tc>
          <w:tcPr>
            <w:tcW w:w="0" w:type="auto"/>
            <w:hideMark/>
          </w:tcPr>
          <w:p w14:paraId="7196BF67" w14:textId="77777777" w:rsidR="008443F6" w:rsidRPr="008443F6" w:rsidRDefault="008443F6" w:rsidP="008443F6">
            <w:pPr>
              <w:jc w:val="center"/>
              <w:rPr>
                <w:rFonts w:ascii="Arial" w:hAnsi="Arial" w:cs="Arial"/>
                <w:lang w:val="en-ID"/>
              </w:rPr>
            </w:pPr>
            <w:r w:rsidRPr="008443F6">
              <w:rPr>
                <w:rFonts w:ascii="Arial" w:hAnsi="Arial" w:cs="Arial"/>
                <w:lang w:val="en-ID"/>
              </w:rPr>
              <w:t>-0.776</w:t>
            </w:r>
          </w:p>
        </w:tc>
        <w:tc>
          <w:tcPr>
            <w:tcW w:w="0" w:type="auto"/>
            <w:hideMark/>
          </w:tcPr>
          <w:p w14:paraId="3F39B759" w14:textId="77777777" w:rsidR="008443F6" w:rsidRPr="008443F6" w:rsidRDefault="008443F6" w:rsidP="008443F6">
            <w:pPr>
              <w:jc w:val="center"/>
              <w:rPr>
                <w:rFonts w:ascii="Arial" w:hAnsi="Arial" w:cs="Arial"/>
                <w:lang w:val="en-ID"/>
              </w:rPr>
            </w:pPr>
            <w:r w:rsidRPr="008443F6">
              <w:rPr>
                <w:rFonts w:ascii="Arial" w:hAnsi="Arial" w:cs="Arial"/>
                <w:lang w:val="en-ID"/>
              </w:rPr>
              <w:t>0.440</w:t>
            </w:r>
          </w:p>
        </w:tc>
        <w:tc>
          <w:tcPr>
            <w:tcW w:w="0" w:type="auto"/>
            <w:hideMark/>
          </w:tcPr>
          <w:p w14:paraId="243B9E96" w14:textId="77777777" w:rsidR="008443F6" w:rsidRPr="008443F6" w:rsidRDefault="008443F6" w:rsidP="008443F6">
            <w:pPr>
              <w:jc w:val="center"/>
              <w:rPr>
                <w:rFonts w:ascii="Arial" w:hAnsi="Arial" w:cs="Arial"/>
                <w:lang w:val="en-ID"/>
              </w:rPr>
            </w:pPr>
          </w:p>
        </w:tc>
      </w:tr>
      <w:tr w:rsidR="008443F6" w:rsidRPr="008443F6" w14:paraId="4C88D94A" w14:textId="77777777" w:rsidTr="008443F6">
        <w:trPr>
          <w:jc w:val="center"/>
        </w:trPr>
        <w:tc>
          <w:tcPr>
            <w:tcW w:w="0" w:type="auto"/>
            <w:hideMark/>
          </w:tcPr>
          <w:p w14:paraId="09ABF0CB" w14:textId="77777777" w:rsidR="008443F6" w:rsidRPr="008443F6" w:rsidRDefault="008443F6" w:rsidP="008443F6">
            <w:pPr>
              <w:rPr>
                <w:rFonts w:ascii="Arial" w:hAnsi="Arial" w:cs="Arial"/>
                <w:lang w:val="en-ID"/>
              </w:rPr>
            </w:pPr>
            <w:proofErr w:type="spellStart"/>
            <w:r w:rsidRPr="008443F6">
              <w:rPr>
                <w:rFonts w:ascii="Arial" w:hAnsi="Arial" w:cs="Arial"/>
                <w:lang w:val="en-ID"/>
              </w:rPr>
              <w:t>UEit</w:t>
            </w:r>
            <w:proofErr w:type="spellEnd"/>
          </w:p>
        </w:tc>
        <w:tc>
          <w:tcPr>
            <w:tcW w:w="0" w:type="auto"/>
            <w:hideMark/>
          </w:tcPr>
          <w:p w14:paraId="24415166"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78DC6BA0"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3B19D475"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68F86597" w14:textId="77777777" w:rsidR="008443F6" w:rsidRPr="008443F6" w:rsidRDefault="008443F6" w:rsidP="008443F6">
            <w:pPr>
              <w:jc w:val="center"/>
              <w:rPr>
                <w:rFonts w:ascii="Arial" w:hAnsi="Arial" w:cs="Arial"/>
                <w:lang w:val="en-ID"/>
              </w:rPr>
            </w:pPr>
            <w:r w:rsidRPr="008443F6">
              <w:rPr>
                <w:rFonts w:ascii="Arial" w:hAnsi="Arial" w:cs="Arial"/>
                <w:lang w:val="en-ID"/>
              </w:rPr>
              <w:t>-0.015</w:t>
            </w:r>
          </w:p>
        </w:tc>
        <w:tc>
          <w:tcPr>
            <w:tcW w:w="0" w:type="auto"/>
            <w:hideMark/>
          </w:tcPr>
          <w:p w14:paraId="1C5E50F0" w14:textId="77777777" w:rsidR="008443F6" w:rsidRPr="008443F6" w:rsidRDefault="008443F6" w:rsidP="008443F6">
            <w:pPr>
              <w:jc w:val="center"/>
              <w:rPr>
                <w:rFonts w:ascii="Arial" w:hAnsi="Arial" w:cs="Arial"/>
                <w:lang w:val="en-ID"/>
              </w:rPr>
            </w:pPr>
            <w:r w:rsidRPr="008443F6">
              <w:rPr>
                <w:rFonts w:ascii="Arial" w:hAnsi="Arial" w:cs="Arial"/>
                <w:lang w:val="en-ID"/>
              </w:rPr>
              <w:t>0.988</w:t>
            </w:r>
          </w:p>
        </w:tc>
        <w:tc>
          <w:tcPr>
            <w:tcW w:w="0" w:type="auto"/>
            <w:hideMark/>
          </w:tcPr>
          <w:p w14:paraId="6953BD0F" w14:textId="77777777" w:rsidR="008443F6" w:rsidRPr="008443F6" w:rsidRDefault="008443F6" w:rsidP="008443F6">
            <w:pPr>
              <w:jc w:val="center"/>
              <w:rPr>
                <w:rFonts w:ascii="Arial" w:hAnsi="Arial" w:cs="Arial"/>
                <w:lang w:val="en-ID"/>
              </w:rPr>
            </w:pPr>
            <w:r w:rsidRPr="008443F6">
              <w:rPr>
                <w:rFonts w:ascii="Arial" w:hAnsi="Arial" w:cs="Arial"/>
                <w:lang w:val="en-ID"/>
              </w:rPr>
              <w:t>Not Significant</w:t>
            </w:r>
          </w:p>
        </w:tc>
      </w:tr>
      <w:tr w:rsidR="008443F6" w:rsidRPr="008443F6" w14:paraId="1B6362CA" w14:textId="77777777" w:rsidTr="008443F6">
        <w:trPr>
          <w:jc w:val="center"/>
        </w:trPr>
        <w:tc>
          <w:tcPr>
            <w:tcW w:w="0" w:type="auto"/>
            <w:hideMark/>
          </w:tcPr>
          <w:p w14:paraId="3904DADA" w14:textId="77777777" w:rsidR="008443F6" w:rsidRPr="008443F6" w:rsidRDefault="008443F6" w:rsidP="008443F6">
            <w:pPr>
              <w:rPr>
                <w:rFonts w:ascii="Arial" w:hAnsi="Arial" w:cs="Arial"/>
                <w:lang w:val="en-ID"/>
              </w:rPr>
            </w:pPr>
            <w:r w:rsidRPr="008443F6">
              <w:rPr>
                <w:rFonts w:ascii="Arial" w:hAnsi="Arial" w:cs="Arial"/>
                <w:lang w:val="en-ID"/>
              </w:rPr>
              <w:t>Env*UE</w:t>
            </w:r>
          </w:p>
        </w:tc>
        <w:tc>
          <w:tcPr>
            <w:tcW w:w="0" w:type="auto"/>
            <w:hideMark/>
          </w:tcPr>
          <w:p w14:paraId="0A4CB76A" w14:textId="77777777" w:rsidR="008443F6" w:rsidRPr="008443F6" w:rsidRDefault="008443F6" w:rsidP="008443F6">
            <w:pPr>
              <w:jc w:val="center"/>
              <w:rPr>
                <w:rFonts w:ascii="Arial" w:hAnsi="Arial" w:cs="Arial"/>
                <w:lang w:val="en-ID"/>
              </w:rPr>
            </w:pPr>
            <w:r w:rsidRPr="008443F6">
              <w:rPr>
                <w:rFonts w:ascii="Arial" w:hAnsi="Arial" w:cs="Arial"/>
                <w:lang w:val="en-ID"/>
              </w:rPr>
              <w:t>-0.121</w:t>
            </w:r>
          </w:p>
        </w:tc>
        <w:tc>
          <w:tcPr>
            <w:tcW w:w="0" w:type="auto"/>
            <w:hideMark/>
          </w:tcPr>
          <w:p w14:paraId="3C25054C"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7348F964" w14:textId="77777777" w:rsidR="008443F6" w:rsidRPr="008443F6" w:rsidRDefault="008443F6" w:rsidP="008443F6">
            <w:pPr>
              <w:jc w:val="center"/>
              <w:rPr>
                <w:rFonts w:ascii="Arial" w:hAnsi="Arial" w:cs="Arial"/>
                <w:lang w:val="en-ID"/>
              </w:rPr>
            </w:pPr>
            <w:r w:rsidRPr="008443F6">
              <w:rPr>
                <w:rFonts w:ascii="Arial" w:hAnsi="Arial" w:cs="Arial"/>
                <w:lang w:val="en-ID"/>
              </w:rPr>
              <w:t>-0.216</w:t>
            </w:r>
          </w:p>
        </w:tc>
        <w:tc>
          <w:tcPr>
            <w:tcW w:w="0" w:type="auto"/>
            <w:hideMark/>
          </w:tcPr>
          <w:p w14:paraId="519467CA" w14:textId="77777777" w:rsidR="008443F6" w:rsidRPr="008443F6" w:rsidRDefault="008443F6" w:rsidP="008443F6">
            <w:pPr>
              <w:jc w:val="center"/>
              <w:rPr>
                <w:rFonts w:ascii="Arial" w:hAnsi="Arial" w:cs="Arial"/>
                <w:lang w:val="en-ID"/>
              </w:rPr>
            </w:pPr>
            <w:r w:rsidRPr="008443F6">
              <w:rPr>
                <w:rFonts w:ascii="Arial" w:hAnsi="Arial" w:cs="Arial"/>
                <w:lang w:val="en-ID"/>
              </w:rPr>
              <w:t>-2.113</w:t>
            </w:r>
          </w:p>
        </w:tc>
        <w:tc>
          <w:tcPr>
            <w:tcW w:w="0" w:type="auto"/>
            <w:hideMark/>
          </w:tcPr>
          <w:p w14:paraId="455E90F7" w14:textId="77777777" w:rsidR="008443F6" w:rsidRPr="008443F6" w:rsidRDefault="008443F6" w:rsidP="008443F6">
            <w:pPr>
              <w:jc w:val="center"/>
              <w:rPr>
                <w:rFonts w:ascii="Arial" w:hAnsi="Arial" w:cs="Arial"/>
                <w:lang w:val="en-ID"/>
              </w:rPr>
            </w:pPr>
            <w:r w:rsidRPr="008443F6">
              <w:rPr>
                <w:rFonts w:ascii="Arial" w:hAnsi="Arial" w:cs="Arial"/>
                <w:lang w:val="en-ID"/>
              </w:rPr>
              <w:t>0.038</w:t>
            </w:r>
          </w:p>
        </w:tc>
        <w:tc>
          <w:tcPr>
            <w:tcW w:w="0" w:type="auto"/>
            <w:hideMark/>
          </w:tcPr>
          <w:p w14:paraId="57EC32BD" w14:textId="77777777" w:rsidR="008443F6" w:rsidRPr="008443F6" w:rsidRDefault="008443F6" w:rsidP="008443F6">
            <w:pPr>
              <w:jc w:val="center"/>
              <w:rPr>
                <w:rFonts w:ascii="Arial" w:hAnsi="Arial" w:cs="Arial"/>
                <w:lang w:val="en-ID"/>
              </w:rPr>
            </w:pPr>
            <w:r w:rsidRPr="008443F6">
              <w:rPr>
                <w:rFonts w:ascii="Arial" w:hAnsi="Arial" w:cs="Arial"/>
                <w:lang w:val="en-ID"/>
              </w:rPr>
              <w:t>H1 Not Supported</w:t>
            </w:r>
          </w:p>
        </w:tc>
      </w:tr>
      <w:tr w:rsidR="008443F6" w:rsidRPr="008443F6" w14:paraId="268361C5" w14:textId="77777777" w:rsidTr="008443F6">
        <w:trPr>
          <w:jc w:val="center"/>
        </w:trPr>
        <w:tc>
          <w:tcPr>
            <w:tcW w:w="0" w:type="auto"/>
            <w:hideMark/>
          </w:tcPr>
          <w:p w14:paraId="4ED1A8F6" w14:textId="77777777" w:rsidR="008443F6" w:rsidRPr="008443F6" w:rsidRDefault="008443F6" w:rsidP="008443F6">
            <w:pPr>
              <w:rPr>
                <w:rFonts w:ascii="Arial" w:hAnsi="Arial" w:cs="Arial"/>
                <w:lang w:val="en-ID"/>
              </w:rPr>
            </w:pPr>
            <w:r w:rsidRPr="008443F6">
              <w:rPr>
                <w:rFonts w:ascii="Arial" w:hAnsi="Arial" w:cs="Arial"/>
                <w:lang w:val="en-ID"/>
              </w:rPr>
              <w:t>Soc*UE</w:t>
            </w:r>
          </w:p>
        </w:tc>
        <w:tc>
          <w:tcPr>
            <w:tcW w:w="0" w:type="auto"/>
            <w:hideMark/>
          </w:tcPr>
          <w:p w14:paraId="5C4BCD71"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63154D5A" w14:textId="77777777" w:rsidR="008443F6" w:rsidRPr="008443F6" w:rsidRDefault="008443F6" w:rsidP="008443F6">
            <w:pPr>
              <w:jc w:val="center"/>
              <w:rPr>
                <w:rFonts w:ascii="Arial" w:hAnsi="Arial" w:cs="Arial"/>
                <w:lang w:val="en-ID"/>
              </w:rPr>
            </w:pPr>
            <w:r w:rsidRPr="008443F6">
              <w:rPr>
                <w:rFonts w:ascii="Arial" w:hAnsi="Arial" w:cs="Arial"/>
                <w:lang w:val="en-ID"/>
              </w:rPr>
              <w:t>0.048</w:t>
            </w:r>
          </w:p>
        </w:tc>
        <w:tc>
          <w:tcPr>
            <w:tcW w:w="0" w:type="auto"/>
            <w:hideMark/>
          </w:tcPr>
          <w:p w14:paraId="434565B7" w14:textId="77777777" w:rsidR="008443F6" w:rsidRPr="008443F6" w:rsidRDefault="008443F6" w:rsidP="008443F6">
            <w:pPr>
              <w:jc w:val="center"/>
              <w:rPr>
                <w:rFonts w:ascii="Arial" w:hAnsi="Arial" w:cs="Arial"/>
                <w:lang w:val="en-ID"/>
              </w:rPr>
            </w:pPr>
            <w:r w:rsidRPr="008443F6">
              <w:rPr>
                <w:rFonts w:ascii="Arial" w:hAnsi="Arial" w:cs="Arial"/>
                <w:lang w:val="en-ID"/>
              </w:rPr>
              <w:t>-0.353</w:t>
            </w:r>
          </w:p>
        </w:tc>
        <w:tc>
          <w:tcPr>
            <w:tcW w:w="0" w:type="auto"/>
            <w:hideMark/>
          </w:tcPr>
          <w:p w14:paraId="585BE629" w14:textId="77777777" w:rsidR="008443F6" w:rsidRPr="008443F6" w:rsidRDefault="008443F6" w:rsidP="008443F6">
            <w:pPr>
              <w:jc w:val="center"/>
              <w:rPr>
                <w:rFonts w:ascii="Arial" w:hAnsi="Arial" w:cs="Arial"/>
                <w:lang w:val="en-ID"/>
              </w:rPr>
            </w:pPr>
            <w:r w:rsidRPr="008443F6">
              <w:rPr>
                <w:rFonts w:ascii="Arial" w:hAnsi="Arial" w:cs="Arial"/>
                <w:lang w:val="en-ID"/>
              </w:rPr>
              <w:t>-2.533</w:t>
            </w:r>
          </w:p>
        </w:tc>
        <w:tc>
          <w:tcPr>
            <w:tcW w:w="0" w:type="auto"/>
            <w:hideMark/>
          </w:tcPr>
          <w:p w14:paraId="58999413" w14:textId="77777777" w:rsidR="008443F6" w:rsidRPr="008443F6" w:rsidRDefault="008443F6" w:rsidP="008443F6">
            <w:pPr>
              <w:jc w:val="center"/>
              <w:rPr>
                <w:rFonts w:ascii="Arial" w:hAnsi="Arial" w:cs="Arial"/>
                <w:lang w:val="en-ID"/>
              </w:rPr>
            </w:pPr>
            <w:r w:rsidRPr="008443F6">
              <w:rPr>
                <w:rFonts w:ascii="Arial" w:hAnsi="Arial" w:cs="Arial"/>
                <w:lang w:val="en-ID"/>
              </w:rPr>
              <w:t>0.013</w:t>
            </w:r>
          </w:p>
        </w:tc>
        <w:tc>
          <w:tcPr>
            <w:tcW w:w="0" w:type="auto"/>
            <w:hideMark/>
          </w:tcPr>
          <w:p w14:paraId="16D28D4C" w14:textId="77777777" w:rsidR="008443F6" w:rsidRPr="008443F6" w:rsidRDefault="008443F6" w:rsidP="008443F6">
            <w:pPr>
              <w:jc w:val="center"/>
              <w:rPr>
                <w:rFonts w:ascii="Arial" w:hAnsi="Arial" w:cs="Arial"/>
                <w:lang w:val="en-ID"/>
              </w:rPr>
            </w:pPr>
            <w:r w:rsidRPr="008443F6">
              <w:rPr>
                <w:rFonts w:ascii="Arial" w:hAnsi="Arial" w:cs="Arial"/>
                <w:lang w:val="en-ID"/>
              </w:rPr>
              <w:t>H2 Not Supported</w:t>
            </w:r>
          </w:p>
        </w:tc>
      </w:tr>
      <w:tr w:rsidR="008443F6" w:rsidRPr="008443F6" w14:paraId="697C8A8C" w14:textId="77777777" w:rsidTr="008443F6">
        <w:trPr>
          <w:jc w:val="center"/>
        </w:trPr>
        <w:tc>
          <w:tcPr>
            <w:tcW w:w="0" w:type="auto"/>
            <w:hideMark/>
          </w:tcPr>
          <w:p w14:paraId="194A8F25" w14:textId="77777777" w:rsidR="008443F6" w:rsidRPr="008443F6" w:rsidRDefault="008443F6" w:rsidP="008443F6">
            <w:pPr>
              <w:rPr>
                <w:rFonts w:ascii="Arial" w:hAnsi="Arial" w:cs="Arial"/>
                <w:lang w:val="en-ID"/>
              </w:rPr>
            </w:pPr>
            <w:r w:rsidRPr="008443F6">
              <w:rPr>
                <w:rFonts w:ascii="Arial" w:hAnsi="Arial" w:cs="Arial"/>
                <w:lang w:val="en-ID"/>
              </w:rPr>
              <w:t>Gov*UE</w:t>
            </w:r>
          </w:p>
        </w:tc>
        <w:tc>
          <w:tcPr>
            <w:tcW w:w="0" w:type="auto"/>
            <w:hideMark/>
          </w:tcPr>
          <w:p w14:paraId="5C624A58" w14:textId="77777777" w:rsidR="008443F6" w:rsidRPr="008443F6" w:rsidRDefault="008443F6" w:rsidP="008443F6">
            <w:pPr>
              <w:jc w:val="center"/>
              <w:rPr>
                <w:rFonts w:ascii="Arial" w:hAnsi="Arial" w:cs="Arial"/>
                <w:lang w:val="en-ID"/>
              </w:rPr>
            </w:pPr>
            <w:r w:rsidRPr="008443F6">
              <w:rPr>
                <w:rFonts w:ascii="Arial" w:hAnsi="Arial" w:cs="Arial"/>
                <w:lang w:val="en-ID"/>
              </w:rPr>
              <w:t>-0.020</w:t>
            </w:r>
          </w:p>
        </w:tc>
        <w:tc>
          <w:tcPr>
            <w:tcW w:w="0" w:type="auto"/>
            <w:hideMark/>
          </w:tcPr>
          <w:p w14:paraId="41CAEBE2" w14:textId="77777777" w:rsidR="008443F6" w:rsidRPr="008443F6" w:rsidRDefault="008443F6" w:rsidP="008443F6">
            <w:pPr>
              <w:jc w:val="center"/>
              <w:rPr>
                <w:rFonts w:ascii="Arial" w:hAnsi="Arial" w:cs="Arial"/>
                <w:lang w:val="en-ID"/>
              </w:rPr>
            </w:pPr>
            <w:r w:rsidRPr="008443F6">
              <w:rPr>
                <w:rFonts w:ascii="Arial" w:hAnsi="Arial" w:cs="Arial"/>
                <w:lang w:val="en-ID"/>
              </w:rPr>
              <w:t>0.055</w:t>
            </w:r>
          </w:p>
        </w:tc>
        <w:tc>
          <w:tcPr>
            <w:tcW w:w="0" w:type="auto"/>
            <w:hideMark/>
          </w:tcPr>
          <w:p w14:paraId="20C815BE" w14:textId="77777777" w:rsidR="008443F6" w:rsidRPr="008443F6" w:rsidRDefault="008443F6" w:rsidP="008443F6">
            <w:pPr>
              <w:jc w:val="center"/>
              <w:rPr>
                <w:rFonts w:ascii="Arial" w:hAnsi="Arial" w:cs="Arial"/>
                <w:lang w:val="en-ID"/>
              </w:rPr>
            </w:pPr>
            <w:r w:rsidRPr="008443F6">
              <w:rPr>
                <w:rFonts w:ascii="Arial" w:hAnsi="Arial" w:cs="Arial"/>
                <w:lang w:val="en-ID"/>
              </w:rPr>
              <w:t>-0.039</w:t>
            </w:r>
          </w:p>
        </w:tc>
        <w:tc>
          <w:tcPr>
            <w:tcW w:w="0" w:type="auto"/>
            <w:hideMark/>
          </w:tcPr>
          <w:p w14:paraId="36F6EF4B" w14:textId="77777777" w:rsidR="008443F6" w:rsidRPr="008443F6" w:rsidRDefault="008443F6" w:rsidP="008443F6">
            <w:pPr>
              <w:jc w:val="center"/>
              <w:rPr>
                <w:rFonts w:ascii="Arial" w:hAnsi="Arial" w:cs="Arial"/>
                <w:lang w:val="en-ID"/>
              </w:rPr>
            </w:pPr>
            <w:r w:rsidRPr="008443F6">
              <w:rPr>
                <w:rFonts w:ascii="Arial" w:hAnsi="Arial" w:cs="Arial"/>
                <w:lang w:val="en-ID"/>
              </w:rPr>
              <w:t>-0.361</w:t>
            </w:r>
          </w:p>
        </w:tc>
        <w:tc>
          <w:tcPr>
            <w:tcW w:w="0" w:type="auto"/>
            <w:hideMark/>
          </w:tcPr>
          <w:p w14:paraId="3A46DED9" w14:textId="77777777" w:rsidR="008443F6" w:rsidRPr="008443F6" w:rsidRDefault="008443F6" w:rsidP="008443F6">
            <w:pPr>
              <w:jc w:val="center"/>
              <w:rPr>
                <w:rFonts w:ascii="Arial" w:hAnsi="Arial" w:cs="Arial"/>
                <w:lang w:val="en-ID"/>
              </w:rPr>
            </w:pPr>
            <w:r w:rsidRPr="008443F6">
              <w:rPr>
                <w:rFonts w:ascii="Arial" w:hAnsi="Arial" w:cs="Arial"/>
                <w:lang w:val="en-ID"/>
              </w:rPr>
              <w:t>0.719</w:t>
            </w:r>
          </w:p>
        </w:tc>
        <w:tc>
          <w:tcPr>
            <w:tcW w:w="0" w:type="auto"/>
            <w:hideMark/>
          </w:tcPr>
          <w:p w14:paraId="4BDFF310" w14:textId="77777777" w:rsidR="008443F6" w:rsidRPr="008443F6" w:rsidRDefault="008443F6" w:rsidP="008443F6">
            <w:pPr>
              <w:jc w:val="center"/>
              <w:rPr>
                <w:rFonts w:ascii="Arial" w:hAnsi="Arial" w:cs="Arial"/>
                <w:lang w:val="en-ID"/>
              </w:rPr>
            </w:pPr>
            <w:r w:rsidRPr="008443F6">
              <w:rPr>
                <w:rFonts w:ascii="Arial" w:hAnsi="Arial" w:cs="Arial"/>
                <w:lang w:val="en-ID"/>
              </w:rPr>
              <w:t>H3 Not Supported</w:t>
            </w:r>
          </w:p>
        </w:tc>
      </w:tr>
      <w:tr w:rsidR="008443F6" w:rsidRPr="008443F6" w14:paraId="5658813C" w14:textId="77777777" w:rsidTr="008443F6">
        <w:trPr>
          <w:jc w:val="center"/>
        </w:trPr>
        <w:tc>
          <w:tcPr>
            <w:tcW w:w="0" w:type="auto"/>
            <w:hideMark/>
          </w:tcPr>
          <w:p w14:paraId="69DBFF9D" w14:textId="77777777" w:rsidR="008443F6" w:rsidRPr="008443F6" w:rsidRDefault="008443F6" w:rsidP="008443F6">
            <w:pPr>
              <w:rPr>
                <w:rFonts w:ascii="Arial" w:hAnsi="Arial" w:cs="Arial"/>
                <w:lang w:val="en-ID"/>
              </w:rPr>
            </w:pPr>
            <w:proofErr w:type="spellStart"/>
            <w:r w:rsidRPr="008443F6">
              <w:rPr>
                <w:rFonts w:ascii="Arial" w:hAnsi="Arial" w:cs="Arial"/>
                <w:lang w:val="en-ID"/>
              </w:rPr>
              <w:t>Env</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37EA134F" w14:textId="77777777" w:rsidR="008443F6" w:rsidRPr="008443F6" w:rsidRDefault="008443F6" w:rsidP="008443F6">
            <w:pPr>
              <w:jc w:val="center"/>
              <w:rPr>
                <w:rFonts w:ascii="Arial" w:hAnsi="Arial" w:cs="Arial"/>
                <w:lang w:val="en-ID"/>
              </w:rPr>
            </w:pPr>
            <w:r w:rsidRPr="008443F6">
              <w:rPr>
                <w:rFonts w:ascii="Arial" w:hAnsi="Arial" w:cs="Arial"/>
                <w:lang w:val="en-ID"/>
              </w:rPr>
              <w:t>0.274</w:t>
            </w:r>
          </w:p>
        </w:tc>
        <w:tc>
          <w:tcPr>
            <w:tcW w:w="0" w:type="auto"/>
            <w:hideMark/>
          </w:tcPr>
          <w:p w14:paraId="29F39F68" w14:textId="77777777" w:rsidR="008443F6" w:rsidRPr="008443F6" w:rsidRDefault="008443F6" w:rsidP="008443F6">
            <w:pPr>
              <w:jc w:val="center"/>
              <w:rPr>
                <w:rFonts w:ascii="Arial" w:hAnsi="Arial" w:cs="Arial"/>
                <w:lang w:val="en-ID"/>
              </w:rPr>
            </w:pPr>
            <w:r w:rsidRPr="008443F6">
              <w:rPr>
                <w:rFonts w:ascii="Arial" w:hAnsi="Arial" w:cs="Arial"/>
                <w:lang w:val="en-ID"/>
              </w:rPr>
              <w:t>0.084</w:t>
            </w:r>
          </w:p>
        </w:tc>
        <w:tc>
          <w:tcPr>
            <w:tcW w:w="0" w:type="auto"/>
            <w:hideMark/>
          </w:tcPr>
          <w:p w14:paraId="02372D3B" w14:textId="77777777" w:rsidR="008443F6" w:rsidRPr="008443F6" w:rsidRDefault="008443F6" w:rsidP="008443F6">
            <w:pPr>
              <w:jc w:val="center"/>
              <w:rPr>
                <w:rFonts w:ascii="Arial" w:hAnsi="Arial" w:cs="Arial"/>
                <w:lang w:val="en-ID"/>
              </w:rPr>
            </w:pPr>
            <w:r w:rsidRPr="008443F6">
              <w:rPr>
                <w:rFonts w:ascii="Arial" w:hAnsi="Arial" w:cs="Arial"/>
                <w:lang w:val="en-ID"/>
              </w:rPr>
              <w:t>0.340</w:t>
            </w:r>
          </w:p>
        </w:tc>
        <w:tc>
          <w:tcPr>
            <w:tcW w:w="0" w:type="auto"/>
            <w:hideMark/>
          </w:tcPr>
          <w:p w14:paraId="19CED8BF" w14:textId="77777777" w:rsidR="008443F6" w:rsidRPr="008443F6" w:rsidRDefault="008443F6" w:rsidP="008443F6">
            <w:pPr>
              <w:jc w:val="center"/>
              <w:rPr>
                <w:rFonts w:ascii="Arial" w:hAnsi="Arial" w:cs="Arial"/>
                <w:lang w:val="en-ID"/>
              </w:rPr>
            </w:pPr>
            <w:r w:rsidRPr="008443F6">
              <w:rPr>
                <w:rFonts w:ascii="Arial" w:hAnsi="Arial" w:cs="Arial"/>
                <w:lang w:val="en-ID"/>
              </w:rPr>
              <w:t>3.269</w:t>
            </w:r>
          </w:p>
        </w:tc>
        <w:tc>
          <w:tcPr>
            <w:tcW w:w="0" w:type="auto"/>
            <w:hideMark/>
          </w:tcPr>
          <w:p w14:paraId="2F5DE697" w14:textId="77777777" w:rsidR="008443F6" w:rsidRPr="008443F6" w:rsidRDefault="008443F6" w:rsidP="008443F6">
            <w:pPr>
              <w:jc w:val="center"/>
              <w:rPr>
                <w:rFonts w:ascii="Arial" w:hAnsi="Arial" w:cs="Arial"/>
                <w:lang w:val="en-ID"/>
              </w:rPr>
            </w:pPr>
            <w:r w:rsidRPr="008443F6">
              <w:rPr>
                <w:rFonts w:ascii="Arial" w:hAnsi="Arial" w:cs="Arial"/>
                <w:lang w:val="en-ID"/>
              </w:rPr>
              <w:t>0.002</w:t>
            </w:r>
          </w:p>
        </w:tc>
        <w:tc>
          <w:tcPr>
            <w:tcW w:w="0" w:type="auto"/>
            <w:hideMark/>
          </w:tcPr>
          <w:p w14:paraId="4063F91C" w14:textId="77777777" w:rsidR="008443F6" w:rsidRPr="008443F6" w:rsidRDefault="008443F6" w:rsidP="008443F6">
            <w:pPr>
              <w:jc w:val="center"/>
              <w:rPr>
                <w:rFonts w:ascii="Arial" w:hAnsi="Arial" w:cs="Arial"/>
                <w:lang w:val="en-ID"/>
              </w:rPr>
            </w:pPr>
            <w:r w:rsidRPr="008443F6">
              <w:rPr>
                <w:rFonts w:ascii="Arial" w:hAnsi="Arial" w:cs="Arial"/>
                <w:lang w:val="en-ID"/>
              </w:rPr>
              <w:t>H4 Supported</w:t>
            </w:r>
          </w:p>
        </w:tc>
      </w:tr>
      <w:tr w:rsidR="008443F6" w:rsidRPr="008443F6" w14:paraId="68B020B4" w14:textId="77777777" w:rsidTr="008443F6">
        <w:trPr>
          <w:jc w:val="center"/>
        </w:trPr>
        <w:tc>
          <w:tcPr>
            <w:tcW w:w="0" w:type="auto"/>
            <w:hideMark/>
          </w:tcPr>
          <w:p w14:paraId="1C62C160" w14:textId="77777777" w:rsidR="008443F6" w:rsidRPr="008443F6" w:rsidRDefault="008443F6" w:rsidP="008443F6">
            <w:pPr>
              <w:rPr>
                <w:rFonts w:ascii="Arial" w:hAnsi="Arial" w:cs="Arial"/>
                <w:lang w:val="en-ID"/>
              </w:rPr>
            </w:pPr>
            <w:proofErr w:type="spellStart"/>
            <w:r w:rsidRPr="008443F6">
              <w:rPr>
                <w:rFonts w:ascii="Arial" w:hAnsi="Arial" w:cs="Arial"/>
                <w:lang w:val="en-ID"/>
              </w:rPr>
              <w:t>Soc</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13A14CE8" w14:textId="77777777" w:rsidR="008443F6" w:rsidRPr="008443F6" w:rsidRDefault="008443F6" w:rsidP="008443F6">
            <w:pPr>
              <w:jc w:val="center"/>
              <w:rPr>
                <w:rFonts w:ascii="Arial" w:hAnsi="Arial" w:cs="Arial"/>
                <w:lang w:val="en-ID"/>
              </w:rPr>
            </w:pPr>
            <w:r w:rsidRPr="008443F6">
              <w:rPr>
                <w:rFonts w:ascii="Arial" w:hAnsi="Arial" w:cs="Arial"/>
                <w:lang w:val="en-ID"/>
              </w:rPr>
              <w:t>0.182</w:t>
            </w:r>
          </w:p>
        </w:tc>
        <w:tc>
          <w:tcPr>
            <w:tcW w:w="0" w:type="auto"/>
            <w:hideMark/>
          </w:tcPr>
          <w:p w14:paraId="2E100945" w14:textId="77777777" w:rsidR="008443F6" w:rsidRPr="008443F6" w:rsidRDefault="008443F6" w:rsidP="008443F6">
            <w:pPr>
              <w:jc w:val="center"/>
              <w:rPr>
                <w:rFonts w:ascii="Arial" w:hAnsi="Arial" w:cs="Arial"/>
                <w:lang w:val="en-ID"/>
              </w:rPr>
            </w:pPr>
            <w:r w:rsidRPr="008443F6">
              <w:rPr>
                <w:rFonts w:ascii="Arial" w:hAnsi="Arial" w:cs="Arial"/>
                <w:lang w:val="en-ID"/>
              </w:rPr>
              <w:t>0.073</w:t>
            </w:r>
          </w:p>
        </w:tc>
        <w:tc>
          <w:tcPr>
            <w:tcW w:w="0" w:type="auto"/>
            <w:hideMark/>
          </w:tcPr>
          <w:p w14:paraId="38405D41" w14:textId="77777777" w:rsidR="008443F6" w:rsidRPr="008443F6" w:rsidRDefault="008443F6" w:rsidP="008443F6">
            <w:pPr>
              <w:jc w:val="center"/>
              <w:rPr>
                <w:rFonts w:ascii="Arial" w:hAnsi="Arial" w:cs="Arial"/>
                <w:lang w:val="en-ID"/>
              </w:rPr>
            </w:pPr>
            <w:r w:rsidRPr="008443F6">
              <w:rPr>
                <w:rFonts w:ascii="Arial" w:hAnsi="Arial" w:cs="Arial"/>
                <w:lang w:val="en-ID"/>
              </w:rPr>
              <w:t>0.415</w:t>
            </w:r>
          </w:p>
        </w:tc>
        <w:tc>
          <w:tcPr>
            <w:tcW w:w="0" w:type="auto"/>
            <w:hideMark/>
          </w:tcPr>
          <w:p w14:paraId="18466181" w14:textId="77777777" w:rsidR="008443F6" w:rsidRPr="008443F6" w:rsidRDefault="008443F6" w:rsidP="008443F6">
            <w:pPr>
              <w:jc w:val="center"/>
              <w:rPr>
                <w:rFonts w:ascii="Arial" w:hAnsi="Arial" w:cs="Arial"/>
                <w:lang w:val="en-ID"/>
              </w:rPr>
            </w:pPr>
            <w:r w:rsidRPr="008443F6">
              <w:rPr>
                <w:rFonts w:ascii="Arial" w:hAnsi="Arial" w:cs="Arial"/>
                <w:lang w:val="en-ID"/>
              </w:rPr>
              <w:t>2.507</w:t>
            </w:r>
          </w:p>
        </w:tc>
        <w:tc>
          <w:tcPr>
            <w:tcW w:w="0" w:type="auto"/>
            <w:hideMark/>
          </w:tcPr>
          <w:p w14:paraId="5F175200"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1CB1B66C" w14:textId="77777777" w:rsidR="008443F6" w:rsidRPr="008443F6" w:rsidRDefault="008443F6" w:rsidP="008443F6">
            <w:pPr>
              <w:jc w:val="center"/>
              <w:rPr>
                <w:rFonts w:ascii="Arial" w:hAnsi="Arial" w:cs="Arial"/>
                <w:lang w:val="en-ID"/>
              </w:rPr>
            </w:pPr>
            <w:r w:rsidRPr="008443F6">
              <w:rPr>
                <w:rFonts w:ascii="Arial" w:hAnsi="Arial" w:cs="Arial"/>
                <w:lang w:val="en-ID"/>
              </w:rPr>
              <w:t>H5 Supported</w:t>
            </w:r>
          </w:p>
        </w:tc>
      </w:tr>
      <w:tr w:rsidR="008443F6" w:rsidRPr="008443F6" w14:paraId="0E8D7CF7" w14:textId="77777777" w:rsidTr="008443F6">
        <w:trPr>
          <w:jc w:val="center"/>
        </w:trPr>
        <w:tc>
          <w:tcPr>
            <w:tcW w:w="0" w:type="auto"/>
            <w:hideMark/>
          </w:tcPr>
          <w:p w14:paraId="47E38091" w14:textId="77777777" w:rsidR="008443F6" w:rsidRPr="008443F6" w:rsidRDefault="008443F6" w:rsidP="008443F6">
            <w:pPr>
              <w:rPr>
                <w:rFonts w:ascii="Arial" w:hAnsi="Arial" w:cs="Arial"/>
                <w:lang w:val="en-ID"/>
              </w:rPr>
            </w:pPr>
            <w:proofErr w:type="spellStart"/>
            <w:r w:rsidRPr="008443F6">
              <w:rPr>
                <w:rFonts w:ascii="Arial" w:hAnsi="Arial" w:cs="Arial"/>
                <w:lang w:val="en-ID"/>
              </w:rPr>
              <w:lastRenderedPageBreak/>
              <w:t>Gov</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7DC81915" w14:textId="77777777" w:rsidR="008443F6" w:rsidRPr="008443F6" w:rsidRDefault="008443F6" w:rsidP="008443F6">
            <w:pPr>
              <w:jc w:val="center"/>
              <w:rPr>
                <w:rFonts w:ascii="Arial" w:hAnsi="Arial" w:cs="Arial"/>
                <w:lang w:val="en-ID"/>
              </w:rPr>
            </w:pPr>
            <w:r w:rsidRPr="008443F6">
              <w:rPr>
                <w:rFonts w:ascii="Arial" w:hAnsi="Arial" w:cs="Arial"/>
                <w:lang w:val="en-ID"/>
              </w:rPr>
              <w:t>-0.011</w:t>
            </w:r>
          </w:p>
        </w:tc>
        <w:tc>
          <w:tcPr>
            <w:tcW w:w="0" w:type="auto"/>
            <w:hideMark/>
          </w:tcPr>
          <w:p w14:paraId="007735BE" w14:textId="77777777" w:rsidR="008443F6" w:rsidRPr="008443F6" w:rsidRDefault="008443F6" w:rsidP="008443F6">
            <w:pPr>
              <w:jc w:val="center"/>
              <w:rPr>
                <w:rFonts w:ascii="Arial" w:hAnsi="Arial" w:cs="Arial"/>
                <w:lang w:val="en-ID"/>
              </w:rPr>
            </w:pPr>
            <w:r w:rsidRPr="008443F6">
              <w:rPr>
                <w:rFonts w:ascii="Arial" w:hAnsi="Arial" w:cs="Arial"/>
                <w:lang w:val="en-ID"/>
              </w:rPr>
              <w:t>0.087</w:t>
            </w:r>
          </w:p>
        </w:tc>
        <w:tc>
          <w:tcPr>
            <w:tcW w:w="0" w:type="auto"/>
            <w:hideMark/>
          </w:tcPr>
          <w:p w14:paraId="785557EB"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7D1ABE6A"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0607F168" w14:textId="77777777" w:rsidR="008443F6" w:rsidRPr="008443F6" w:rsidRDefault="008443F6" w:rsidP="008443F6">
            <w:pPr>
              <w:jc w:val="center"/>
              <w:rPr>
                <w:rFonts w:ascii="Arial" w:hAnsi="Arial" w:cs="Arial"/>
                <w:lang w:val="en-ID"/>
              </w:rPr>
            </w:pPr>
            <w:r w:rsidRPr="008443F6">
              <w:rPr>
                <w:rFonts w:ascii="Arial" w:hAnsi="Arial" w:cs="Arial"/>
                <w:lang w:val="en-ID"/>
              </w:rPr>
              <w:t>0.903</w:t>
            </w:r>
          </w:p>
        </w:tc>
        <w:tc>
          <w:tcPr>
            <w:tcW w:w="0" w:type="auto"/>
            <w:hideMark/>
          </w:tcPr>
          <w:p w14:paraId="79C4D0DC" w14:textId="77777777" w:rsidR="008443F6" w:rsidRPr="008443F6" w:rsidRDefault="008443F6" w:rsidP="008443F6">
            <w:pPr>
              <w:jc w:val="center"/>
              <w:rPr>
                <w:rFonts w:ascii="Arial" w:hAnsi="Arial" w:cs="Arial"/>
                <w:lang w:val="en-ID"/>
              </w:rPr>
            </w:pPr>
            <w:r w:rsidRPr="008443F6">
              <w:rPr>
                <w:rFonts w:ascii="Arial" w:hAnsi="Arial" w:cs="Arial"/>
                <w:lang w:val="en-ID"/>
              </w:rPr>
              <w:t>H6 Not Supported</w:t>
            </w:r>
          </w:p>
        </w:tc>
      </w:tr>
    </w:tbl>
    <w:p w14:paraId="1FB11948" w14:textId="77777777" w:rsidR="008443F6" w:rsidRPr="008443F6" w:rsidRDefault="008443F6" w:rsidP="008443F6">
      <w:pPr>
        <w:pStyle w:val="Body"/>
        <w:rPr>
          <w:rFonts w:ascii="Arial" w:hAnsi="Arial" w:cs="Arial"/>
        </w:rPr>
      </w:pPr>
    </w:p>
    <w:p w14:paraId="5A83A015" w14:textId="53A065DE" w:rsidR="008443F6" w:rsidRDefault="008443F6" w:rsidP="008443F6">
      <w:pPr>
        <w:pStyle w:val="Body"/>
        <w:spacing w:after="0"/>
        <w:rPr>
          <w:rFonts w:ascii="Arial" w:hAnsi="Arial" w:cs="Arial"/>
        </w:rPr>
      </w:pPr>
      <w:r w:rsidRPr="008443F6">
        <w:rPr>
          <w:rFonts w:ascii="Arial" w:hAnsi="Arial" w:cs="Arial"/>
        </w:rPr>
        <w:t>For the moderating effects, the interaction between Environmental disclosure and firm size (</w:t>
      </w:r>
      <w:proofErr w:type="spellStart"/>
      <w:r w:rsidRPr="008443F6">
        <w:rPr>
          <w:rFonts w:ascii="Arial" w:hAnsi="Arial" w:cs="Arial"/>
        </w:rPr>
        <w:t>EnvUESize</w:t>
      </w:r>
      <w:proofErr w:type="spellEnd"/>
      <w:r w:rsidRPr="008443F6">
        <w:rPr>
          <w:rFonts w:ascii="Arial" w:hAnsi="Arial" w:cs="Arial"/>
        </w:rPr>
        <w:t>) has a positive and significant effect on ERC, with a coefficient of 0.274 and a significance value of 0.002, indicating that H4 is supported. The interaction between Social disclosure and firm size (</w:t>
      </w:r>
      <w:proofErr w:type="spellStart"/>
      <w:r w:rsidRPr="008443F6">
        <w:rPr>
          <w:rFonts w:ascii="Arial" w:hAnsi="Arial" w:cs="Arial"/>
        </w:rPr>
        <w:t>SocUESize</w:t>
      </w:r>
      <w:proofErr w:type="spellEnd"/>
      <w:r w:rsidRPr="008443F6">
        <w:rPr>
          <w:rFonts w:ascii="Arial" w:hAnsi="Arial" w:cs="Arial"/>
        </w:rPr>
        <w:t>) also shows a positive and significant effect, with a coefficient of 0.182 and a significance value of 0.014, meaning H5 is supported. However, the interaction between Governance disclosure and firm size (</w:t>
      </w:r>
      <w:proofErr w:type="spellStart"/>
      <w:r w:rsidRPr="008443F6">
        <w:rPr>
          <w:rFonts w:ascii="Arial" w:hAnsi="Arial" w:cs="Arial"/>
        </w:rPr>
        <w:t>GovUESize</w:t>
      </w:r>
      <w:proofErr w:type="spellEnd"/>
      <w:r w:rsidRPr="008443F6">
        <w:rPr>
          <w:rFonts w:ascii="Arial" w:hAnsi="Arial" w:cs="Arial"/>
        </w:rPr>
        <w:t xml:space="preserve">) is not significant, with a coefficient of -0.011 and a significance value of 0.903, indicating that H6 is not supported. </w:t>
      </w:r>
    </w:p>
    <w:p w14:paraId="0DC330C0" w14:textId="77777777" w:rsidR="008443F6" w:rsidRDefault="008443F6" w:rsidP="008443F6">
      <w:pPr>
        <w:pStyle w:val="Body"/>
        <w:spacing w:after="0"/>
        <w:rPr>
          <w:rFonts w:ascii="Arial" w:hAnsi="Arial" w:cs="Arial"/>
        </w:rPr>
      </w:pPr>
    </w:p>
    <w:p w14:paraId="6AB94EAA" w14:textId="467ADC02" w:rsidR="008443F6" w:rsidRDefault="008443F6" w:rsidP="008443F6">
      <w:pPr>
        <w:pStyle w:val="Body"/>
        <w:rPr>
          <w:rFonts w:ascii="Arial" w:hAnsi="Arial" w:cs="Arial"/>
          <w:b/>
          <w:sz w:val="22"/>
        </w:rPr>
      </w:pPr>
      <w:r w:rsidRPr="008443F6">
        <w:rPr>
          <w:rFonts w:ascii="Arial" w:hAnsi="Arial" w:cs="Arial"/>
          <w:b/>
          <w:sz w:val="22"/>
        </w:rPr>
        <w:t>3.6 Environmental Disclosure Has a Positive Effect on the Earnings Response Coefficient (ERC)</w:t>
      </w:r>
    </w:p>
    <w:p w14:paraId="4CB03393" w14:textId="7B779338" w:rsidR="008443F6" w:rsidRPr="008443F6" w:rsidRDefault="008443F6" w:rsidP="008443F6">
      <w:pPr>
        <w:pStyle w:val="Body"/>
        <w:rPr>
          <w:rFonts w:ascii="Arial" w:hAnsi="Arial" w:cs="Arial"/>
          <w:bCs/>
          <w:sz w:val="22"/>
        </w:rPr>
      </w:pPr>
      <w:r w:rsidRPr="008443F6">
        <w:rPr>
          <w:rFonts w:ascii="Arial" w:hAnsi="Arial" w:cs="Arial"/>
          <w:bCs/>
          <w:sz w:val="22"/>
        </w:rPr>
        <w:t xml:space="preserve">The findings indicate that environmental disclosure has a significant negative impact on the Earnings Response Coefficient (ERC) (β = -0.121; p = 0.038), which suggests that H1 is not validated. From the perspective of signaling theory, while companies may utilize environmental disclosure to lessen information asymmetry (Spence, 1973; Connelly et al., 2011; Scott, 2015), investors in this scenario do not view it as information that adds value. In line with legitimacy theory, such disclosures are frequently viewed as merely fulfilling regulatory requirements rather than contributing to value generation. According to the Efficient Market Hypothesis, only pertinent information affects pricing (Fama, 1970; Khan, Serafeim &amp; Yoon, 2016), as environmental initiatives are still regarded as immediate expenses instead of future advantages. This is consistent with the findings of </w:t>
      </w:r>
      <w:proofErr w:type="spellStart"/>
      <w:r w:rsidRPr="008443F6">
        <w:rPr>
          <w:rFonts w:ascii="Arial" w:hAnsi="Arial" w:cs="Arial"/>
          <w:bCs/>
          <w:sz w:val="22"/>
        </w:rPr>
        <w:t>Aydogmus</w:t>
      </w:r>
      <w:proofErr w:type="spellEnd"/>
      <w:r w:rsidRPr="008443F6">
        <w:rPr>
          <w:rFonts w:ascii="Arial" w:hAnsi="Arial" w:cs="Arial"/>
          <w:bCs/>
          <w:sz w:val="22"/>
        </w:rPr>
        <w:t xml:space="preserve"> et al. (2022), </w:t>
      </w:r>
      <w:proofErr w:type="spellStart"/>
      <w:r w:rsidRPr="008443F6">
        <w:rPr>
          <w:rFonts w:ascii="Arial" w:hAnsi="Arial" w:cs="Arial"/>
          <w:bCs/>
          <w:sz w:val="22"/>
        </w:rPr>
        <w:t>Sudaryati</w:t>
      </w:r>
      <w:proofErr w:type="spellEnd"/>
      <w:r w:rsidRPr="008443F6">
        <w:rPr>
          <w:rFonts w:ascii="Arial" w:hAnsi="Arial" w:cs="Arial"/>
          <w:bCs/>
          <w:sz w:val="22"/>
        </w:rPr>
        <w:t xml:space="preserve"> et al. (2020), Qiu et al. (2016), and Krüger (2015), who report mixed or limited positive market responses to ESG disclosures.</w:t>
      </w:r>
    </w:p>
    <w:p w14:paraId="620BC9BD" w14:textId="29775EC4" w:rsidR="008443F6" w:rsidRDefault="008443F6" w:rsidP="008443F6">
      <w:pPr>
        <w:pStyle w:val="Body"/>
        <w:rPr>
          <w:rFonts w:ascii="Arial" w:hAnsi="Arial" w:cs="Arial"/>
          <w:b/>
          <w:sz w:val="22"/>
        </w:rPr>
      </w:pPr>
      <w:r w:rsidRPr="008443F6">
        <w:rPr>
          <w:rFonts w:ascii="Arial" w:hAnsi="Arial" w:cs="Arial"/>
          <w:b/>
          <w:sz w:val="22"/>
        </w:rPr>
        <w:t>3.7 Social Disclosure Has a Positive Effect on the Earnings Response Coefficient (ERC)</w:t>
      </w:r>
    </w:p>
    <w:p w14:paraId="6808F2F1" w14:textId="2430A953" w:rsidR="008443F6" w:rsidRPr="008443F6" w:rsidRDefault="008443F6" w:rsidP="008443F6">
      <w:pPr>
        <w:pStyle w:val="Body"/>
        <w:rPr>
          <w:rFonts w:ascii="Arial" w:hAnsi="Arial" w:cs="Arial"/>
          <w:bCs/>
          <w:sz w:val="22"/>
        </w:rPr>
      </w:pPr>
      <w:r w:rsidRPr="008443F6">
        <w:rPr>
          <w:rFonts w:ascii="Arial" w:hAnsi="Arial" w:cs="Arial"/>
          <w:bCs/>
          <w:sz w:val="22"/>
        </w:rPr>
        <w:t xml:space="preserve">The findings show that social disclosure has a significant and negative impact on the Earnings Response Coefficient (ERC) (β = -0.122; p = 0.013), indicating that H2 is not confirmed. From the viewpoint of the efficient market hypothesis, the market reacts minimally when social initiatives are seen as non-value-relevant or financially ambiguous (Fama, 1970). In line with signaling theory, social disclosure could act as a reputation signal (Connelly et al., 2011), but it might also be viewed negatively if investors suspect motives related to earnings manipulation. Additionally, agency theory implies that substantial social disclosure may diminish investor confidence due to perceived self-serving behavior. This aligns with the findings of </w:t>
      </w:r>
      <w:proofErr w:type="spellStart"/>
      <w:r w:rsidRPr="008443F6">
        <w:rPr>
          <w:rFonts w:ascii="Arial" w:hAnsi="Arial" w:cs="Arial"/>
          <w:bCs/>
          <w:sz w:val="22"/>
        </w:rPr>
        <w:t>Yuliandhari</w:t>
      </w:r>
      <w:proofErr w:type="spellEnd"/>
      <w:r w:rsidRPr="008443F6">
        <w:rPr>
          <w:rFonts w:ascii="Arial" w:hAnsi="Arial" w:cs="Arial"/>
          <w:bCs/>
          <w:sz w:val="22"/>
        </w:rPr>
        <w:t xml:space="preserve"> &amp; </w:t>
      </w:r>
      <w:proofErr w:type="spellStart"/>
      <w:r w:rsidRPr="008443F6">
        <w:rPr>
          <w:rFonts w:ascii="Arial" w:hAnsi="Arial" w:cs="Arial"/>
          <w:bCs/>
          <w:sz w:val="22"/>
        </w:rPr>
        <w:t>Fadila</w:t>
      </w:r>
      <w:proofErr w:type="spellEnd"/>
      <w:r w:rsidRPr="008443F6">
        <w:rPr>
          <w:rFonts w:ascii="Arial" w:hAnsi="Arial" w:cs="Arial"/>
          <w:bCs/>
          <w:sz w:val="22"/>
        </w:rPr>
        <w:t xml:space="preserve"> (2024) and </w:t>
      </w:r>
      <w:proofErr w:type="spellStart"/>
      <w:r w:rsidRPr="008443F6">
        <w:rPr>
          <w:rFonts w:ascii="Arial" w:hAnsi="Arial" w:cs="Arial"/>
          <w:bCs/>
          <w:sz w:val="22"/>
        </w:rPr>
        <w:t>Wijayanti</w:t>
      </w:r>
      <w:proofErr w:type="spellEnd"/>
      <w:r w:rsidRPr="008443F6">
        <w:rPr>
          <w:rFonts w:ascii="Arial" w:hAnsi="Arial" w:cs="Arial"/>
          <w:bCs/>
          <w:sz w:val="22"/>
        </w:rPr>
        <w:t xml:space="preserve"> et al. (2020), who argue that excessive social disclosure might weaken ERC as investors begin to doubt its genuine economic advantages and its relevance to the quality of earnings.</w:t>
      </w:r>
    </w:p>
    <w:p w14:paraId="79474CC5" w14:textId="6997B9C6" w:rsidR="008443F6" w:rsidRDefault="008443F6" w:rsidP="008443F6">
      <w:pPr>
        <w:pStyle w:val="Body"/>
        <w:rPr>
          <w:rFonts w:ascii="Arial" w:hAnsi="Arial" w:cs="Arial"/>
          <w:b/>
          <w:sz w:val="22"/>
        </w:rPr>
      </w:pPr>
      <w:r w:rsidRPr="008443F6">
        <w:rPr>
          <w:rFonts w:ascii="Arial" w:hAnsi="Arial" w:cs="Arial"/>
          <w:b/>
          <w:sz w:val="22"/>
        </w:rPr>
        <w:t>3.8 Governance Disclosure Has a Positive Effect on the Earnings Response Coefficient</w:t>
      </w:r>
    </w:p>
    <w:p w14:paraId="368F4673" w14:textId="43829B5E" w:rsidR="008443F6" w:rsidRPr="00492E97" w:rsidRDefault="00492E97" w:rsidP="008443F6">
      <w:pPr>
        <w:pStyle w:val="Body"/>
        <w:rPr>
          <w:rFonts w:ascii="Arial" w:hAnsi="Arial" w:cs="Arial"/>
          <w:bCs/>
          <w:sz w:val="22"/>
        </w:rPr>
      </w:pPr>
      <w:r w:rsidRPr="00492E97">
        <w:rPr>
          <w:rFonts w:ascii="Arial" w:hAnsi="Arial" w:cs="Arial"/>
          <w:bCs/>
          <w:sz w:val="22"/>
        </w:rPr>
        <w:t xml:space="preserve">The findings indicate that Governance disclosure does not have a significant impact on the Earnings Response Coefficient (ERC) (β = -0.020; p = 0.719), suggesting </w:t>
      </w:r>
      <w:r w:rsidRPr="00492E97">
        <w:rPr>
          <w:rFonts w:ascii="Arial" w:hAnsi="Arial" w:cs="Arial"/>
          <w:bCs/>
          <w:sz w:val="22"/>
        </w:rPr>
        <w:lastRenderedPageBreak/>
        <w:t xml:space="preserve">that H3 is not upheld. From the perspective of signaling theory, while effective governance is expected to improve the credibility of financial reporting (Scott, 2011), its influence is limited if it is viewed as mere compliance with standards rather than as new information. According to legitimacy theory, governance disclosures are often executed to satisfy regulatory demands rather than to indicate superior performance. In a well-functioning market, such routine disclosures do not provide additional informational value (Fama, 1970; Christensen, Hail &amp; </w:t>
      </w:r>
      <w:proofErr w:type="spellStart"/>
      <w:r w:rsidRPr="00492E97">
        <w:rPr>
          <w:rFonts w:ascii="Arial" w:hAnsi="Arial" w:cs="Arial"/>
          <w:bCs/>
          <w:sz w:val="22"/>
        </w:rPr>
        <w:t>Leuz</w:t>
      </w:r>
      <w:proofErr w:type="spellEnd"/>
      <w:r w:rsidRPr="00492E97">
        <w:rPr>
          <w:rFonts w:ascii="Arial" w:hAnsi="Arial" w:cs="Arial"/>
          <w:bCs/>
          <w:sz w:val="22"/>
        </w:rPr>
        <w:t xml:space="preserve">, 2021). The consistently high level of governance disclosure in Indonesian banks further diminishes its ability to differentiate among entities. This result aligns with the findings of Antonio et al. (2019) and </w:t>
      </w:r>
      <w:proofErr w:type="spellStart"/>
      <w:r w:rsidRPr="00492E97">
        <w:rPr>
          <w:rFonts w:ascii="Arial" w:hAnsi="Arial" w:cs="Arial"/>
          <w:bCs/>
          <w:sz w:val="22"/>
        </w:rPr>
        <w:t>Sujarwati</w:t>
      </w:r>
      <w:proofErr w:type="spellEnd"/>
      <w:r w:rsidRPr="00492E97">
        <w:rPr>
          <w:rFonts w:ascii="Arial" w:hAnsi="Arial" w:cs="Arial"/>
          <w:bCs/>
          <w:sz w:val="22"/>
        </w:rPr>
        <w:t xml:space="preserve"> et al. (2022), which demonstrate that governance does not consistently affect market reactions to earnings.</w:t>
      </w:r>
    </w:p>
    <w:p w14:paraId="3F591E19" w14:textId="7BE3BC1B" w:rsidR="008443F6" w:rsidRDefault="008443F6" w:rsidP="008443F6">
      <w:pPr>
        <w:pStyle w:val="Body"/>
        <w:rPr>
          <w:rFonts w:ascii="Arial" w:hAnsi="Arial" w:cs="Arial"/>
          <w:b/>
          <w:sz w:val="22"/>
        </w:rPr>
      </w:pPr>
      <w:r w:rsidRPr="008443F6">
        <w:rPr>
          <w:rFonts w:ascii="Arial" w:hAnsi="Arial" w:cs="Arial"/>
          <w:b/>
          <w:sz w:val="22"/>
        </w:rPr>
        <w:t>3.9 Company Size Moderates the Effect of Environmental Disclosure on the Earnings Response Coefficient (ERC)</w:t>
      </w:r>
    </w:p>
    <w:p w14:paraId="41FCFE5C" w14:textId="52B32060" w:rsidR="00492E97" w:rsidRPr="00492E97" w:rsidRDefault="00492E97" w:rsidP="008443F6">
      <w:pPr>
        <w:pStyle w:val="Body"/>
        <w:rPr>
          <w:rFonts w:ascii="Arial" w:hAnsi="Arial" w:cs="Arial"/>
          <w:bCs/>
          <w:sz w:val="22"/>
        </w:rPr>
      </w:pPr>
      <w:r w:rsidRPr="00492E97">
        <w:rPr>
          <w:rFonts w:ascii="Arial" w:hAnsi="Arial" w:cs="Arial"/>
          <w:bCs/>
          <w:sz w:val="22"/>
        </w:rPr>
        <w:t xml:space="preserve">The findings suggest that the relationship between Environmental disclosure and firm size has a positive and significant impact on the Earnings Response Coefficient (ERC) (β = 0.274; p = 0.002), indicating that H4 is validated. While Environmental disclosure by itself does not positively affect ERC, its influence amplifies in larger firms due to increased visibility and reputational pressure. As per signaling theory, larger companies send more credible signals since they encounter greater reputational costs (Connelly et al., 2011). Consistent with this, </w:t>
      </w:r>
      <w:proofErr w:type="spellStart"/>
      <w:r w:rsidRPr="00492E97">
        <w:rPr>
          <w:rFonts w:ascii="Arial" w:hAnsi="Arial" w:cs="Arial"/>
          <w:bCs/>
          <w:sz w:val="22"/>
        </w:rPr>
        <w:t>Aydogmus</w:t>
      </w:r>
      <w:proofErr w:type="spellEnd"/>
      <w:r w:rsidRPr="00492E97">
        <w:rPr>
          <w:rFonts w:ascii="Arial" w:hAnsi="Arial" w:cs="Arial"/>
          <w:bCs/>
          <w:sz w:val="22"/>
        </w:rPr>
        <w:t xml:space="preserve"> et al. (2022) and Wang, Shen &amp; Li (2023) note that the impacts of ESG are varied and depend on the characteristics of the firm. Larger firms also draw more attention from analysts, which heightens the intensity of information processing. This aligns with the findings of Baskoro et al. (2021), who demonstrate that firm size enhances market sensitivity to ESG-related disclosures and improves ERC responsiveness.</w:t>
      </w:r>
    </w:p>
    <w:p w14:paraId="58E47A93" w14:textId="451012B7" w:rsidR="008443F6" w:rsidRDefault="008443F6" w:rsidP="008443F6">
      <w:pPr>
        <w:pStyle w:val="Body"/>
        <w:rPr>
          <w:rFonts w:ascii="Arial" w:hAnsi="Arial" w:cs="Arial"/>
          <w:b/>
          <w:sz w:val="22"/>
        </w:rPr>
      </w:pPr>
      <w:r w:rsidRPr="008443F6">
        <w:rPr>
          <w:rFonts w:ascii="Arial" w:hAnsi="Arial" w:cs="Arial"/>
          <w:b/>
          <w:sz w:val="22"/>
        </w:rPr>
        <w:t>3.10 Company Size Moderates the Effect of Social Disclosure on the Earnings Response Coefficient (ERC)</w:t>
      </w:r>
    </w:p>
    <w:p w14:paraId="47644774" w14:textId="6EBB8827" w:rsidR="00492E97" w:rsidRPr="00492E97" w:rsidRDefault="00492E97" w:rsidP="008443F6">
      <w:pPr>
        <w:pStyle w:val="Body"/>
        <w:rPr>
          <w:rFonts w:ascii="Arial" w:hAnsi="Arial" w:cs="Arial"/>
          <w:bCs/>
          <w:sz w:val="22"/>
        </w:rPr>
      </w:pPr>
      <w:r w:rsidRPr="00492E97">
        <w:rPr>
          <w:rFonts w:ascii="Arial" w:hAnsi="Arial" w:cs="Arial"/>
          <w:bCs/>
          <w:sz w:val="22"/>
        </w:rPr>
        <w:t>The findings indicate that the interaction between social disclosure and company size has a positive and significant impact on the Earnings Response Coefficient (ERC) (β = 0.182; p = 0.014), supporting H5. This suggests that the size of a firm amplifies the influence of social disclosure on market responses to earnings. According to signaling theory, larger firms emit more credible social signals due to their greater visibility and the scrutiny they face from the public (Connelly et al., 2011). In accordance with the efficient market hypothesis, investors have a stronger reaction to information that is seen as relevant and trustworthy. Additionally, larger companies usually possess higher levels of transparency, making their social disclosures more informative. This conclusion aligns with the findings of Baskoro et al. (2021), which demonstrate that firm characteristics affect the sensitivity of ERC, indicating that social disclosure from larger firms is viewed more favorably and boosts the informativeness of earnings.</w:t>
      </w:r>
    </w:p>
    <w:p w14:paraId="24622838" w14:textId="5FD1DEC6" w:rsidR="008443F6" w:rsidRDefault="008443F6" w:rsidP="008443F6">
      <w:pPr>
        <w:pStyle w:val="Body"/>
        <w:rPr>
          <w:rFonts w:ascii="Arial" w:hAnsi="Arial" w:cs="Arial"/>
          <w:b/>
          <w:sz w:val="22"/>
        </w:rPr>
      </w:pPr>
      <w:r w:rsidRPr="008443F6">
        <w:rPr>
          <w:rFonts w:ascii="Arial" w:hAnsi="Arial" w:cs="Arial"/>
          <w:b/>
          <w:sz w:val="22"/>
        </w:rPr>
        <w:t>3.11 Company Size Moderates the Effect of Governance Disclosure on the Earnings Response Coefficient (ERC)</w:t>
      </w:r>
    </w:p>
    <w:p w14:paraId="23D66AA3" w14:textId="29E56794" w:rsidR="00492E97" w:rsidRPr="00492E97" w:rsidRDefault="00492E97" w:rsidP="008443F6">
      <w:pPr>
        <w:pStyle w:val="Body"/>
        <w:rPr>
          <w:rFonts w:ascii="Arial" w:hAnsi="Arial" w:cs="Arial"/>
          <w:bCs/>
          <w:sz w:val="22"/>
        </w:rPr>
      </w:pPr>
      <w:r w:rsidRPr="00492E97">
        <w:rPr>
          <w:rFonts w:ascii="Arial" w:hAnsi="Arial" w:cs="Arial"/>
          <w:bCs/>
          <w:sz w:val="22"/>
        </w:rPr>
        <w:lastRenderedPageBreak/>
        <w:t xml:space="preserve">The results show that the relationship between governance disclosure and firm size does not have a significant impact on the Earnings Response Coefficient (ERC) (β = -0.011; p = 0.903), indicating that H6 is not supported. This implies that firm size does not amplify or diminish the influence of governance disclosure on how the market reacts to earnings. According to signaling theory, the market overlooks signals that do not convey new information (Scott, 2015). Under legitimacy theory, governance disclosure is primarily a requirement for regulatory compliance instead of being a signal that adds value. The overall high and relatively consistent level of governance disclosure among firms further diminishes its informational significance. This outcome aligns with the findings of </w:t>
      </w:r>
      <w:proofErr w:type="spellStart"/>
      <w:r w:rsidRPr="00492E97">
        <w:rPr>
          <w:rFonts w:ascii="Arial" w:hAnsi="Arial" w:cs="Arial"/>
          <w:bCs/>
          <w:sz w:val="22"/>
        </w:rPr>
        <w:t>Aristawati</w:t>
      </w:r>
      <w:proofErr w:type="spellEnd"/>
      <w:r w:rsidRPr="00492E97">
        <w:rPr>
          <w:rFonts w:ascii="Arial" w:hAnsi="Arial" w:cs="Arial"/>
          <w:bCs/>
          <w:sz w:val="22"/>
        </w:rPr>
        <w:t xml:space="preserve"> and </w:t>
      </w:r>
      <w:proofErr w:type="spellStart"/>
      <w:r w:rsidRPr="00492E97">
        <w:rPr>
          <w:rFonts w:ascii="Arial" w:hAnsi="Arial" w:cs="Arial"/>
          <w:bCs/>
          <w:sz w:val="22"/>
        </w:rPr>
        <w:t>Rasmini</w:t>
      </w:r>
      <w:proofErr w:type="spellEnd"/>
      <w:r w:rsidRPr="00492E97">
        <w:rPr>
          <w:rFonts w:ascii="Arial" w:hAnsi="Arial" w:cs="Arial"/>
          <w:bCs/>
          <w:sz w:val="22"/>
        </w:rPr>
        <w:t xml:space="preserve"> (2018) and </w:t>
      </w:r>
      <w:proofErr w:type="spellStart"/>
      <w:r w:rsidRPr="00492E97">
        <w:rPr>
          <w:rFonts w:ascii="Arial" w:hAnsi="Arial" w:cs="Arial"/>
          <w:bCs/>
          <w:sz w:val="22"/>
        </w:rPr>
        <w:t>Mufidah</w:t>
      </w:r>
      <w:proofErr w:type="spellEnd"/>
      <w:r w:rsidRPr="00492E97">
        <w:rPr>
          <w:rFonts w:ascii="Arial" w:hAnsi="Arial" w:cs="Arial"/>
          <w:bCs/>
          <w:sz w:val="22"/>
        </w:rPr>
        <w:t xml:space="preserve"> and </w:t>
      </w:r>
      <w:proofErr w:type="spellStart"/>
      <w:r w:rsidRPr="00492E97">
        <w:rPr>
          <w:rFonts w:ascii="Arial" w:hAnsi="Arial" w:cs="Arial"/>
          <w:bCs/>
          <w:sz w:val="22"/>
        </w:rPr>
        <w:t>Hariyanto</w:t>
      </w:r>
      <w:proofErr w:type="spellEnd"/>
      <w:r w:rsidRPr="00492E97">
        <w:rPr>
          <w:rFonts w:ascii="Arial" w:hAnsi="Arial" w:cs="Arial"/>
          <w:bCs/>
          <w:sz w:val="22"/>
        </w:rPr>
        <w:t xml:space="preserve"> (2025), who also conclude that governance does not significantly influence ERC, as it fails to enhance the relevance of earnings information.</w:t>
      </w:r>
    </w:p>
    <w:p w14:paraId="1AEB7A54" w14:textId="77777777" w:rsidR="008443F6" w:rsidRDefault="008443F6" w:rsidP="008443F6">
      <w:pPr>
        <w:pStyle w:val="Body"/>
        <w:spacing w:after="0"/>
        <w:rPr>
          <w:rFonts w:ascii="Arial" w:hAnsi="Arial" w:cs="Arial"/>
        </w:rPr>
      </w:pPr>
    </w:p>
    <w:p w14:paraId="6DCFDE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A1DF7E" w14:textId="77777777" w:rsidR="00790ADA" w:rsidRPr="00FB3A86" w:rsidRDefault="00790ADA" w:rsidP="00441B6F">
      <w:pPr>
        <w:pStyle w:val="ConcHead"/>
        <w:spacing w:after="0"/>
        <w:jc w:val="both"/>
        <w:rPr>
          <w:rFonts w:ascii="Arial" w:hAnsi="Arial" w:cs="Arial"/>
        </w:rPr>
      </w:pPr>
    </w:p>
    <w:p w14:paraId="66B0B570" w14:textId="060D5458" w:rsidR="008C7D5A" w:rsidRPr="008C7D5A" w:rsidRDefault="008C7D5A" w:rsidP="008C7D5A">
      <w:pPr>
        <w:pStyle w:val="Body"/>
        <w:rPr>
          <w:rFonts w:ascii="Arial" w:hAnsi="Arial" w:cs="Arial"/>
        </w:rPr>
      </w:pPr>
      <w:r w:rsidRPr="008C7D5A">
        <w:rPr>
          <w:rFonts w:ascii="Arial" w:hAnsi="Arial" w:cs="Arial"/>
        </w:rPr>
        <w:t>Based on the findings, it can be deduced that Environmental, Social, and Governance (ESG) disclosure does not significantly enhance the Earnings Response Coefficient (ERC), suggesting that non-financial information has not improved market reactions to earnings, as investors continue to primarily focus on financial data. Additionally, it is observed that company size significantly influences the relationship between Environmental and Social disclosure and ERC in a positive manner, since larger companies have greater visibility and more extensive disclosures, making ESG information more pertinent and credible for investors. However, company size does not affect the impact of Governance disclosure on ERC, as governance practices in banking institutions have become standardized minimum requirements, and thus no longer act as a distinguishing factor for investors when interpreting earnings data.</w:t>
      </w:r>
    </w:p>
    <w:p w14:paraId="60024F5E" w14:textId="3516F61B" w:rsidR="008C7D5A" w:rsidRDefault="008C7D5A" w:rsidP="008C7D5A">
      <w:pPr>
        <w:pStyle w:val="Body"/>
        <w:spacing w:after="0"/>
        <w:rPr>
          <w:rFonts w:ascii="Arial" w:hAnsi="Arial" w:cs="Arial"/>
        </w:rPr>
      </w:pPr>
      <w:r w:rsidRPr="008C7D5A">
        <w:rPr>
          <w:rFonts w:ascii="Arial" w:hAnsi="Arial" w:cs="Arial"/>
        </w:rPr>
        <w:t xml:space="preserve">This research also presents several constraints. First, it focuses solely on banking sector firms in Indonesia during the 2020–2024 timeframe, meaning the results may not be applicable to other industries and may not fully capture long-term changes in investor attitudes toward ESG disclosure. Second, the study considers only company size as a moderating variable, which may not adequately account for other factors such as profitability, leverage, audit quality, or institutional ownership that could affect ERC. Third, governance disclosure is evaluated using the GRI Index, which is relatively broad and may not entirely represent the actual quality of corporate governance practices. Consequently, future studies should be encouraged to broaden the observation timeframe, encompass a wider range of industries, incorporate additional moderating variables, and utilize more detailed ESG measurement indices to enhance analytical precision. </w:t>
      </w:r>
    </w:p>
    <w:p w14:paraId="4D25C0D5" w14:textId="77777777" w:rsidR="008C7D5A" w:rsidRDefault="008C7D5A" w:rsidP="008C7D5A">
      <w:pPr>
        <w:pStyle w:val="Body"/>
        <w:spacing w:after="0"/>
        <w:rPr>
          <w:rFonts w:ascii="Arial" w:hAnsi="Arial" w:cs="Arial"/>
        </w:rPr>
      </w:pPr>
    </w:p>
    <w:p w14:paraId="4DE51826"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3199FA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39602C" w14:textId="77777777" w:rsidR="00790ADA" w:rsidRPr="00FB3A86" w:rsidRDefault="00790ADA" w:rsidP="00441B6F">
      <w:pPr>
        <w:pStyle w:val="ReferHead"/>
        <w:spacing w:after="0"/>
        <w:jc w:val="both"/>
        <w:rPr>
          <w:rFonts w:ascii="Arial" w:hAnsi="Arial" w:cs="Arial"/>
        </w:rPr>
      </w:pPr>
    </w:p>
    <w:p w14:paraId="76831268" w14:textId="77777777" w:rsidR="00F84E7C" w:rsidRPr="00F84E7C" w:rsidRDefault="00F84E7C" w:rsidP="00E96A81">
      <w:pPr>
        <w:pStyle w:val="Body"/>
        <w:spacing w:after="0"/>
        <w:ind w:left="567" w:hanging="567"/>
        <w:rPr>
          <w:lang w:val="en-ID"/>
        </w:rPr>
      </w:pPr>
      <w:r w:rsidRPr="00F84E7C">
        <w:rPr>
          <w:lang w:val="en-ID"/>
        </w:rPr>
        <w:t xml:space="preserve">Antonio, M. S., Laela, S. F., &amp; Darmawan, R. R. (2019). Corporate governance, earnings quality and market response: Comparison of Islamic and non-Islamic stock in the Indonesian capital market. </w:t>
      </w:r>
      <w:r w:rsidRPr="00F84E7C">
        <w:rPr>
          <w:i/>
          <w:iCs/>
          <w:lang w:val="en-ID"/>
        </w:rPr>
        <w:t>Academy of Accounting and Financial Studies Journal, 23</w:t>
      </w:r>
      <w:r w:rsidRPr="00F84E7C">
        <w:rPr>
          <w:lang w:val="en-ID"/>
        </w:rPr>
        <w:t>(Special Issue 1).</w:t>
      </w:r>
    </w:p>
    <w:p w14:paraId="1D662010" w14:textId="77777777" w:rsidR="00F84E7C" w:rsidRPr="00F84E7C" w:rsidRDefault="00F84E7C" w:rsidP="00E96A81">
      <w:pPr>
        <w:pStyle w:val="Body"/>
        <w:spacing w:after="0"/>
        <w:ind w:left="567" w:hanging="567"/>
        <w:rPr>
          <w:lang w:val="en-ID"/>
        </w:rPr>
      </w:pPr>
      <w:proofErr w:type="spellStart"/>
      <w:r w:rsidRPr="00F84E7C">
        <w:rPr>
          <w:lang w:val="en-ID"/>
        </w:rPr>
        <w:t>Aristawati</w:t>
      </w:r>
      <w:proofErr w:type="spellEnd"/>
      <w:r w:rsidRPr="00F84E7C">
        <w:rPr>
          <w:lang w:val="en-ID"/>
        </w:rPr>
        <w:t xml:space="preserve">, N. M., &amp; Rasmini, N. K. (2018). </w:t>
      </w:r>
      <w:proofErr w:type="spellStart"/>
      <w:r w:rsidRPr="00F84E7C">
        <w:rPr>
          <w:lang w:val="en-ID"/>
        </w:rPr>
        <w:t>Pengaruh</w:t>
      </w:r>
      <w:proofErr w:type="spellEnd"/>
      <w:r w:rsidRPr="00F84E7C">
        <w:rPr>
          <w:lang w:val="en-ID"/>
        </w:rPr>
        <w:t xml:space="preserve"> </w:t>
      </w:r>
      <w:proofErr w:type="spellStart"/>
      <w:r w:rsidRPr="00F84E7C">
        <w:rPr>
          <w:lang w:val="en-ID"/>
        </w:rPr>
        <w:t>konservatisme</w:t>
      </w:r>
      <w:proofErr w:type="spellEnd"/>
      <w:r w:rsidRPr="00F84E7C">
        <w:rPr>
          <w:lang w:val="en-ID"/>
        </w:rPr>
        <w:t xml:space="preserve"> </w:t>
      </w:r>
      <w:proofErr w:type="spellStart"/>
      <w:r w:rsidRPr="00F84E7C">
        <w:rPr>
          <w:lang w:val="en-ID"/>
        </w:rPr>
        <w:t>akuntansi</w:t>
      </w:r>
      <w:proofErr w:type="spellEnd"/>
      <w:r w:rsidRPr="00F84E7C">
        <w:rPr>
          <w:lang w:val="en-ID"/>
        </w:rPr>
        <w:t xml:space="preserve">, good corporate governance dan </w:t>
      </w:r>
      <w:proofErr w:type="spellStart"/>
      <w:r w:rsidRPr="00F84E7C">
        <w:rPr>
          <w:lang w:val="en-ID"/>
        </w:rPr>
        <w:t>pertumbuhan</w:t>
      </w:r>
      <w:proofErr w:type="spellEnd"/>
      <w:r w:rsidRPr="00F84E7C">
        <w:rPr>
          <w:lang w:val="en-ID"/>
        </w:rPr>
        <w:t xml:space="preserve"> </w:t>
      </w:r>
      <w:proofErr w:type="spellStart"/>
      <w:r w:rsidRPr="00F84E7C">
        <w:rPr>
          <w:lang w:val="en-ID"/>
        </w:rPr>
        <w:t>perusahaan</w:t>
      </w:r>
      <w:proofErr w:type="spellEnd"/>
      <w:r w:rsidRPr="00F84E7C">
        <w:rPr>
          <w:lang w:val="en-ID"/>
        </w:rPr>
        <w:t xml:space="preserve"> pada earnings response coefficient. </w:t>
      </w:r>
      <w:r w:rsidRPr="00F84E7C">
        <w:rPr>
          <w:i/>
          <w:iCs/>
          <w:lang w:val="en-ID"/>
        </w:rPr>
        <w:t>E-</w:t>
      </w:r>
      <w:proofErr w:type="spellStart"/>
      <w:r w:rsidRPr="00F84E7C">
        <w:rPr>
          <w:i/>
          <w:iCs/>
          <w:lang w:val="en-ID"/>
        </w:rPr>
        <w:t>Jurnal</w:t>
      </w:r>
      <w:proofErr w:type="spellEnd"/>
      <w:r w:rsidRPr="00F84E7C">
        <w:rPr>
          <w:i/>
          <w:iCs/>
          <w:lang w:val="en-ID"/>
        </w:rPr>
        <w:t xml:space="preserve"> </w:t>
      </w:r>
      <w:proofErr w:type="spellStart"/>
      <w:r w:rsidRPr="00F84E7C">
        <w:rPr>
          <w:i/>
          <w:iCs/>
          <w:lang w:val="en-ID"/>
        </w:rPr>
        <w:t>Akuntansi</w:t>
      </w:r>
      <w:proofErr w:type="spellEnd"/>
      <w:r w:rsidRPr="00F84E7C">
        <w:rPr>
          <w:i/>
          <w:iCs/>
          <w:lang w:val="en-ID"/>
        </w:rPr>
        <w:t xml:space="preserve"> </w:t>
      </w:r>
      <w:proofErr w:type="spellStart"/>
      <w:r w:rsidRPr="00F84E7C">
        <w:rPr>
          <w:i/>
          <w:iCs/>
          <w:lang w:val="en-ID"/>
        </w:rPr>
        <w:t>Universitas</w:t>
      </w:r>
      <w:proofErr w:type="spellEnd"/>
      <w:r w:rsidRPr="00F84E7C">
        <w:rPr>
          <w:i/>
          <w:iCs/>
          <w:lang w:val="en-ID"/>
        </w:rPr>
        <w:t xml:space="preserve"> </w:t>
      </w:r>
      <w:proofErr w:type="spellStart"/>
      <w:r w:rsidRPr="00F84E7C">
        <w:rPr>
          <w:i/>
          <w:iCs/>
          <w:lang w:val="en-ID"/>
        </w:rPr>
        <w:t>Udayana</w:t>
      </w:r>
      <w:proofErr w:type="spellEnd"/>
      <w:r w:rsidRPr="00F84E7C">
        <w:rPr>
          <w:i/>
          <w:iCs/>
          <w:lang w:val="en-ID"/>
        </w:rPr>
        <w:t>, 24</w:t>
      </w:r>
      <w:r w:rsidRPr="00F84E7C">
        <w:rPr>
          <w:lang w:val="en-ID"/>
        </w:rPr>
        <w:t xml:space="preserve">(2), 1503–1529. </w:t>
      </w:r>
      <w:hyperlink r:id="rId14" w:tgtFrame="_new" w:history="1">
        <w:r w:rsidRPr="00F84E7C">
          <w:rPr>
            <w:rStyle w:val="Hyperlink"/>
            <w:lang w:val="en-ID"/>
          </w:rPr>
          <w:t>https://doi.org/10.24843/EJA.2018.v24.i02.p25</w:t>
        </w:r>
      </w:hyperlink>
    </w:p>
    <w:p w14:paraId="71E8B816" w14:textId="77777777" w:rsidR="00F84E7C" w:rsidRPr="00F84E7C" w:rsidRDefault="00F84E7C" w:rsidP="00E96A81">
      <w:pPr>
        <w:pStyle w:val="Body"/>
        <w:spacing w:after="0"/>
        <w:ind w:left="567" w:hanging="567"/>
        <w:rPr>
          <w:lang w:val="en-ID"/>
        </w:rPr>
      </w:pPr>
      <w:r w:rsidRPr="00F84E7C">
        <w:rPr>
          <w:lang w:val="en-ID"/>
        </w:rPr>
        <w:lastRenderedPageBreak/>
        <w:t xml:space="preserve">Aydogmus, M., Gulay, G., &amp; Ergun, K. (2022). Impact of ESG performance on firm value and profitability. </w:t>
      </w:r>
      <w:r w:rsidRPr="00F84E7C">
        <w:rPr>
          <w:i/>
          <w:iCs/>
          <w:lang w:val="en-ID"/>
        </w:rPr>
        <w:t>Borsa Istanbul Review</w:t>
      </w:r>
      <w:r w:rsidRPr="00F84E7C">
        <w:rPr>
          <w:lang w:val="en-ID"/>
        </w:rPr>
        <w:t xml:space="preserve">. </w:t>
      </w:r>
      <w:hyperlink r:id="rId15" w:tgtFrame="_new" w:history="1">
        <w:r w:rsidRPr="00F84E7C">
          <w:rPr>
            <w:rStyle w:val="Hyperlink"/>
            <w:lang w:val="en-ID"/>
          </w:rPr>
          <w:t>https://doi.org/10.1016/j.bir.2022.11.006</w:t>
        </w:r>
      </w:hyperlink>
    </w:p>
    <w:p w14:paraId="07EB1FA1" w14:textId="77777777" w:rsidR="00F84E7C" w:rsidRPr="00F84E7C" w:rsidRDefault="00F84E7C" w:rsidP="00E96A81">
      <w:pPr>
        <w:pStyle w:val="Body"/>
        <w:spacing w:after="0"/>
        <w:ind w:left="567" w:hanging="567"/>
        <w:rPr>
          <w:lang w:val="en-ID"/>
        </w:rPr>
      </w:pPr>
      <w:r w:rsidRPr="00F84E7C">
        <w:rPr>
          <w:lang w:val="en-ID"/>
        </w:rPr>
        <w:t xml:space="preserve">Ball, R., &amp; Brown, P. (1968). An empirical evaluation of accounting income numbers. </w:t>
      </w:r>
      <w:r w:rsidRPr="00F84E7C">
        <w:rPr>
          <w:i/>
          <w:iCs/>
          <w:lang w:val="en-ID"/>
        </w:rPr>
        <w:t>Journal of Accounting Research, 6</w:t>
      </w:r>
      <w:r w:rsidRPr="00F84E7C">
        <w:rPr>
          <w:lang w:val="en-ID"/>
        </w:rPr>
        <w:t xml:space="preserve">(2), 159–178. </w:t>
      </w:r>
      <w:hyperlink r:id="rId16" w:tgtFrame="_new" w:history="1">
        <w:r w:rsidRPr="00F84E7C">
          <w:rPr>
            <w:rStyle w:val="Hyperlink"/>
            <w:lang w:val="en-ID"/>
          </w:rPr>
          <w:t>https://doi.org/10.2307/2490232</w:t>
        </w:r>
      </w:hyperlink>
    </w:p>
    <w:p w14:paraId="62290BB9" w14:textId="77777777" w:rsidR="00F84E7C" w:rsidRPr="00F84E7C" w:rsidRDefault="00F84E7C" w:rsidP="00E96A81">
      <w:pPr>
        <w:pStyle w:val="Body"/>
        <w:spacing w:after="0"/>
        <w:ind w:left="567" w:hanging="567"/>
        <w:rPr>
          <w:lang w:val="en-ID"/>
        </w:rPr>
      </w:pPr>
      <w:r w:rsidRPr="00F84E7C">
        <w:rPr>
          <w:lang w:val="en-ID"/>
        </w:rPr>
        <w:t xml:space="preserve">Baskoro, A., Umar, H., &amp; </w:t>
      </w:r>
      <w:proofErr w:type="spellStart"/>
      <w:r w:rsidRPr="00F84E7C">
        <w:rPr>
          <w:lang w:val="en-ID"/>
        </w:rPr>
        <w:t>Indriani</w:t>
      </w:r>
      <w:proofErr w:type="spellEnd"/>
      <w:r w:rsidRPr="00F84E7C">
        <w:rPr>
          <w:lang w:val="en-ID"/>
        </w:rPr>
        <w:t xml:space="preserve">, A. (2021). The influence of CSR disclosure and sustainability accounting on earnings response coefficient. </w:t>
      </w:r>
      <w:r w:rsidRPr="00F84E7C">
        <w:rPr>
          <w:i/>
          <w:iCs/>
          <w:lang w:val="en-ID"/>
        </w:rPr>
        <w:t>International Journal of Current Science Research and Review, 4</w:t>
      </w:r>
      <w:r w:rsidRPr="00F84E7C">
        <w:rPr>
          <w:lang w:val="en-ID"/>
        </w:rPr>
        <w:t>(7).</w:t>
      </w:r>
    </w:p>
    <w:p w14:paraId="5BB3A6CD" w14:textId="77777777" w:rsidR="00F84E7C" w:rsidRPr="00F84E7C" w:rsidRDefault="00F84E7C" w:rsidP="00E96A81">
      <w:pPr>
        <w:pStyle w:val="Body"/>
        <w:spacing w:after="0"/>
        <w:ind w:left="567" w:hanging="567"/>
        <w:rPr>
          <w:lang w:val="en-ID"/>
        </w:rPr>
      </w:pPr>
      <w:r w:rsidRPr="00F84E7C">
        <w:rPr>
          <w:lang w:val="en-ID"/>
        </w:rPr>
        <w:t xml:space="preserve">Boffo, R., &amp; Patalano, R. (2020). </w:t>
      </w:r>
      <w:r w:rsidRPr="00F84E7C">
        <w:rPr>
          <w:i/>
          <w:iCs/>
          <w:lang w:val="en-ID"/>
        </w:rPr>
        <w:t>ESG investing: Practices, progress and challenges</w:t>
      </w:r>
      <w:r w:rsidRPr="00F84E7C">
        <w:rPr>
          <w:lang w:val="en-ID"/>
        </w:rPr>
        <w:t>. OECD.</w:t>
      </w:r>
    </w:p>
    <w:p w14:paraId="1612E436" w14:textId="77777777" w:rsidR="00F84E7C" w:rsidRPr="00F84E7C" w:rsidRDefault="00F84E7C" w:rsidP="00E96A81">
      <w:pPr>
        <w:pStyle w:val="Body"/>
        <w:spacing w:after="0"/>
        <w:ind w:left="567" w:hanging="567"/>
        <w:rPr>
          <w:lang w:val="en-ID"/>
        </w:rPr>
      </w:pPr>
      <w:r w:rsidRPr="00F84E7C">
        <w:rPr>
          <w:lang w:val="en-ID"/>
        </w:rPr>
        <w:t xml:space="preserve">Brigham, E. F., &amp; Houston, J. F. (2019). </w:t>
      </w:r>
      <w:r w:rsidRPr="00F84E7C">
        <w:rPr>
          <w:i/>
          <w:iCs/>
          <w:lang w:val="en-ID"/>
        </w:rPr>
        <w:t>Fundamentals of financial management</w:t>
      </w:r>
      <w:r w:rsidRPr="00F84E7C">
        <w:rPr>
          <w:lang w:val="en-ID"/>
        </w:rPr>
        <w:t xml:space="preserve"> (15th ed.). Cengage Learning.</w:t>
      </w:r>
    </w:p>
    <w:p w14:paraId="6DC9A802" w14:textId="77777777" w:rsidR="00F84E7C" w:rsidRPr="00F84E7C" w:rsidRDefault="00F84E7C" w:rsidP="00E96A81">
      <w:pPr>
        <w:pStyle w:val="Body"/>
        <w:spacing w:after="0"/>
        <w:ind w:left="567" w:hanging="567"/>
        <w:rPr>
          <w:lang w:val="en-ID"/>
        </w:rPr>
      </w:pPr>
      <w:proofErr w:type="spellStart"/>
      <w:r w:rsidRPr="00F84E7C">
        <w:rPr>
          <w:lang w:val="en-ID"/>
        </w:rPr>
        <w:t>Capelle-Blancard</w:t>
      </w:r>
      <w:proofErr w:type="spellEnd"/>
      <w:r w:rsidRPr="00F84E7C">
        <w:rPr>
          <w:lang w:val="en-ID"/>
        </w:rPr>
        <w:t xml:space="preserve">, G., &amp; Petit, A. (2019). Every little </w:t>
      </w:r>
      <w:proofErr w:type="gramStart"/>
      <w:r w:rsidRPr="00F84E7C">
        <w:rPr>
          <w:lang w:val="en-ID"/>
        </w:rPr>
        <w:t>helps</w:t>
      </w:r>
      <w:proofErr w:type="gramEnd"/>
      <w:r w:rsidRPr="00F84E7C">
        <w:rPr>
          <w:lang w:val="en-ID"/>
        </w:rPr>
        <w:t xml:space="preserve">? ESG news and stock market reaction. </w:t>
      </w:r>
      <w:r w:rsidRPr="00F84E7C">
        <w:rPr>
          <w:i/>
          <w:iCs/>
          <w:lang w:val="en-ID"/>
        </w:rPr>
        <w:t>Journal of Business Ethics, 157</w:t>
      </w:r>
      <w:r w:rsidRPr="00F84E7C">
        <w:rPr>
          <w:lang w:val="en-ID"/>
        </w:rPr>
        <w:t xml:space="preserve">(2), 543–565. </w:t>
      </w:r>
      <w:hyperlink r:id="rId17" w:tgtFrame="_new" w:history="1">
        <w:r w:rsidRPr="00F84E7C">
          <w:rPr>
            <w:rStyle w:val="Hyperlink"/>
            <w:lang w:val="en-ID"/>
          </w:rPr>
          <w:t>https://doi.org/10.1007/s10551-017-3667-3</w:t>
        </w:r>
      </w:hyperlink>
    </w:p>
    <w:p w14:paraId="6C3F3E00" w14:textId="77777777" w:rsidR="00F84E7C" w:rsidRPr="00F84E7C" w:rsidRDefault="00F84E7C" w:rsidP="00E96A81">
      <w:pPr>
        <w:pStyle w:val="Body"/>
        <w:spacing w:after="0"/>
        <w:ind w:left="567" w:hanging="567"/>
        <w:rPr>
          <w:lang w:val="en-ID"/>
        </w:rPr>
      </w:pPr>
      <w:r w:rsidRPr="00F84E7C">
        <w:rPr>
          <w:lang w:val="en-ID"/>
        </w:rPr>
        <w:t xml:space="preserve">Christensen, H. B., Hail, L., &amp; </w:t>
      </w:r>
      <w:proofErr w:type="spellStart"/>
      <w:r w:rsidRPr="00F84E7C">
        <w:rPr>
          <w:lang w:val="en-ID"/>
        </w:rPr>
        <w:t>Leuz</w:t>
      </w:r>
      <w:proofErr w:type="spellEnd"/>
      <w:r w:rsidRPr="00F84E7C">
        <w:rPr>
          <w:lang w:val="en-ID"/>
        </w:rPr>
        <w:t xml:space="preserve">, C. (2021). Mandatory CSR and sustainability reporting: Economic analysis and literature review. </w:t>
      </w:r>
      <w:r w:rsidRPr="00F84E7C">
        <w:rPr>
          <w:i/>
          <w:iCs/>
          <w:lang w:val="en-ID"/>
        </w:rPr>
        <w:t>ECGI Working Paper Series in Finance</w:t>
      </w:r>
      <w:r w:rsidRPr="00F84E7C">
        <w:rPr>
          <w:lang w:val="en-ID"/>
        </w:rPr>
        <w:t>.</w:t>
      </w:r>
    </w:p>
    <w:p w14:paraId="513A67C8" w14:textId="77777777" w:rsidR="00F84E7C" w:rsidRPr="00F84E7C" w:rsidRDefault="00F84E7C" w:rsidP="00E96A81">
      <w:pPr>
        <w:pStyle w:val="Body"/>
        <w:spacing w:after="0"/>
        <w:ind w:left="567" w:hanging="567"/>
        <w:rPr>
          <w:lang w:val="en-ID"/>
        </w:rPr>
      </w:pPr>
      <w:r w:rsidRPr="00F84E7C">
        <w:rPr>
          <w:lang w:val="en-ID"/>
        </w:rPr>
        <w:t xml:space="preserve">Connelly, B. L., Certo, S. T., Ireland, R. D., &amp; Reutzel, C. R. (2011). </w:t>
      </w:r>
      <w:proofErr w:type="spellStart"/>
      <w:r w:rsidRPr="00F84E7C">
        <w:rPr>
          <w:lang w:val="en-ID"/>
        </w:rPr>
        <w:t>Signaling</w:t>
      </w:r>
      <w:proofErr w:type="spellEnd"/>
      <w:r w:rsidRPr="00F84E7C">
        <w:rPr>
          <w:lang w:val="en-ID"/>
        </w:rPr>
        <w:t xml:space="preserve"> theory: A review and assessment. </w:t>
      </w:r>
      <w:r w:rsidRPr="00F84E7C">
        <w:rPr>
          <w:i/>
          <w:iCs/>
          <w:lang w:val="en-ID"/>
        </w:rPr>
        <w:t>Journal of Management, 37</w:t>
      </w:r>
      <w:r w:rsidRPr="00F84E7C">
        <w:rPr>
          <w:lang w:val="en-ID"/>
        </w:rPr>
        <w:t xml:space="preserve">(1), 39–67. </w:t>
      </w:r>
      <w:hyperlink r:id="rId18" w:tgtFrame="_new" w:history="1">
        <w:r w:rsidRPr="00F84E7C">
          <w:rPr>
            <w:rStyle w:val="Hyperlink"/>
            <w:lang w:val="en-ID"/>
          </w:rPr>
          <w:t>https://doi.org/10.1177/0149206310388419</w:t>
        </w:r>
      </w:hyperlink>
    </w:p>
    <w:p w14:paraId="48AC3F25" w14:textId="77777777" w:rsidR="00F84E7C" w:rsidRPr="00F84E7C" w:rsidRDefault="00F84E7C" w:rsidP="00E96A81">
      <w:pPr>
        <w:pStyle w:val="Body"/>
        <w:spacing w:after="0"/>
        <w:ind w:left="567" w:hanging="567"/>
        <w:rPr>
          <w:lang w:val="en-ID"/>
        </w:rPr>
      </w:pPr>
      <w:r w:rsidRPr="00F84E7C">
        <w:rPr>
          <w:lang w:val="en-ID"/>
        </w:rPr>
        <w:t xml:space="preserve">Fama, E. F. (1970). Efficient capital markets: A review of theory and empirical work. </w:t>
      </w:r>
      <w:r w:rsidRPr="00F84E7C">
        <w:rPr>
          <w:i/>
          <w:iCs/>
          <w:lang w:val="en-ID"/>
        </w:rPr>
        <w:t>The Journal of Finance, 25</w:t>
      </w:r>
      <w:r w:rsidRPr="00F84E7C">
        <w:rPr>
          <w:lang w:val="en-ID"/>
        </w:rPr>
        <w:t xml:space="preserve">(2), 383–417. </w:t>
      </w:r>
      <w:hyperlink r:id="rId19" w:tgtFrame="_new" w:history="1">
        <w:r w:rsidRPr="00F84E7C">
          <w:rPr>
            <w:rStyle w:val="Hyperlink"/>
            <w:lang w:val="en-ID"/>
          </w:rPr>
          <w:t>https://doi.org/10.2307/2325486</w:t>
        </w:r>
      </w:hyperlink>
    </w:p>
    <w:p w14:paraId="12FF3FF7" w14:textId="77777777" w:rsidR="00F84E7C" w:rsidRPr="00F84E7C" w:rsidRDefault="00F84E7C" w:rsidP="00E96A81">
      <w:pPr>
        <w:pStyle w:val="Body"/>
        <w:spacing w:after="0"/>
        <w:ind w:left="567" w:hanging="567"/>
        <w:rPr>
          <w:lang w:val="en-ID"/>
        </w:rPr>
      </w:pPr>
      <w:r w:rsidRPr="00F84E7C">
        <w:rPr>
          <w:lang w:val="en-ID"/>
        </w:rPr>
        <w:t xml:space="preserve">Friede, G., Busch, T., &amp; Bassen, A. (2015). ESG and financial performance: Aggregated evidence from more than 2000 empirical studies. </w:t>
      </w:r>
      <w:r w:rsidRPr="00F84E7C">
        <w:rPr>
          <w:i/>
          <w:iCs/>
          <w:lang w:val="en-ID"/>
        </w:rPr>
        <w:t>Journal of Sustainable Finance &amp; Investment, 5</w:t>
      </w:r>
      <w:r w:rsidRPr="00F84E7C">
        <w:rPr>
          <w:lang w:val="en-ID"/>
        </w:rPr>
        <w:t xml:space="preserve">(4), 210–233. </w:t>
      </w:r>
      <w:hyperlink r:id="rId20" w:tgtFrame="_new" w:history="1">
        <w:r w:rsidRPr="00F84E7C">
          <w:rPr>
            <w:rStyle w:val="Hyperlink"/>
            <w:lang w:val="en-ID"/>
          </w:rPr>
          <w:t>https://doi.org/10.1080/20430795.2015.1118917</w:t>
        </w:r>
      </w:hyperlink>
    </w:p>
    <w:p w14:paraId="6545B22E" w14:textId="77777777" w:rsidR="00F84E7C" w:rsidRPr="00F84E7C" w:rsidRDefault="00F84E7C" w:rsidP="00E96A81">
      <w:pPr>
        <w:pStyle w:val="Body"/>
        <w:spacing w:after="0"/>
        <w:ind w:left="567" w:hanging="567"/>
        <w:rPr>
          <w:lang w:val="en-ID"/>
        </w:rPr>
      </w:pPr>
      <w:proofErr w:type="spellStart"/>
      <w:r w:rsidRPr="00F84E7C">
        <w:rPr>
          <w:lang w:val="en-ID"/>
        </w:rPr>
        <w:t>Ghozali</w:t>
      </w:r>
      <w:proofErr w:type="spellEnd"/>
      <w:r w:rsidRPr="00F84E7C">
        <w:rPr>
          <w:lang w:val="en-ID"/>
        </w:rPr>
        <w:t xml:space="preserve">, I. (2013). </w:t>
      </w:r>
      <w:proofErr w:type="spellStart"/>
      <w:r w:rsidRPr="00F84E7C">
        <w:rPr>
          <w:i/>
          <w:iCs/>
          <w:lang w:val="en-ID"/>
        </w:rPr>
        <w:t>Aplikasi</w:t>
      </w:r>
      <w:proofErr w:type="spellEnd"/>
      <w:r w:rsidRPr="00F84E7C">
        <w:rPr>
          <w:i/>
          <w:iCs/>
          <w:lang w:val="en-ID"/>
        </w:rPr>
        <w:t xml:space="preserve"> </w:t>
      </w:r>
      <w:proofErr w:type="spellStart"/>
      <w:r w:rsidRPr="00F84E7C">
        <w:rPr>
          <w:i/>
          <w:iCs/>
          <w:lang w:val="en-ID"/>
        </w:rPr>
        <w:t>analisis</w:t>
      </w:r>
      <w:proofErr w:type="spellEnd"/>
      <w:r w:rsidRPr="00F84E7C">
        <w:rPr>
          <w:i/>
          <w:iCs/>
          <w:lang w:val="en-ID"/>
        </w:rPr>
        <w:t xml:space="preserve"> multivariate </w:t>
      </w:r>
      <w:proofErr w:type="spellStart"/>
      <w:r w:rsidRPr="00F84E7C">
        <w:rPr>
          <w:i/>
          <w:iCs/>
          <w:lang w:val="en-ID"/>
        </w:rPr>
        <w:t>dengan</w:t>
      </w:r>
      <w:proofErr w:type="spellEnd"/>
      <w:r w:rsidRPr="00F84E7C">
        <w:rPr>
          <w:i/>
          <w:iCs/>
          <w:lang w:val="en-ID"/>
        </w:rPr>
        <w:t xml:space="preserve"> program IBM SPSS 21</w:t>
      </w:r>
      <w:r w:rsidRPr="00F84E7C">
        <w:rPr>
          <w:lang w:val="en-ID"/>
        </w:rPr>
        <w:t xml:space="preserve">. Badan </w:t>
      </w:r>
      <w:proofErr w:type="spellStart"/>
      <w:r w:rsidRPr="00F84E7C">
        <w:rPr>
          <w:lang w:val="en-ID"/>
        </w:rPr>
        <w:t>Penerbit</w:t>
      </w:r>
      <w:proofErr w:type="spellEnd"/>
      <w:r w:rsidRPr="00F84E7C">
        <w:rPr>
          <w:lang w:val="en-ID"/>
        </w:rPr>
        <w:t xml:space="preserve"> </w:t>
      </w:r>
      <w:proofErr w:type="spellStart"/>
      <w:r w:rsidRPr="00F84E7C">
        <w:rPr>
          <w:lang w:val="en-ID"/>
        </w:rPr>
        <w:t>Universitas</w:t>
      </w:r>
      <w:proofErr w:type="spellEnd"/>
      <w:r w:rsidRPr="00F84E7C">
        <w:rPr>
          <w:lang w:val="en-ID"/>
        </w:rPr>
        <w:t xml:space="preserve"> </w:t>
      </w:r>
      <w:proofErr w:type="spellStart"/>
      <w:r w:rsidRPr="00F84E7C">
        <w:rPr>
          <w:lang w:val="en-ID"/>
        </w:rPr>
        <w:t>Diponegoro</w:t>
      </w:r>
      <w:proofErr w:type="spellEnd"/>
      <w:r w:rsidRPr="00F84E7C">
        <w:rPr>
          <w:lang w:val="en-ID"/>
        </w:rPr>
        <w:t>.</w:t>
      </w:r>
    </w:p>
    <w:p w14:paraId="3DD18B8B" w14:textId="77777777" w:rsidR="00F84E7C" w:rsidRPr="00F84E7C" w:rsidRDefault="00F84E7C" w:rsidP="00E96A81">
      <w:pPr>
        <w:pStyle w:val="Body"/>
        <w:spacing w:after="0"/>
        <w:ind w:left="567" w:hanging="567"/>
        <w:rPr>
          <w:lang w:val="en-ID"/>
        </w:rPr>
      </w:pPr>
      <w:r w:rsidRPr="00F84E7C">
        <w:rPr>
          <w:lang w:val="en-ID"/>
        </w:rPr>
        <w:t xml:space="preserve">Global Reporting Initiative. (2021). </w:t>
      </w:r>
      <w:r w:rsidRPr="00F84E7C">
        <w:rPr>
          <w:i/>
          <w:iCs/>
          <w:lang w:val="en-ID"/>
        </w:rPr>
        <w:t>GRI standards 2021</w:t>
      </w:r>
      <w:r w:rsidRPr="00F84E7C">
        <w:rPr>
          <w:lang w:val="en-ID"/>
        </w:rPr>
        <w:t xml:space="preserve">. </w:t>
      </w:r>
      <w:hyperlink r:id="rId21" w:tgtFrame="_new" w:history="1">
        <w:r w:rsidRPr="00F84E7C">
          <w:rPr>
            <w:rStyle w:val="Hyperlink"/>
            <w:lang w:val="en-ID"/>
          </w:rPr>
          <w:t>https://www.globalreporting.org</w:t>
        </w:r>
      </w:hyperlink>
    </w:p>
    <w:p w14:paraId="2AE31E80" w14:textId="77777777" w:rsidR="00F84E7C" w:rsidRPr="00F84E7C" w:rsidRDefault="00F84E7C" w:rsidP="00E96A81">
      <w:pPr>
        <w:pStyle w:val="Body"/>
        <w:spacing w:after="0"/>
        <w:ind w:left="567" w:hanging="567"/>
        <w:rPr>
          <w:lang w:val="en-ID"/>
        </w:rPr>
      </w:pPr>
      <w:r w:rsidRPr="00F84E7C">
        <w:rPr>
          <w:lang w:val="en-ID"/>
        </w:rPr>
        <w:t xml:space="preserve">Handi, D. N. R., &amp; </w:t>
      </w:r>
      <w:proofErr w:type="spellStart"/>
      <w:r w:rsidRPr="00F84E7C">
        <w:rPr>
          <w:lang w:val="en-ID"/>
        </w:rPr>
        <w:t>Fanani</w:t>
      </w:r>
      <w:proofErr w:type="spellEnd"/>
      <w:r w:rsidRPr="00F84E7C">
        <w:rPr>
          <w:lang w:val="en-ID"/>
        </w:rPr>
        <w:t xml:space="preserve">, B. (2021). Understanding earnings response coefficient from growth opportunities and intellectual capital. </w:t>
      </w:r>
      <w:r w:rsidRPr="00F84E7C">
        <w:rPr>
          <w:i/>
          <w:iCs/>
          <w:lang w:val="en-ID"/>
        </w:rPr>
        <w:t>Proceedings of ICONS 2021</w:t>
      </w:r>
      <w:r w:rsidRPr="00F84E7C">
        <w:rPr>
          <w:lang w:val="en-ID"/>
        </w:rPr>
        <w:t xml:space="preserve">. </w:t>
      </w:r>
      <w:hyperlink r:id="rId22" w:tgtFrame="_new" w:history="1">
        <w:r w:rsidRPr="00F84E7C">
          <w:rPr>
            <w:rStyle w:val="Hyperlink"/>
            <w:lang w:val="en-ID"/>
          </w:rPr>
          <w:t>http://dx.doi.org/10.2991/assehr.k.220101.020</w:t>
        </w:r>
      </w:hyperlink>
    </w:p>
    <w:p w14:paraId="6615E785" w14:textId="77777777" w:rsidR="00F84E7C" w:rsidRPr="00F84E7C" w:rsidRDefault="00F84E7C" w:rsidP="00E96A81">
      <w:pPr>
        <w:pStyle w:val="Body"/>
        <w:spacing w:after="0"/>
        <w:ind w:left="567" w:hanging="567"/>
        <w:rPr>
          <w:lang w:val="en-ID"/>
        </w:rPr>
      </w:pPr>
      <w:r w:rsidRPr="00F84E7C">
        <w:rPr>
          <w:lang w:val="en-ID"/>
        </w:rPr>
        <w:t xml:space="preserve">Kim, Y., Choi, S., &amp; Kim, B. J. (2022). How does a firm’s earnings response coefficient vary with managerial ability? Evidence from Korea. </w:t>
      </w:r>
      <w:r w:rsidRPr="00F84E7C">
        <w:rPr>
          <w:i/>
          <w:iCs/>
          <w:lang w:val="en-ID"/>
        </w:rPr>
        <w:t>Emerging Markets Finance and Trade</w:t>
      </w:r>
      <w:r w:rsidRPr="00F84E7C">
        <w:rPr>
          <w:lang w:val="en-ID"/>
        </w:rPr>
        <w:t>.</w:t>
      </w:r>
    </w:p>
    <w:p w14:paraId="715FBD0B" w14:textId="77777777" w:rsidR="00F84E7C" w:rsidRPr="00F84E7C" w:rsidRDefault="00F84E7C" w:rsidP="00E96A81">
      <w:pPr>
        <w:pStyle w:val="Body"/>
        <w:spacing w:after="0"/>
        <w:ind w:left="567" w:hanging="567"/>
        <w:rPr>
          <w:lang w:val="en-ID"/>
        </w:rPr>
      </w:pPr>
      <w:r w:rsidRPr="00F84E7C">
        <w:rPr>
          <w:lang w:val="en-ID"/>
        </w:rPr>
        <w:t xml:space="preserve">Liu, Z., Saidin, S. F., &amp; Osman, M. N. H. (2024). The effect of internal control on earnings response coefficient. </w:t>
      </w:r>
      <w:r w:rsidRPr="00F84E7C">
        <w:rPr>
          <w:i/>
          <w:iCs/>
          <w:lang w:val="en-ID"/>
        </w:rPr>
        <w:t>Asian Journal of Accounting Research</w:t>
      </w:r>
      <w:r w:rsidRPr="00F84E7C">
        <w:rPr>
          <w:lang w:val="en-ID"/>
        </w:rPr>
        <w:t xml:space="preserve">. </w:t>
      </w:r>
      <w:hyperlink r:id="rId23" w:tgtFrame="_new" w:history="1">
        <w:r w:rsidRPr="00F84E7C">
          <w:rPr>
            <w:rStyle w:val="Hyperlink"/>
            <w:lang w:val="en-ID"/>
          </w:rPr>
          <w:t>https://doi.org/10.1108/AJAR-12-2023-0403</w:t>
        </w:r>
      </w:hyperlink>
    </w:p>
    <w:p w14:paraId="00E44623" w14:textId="77777777" w:rsidR="00F84E7C" w:rsidRPr="00F84E7C" w:rsidRDefault="00F84E7C" w:rsidP="00E96A81">
      <w:pPr>
        <w:pStyle w:val="Body"/>
        <w:spacing w:after="0"/>
        <w:ind w:left="567" w:hanging="567"/>
        <w:rPr>
          <w:lang w:val="en-ID"/>
        </w:rPr>
      </w:pPr>
      <w:r w:rsidRPr="00F84E7C">
        <w:rPr>
          <w:lang w:val="en-ID"/>
        </w:rPr>
        <w:t xml:space="preserve">Mufidah, R. D., &amp; </w:t>
      </w:r>
      <w:proofErr w:type="spellStart"/>
      <w:r w:rsidRPr="00F84E7C">
        <w:rPr>
          <w:lang w:val="en-ID"/>
        </w:rPr>
        <w:t>Hariyanto</w:t>
      </w:r>
      <w:proofErr w:type="spellEnd"/>
      <w:r w:rsidRPr="00F84E7C">
        <w:rPr>
          <w:lang w:val="en-ID"/>
        </w:rPr>
        <w:t xml:space="preserve">, W. (2025). Accounting conservatism and default risk on earnings response coefficient. </w:t>
      </w:r>
      <w:r w:rsidRPr="00F84E7C">
        <w:rPr>
          <w:i/>
          <w:iCs/>
          <w:lang w:val="en-ID"/>
        </w:rPr>
        <w:t>UMSIDA Preprints Server</w:t>
      </w:r>
      <w:r w:rsidRPr="00F84E7C">
        <w:rPr>
          <w:lang w:val="en-ID"/>
        </w:rPr>
        <w:t xml:space="preserve">. </w:t>
      </w:r>
      <w:hyperlink r:id="rId24" w:tgtFrame="_new" w:history="1">
        <w:r w:rsidRPr="00F84E7C">
          <w:rPr>
            <w:rStyle w:val="Hyperlink"/>
            <w:lang w:val="en-ID"/>
          </w:rPr>
          <w:t>https://doi.org/10.21070/ups.8171</w:t>
        </w:r>
      </w:hyperlink>
    </w:p>
    <w:p w14:paraId="506358D9" w14:textId="77777777" w:rsidR="00F84E7C" w:rsidRPr="00F84E7C" w:rsidRDefault="00F84E7C" w:rsidP="00E96A81">
      <w:pPr>
        <w:pStyle w:val="Body"/>
        <w:spacing w:after="0"/>
        <w:ind w:left="567" w:hanging="567"/>
        <w:rPr>
          <w:lang w:val="en-ID"/>
        </w:rPr>
      </w:pPr>
      <w:r w:rsidRPr="00F84E7C">
        <w:rPr>
          <w:lang w:val="en-ID"/>
        </w:rPr>
        <w:t xml:space="preserve">Orlitzky, M. (2001). Does firm size confound the relationship between corporate social performance and firm financial performance? </w:t>
      </w:r>
      <w:r w:rsidRPr="00F84E7C">
        <w:rPr>
          <w:i/>
          <w:iCs/>
          <w:lang w:val="en-ID"/>
        </w:rPr>
        <w:t>Journal of Business Ethics, 33</w:t>
      </w:r>
      <w:r w:rsidRPr="00F84E7C">
        <w:rPr>
          <w:lang w:val="en-ID"/>
        </w:rPr>
        <w:t>(2), 167–180. https://doi.org/10.1023/A:1017516826427</w:t>
      </w:r>
    </w:p>
    <w:p w14:paraId="0E545627" w14:textId="77777777" w:rsidR="00F84E7C" w:rsidRPr="00F84E7C" w:rsidRDefault="00F84E7C" w:rsidP="00E96A81">
      <w:pPr>
        <w:pStyle w:val="Body"/>
        <w:spacing w:after="0"/>
        <w:ind w:left="567" w:hanging="567"/>
        <w:rPr>
          <w:lang w:val="en-ID"/>
        </w:rPr>
      </w:pPr>
      <w:r w:rsidRPr="00F84E7C">
        <w:rPr>
          <w:lang w:val="en-ID"/>
        </w:rPr>
        <w:t xml:space="preserve">Pratama, D. U., &amp; Robinson. (2024). Analysis of ESG, retention ratio, and leverage impacts on stock returns. </w:t>
      </w:r>
      <w:r w:rsidRPr="00F84E7C">
        <w:rPr>
          <w:i/>
          <w:iCs/>
          <w:lang w:val="en-ID"/>
        </w:rPr>
        <w:t>Journal of Economics Education and Entrepreneurship, 5</w:t>
      </w:r>
      <w:r w:rsidRPr="00F84E7C">
        <w:rPr>
          <w:lang w:val="en-ID"/>
        </w:rPr>
        <w:t xml:space="preserve">(1), 26–44. </w:t>
      </w:r>
      <w:hyperlink r:id="rId25" w:tgtFrame="_new" w:history="1">
        <w:r w:rsidRPr="00F84E7C">
          <w:rPr>
            <w:rStyle w:val="Hyperlink"/>
            <w:lang w:val="en-ID"/>
          </w:rPr>
          <w:t>https://doi.org/10.20527/jee.v5i1.11870</w:t>
        </w:r>
      </w:hyperlink>
    </w:p>
    <w:p w14:paraId="5479C286" w14:textId="77777777" w:rsidR="00F84E7C" w:rsidRPr="00F84E7C" w:rsidRDefault="00F84E7C" w:rsidP="00E96A81">
      <w:pPr>
        <w:pStyle w:val="Body"/>
        <w:spacing w:after="0"/>
        <w:ind w:left="567" w:hanging="567"/>
        <w:rPr>
          <w:lang w:val="en-ID"/>
        </w:rPr>
      </w:pPr>
      <w:r w:rsidRPr="00F84E7C">
        <w:rPr>
          <w:lang w:val="en-ID"/>
        </w:rPr>
        <w:t xml:space="preserve">PricewaterhouseCoopers. (2023). </w:t>
      </w:r>
      <w:proofErr w:type="spellStart"/>
      <w:r w:rsidRPr="00F84E7C">
        <w:rPr>
          <w:i/>
          <w:iCs/>
          <w:lang w:val="en-ID"/>
        </w:rPr>
        <w:t>Tren</w:t>
      </w:r>
      <w:proofErr w:type="spellEnd"/>
      <w:r w:rsidRPr="00F84E7C">
        <w:rPr>
          <w:i/>
          <w:iCs/>
          <w:lang w:val="en-ID"/>
        </w:rPr>
        <w:t xml:space="preserve"> dan </w:t>
      </w:r>
      <w:proofErr w:type="spellStart"/>
      <w:r w:rsidRPr="00F84E7C">
        <w:rPr>
          <w:i/>
          <w:iCs/>
          <w:lang w:val="en-ID"/>
        </w:rPr>
        <w:t>arah</w:t>
      </w:r>
      <w:proofErr w:type="spellEnd"/>
      <w:r w:rsidRPr="00F84E7C">
        <w:rPr>
          <w:i/>
          <w:iCs/>
          <w:lang w:val="en-ID"/>
        </w:rPr>
        <w:t xml:space="preserve"> sustainability report Indonesia di masa </w:t>
      </w:r>
      <w:proofErr w:type="spellStart"/>
      <w:r w:rsidRPr="00F84E7C">
        <w:rPr>
          <w:i/>
          <w:iCs/>
          <w:lang w:val="en-ID"/>
        </w:rPr>
        <w:t>mendatang</w:t>
      </w:r>
      <w:proofErr w:type="spellEnd"/>
      <w:r w:rsidRPr="00F84E7C">
        <w:rPr>
          <w:lang w:val="en-ID"/>
        </w:rPr>
        <w:t xml:space="preserve">. </w:t>
      </w:r>
      <w:hyperlink r:id="rId26" w:tgtFrame="_new" w:history="1">
        <w:r w:rsidRPr="00F84E7C">
          <w:rPr>
            <w:rStyle w:val="Hyperlink"/>
            <w:lang w:val="en-ID"/>
          </w:rPr>
          <w:t>https://www.pwc.com</w:t>
        </w:r>
      </w:hyperlink>
    </w:p>
    <w:p w14:paraId="5E287CE6" w14:textId="77777777" w:rsidR="00F84E7C" w:rsidRPr="00F84E7C" w:rsidRDefault="00F84E7C" w:rsidP="00E96A81">
      <w:pPr>
        <w:pStyle w:val="Body"/>
        <w:spacing w:after="0"/>
        <w:ind w:left="567" w:hanging="567"/>
        <w:rPr>
          <w:lang w:val="en-ID"/>
        </w:rPr>
      </w:pPr>
      <w:proofErr w:type="spellStart"/>
      <w:r w:rsidRPr="00F84E7C">
        <w:rPr>
          <w:lang w:val="en-ID"/>
        </w:rPr>
        <w:t>Prihatiningrum</w:t>
      </w:r>
      <w:proofErr w:type="spellEnd"/>
      <w:r w:rsidRPr="00F84E7C">
        <w:rPr>
          <w:lang w:val="en-ID"/>
        </w:rPr>
        <w:t xml:space="preserve">, A. (2020). </w:t>
      </w:r>
      <w:proofErr w:type="spellStart"/>
      <w:r w:rsidRPr="00F84E7C">
        <w:rPr>
          <w:lang w:val="en-ID"/>
        </w:rPr>
        <w:t>Pengaruh</w:t>
      </w:r>
      <w:proofErr w:type="spellEnd"/>
      <w:r w:rsidRPr="00F84E7C">
        <w:rPr>
          <w:lang w:val="en-ID"/>
        </w:rPr>
        <w:t xml:space="preserve"> CSR dan leverage </w:t>
      </w:r>
      <w:proofErr w:type="spellStart"/>
      <w:r w:rsidRPr="00F84E7C">
        <w:rPr>
          <w:lang w:val="en-ID"/>
        </w:rPr>
        <w:t>terhadap</w:t>
      </w:r>
      <w:proofErr w:type="spellEnd"/>
      <w:r w:rsidRPr="00F84E7C">
        <w:rPr>
          <w:lang w:val="en-ID"/>
        </w:rPr>
        <w:t xml:space="preserve"> earnings response coefficient. </w:t>
      </w:r>
      <w:proofErr w:type="spellStart"/>
      <w:r w:rsidRPr="00F84E7C">
        <w:rPr>
          <w:i/>
          <w:iCs/>
          <w:lang w:val="en-ID"/>
        </w:rPr>
        <w:t>Buletin</w:t>
      </w:r>
      <w:proofErr w:type="spellEnd"/>
      <w:r w:rsidRPr="00F84E7C">
        <w:rPr>
          <w:i/>
          <w:iCs/>
          <w:lang w:val="en-ID"/>
        </w:rPr>
        <w:t xml:space="preserve"> </w:t>
      </w:r>
      <w:proofErr w:type="spellStart"/>
      <w:r w:rsidRPr="00F84E7C">
        <w:rPr>
          <w:i/>
          <w:iCs/>
          <w:lang w:val="en-ID"/>
        </w:rPr>
        <w:t>Ekonomi</w:t>
      </w:r>
      <w:proofErr w:type="spellEnd"/>
      <w:r w:rsidRPr="00F84E7C">
        <w:rPr>
          <w:lang w:val="en-ID"/>
        </w:rPr>
        <w:t>.</w:t>
      </w:r>
    </w:p>
    <w:p w14:paraId="524C64D0" w14:textId="77777777" w:rsidR="00F84E7C" w:rsidRPr="00F84E7C" w:rsidRDefault="00F84E7C" w:rsidP="00E96A81">
      <w:pPr>
        <w:pStyle w:val="Body"/>
        <w:spacing w:after="0"/>
        <w:ind w:left="567" w:hanging="567"/>
        <w:rPr>
          <w:lang w:val="en-ID"/>
        </w:rPr>
      </w:pPr>
      <w:r w:rsidRPr="00F84E7C">
        <w:rPr>
          <w:lang w:val="en-ID"/>
        </w:rPr>
        <w:t xml:space="preserve">Scott, W. R. (2015). </w:t>
      </w:r>
      <w:r w:rsidRPr="00F84E7C">
        <w:rPr>
          <w:i/>
          <w:iCs/>
          <w:lang w:val="en-ID"/>
        </w:rPr>
        <w:t>Financial accounting theory</w:t>
      </w:r>
      <w:r w:rsidRPr="00F84E7C">
        <w:rPr>
          <w:lang w:val="en-ID"/>
        </w:rPr>
        <w:t xml:space="preserve"> (7th ed.). Pearson.</w:t>
      </w:r>
    </w:p>
    <w:p w14:paraId="57C4508F" w14:textId="77777777" w:rsidR="00F84E7C" w:rsidRPr="00F84E7C" w:rsidRDefault="00F84E7C" w:rsidP="00E96A81">
      <w:pPr>
        <w:pStyle w:val="Body"/>
        <w:spacing w:after="0"/>
        <w:ind w:left="567" w:hanging="567"/>
        <w:rPr>
          <w:lang w:val="en-ID"/>
        </w:rPr>
      </w:pPr>
      <w:r w:rsidRPr="00F84E7C">
        <w:rPr>
          <w:lang w:val="en-ID"/>
        </w:rPr>
        <w:t xml:space="preserve">Spence, M. (1973). Job market </w:t>
      </w:r>
      <w:proofErr w:type="spellStart"/>
      <w:r w:rsidRPr="00F84E7C">
        <w:rPr>
          <w:lang w:val="en-ID"/>
        </w:rPr>
        <w:t>signaling</w:t>
      </w:r>
      <w:proofErr w:type="spellEnd"/>
      <w:r w:rsidRPr="00F84E7C">
        <w:rPr>
          <w:lang w:val="en-ID"/>
        </w:rPr>
        <w:t xml:space="preserve">. </w:t>
      </w:r>
      <w:r w:rsidRPr="00F84E7C">
        <w:rPr>
          <w:i/>
          <w:iCs/>
          <w:lang w:val="en-ID"/>
        </w:rPr>
        <w:t>The Quarterly Journal of Economics, 87</w:t>
      </w:r>
      <w:r w:rsidRPr="00F84E7C">
        <w:rPr>
          <w:lang w:val="en-ID"/>
        </w:rPr>
        <w:t xml:space="preserve">(3), 355–374. </w:t>
      </w:r>
      <w:hyperlink r:id="rId27" w:tgtFrame="_new" w:history="1">
        <w:r w:rsidRPr="00F84E7C">
          <w:rPr>
            <w:rStyle w:val="Hyperlink"/>
            <w:lang w:val="en-ID"/>
          </w:rPr>
          <w:t>http://www.jstor.org/stable/1882010</w:t>
        </w:r>
      </w:hyperlink>
    </w:p>
    <w:p w14:paraId="2153655A" w14:textId="77777777" w:rsidR="00F84E7C" w:rsidRPr="00F84E7C" w:rsidRDefault="00F84E7C" w:rsidP="00E96A81">
      <w:pPr>
        <w:pStyle w:val="Body"/>
        <w:spacing w:after="0"/>
        <w:ind w:left="567" w:hanging="567"/>
        <w:rPr>
          <w:lang w:val="en-ID"/>
        </w:rPr>
      </w:pPr>
      <w:r w:rsidRPr="00F84E7C">
        <w:rPr>
          <w:lang w:val="en-ID"/>
        </w:rPr>
        <w:t xml:space="preserve">Subramanyam, K. R., &amp; Wild, J. J. (2020). </w:t>
      </w:r>
      <w:r w:rsidRPr="00F84E7C">
        <w:rPr>
          <w:i/>
          <w:iCs/>
          <w:lang w:val="en-ID"/>
        </w:rPr>
        <w:t>Financial statement analysis</w:t>
      </w:r>
      <w:r w:rsidRPr="00F84E7C">
        <w:rPr>
          <w:lang w:val="en-ID"/>
        </w:rPr>
        <w:t xml:space="preserve"> (12th ed.). McGraw-Hill Education.</w:t>
      </w:r>
    </w:p>
    <w:p w14:paraId="1763FAA6" w14:textId="77777777" w:rsidR="00F84E7C" w:rsidRPr="00F84E7C" w:rsidRDefault="00F84E7C" w:rsidP="00E96A81">
      <w:pPr>
        <w:pStyle w:val="Body"/>
        <w:spacing w:after="0"/>
        <w:ind w:left="567" w:hanging="567"/>
        <w:rPr>
          <w:lang w:val="en-ID"/>
        </w:rPr>
      </w:pPr>
      <w:proofErr w:type="spellStart"/>
      <w:r w:rsidRPr="00F84E7C">
        <w:rPr>
          <w:lang w:val="en-ID"/>
        </w:rPr>
        <w:lastRenderedPageBreak/>
        <w:t>Sudaryati</w:t>
      </w:r>
      <w:proofErr w:type="spellEnd"/>
      <w:r w:rsidRPr="00F84E7C">
        <w:rPr>
          <w:lang w:val="en-ID"/>
        </w:rPr>
        <w:t xml:space="preserve">, S., </w:t>
      </w:r>
      <w:proofErr w:type="spellStart"/>
      <w:r w:rsidRPr="00F84E7C">
        <w:rPr>
          <w:lang w:val="en-ID"/>
        </w:rPr>
        <w:t>Sarumpaet</w:t>
      </w:r>
      <w:proofErr w:type="spellEnd"/>
      <w:r w:rsidRPr="00F84E7C">
        <w:rPr>
          <w:lang w:val="en-ID"/>
        </w:rPr>
        <w:t xml:space="preserve">, S., &amp; Dewi, F. G. (2020). Environmental performance and sustainability reporting on earnings response coefficient. </w:t>
      </w:r>
      <w:r w:rsidRPr="00F84E7C">
        <w:rPr>
          <w:i/>
          <w:iCs/>
          <w:lang w:val="en-ID"/>
        </w:rPr>
        <w:t>International Journal for Innovation Education and Research</w:t>
      </w:r>
      <w:r w:rsidRPr="00F84E7C">
        <w:rPr>
          <w:lang w:val="en-ID"/>
        </w:rPr>
        <w:t>.</w:t>
      </w:r>
    </w:p>
    <w:p w14:paraId="71937AAF" w14:textId="77777777" w:rsidR="00F84E7C" w:rsidRPr="00F84E7C" w:rsidRDefault="00F84E7C" w:rsidP="00E96A81">
      <w:pPr>
        <w:pStyle w:val="Body"/>
        <w:spacing w:after="0"/>
        <w:ind w:left="567" w:hanging="567"/>
        <w:rPr>
          <w:lang w:val="en-ID"/>
        </w:rPr>
      </w:pPr>
      <w:r w:rsidRPr="00F84E7C">
        <w:rPr>
          <w:lang w:val="en-ID"/>
        </w:rPr>
        <w:t xml:space="preserve">Sugiyono. (2013). </w:t>
      </w:r>
      <w:proofErr w:type="spellStart"/>
      <w:r w:rsidRPr="00F84E7C">
        <w:rPr>
          <w:i/>
          <w:iCs/>
          <w:lang w:val="en-ID"/>
        </w:rPr>
        <w:t>Metode</w:t>
      </w:r>
      <w:proofErr w:type="spellEnd"/>
      <w:r w:rsidRPr="00F84E7C">
        <w:rPr>
          <w:i/>
          <w:iCs/>
          <w:lang w:val="en-ID"/>
        </w:rPr>
        <w:t xml:space="preserve"> </w:t>
      </w:r>
      <w:proofErr w:type="spellStart"/>
      <w:r w:rsidRPr="00F84E7C">
        <w:rPr>
          <w:i/>
          <w:iCs/>
          <w:lang w:val="en-ID"/>
        </w:rPr>
        <w:t>penelitian</w:t>
      </w:r>
      <w:proofErr w:type="spellEnd"/>
      <w:r w:rsidRPr="00F84E7C">
        <w:rPr>
          <w:i/>
          <w:iCs/>
          <w:lang w:val="en-ID"/>
        </w:rPr>
        <w:t xml:space="preserve"> </w:t>
      </w:r>
      <w:proofErr w:type="spellStart"/>
      <w:r w:rsidRPr="00F84E7C">
        <w:rPr>
          <w:i/>
          <w:iCs/>
          <w:lang w:val="en-ID"/>
        </w:rPr>
        <w:t>kuantitatif</w:t>
      </w:r>
      <w:proofErr w:type="spellEnd"/>
      <w:r w:rsidRPr="00F84E7C">
        <w:rPr>
          <w:i/>
          <w:iCs/>
          <w:lang w:val="en-ID"/>
        </w:rPr>
        <w:t xml:space="preserve">, </w:t>
      </w:r>
      <w:proofErr w:type="spellStart"/>
      <w:r w:rsidRPr="00F84E7C">
        <w:rPr>
          <w:i/>
          <w:iCs/>
          <w:lang w:val="en-ID"/>
        </w:rPr>
        <w:t>kualitatif</w:t>
      </w:r>
      <w:proofErr w:type="spellEnd"/>
      <w:r w:rsidRPr="00F84E7C">
        <w:rPr>
          <w:i/>
          <w:iCs/>
          <w:lang w:val="en-ID"/>
        </w:rPr>
        <w:t xml:space="preserve"> dan R&amp;D</w:t>
      </w:r>
      <w:r w:rsidRPr="00F84E7C">
        <w:rPr>
          <w:lang w:val="en-ID"/>
        </w:rPr>
        <w:t xml:space="preserve">. </w:t>
      </w:r>
      <w:proofErr w:type="spellStart"/>
      <w:r w:rsidRPr="00F84E7C">
        <w:rPr>
          <w:lang w:val="en-ID"/>
        </w:rPr>
        <w:t>Alfabeta</w:t>
      </w:r>
      <w:proofErr w:type="spellEnd"/>
      <w:r w:rsidRPr="00F84E7C">
        <w:rPr>
          <w:lang w:val="en-ID"/>
        </w:rPr>
        <w:t>.</w:t>
      </w:r>
    </w:p>
    <w:p w14:paraId="41D6773F" w14:textId="77777777" w:rsidR="00F84E7C" w:rsidRPr="00F84E7C" w:rsidRDefault="00F84E7C" w:rsidP="00E96A81">
      <w:pPr>
        <w:pStyle w:val="Body"/>
        <w:spacing w:after="0"/>
        <w:ind w:left="567" w:hanging="567"/>
        <w:rPr>
          <w:lang w:val="en-ID"/>
        </w:rPr>
      </w:pPr>
      <w:r w:rsidRPr="00F84E7C">
        <w:rPr>
          <w:lang w:val="en-ID"/>
        </w:rPr>
        <w:t xml:space="preserve">Wang, H., Shen, H., &amp; Li, S. (2023). ESG performance and stock price fragility. </w:t>
      </w:r>
      <w:r w:rsidRPr="00F84E7C">
        <w:rPr>
          <w:i/>
          <w:iCs/>
          <w:lang w:val="en-ID"/>
        </w:rPr>
        <w:t>Finance Research Letters</w:t>
      </w:r>
      <w:r w:rsidRPr="00F84E7C">
        <w:rPr>
          <w:lang w:val="en-ID"/>
        </w:rPr>
        <w:t xml:space="preserve">. </w:t>
      </w:r>
      <w:hyperlink r:id="rId28" w:tgtFrame="_new" w:history="1">
        <w:r w:rsidRPr="00F84E7C">
          <w:rPr>
            <w:rStyle w:val="Hyperlink"/>
            <w:lang w:val="en-ID"/>
          </w:rPr>
          <w:t>https://doi.org/10.1016/j.frl.2023.104101</w:t>
        </w:r>
      </w:hyperlink>
    </w:p>
    <w:p w14:paraId="5BA98679" w14:textId="77777777" w:rsidR="00F84E7C" w:rsidRPr="00F84E7C" w:rsidRDefault="00F84E7C" w:rsidP="00E96A81">
      <w:pPr>
        <w:pStyle w:val="Body"/>
        <w:spacing w:after="0"/>
        <w:ind w:left="567" w:hanging="567"/>
        <w:rPr>
          <w:lang w:val="en-ID"/>
        </w:rPr>
      </w:pPr>
      <w:proofErr w:type="spellStart"/>
      <w:r w:rsidRPr="00F84E7C">
        <w:rPr>
          <w:lang w:val="en-ID"/>
        </w:rPr>
        <w:t>Wardhani</w:t>
      </w:r>
      <w:proofErr w:type="spellEnd"/>
      <w:r w:rsidRPr="00F84E7C">
        <w:rPr>
          <w:lang w:val="en-ID"/>
        </w:rPr>
        <w:t xml:space="preserve">, R. S., et al. (2022). </w:t>
      </w:r>
      <w:proofErr w:type="spellStart"/>
      <w:r w:rsidRPr="00F84E7C">
        <w:rPr>
          <w:i/>
          <w:iCs/>
          <w:lang w:val="en-ID"/>
        </w:rPr>
        <w:t>Mengenal</w:t>
      </w:r>
      <w:proofErr w:type="spellEnd"/>
      <w:r w:rsidRPr="00F84E7C">
        <w:rPr>
          <w:i/>
          <w:iCs/>
          <w:lang w:val="en-ID"/>
        </w:rPr>
        <w:t xml:space="preserve"> </w:t>
      </w:r>
      <w:proofErr w:type="spellStart"/>
      <w:r w:rsidRPr="00F84E7C">
        <w:rPr>
          <w:i/>
          <w:iCs/>
          <w:lang w:val="en-ID"/>
        </w:rPr>
        <w:t>saham</w:t>
      </w:r>
      <w:proofErr w:type="spellEnd"/>
      <w:r w:rsidRPr="00F84E7C">
        <w:rPr>
          <w:lang w:val="en-ID"/>
        </w:rPr>
        <w:t>. K-Media.</w:t>
      </w:r>
    </w:p>
    <w:p w14:paraId="1198C0F4" w14:textId="77777777" w:rsidR="00F84E7C" w:rsidRPr="00F84E7C" w:rsidRDefault="00F84E7C" w:rsidP="00E96A81">
      <w:pPr>
        <w:pStyle w:val="Body"/>
        <w:spacing w:after="0"/>
        <w:ind w:left="567" w:hanging="567"/>
        <w:rPr>
          <w:lang w:val="en-ID"/>
        </w:rPr>
      </w:pPr>
      <w:r w:rsidRPr="00F84E7C">
        <w:rPr>
          <w:lang w:val="en-ID"/>
        </w:rPr>
        <w:t xml:space="preserve">Wijayanti, I., </w:t>
      </w:r>
      <w:proofErr w:type="spellStart"/>
      <w:r w:rsidRPr="00F84E7C">
        <w:rPr>
          <w:lang w:val="en-ID"/>
        </w:rPr>
        <w:t>Mawardi</w:t>
      </w:r>
      <w:proofErr w:type="spellEnd"/>
      <w:r w:rsidRPr="00F84E7C">
        <w:rPr>
          <w:lang w:val="en-ID"/>
        </w:rPr>
        <w:t xml:space="preserve">, R., Jasman, &amp; Halim, A. B. (2020). CSR disclosure, leverage, firm size, and profitability toward earnings response coefficient. </w:t>
      </w:r>
      <w:r w:rsidRPr="00F84E7C">
        <w:rPr>
          <w:i/>
          <w:iCs/>
          <w:lang w:val="en-ID"/>
        </w:rPr>
        <w:t>International Journal of Innovation, Creativity and Change</w:t>
      </w:r>
      <w:r w:rsidRPr="00F84E7C">
        <w:rPr>
          <w:lang w:val="en-ID"/>
        </w:rPr>
        <w:t>.</w:t>
      </w:r>
    </w:p>
    <w:p w14:paraId="2C2F00D2" w14:textId="77777777" w:rsidR="00F84E7C" w:rsidRPr="00F84E7C" w:rsidRDefault="00F84E7C" w:rsidP="00E96A81">
      <w:pPr>
        <w:pStyle w:val="Body"/>
        <w:spacing w:after="0"/>
        <w:ind w:left="567" w:hanging="567"/>
        <w:rPr>
          <w:lang w:val="en-ID"/>
        </w:rPr>
      </w:pPr>
      <w:proofErr w:type="spellStart"/>
      <w:r w:rsidRPr="00F84E7C">
        <w:rPr>
          <w:lang w:val="en-ID"/>
        </w:rPr>
        <w:t>Yuliandhari</w:t>
      </w:r>
      <w:proofErr w:type="spellEnd"/>
      <w:r w:rsidRPr="00F84E7C">
        <w:rPr>
          <w:lang w:val="en-ID"/>
        </w:rPr>
        <w:t xml:space="preserve">, W. S., &amp; Fadila, E. N. (2024). CSR disclosure, accounting conservatism, and earnings response coefficient. </w:t>
      </w:r>
      <w:proofErr w:type="spellStart"/>
      <w:r w:rsidRPr="00F84E7C">
        <w:rPr>
          <w:i/>
          <w:iCs/>
          <w:lang w:val="en-ID"/>
        </w:rPr>
        <w:t>Jurnal</w:t>
      </w:r>
      <w:proofErr w:type="spellEnd"/>
      <w:r w:rsidRPr="00F84E7C">
        <w:rPr>
          <w:i/>
          <w:iCs/>
          <w:lang w:val="en-ID"/>
        </w:rPr>
        <w:t xml:space="preserve"> </w:t>
      </w:r>
      <w:proofErr w:type="spellStart"/>
      <w:r w:rsidRPr="00F84E7C">
        <w:rPr>
          <w:i/>
          <w:iCs/>
          <w:lang w:val="en-ID"/>
        </w:rPr>
        <w:t>Ilmiah</w:t>
      </w:r>
      <w:proofErr w:type="spellEnd"/>
      <w:r w:rsidRPr="00F84E7C">
        <w:rPr>
          <w:i/>
          <w:iCs/>
          <w:lang w:val="en-ID"/>
        </w:rPr>
        <w:t xml:space="preserve"> </w:t>
      </w:r>
      <w:proofErr w:type="spellStart"/>
      <w:r w:rsidRPr="00F84E7C">
        <w:rPr>
          <w:i/>
          <w:iCs/>
          <w:lang w:val="en-ID"/>
        </w:rPr>
        <w:t>Akuntansi</w:t>
      </w:r>
      <w:proofErr w:type="spellEnd"/>
      <w:r w:rsidRPr="00F84E7C">
        <w:rPr>
          <w:i/>
          <w:iCs/>
          <w:lang w:val="en-ID"/>
        </w:rPr>
        <w:t>, 7</w:t>
      </w:r>
      <w:r w:rsidRPr="00F84E7C">
        <w:rPr>
          <w:lang w:val="en-ID"/>
        </w:rPr>
        <w:t xml:space="preserve">(2), 1000–1017. </w:t>
      </w:r>
      <w:hyperlink r:id="rId29" w:tgtFrame="_new" w:history="1">
        <w:r w:rsidRPr="00F84E7C">
          <w:rPr>
            <w:rStyle w:val="Hyperlink"/>
            <w:lang w:val="en-ID"/>
          </w:rPr>
          <w:t>https://doi.org/10.57178/atestasi.v7i2.883</w:t>
        </w:r>
      </w:hyperlink>
    </w:p>
    <w:p w14:paraId="0DAA736D" w14:textId="77777777" w:rsidR="003E0BB3" w:rsidRDefault="003E0BB3" w:rsidP="00E96A81">
      <w:pPr>
        <w:pStyle w:val="Body"/>
        <w:spacing w:after="0"/>
        <w:rPr>
          <w:lang w:val="en-ID"/>
        </w:rPr>
      </w:pPr>
    </w:p>
    <w:sectPr w:rsidR="003E0BB3" w:rsidSect="000D53D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449D3" w14:textId="77777777" w:rsidR="001A762D" w:rsidRDefault="001A762D" w:rsidP="00C37E61">
      <w:r>
        <w:separator/>
      </w:r>
    </w:p>
  </w:endnote>
  <w:endnote w:type="continuationSeparator" w:id="0">
    <w:p w14:paraId="61B8486A" w14:textId="77777777" w:rsidR="001A762D" w:rsidRDefault="001A76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A407" w14:textId="77777777" w:rsidR="000D53DC" w:rsidRDefault="000D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308F" w14:textId="77777777" w:rsidR="000D53DC" w:rsidRDefault="000D5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BF9B" w14:textId="77777777" w:rsidR="009E048A" w:rsidRDefault="009E048A">
    <w:pPr>
      <w:pStyle w:val="Footer"/>
      <w:rPr>
        <w:rFonts w:ascii="Arial" w:hAnsi="Arial" w:cs="Arial"/>
        <w:sz w:val="16"/>
      </w:rPr>
    </w:pPr>
  </w:p>
  <w:p w14:paraId="7F1469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2375E2" w14:textId="77777777" w:rsidR="009E048A" w:rsidRDefault="009E048A">
    <w:pPr>
      <w:pStyle w:val="Footer"/>
      <w:rPr>
        <w:rFonts w:ascii="Arial" w:hAnsi="Arial" w:cs="Arial"/>
        <w:sz w:val="16"/>
      </w:rPr>
    </w:pPr>
  </w:p>
  <w:p w14:paraId="646E499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B00B" w14:textId="77777777" w:rsidR="001A762D" w:rsidRDefault="001A762D" w:rsidP="00C37E61">
      <w:r>
        <w:separator/>
      </w:r>
    </w:p>
  </w:footnote>
  <w:footnote w:type="continuationSeparator" w:id="0">
    <w:p w14:paraId="3EAD1869" w14:textId="77777777" w:rsidR="001A762D" w:rsidRDefault="001A76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3EBE" w14:textId="1B0020DB" w:rsidR="000D53DC" w:rsidRDefault="000D53DC">
    <w:pPr>
      <w:pStyle w:val="Header"/>
    </w:pPr>
    <w:r>
      <w:rPr>
        <w:noProof/>
      </w:rPr>
      <w:pict w14:anchorId="5F31F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26B8" w14:textId="332EE2F1" w:rsidR="000D53DC" w:rsidRDefault="000D53DC">
    <w:pPr>
      <w:pStyle w:val="Header"/>
    </w:pPr>
    <w:r>
      <w:rPr>
        <w:noProof/>
      </w:rPr>
      <w:pict w14:anchorId="2081E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35E7" w14:textId="4F8FE04B" w:rsidR="00296529" w:rsidRPr="00296529" w:rsidRDefault="000D53DC" w:rsidP="00296529">
    <w:pPr>
      <w:ind w:left="2160"/>
      <w:jc w:val="center"/>
      <w:rPr>
        <w:rFonts w:ascii="Times New Roman" w:eastAsia="Calibri" w:hAnsi="Times New Roman"/>
        <w:i/>
        <w:sz w:val="18"/>
        <w:szCs w:val="22"/>
      </w:rPr>
    </w:pPr>
    <w:r>
      <w:rPr>
        <w:noProof/>
      </w:rPr>
      <w:pict w14:anchorId="2B86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DDA2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AD22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893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A0B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5E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006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C48"/>
    <w:rsid w:val="000A47FA"/>
    <w:rsid w:val="000A65D3"/>
    <w:rsid w:val="000B1E33"/>
    <w:rsid w:val="000D53DC"/>
    <w:rsid w:val="000D689F"/>
    <w:rsid w:val="000E7B7B"/>
    <w:rsid w:val="000E7D62"/>
    <w:rsid w:val="00103357"/>
    <w:rsid w:val="00123C9F"/>
    <w:rsid w:val="00126190"/>
    <w:rsid w:val="00130F17"/>
    <w:rsid w:val="001320BF"/>
    <w:rsid w:val="00163BC4"/>
    <w:rsid w:val="00191062"/>
    <w:rsid w:val="00192B72"/>
    <w:rsid w:val="001A29D8"/>
    <w:rsid w:val="001A30DA"/>
    <w:rsid w:val="001A5CAA"/>
    <w:rsid w:val="001A5CEE"/>
    <w:rsid w:val="001A762D"/>
    <w:rsid w:val="001B0427"/>
    <w:rsid w:val="001D3A51"/>
    <w:rsid w:val="001E10D2"/>
    <w:rsid w:val="001E25B4"/>
    <w:rsid w:val="001E44FE"/>
    <w:rsid w:val="00200595"/>
    <w:rsid w:val="00204835"/>
    <w:rsid w:val="00231920"/>
    <w:rsid w:val="0023195C"/>
    <w:rsid w:val="0024282C"/>
    <w:rsid w:val="002460DC"/>
    <w:rsid w:val="00250985"/>
    <w:rsid w:val="002556F6"/>
    <w:rsid w:val="002575D9"/>
    <w:rsid w:val="00283105"/>
    <w:rsid w:val="00284C4C"/>
    <w:rsid w:val="00287E68"/>
    <w:rsid w:val="002949A1"/>
    <w:rsid w:val="00296529"/>
    <w:rsid w:val="002B27FB"/>
    <w:rsid w:val="002B685A"/>
    <w:rsid w:val="002C57D2"/>
    <w:rsid w:val="002E0D56"/>
    <w:rsid w:val="00315186"/>
    <w:rsid w:val="00320632"/>
    <w:rsid w:val="0033343E"/>
    <w:rsid w:val="003512C2"/>
    <w:rsid w:val="00371FB6"/>
    <w:rsid w:val="003763C1"/>
    <w:rsid w:val="00376BBE"/>
    <w:rsid w:val="00384565"/>
    <w:rsid w:val="0039224F"/>
    <w:rsid w:val="003A43A4"/>
    <w:rsid w:val="003A7E18"/>
    <w:rsid w:val="003C4C86"/>
    <w:rsid w:val="003C6258"/>
    <w:rsid w:val="003E0BB3"/>
    <w:rsid w:val="003E2904"/>
    <w:rsid w:val="00401927"/>
    <w:rsid w:val="0041027F"/>
    <w:rsid w:val="00412475"/>
    <w:rsid w:val="00423789"/>
    <w:rsid w:val="00440F43"/>
    <w:rsid w:val="00441B6F"/>
    <w:rsid w:val="00446221"/>
    <w:rsid w:val="00450E62"/>
    <w:rsid w:val="004539DB"/>
    <w:rsid w:val="0045601C"/>
    <w:rsid w:val="00457225"/>
    <w:rsid w:val="00471A80"/>
    <w:rsid w:val="00492E97"/>
    <w:rsid w:val="004D305E"/>
    <w:rsid w:val="004D4277"/>
    <w:rsid w:val="004D6658"/>
    <w:rsid w:val="004F3D71"/>
    <w:rsid w:val="00502516"/>
    <w:rsid w:val="00505F06"/>
    <w:rsid w:val="00506828"/>
    <w:rsid w:val="0053056E"/>
    <w:rsid w:val="005334AC"/>
    <w:rsid w:val="00554E02"/>
    <w:rsid w:val="00554FDA"/>
    <w:rsid w:val="005A43D7"/>
    <w:rsid w:val="005C0985"/>
    <w:rsid w:val="005C784C"/>
    <w:rsid w:val="005D17DF"/>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F43"/>
    <w:rsid w:val="007D2288"/>
    <w:rsid w:val="007E088F"/>
    <w:rsid w:val="007F7B32"/>
    <w:rsid w:val="00804BC2"/>
    <w:rsid w:val="0081431A"/>
    <w:rsid w:val="008316A2"/>
    <w:rsid w:val="0083216F"/>
    <w:rsid w:val="008443F6"/>
    <w:rsid w:val="00860000"/>
    <w:rsid w:val="00863BD3"/>
    <w:rsid w:val="008641ED"/>
    <w:rsid w:val="00866D66"/>
    <w:rsid w:val="008671C6"/>
    <w:rsid w:val="00875803"/>
    <w:rsid w:val="00880F0F"/>
    <w:rsid w:val="008B459E"/>
    <w:rsid w:val="008C7D5A"/>
    <w:rsid w:val="008E13AE"/>
    <w:rsid w:val="008E1506"/>
    <w:rsid w:val="008E710C"/>
    <w:rsid w:val="008F69D6"/>
    <w:rsid w:val="00902823"/>
    <w:rsid w:val="0090468B"/>
    <w:rsid w:val="00915CA6"/>
    <w:rsid w:val="00927834"/>
    <w:rsid w:val="009500A6"/>
    <w:rsid w:val="00957C18"/>
    <w:rsid w:val="009659BA"/>
    <w:rsid w:val="00983040"/>
    <w:rsid w:val="009B3FB9"/>
    <w:rsid w:val="009C2465"/>
    <w:rsid w:val="009D35A0"/>
    <w:rsid w:val="009D7EB7"/>
    <w:rsid w:val="009E048A"/>
    <w:rsid w:val="009E08E9"/>
    <w:rsid w:val="009E2A1D"/>
    <w:rsid w:val="009E3DB9"/>
    <w:rsid w:val="009E6E35"/>
    <w:rsid w:val="009F0EDA"/>
    <w:rsid w:val="00A03B96"/>
    <w:rsid w:val="00A05B19"/>
    <w:rsid w:val="00A1134E"/>
    <w:rsid w:val="00A24E7E"/>
    <w:rsid w:val="00A258C3"/>
    <w:rsid w:val="00A347C0"/>
    <w:rsid w:val="00A51431"/>
    <w:rsid w:val="00A539AD"/>
    <w:rsid w:val="00A54AAF"/>
    <w:rsid w:val="00A74007"/>
    <w:rsid w:val="00A87D24"/>
    <w:rsid w:val="00A94063"/>
    <w:rsid w:val="00AA6219"/>
    <w:rsid w:val="00AA74E0"/>
    <w:rsid w:val="00AB703F"/>
    <w:rsid w:val="00AC6BB8"/>
    <w:rsid w:val="00AE008F"/>
    <w:rsid w:val="00B01FCD"/>
    <w:rsid w:val="00B1776C"/>
    <w:rsid w:val="00B52583"/>
    <w:rsid w:val="00B52896"/>
    <w:rsid w:val="00B74464"/>
    <w:rsid w:val="00B95236"/>
    <w:rsid w:val="00B96BD9"/>
    <w:rsid w:val="00BA1B01"/>
    <w:rsid w:val="00BA2641"/>
    <w:rsid w:val="00BB37AA"/>
    <w:rsid w:val="00BC38CA"/>
    <w:rsid w:val="00BC53A0"/>
    <w:rsid w:val="00BE62AD"/>
    <w:rsid w:val="00BF121F"/>
    <w:rsid w:val="00BF1F80"/>
    <w:rsid w:val="00C166EF"/>
    <w:rsid w:val="00C17EB0"/>
    <w:rsid w:val="00C27F5F"/>
    <w:rsid w:val="00C30A0F"/>
    <w:rsid w:val="00C34DE4"/>
    <w:rsid w:val="00C37E61"/>
    <w:rsid w:val="00C55421"/>
    <w:rsid w:val="00C70F1B"/>
    <w:rsid w:val="00C71A47"/>
    <w:rsid w:val="00C7464C"/>
    <w:rsid w:val="00C85588"/>
    <w:rsid w:val="00CD6755"/>
    <w:rsid w:val="00CD6856"/>
    <w:rsid w:val="00CE0089"/>
    <w:rsid w:val="00CE793C"/>
    <w:rsid w:val="00CF193C"/>
    <w:rsid w:val="00D05EB6"/>
    <w:rsid w:val="00D06EF3"/>
    <w:rsid w:val="00D173F1"/>
    <w:rsid w:val="00D40232"/>
    <w:rsid w:val="00D6400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A81"/>
    <w:rsid w:val="00EA012C"/>
    <w:rsid w:val="00EC6A55"/>
    <w:rsid w:val="00ED0288"/>
    <w:rsid w:val="00EE52CB"/>
    <w:rsid w:val="00EF581D"/>
    <w:rsid w:val="00EF7FD8"/>
    <w:rsid w:val="00F06F59"/>
    <w:rsid w:val="00F17988"/>
    <w:rsid w:val="00F469F0"/>
    <w:rsid w:val="00F53273"/>
    <w:rsid w:val="00F755E4"/>
    <w:rsid w:val="00F77D02"/>
    <w:rsid w:val="00F84E7C"/>
    <w:rsid w:val="00FB3A86"/>
    <w:rsid w:val="00FD36C8"/>
    <w:rsid w:val="00FE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95A5A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640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A2F43"/>
    <w:pPr>
      <w:spacing w:before="100" w:beforeAutospacing="1" w:after="100" w:afterAutospacing="1"/>
    </w:pPr>
    <w:rPr>
      <w:rFonts w:ascii="Times New Roman" w:hAnsi="Times New Roman"/>
      <w:sz w:val="24"/>
      <w:szCs w:val="24"/>
      <w:lang w:val="en-ID"/>
    </w:rPr>
  </w:style>
  <w:style w:type="character" w:customStyle="1" w:styleId="whitespace-normal">
    <w:name w:val="whitespace-normal"/>
    <w:basedOn w:val="DefaultParagraphFont"/>
    <w:rsid w:val="00A8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149206310388419" TargetMode="External"/><Relationship Id="rId26" Type="http://schemas.openxmlformats.org/officeDocument/2006/relationships/hyperlink" Target="https://www.pwc.com" TargetMode="External"/><Relationship Id="rId3" Type="http://schemas.openxmlformats.org/officeDocument/2006/relationships/styles" Target="styles.xml"/><Relationship Id="rId21" Type="http://schemas.openxmlformats.org/officeDocument/2006/relationships/hyperlink" Target="https://www.globalreporting.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551-017-3667-3" TargetMode="External"/><Relationship Id="rId25" Type="http://schemas.openxmlformats.org/officeDocument/2006/relationships/hyperlink" Target="https://doi.org/10.20527/jee.v5i1.11870" TargetMode="External"/><Relationship Id="rId2" Type="http://schemas.openxmlformats.org/officeDocument/2006/relationships/numbering" Target="numbering.xml"/><Relationship Id="rId16" Type="http://schemas.openxmlformats.org/officeDocument/2006/relationships/hyperlink" Target="https://doi.org/10.2307/2490232" TargetMode="External"/><Relationship Id="rId20" Type="http://schemas.openxmlformats.org/officeDocument/2006/relationships/hyperlink" Target="https://doi.org/10.1080/20430795.2015.1118917" TargetMode="External"/><Relationship Id="rId29" Type="http://schemas.openxmlformats.org/officeDocument/2006/relationships/hyperlink" Target="https://doi.org/10.57178/atestasi.v7i2.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070/ups.8171" TargetMode="External"/><Relationship Id="rId5" Type="http://schemas.openxmlformats.org/officeDocument/2006/relationships/webSettings" Target="webSettings.xml"/><Relationship Id="rId15" Type="http://schemas.openxmlformats.org/officeDocument/2006/relationships/hyperlink" Target="https://doi.org/10.1016/j.bir.2022.11.006" TargetMode="External"/><Relationship Id="rId23" Type="http://schemas.openxmlformats.org/officeDocument/2006/relationships/hyperlink" Target="https://doi.org/10.1108/AJAR-12-2023-0403" TargetMode="External"/><Relationship Id="rId28" Type="http://schemas.openxmlformats.org/officeDocument/2006/relationships/hyperlink" Target="https://doi.org/10.1016/j.frl.2023.104101" TargetMode="External"/><Relationship Id="rId10" Type="http://schemas.openxmlformats.org/officeDocument/2006/relationships/footer" Target="footer1.xml"/><Relationship Id="rId19" Type="http://schemas.openxmlformats.org/officeDocument/2006/relationships/hyperlink" Target="https://doi.org/10.2307/23254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843/EJA.2018.v24.i02.p25" TargetMode="External"/><Relationship Id="rId22" Type="http://schemas.openxmlformats.org/officeDocument/2006/relationships/hyperlink" Target="http://dx.doi.org/10.2991/assehr.k.220101.020" TargetMode="External"/><Relationship Id="rId27" Type="http://schemas.openxmlformats.org/officeDocument/2006/relationships/hyperlink" Target="http://www.jstor.org/stable/1882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E1D7-371D-40BC-A47E-F601ABCC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14</Pages>
  <Words>6257</Words>
  <Characters>35668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2026-05-07T12:40:00Z</dcterms:modified>
</cp:coreProperties>
</file>