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670B" w14:textId="77777777" w:rsidR="00CA4D69" w:rsidRPr="004963EA" w:rsidRDefault="00CA4D69" w:rsidP="00CA4D69">
      <w:pPr>
        <w:jc w:val="right"/>
        <w:rPr>
          <w:rFonts w:ascii="Arial" w:hAnsi="Arial" w:cs="Arial"/>
          <w:b/>
          <w:bCs/>
          <w:sz w:val="24"/>
          <w:szCs w:val="24"/>
        </w:rPr>
      </w:pPr>
      <w:r w:rsidRPr="004963EA">
        <w:rPr>
          <w:rFonts w:ascii="Arial" w:hAnsi="Arial" w:cs="Arial"/>
          <w:b/>
          <w:bCs/>
          <w:sz w:val="24"/>
          <w:szCs w:val="24"/>
        </w:rPr>
        <w:t>GLOBAL SOUTH PARTNERSHIPS AND SOUTH–SOUTH TRADE ELASTICITIES: INDIA–BIMSTEC CASE STUDY</w:t>
      </w:r>
    </w:p>
    <w:p w14:paraId="14CBB1E5" w14:textId="0AED2D26" w:rsidR="007965A8" w:rsidRDefault="007965A8" w:rsidP="00CA4D69">
      <w:pPr>
        <w:jc w:val="right"/>
        <w:rPr>
          <w:rFonts w:ascii="Times New Roman" w:hAnsi="Times New Roman"/>
          <w:sz w:val="24"/>
          <w:szCs w:val="24"/>
        </w:rPr>
      </w:pPr>
    </w:p>
    <w:p w14:paraId="47E9AF72" w14:textId="77777777" w:rsidR="00456AE6" w:rsidRPr="004963EA" w:rsidRDefault="00456AE6" w:rsidP="00CA4D69">
      <w:pPr>
        <w:jc w:val="right"/>
        <w:rPr>
          <w:rFonts w:ascii="Times New Roman" w:hAnsi="Times New Roman"/>
          <w:sz w:val="24"/>
          <w:szCs w:val="24"/>
        </w:rPr>
      </w:pPr>
    </w:p>
    <w:p w14:paraId="59294DA7" w14:textId="77777777" w:rsidR="00B01FCD" w:rsidRPr="004963EA" w:rsidRDefault="00FF1FF4" w:rsidP="00441B6F">
      <w:pPr>
        <w:pStyle w:val="Copyright"/>
        <w:spacing w:after="0" w:line="240" w:lineRule="auto"/>
        <w:jc w:val="both"/>
        <w:rPr>
          <w:rFonts w:ascii="Arial" w:hAnsi="Arial" w:cs="Arial"/>
        </w:rPr>
        <w:sectPr w:rsidR="00B01FCD" w:rsidRPr="004963EA" w:rsidSect="00456A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CAC9D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963EA">
        <w:rPr>
          <w:rFonts w:ascii="Arial" w:hAnsi="Arial" w:cs="Arial"/>
        </w:rPr>
        <w:t>.</w:t>
      </w:r>
    </w:p>
    <w:p w14:paraId="2094E1AD" w14:textId="498AAF7B" w:rsidR="00B01FCD" w:rsidRPr="004963EA" w:rsidRDefault="00B01FCD" w:rsidP="00CA4D69">
      <w:pPr>
        <w:pStyle w:val="AbstHead"/>
        <w:spacing w:after="0"/>
        <w:rPr>
          <w:rFonts w:ascii="Arial" w:hAnsi="Arial" w:cs="Arial"/>
        </w:rPr>
      </w:pPr>
      <w:r w:rsidRPr="004963EA">
        <w:rPr>
          <w:rFonts w:ascii="Arial" w:hAnsi="Arial" w:cs="Arial"/>
        </w:rPr>
        <w:t>ABSTRACT</w:t>
      </w:r>
    </w:p>
    <w:p w14:paraId="0AA273CE" w14:textId="77777777" w:rsidR="00790ADA" w:rsidRPr="004963E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963EA" w14:paraId="7A2ADB21" w14:textId="77777777" w:rsidTr="001E44FE">
        <w:tc>
          <w:tcPr>
            <w:tcW w:w="9576" w:type="dxa"/>
            <w:shd w:val="clear" w:color="auto" w:fill="F2F2F2"/>
          </w:tcPr>
          <w:p w14:paraId="13FE2BB6" w14:textId="388CC41E" w:rsidR="00CA4D69" w:rsidRPr="004963EA" w:rsidRDefault="00BA1B01" w:rsidP="00441B6F">
            <w:pPr>
              <w:pStyle w:val="Body"/>
              <w:spacing w:after="0"/>
              <w:rPr>
                <w:rFonts w:ascii="Arial" w:hAnsi="Arial" w:cs="Arial"/>
              </w:rPr>
            </w:pPr>
            <w:r w:rsidRPr="004963EA">
              <w:rPr>
                <w:rFonts w:ascii="Arial" w:eastAsia="Calibri" w:hAnsi="Arial" w:cs="Arial"/>
                <w:b/>
              </w:rPr>
              <w:t xml:space="preserve">Aims: </w:t>
            </w:r>
            <w:r w:rsidR="00CA4D69" w:rsidRPr="004963EA">
              <w:rPr>
                <w:rFonts w:ascii="Arial" w:hAnsi="Arial" w:cs="Arial"/>
              </w:rPr>
              <w:t>This study investigates India’s bilateral trade with BIMSTEC countries by estimating South–South trade elasticities within a gravity-model framework.</w:t>
            </w:r>
          </w:p>
          <w:p w14:paraId="3EED2E26" w14:textId="7E035A58" w:rsidR="00BA1B01" w:rsidRPr="004963EA" w:rsidRDefault="00BA1B01" w:rsidP="00441B6F">
            <w:pPr>
              <w:pStyle w:val="Body"/>
              <w:spacing w:after="0"/>
              <w:rPr>
                <w:rFonts w:ascii="Arial" w:eastAsia="Calibri" w:hAnsi="Arial" w:cs="Arial"/>
                <w:szCs w:val="22"/>
              </w:rPr>
            </w:pPr>
            <w:r w:rsidRPr="004963EA">
              <w:rPr>
                <w:rFonts w:ascii="Arial" w:eastAsia="Calibri" w:hAnsi="Arial" w:cs="Arial"/>
                <w:b/>
                <w:szCs w:val="22"/>
              </w:rPr>
              <w:t>Study design:</w:t>
            </w:r>
            <w:r w:rsidRPr="004963EA">
              <w:rPr>
                <w:rFonts w:ascii="Arial" w:eastAsia="Calibri" w:hAnsi="Arial" w:cs="Arial"/>
                <w:szCs w:val="22"/>
              </w:rPr>
              <w:t xml:space="preserve"> </w:t>
            </w:r>
            <w:r w:rsidR="00CA4D69" w:rsidRPr="004963EA">
              <w:rPr>
                <w:rFonts w:ascii="Arial" w:eastAsia="Calibri" w:hAnsi="Arial" w:cs="Arial"/>
                <w:szCs w:val="22"/>
              </w:rPr>
              <w:t>Quantitative analysis</w:t>
            </w:r>
          </w:p>
          <w:p w14:paraId="06A7A922" w14:textId="604DB10D" w:rsidR="00BA1B01" w:rsidRPr="004963EA" w:rsidRDefault="00BA1B01" w:rsidP="00CA4D69">
            <w:pPr>
              <w:pStyle w:val="Body"/>
              <w:spacing w:after="0"/>
              <w:rPr>
                <w:rFonts w:ascii="Arial" w:eastAsia="Calibri" w:hAnsi="Arial" w:cs="Arial"/>
                <w:szCs w:val="22"/>
              </w:rPr>
            </w:pPr>
            <w:r w:rsidRPr="004963EA">
              <w:rPr>
                <w:rFonts w:ascii="Arial" w:eastAsia="Calibri" w:hAnsi="Arial" w:cs="Arial"/>
                <w:b/>
                <w:bCs/>
                <w:szCs w:val="22"/>
              </w:rPr>
              <w:t>Methodology:</w:t>
            </w:r>
            <w:r w:rsidRPr="004963EA">
              <w:rPr>
                <w:rFonts w:ascii="Arial" w:eastAsia="Calibri" w:hAnsi="Arial" w:cs="Arial"/>
                <w:szCs w:val="22"/>
              </w:rPr>
              <w:t xml:space="preserve"> </w:t>
            </w:r>
            <w:r w:rsidR="00CA4D69" w:rsidRPr="004963EA">
              <w:rPr>
                <w:rFonts w:ascii="Arial" w:hAnsi="Arial" w:cs="Arial"/>
              </w:rPr>
              <w:t>Using secondary panel data for 2011–2024, the analysis examines how economic size, trade openness, distance, and temporal shocks shape India–BIMSTEC exports and imports.</w:t>
            </w:r>
          </w:p>
          <w:p w14:paraId="691040DC" w14:textId="35682837" w:rsidR="00BA1B01" w:rsidRPr="004963EA" w:rsidRDefault="00BA1B01" w:rsidP="00CA4D69">
            <w:pPr>
              <w:jc w:val="both"/>
              <w:rPr>
                <w:rFonts w:ascii="Arial" w:hAnsi="Arial" w:cs="Arial"/>
              </w:rPr>
            </w:pPr>
            <w:r w:rsidRPr="004963EA">
              <w:rPr>
                <w:rFonts w:ascii="Arial" w:eastAsia="Calibri" w:hAnsi="Arial" w:cs="Arial"/>
                <w:b/>
                <w:bCs/>
                <w:szCs w:val="22"/>
              </w:rPr>
              <w:t>Results:</w:t>
            </w:r>
            <w:r w:rsidRPr="004963EA">
              <w:rPr>
                <w:rFonts w:ascii="Arial" w:eastAsia="Calibri" w:hAnsi="Arial" w:cs="Arial"/>
                <w:szCs w:val="22"/>
              </w:rPr>
              <w:t xml:space="preserve"> </w:t>
            </w:r>
            <w:r w:rsidR="00CA4D69" w:rsidRPr="004963EA">
              <w:rPr>
                <w:rFonts w:ascii="Arial" w:hAnsi="Arial" w:cs="Arial"/>
              </w:rPr>
              <w:t>Descriptive results reveal strong and uneven trade linkages, with Thailand and Bangladesh emerging as India’s largest BIMSTEC partners. Baseline gravity estimates show modest and mostly insignificant elasticities; however, incorporating year fixed effects produces a statistically significant income elasticity for India (β ≈ 0.1</w:t>
            </w:r>
            <w:r w:rsidR="00DB58AD" w:rsidRPr="004963EA">
              <w:rPr>
                <w:rFonts w:ascii="Arial" w:hAnsi="Arial" w:cs="Arial"/>
              </w:rPr>
              <w:t>6</w:t>
            </w:r>
            <w:r w:rsidR="00CA4D69" w:rsidRPr="004963EA">
              <w:rPr>
                <w:rFonts w:ascii="Arial" w:hAnsi="Arial" w:cs="Arial"/>
              </w:rPr>
              <w:t xml:space="preserve">), indicating that India’s economic growth substantially drives regional trade flows. Distance and trade openness exhibit mixed effects, reflecting structural characteristics of BIMSTEC economies. </w:t>
            </w:r>
          </w:p>
          <w:p w14:paraId="089FEBEF" w14:textId="62D46332" w:rsidR="00505F06" w:rsidRPr="004963EA" w:rsidRDefault="00BA1B01" w:rsidP="00441B6F">
            <w:pPr>
              <w:pStyle w:val="Body"/>
              <w:spacing w:after="0"/>
              <w:rPr>
                <w:rFonts w:ascii="Arial" w:eastAsia="Calibri" w:hAnsi="Arial" w:cs="Arial"/>
                <w:szCs w:val="22"/>
              </w:rPr>
            </w:pPr>
            <w:r w:rsidRPr="004963EA">
              <w:rPr>
                <w:rFonts w:ascii="Arial" w:eastAsia="Calibri" w:hAnsi="Arial" w:cs="Arial"/>
                <w:b/>
                <w:bCs/>
                <w:szCs w:val="22"/>
              </w:rPr>
              <w:t>Conclusion:</w:t>
            </w:r>
            <w:r w:rsidRPr="004963EA">
              <w:rPr>
                <w:rFonts w:ascii="Arial" w:eastAsia="Calibri" w:hAnsi="Arial" w:cs="Arial"/>
                <w:szCs w:val="22"/>
              </w:rPr>
              <w:t xml:space="preserve"> </w:t>
            </w:r>
            <w:r w:rsidR="00CA4D69" w:rsidRPr="004963EA">
              <w:rPr>
                <w:rFonts w:ascii="Arial" w:hAnsi="Arial" w:cs="Arial"/>
              </w:rPr>
              <w:t>Although the dataset includes only BIMSTEC partners, limiting comparative or membership-specific inferences, the income elasticity estimate aligns with typical South–South trade patterns. Overall, the study provides the empirical elasticity evidence for India–BIMSTEC trade, underscoring the importance of India’s domestic performance in shaping regional integration outcomes.</w:t>
            </w:r>
          </w:p>
        </w:tc>
      </w:tr>
    </w:tbl>
    <w:p w14:paraId="592580BD" w14:textId="77777777" w:rsidR="00636EB2" w:rsidRPr="004963EA" w:rsidRDefault="00636EB2" w:rsidP="00441B6F">
      <w:pPr>
        <w:pStyle w:val="Body"/>
        <w:spacing w:after="0"/>
        <w:rPr>
          <w:rFonts w:ascii="Arial" w:hAnsi="Arial" w:cs="Arial"/>
          <w:i/>
        </w:rPr>
      </w:pPr>
    </w:p>
    <w:p w14:paraId="0EC8C754" w14:textId="66BF4BDA" w:rsidR="00A24E7E" w:rsidRPr="004963EA" w:rsidRDefault="00A24E7E" w:rsidP="00441B6F">
      <w:pPr>
        <w:pStyle w:val="Body"/>
        <w:spacing w:after="0"/>
        <w:rPr>
          <w:rFonts w:ascii="Arial" w:hAnsi="Arial" w:cs="Arial"/>
          <w:i/>
        </w:rPr>
      </w:pPr>
      <w:r w:rsidRPr="004963EA">
        <w:rPr>
          <w:rFonts w:ascii="Arial" w:hAnsi="Arial" w:cs="Arial"/>
          <w:i/>
        </w:rPr>
        <w:t xml:space="preserve">Keywords: </w:t>
      </w:r>
      <w:r w:rsidR="00CA4D69" w:rsidRPr="004963EA">
        <w:rPr>
          <w:rFonts w:ascii="Arial" w:hAnsi="Arial" w:cs="Arial"/>
          <w:i/>
          <w:iCs/>
        </w:rPr>
        <w:t>BIMSTEC, India, South-South Trade Elasticities, Global South Partnership</w:t>
      </w:r>
    </w:p>
    <w:p w14:paraId="69D34F03" w14:textId="77777777" w:rsidR="0024282C" w:rsidRPr="004963EA" w:rsidRDefault="0024282C" w:rsidP="00441B6F">
      <w:pPr>
        <w:pStyle w:val="Body"/>
        <w:spacing w:after="0"/>
        <w:rPr>
          <w:rFonts w:ascii="Arial" w:hAnsi="Arial" w:cs="Arial"/>
          <w:i/>
          <w:sz w:val="18"/>
        </w:rPr>
      </w:pPr>
    </w:p>
    <w:p w14:paraId="6A8B1056" w14:textId="77777777" w:rsidR="00505F06" w:rsidRPr="004963EA" w:rsidRDefault="00505F06" w:rsidP="00441B6F">
      <w:pPr>
        <w:pStyle w:val="Body"/>
        <w:spacing w:after="0"/>
        <w:rPr>
          <w:rFonts w:ascii="Arial" w:hAnsi="Arial" w:cs="Arial"/>
          <w:i/>
        </w:rPr>
      </w:pPr>
    </w:p>
    <w:p w14:paraId="73FEA2CF" w14:textId="63BCCDF4" w:rsidR="007F7B32" w:rsidRPr="004963EA" w:rsidRDefault="00902823" w:rsidP="00441B6F">
      <w:pPr>
        <w:pStyle w:val="AbstHead"/>
        <w:spacing w:after="0"/>
        <w:jc w:val="both"/>
        <w:rPr>
          <w:rFonts w:ascii="Arial" w:hAnsi="Arial" w:cs="Arial"/>
        </w:rPr>
      </w:pPr>
      <w:r w:rsidRPr="004963EA">
        <w:rPr>
          <w:rFonts w:ascii="Arial" w:hAnsi="Arial" w:cs="Arial"/>
        </w:rPr>
        <w:t xml:space="preserve">1. </w:t>
      </w:r>
      <w:r w:rsidR="00B01FCD" w:rsidRPr="004963EA">
        <w:rPr>
          <w:rFonts w:ascii="Arial" w:hAnsi="Arial" w:cs="Arial"/>
        </w:rPr>
        <w:t>INTRODUCTION</w:t>
      </w:r>
    </w:p>
    <w:p w14:paraId="74132FD9" w14:textId="77777777" w:rsidR="00CA4D69" w:rsidRPr="004963EA" w:rsidRDefault="00CA4D69" w:rsidP="00D534E0">
      <w:pPr>
        <w:ind w:firstLine="720"/>
        <w:jc w:val="both"/>
        <w:rPr>
          <w:rFonts w:ascii="Arial" w:hAnsi="Arial" w:cs="Arial"/>
        </w:rPr>
      </w:pPr>
      <w:r w:rsidRPr="004963EA">
        <w:rPr>
          <w:rFonts w:ascii="Arial" w:hAnsi="Arial" w:cs="Arial"/>
        </w:rPr>
        <w:t>The contemporary global trading system is increasingly defined by volatility, fragmentation, and geopolitical contestation. The longstanding multilateral architecture anchored in the World Trade Organization (WTO) faces unprecedented strain as major economies deploy unilateral tariff measures, strategic trade restrictions, and supply-chain weaponization to advance national interests. At the same time, digital trade governance, environmental conditionalities, and national security–driven clauses have become central to contemporary trade debates.</w:t>
      </w:r>
    </w:p>
    <w:p w14:paraId="1F1F7F03" w14:textId="77777777" w:rsidR="00CA4D69" w:rsidRPr="004963EA" w:rsidRDefault="00CA4D69" w:rsidP="00D534E0">
      <w:pPr>
        <w:ind w:firstLine="720"/>
        <w:jc w:val="both"/>
        <w:rPr>
          <w:rFonts w:ascii="Arial" w:hAnsi="Arial" w:cs="Arial"/>
        </w:rPr>
      </w:pPr>
      <w:r w:rsidRPr="004963EA">
        <w:rPr>
          <w:rFonts w:ascii="Arial" w:hAnsi="Arial" w:cs="Arial"/>
        </w:rPr>
        <w:t>Within this rapidly evolving landscape, the Global South has begun to assert greater agency in shaping emerging trade architectures. South–South cooperation—once peripheral in global trade policy—now plays a crucial role in fostering resilience, diversification, and technological upgrading among developing economies. One of the regional groupings central to India’s strategy in the Global South is the Bay of Bengal Initiative for Multi-Sectoral Technical and Economic Cooperation (BIMSTEC) composing seven countries-Bangladesh, Bhutan, India, Myanmar, Nepal, Sri Lanka and Thailand. Situated at the crossroads of South and Southeast Asia, BIMSTEC offers India access to fast-growing markets, emerging value chains, and critical regional connectivity initiatives.</w:t>
      </w:r>
    </w:p>
    <w:p w14:paraId="6CC38821" w14:textId="77777777" w:rsidR="00790ADA" w:rsidRPr="004963EA" w:rsidRDefault="00790ADA" w:rsidP="00D534E0">
      <w:pPr>
        <w:pStyle w:val="Body"/>
        <w:spacing w:after="0"/>
        <w:rPr>
          <w:rFonts w:ascii="Arial" w:hAnsi="Arial" w:cs="Arial"/>
        </w:rPr>
      </w:pPr>
    </w:p>
    <w:p w14:paraId="175CC6BC" w14:textId="483D16DC"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1.1 </w:t>
      </w:r>
      <w:r w:rsidR="00CA4D69" w:rsidRPr="004963EA">
        <w:rPr>
          <w:rFonts w:ascii="Arial" w:hAnsi="Arial" w:cs="Arial"/>
          <w:b/>
          <w:bCs/>
          <w:sz w:val="22"/>
          <w:szCs w:val="22"/>
        </w:rPr>
        <w:t>Literature Review</w:t>
      </w:r>
    </w:p>
    <w:p w14:paraId="5D40D8DC" w14:textId="32925844" w:rsidR="00CA4D69" w:rsidRPr="004963EA" w:rsidRDefault="00D534E0" w:rsidP="00307F69">
      <w:pPr>
        <w:rPr>
          <w:rFonts w:ascii="Arial" w:hAnsi="Arial" w:cs="Arial"/>
          <w:b/>
          <w:bCs/>
          <w:u w:val="single"/>
          <w:lang w:eastAsia="en-IN" w:bidi="my-MM"/>
        </w:rPr>
      </w:pPr>
      <w:r w:rsidRPr="004963EA">
        <w:rPr>
          <w:rFonts w:ascii="Arial" w:hAnsi="Arial" w:cs="Arial"/>
          <w:b/>
          <w:bCs/>
          <w:u w:val="single"/>
          <w:lang w:eastAsia="en-IN" w:bidi="my-MM"/>
        </w:rPr>
        <w:t xml:space="preserve">1.1.1 </w:t>
      </w:r>
      <w:r w:rsidR="00CA4D69" w:rsidRPr="004963EA">
        <w:rPr>
          <w:rFonts w:ascii="Arial" w:hAnsi="Arial" w:cs="Arial"/>
          <w:b/>
          <w:bCs/>
          <w:u w:val="single"/>
          <w:lang w:eastAsia="en-IN" w:bidi="my-MM"/>
        </w:rPr>
        <w:t>South–South Cooperation</w:t>
      </w:r>
    </w:p>
    <w:p w14:paraId="1BCC6377" w14:textId="77777777" w:rsidR="00CA4D69" w:rsidRPr="004963EA" w:rsidRDefault="00CA4D69" w:rsidP="00D534E0">
      <w:pPr>
        <w:ind w:firstLine="360"/>
        <w:jc w:val="both"/>
        <w:rPr>
          <w:rFonts w:ascii="Arial" w:hAnsi="Arial" w:cs="Arial"/>
        </w:rPr>
      </w:pPr>
      <w:r w:rsidRPr="004963EA">
        <w:rPr>
          <w:rFonts w:ascii="Arial" w:hAnsi="Arial" w:cs="Arial"/>
          <w:lang w:eastAsia="en-IN" w:bidi="my-MM"/>
        </w:rPr>
        <w:t xml:space="preserve">Studies on South–South cooperation examine how intra-regional trade affects economic performance. Using panel data (1996–2018), </w:t>
      </w:r>
      <w:hyperlink w:anchor="Musila2022" w:history="1">
        <w:proofErr w:type="spellStart"/>
        <w:r w:rsidRPr="004963EA">
          <w:rPr>
            <w:rStyle w:val="Hyperlink"/>
            <w:rFonts w:ascii="Arial" w:hAnsi="Arial" w:cs="Arial"/>
            <w:lang w:eastAsia="en-IN" w:bidi="my-MM"/>
          </w:rPr>
          <w:t>Musila</w:t>
        </w:r>
        <w:proofErr w:type="spellEnd"/>
        <w:r w:rsidRPr="004963EA">
          <w:rPr>
            <w:rStyle w:val="Hyperlink"/>
            <w:rFonts w:ascii="Arial" w:hAnsi="Arial" w:cs="Arial"/>
            <w:lang w:eastAsia="en-IN" w:bidi="my-MM"/>
          </w:rPr>
          <w:t xml:space="preserve"> and </w:t>
        </w:r>
        <w:proofErr w:type="spellStart"/>
        <w:r w:rsidRPr="004963EA">
          <w:rPr>
            <w:rStyle w:val="Hyperlink"/>
            <w:rFonts w:ascii="Arial" w:hAnsi="Arial" w:cs="Arial"/>
            <w:lang w:eastAsia="en-IN" w:bidi="my-MM"/>
          </w:rPr>
          <w:t>Yiheyis</w:t>
        </w:r>
        <w:proofErr w:type="spellEnd"/>
        <w:r w:rsidRPr="004963EA">
          <w:rPr>
            <w:rStyle w:val="Hyperlink"/>
            <w:rFonts w:ascii="Arial" w:hAnsi="Arial" w:cs="Arial"/>
            <w:lang w:eastAsia="en-IN" w:bidi="my-MM"/>
          </w:rPr>
          <w:t xml:space="preserve"> (2022)</w:t>
        </w:r>
      </w:hyperlink>
      <w:r w:rsidRPr="004963EA">
        <w:rPr>
          <w:rFonts w:ascii="Arial" w:hAnsi="Arial" w:cs="Arial"/>
          <w:lang w:eastAsia="en-IN" w:bidi="my-MM"/>
        </w:rPr>
        <w:t xml:space="preserve"> apply instrumental variable – fixed effects and Driscoll–Kraay methods to 47 African countries and find that intra-South trade intensity negatively relates to growth. </w:t>
      </w:r>
      <w:hyperlink w:anchor="Amsden2001" w:history="1">
        <w:r w:rsidRPr="004963EA">
          <w:rPr>
            <w:rStyle w:val="Hyperlink"/>
            <w:rFonts w:ascii="Arial" w:hAnsi="Arial" w:cs="Arial"/>
            <w:lang w:eastAsia="en-IN" w:bidi="my-MM"/>
          </w:rPr>
          <w:t>Amsden (2001)</w:t>
        </w:r>
      </w:hyperlink>
      <w:r w:rsidRPr="004963EA">
        <w:rPr>
          <w:rFonts w:ascii="Arial" w:hAnsi="Arial" w:cs="Arial"/>
          <w:lang w:eastAsia="en-IN" w:bidi="my-MM"/>
        </w:rPr>
        <w:t xml:space="preserve"> argues that </w:t>
      </w:r>
      <w:r w:rsidRPr="004963EA">
        <w:rPr>
          <w:rFonts w:ascii="Arial" w:hAnsi="Arial" w:cs="Arial"/>
          <w:lang w:eastAsia="en-IN" w:bidi="my-MM"/>
        </w:rPr>
        <w:lastRenderedPageBreak/>
        <w:t xml:space="preserve">developing-country industrialization increasingly relies on South–South knowledge transfer and learning-by-doing rather than North–South linkages. This perspective supports the idea that South–South trade responds differently to income and structural changes, giving a theoretical basis for estimating distinct elasticities. </w:t>
      </w:r>
      <w:hyperlink w:anchor="Helleiner2014" w:history="1">
        <w:proofErr w:type="spellStart"/>
        <w:r w:rsidRPr="004963EA">
          <w:rPr>
            <w:rStyle w:val="Hyperlink"/>
            <w:rFonts w:ascii="Arial" w:hAnsi="Arial" w:cs="Arial"/>
            <w:lang w:eastAsia="en-IN" w:bidi="my-MM"/>
          </w:rPr>
          <w:t>Helleiner</w:t>
        </w:r>
        <w:proofErr w:type="spellEnd"/>
        <w:r w:rsidRPr="004963EA">
          <w:rPr>
            <w:rStyle w:val="Hyperlink"/>
            <w:rFonts w:ascii="Arial" w:hAnsi="Arial" w:cs="Arial"/>
            <w:lang w:eastAsia="en-IN" w:bidi="my-MM"/>
          </w:rPr>
          <w:t xml:space="preserve"> (2014)</w:t>
        </w:r>
      </w:hyperlink>
      <w:r w:rsidRPr="004963EA">
        <w:rPr>
          <w:rFonts w:ascii="Arial" w:hAnsi="Arial" w:cs="Arial"/>
          <w:lang w:eastAsia="en-IN" w:bidi="my-MM"/>
        </w:rPr>
        <w:t xml:space="preserve"> revisits the political economy of South–South economic cooperation, arguing that trade relationships within the Global South often exhibit more dynamic adjustment mechanisms than North–South flows. </w:t>
      </w:r>
      <w:bookmarkStart w:id="0" w:name="Amsden2001"/>
      <w:bookmarkStart w:id="1" w:name="Venables1999"/>
      <w:r w:rsidRPr="004963EA">
        <w:rPr>
          <w:rFonts w:ascii="Arial" w:hAnsi="Arial" w:cs="Arial"/>
        </w:rPr>
        <w:fldChar w:fldCharType="begin"/>
      </w:r>
      <w:r w:rsidRPr="004963EA">
        <w:rPr>
          <w:rFonts w:ascii="Arial" w:hAnsi="Arial" w:cs="Arial"/>
        </w:rPr>
        <w:instrText>HYPERLINK \l "Shimada2019"</w:instrText>
      </w:r>
      <w:r w:rsidRPr="004963EA">
        <w:rPr>
          <w:rFonts w:ascii="Arial" w:hAnsi="Arial" w:cs="Arial"/>
        </w:rPr>
        <w:fldChar w:fldCharType="separate"/>
      </w:r>
      <w:r w:rsidRPr="004963EA">
        <w:rPr>
          <w:rStyle w:val="Hyperlink"/>
          <w:rFonts w:ascii="Arial" w:hAnsi="Arial" w:cs="Arial"/>
        </w:rPr>
        <w:t>Shimada (2019)</w:t>
      </w:r>
      <w:r w:rsidRPr="004963EA">
        <w:rPr>
          <w:rFonts w:ascii="Arial" w:hAnsi="Arial" w:cs="Arial"/>
        </w:rPr>
        <w:fldChar w:fldCharType="end"/>
      </w:r>
      <w:r w:rsidRPr="004963EA">
        <w:rPr>
          <w:rFonts w:ascii="Arial" w:hAnsi="Arial" w:cs="Arial"/>
        </w:rPr>
        <w:t xml:space="preserve"> traces Southeast Asia’s long-term trade evolution to highlight early forms of South–South cooperation. Using historical–comparative analysis and qualitative trade records, the study shows that intra-Asian trade—linking China, India, and Southeast Asia—served as the main driver of regional development, shaping production patterns, migration, and institutional change.</w:t>
      </w:r>
    </w:p>
    <w:bookmarkEnd w:id="0"/>
    <w:bookmarkEnd w:id="1"/>
    <w:p w14:paraId="0B108328" w14:textId="77777777" w:rsidR="00CA4D69" w:rsidRPr="004963EA" w:rsidRDefault="00CA4D69" w:rsidP="00D534E0">
      <w:pPr>
        <w:jc w:val="both"/>
        <w:rPr>
          <w:rFonts w:ascii="Arial" w:hAnsi="Arial" w:cs="Arial"/>
          <w:b/>
          <w:bCs/>
        </w:rPr>
      </w:pPr>
    </w:p>
    <w:p w14:paraId="13844E7B" w14:textId="599AA092" w:rsidR="00CA4D69" w:rsidRPr="004963EA" w:rsidRDefault="00D534E0" w:rsidP="00307F69">
      <w:pPr>
        <w:rPr>
          <w:rFonts w:ascii="Arial" w:hAnsi="Arial" w:cs="Arial"/>
          <w:b/>
          <w:bCs/>
          <w:u w:val="single"/>
        </w:rPr>
      </w:pPr>
      <w:r w:rsidRPr="004963EA">
        <w:rPr>
          <w:rFonts w:ascii="Arial" w:hAnsi="Arial" w:cs="Arial"/>
          <w:b/>
          <w:bCs/>
          <w:u w:val="single"/>
        </w:rPr>
        <w:t xml:space="preserve">1.1.2 </w:t>
      </w:r>
      <w:r w:rsidR="00CA4D69" w:rsidRPr="004963EA">
        <w:rPr>
          <w:rFonts w:ascii="Arial" w:hAnsi="Arial" w:cs="Arial"/>
          <w:b/>
          <w:bCs/>
          <w:u w:val="single"/>
        </w:rPr>
        <w:t>Gravity Theory of Trade</w:t>
      </w:r>
    </w:p>
    <w:p w14:paraId="55C379F5" w14:textId="77777777" w:rsidR="00CA4D69" w:rsidRPr="004963EA" w:rsidRDefault="00FF1FF4" w:rsidP="00D534E0">
      <w:pPr>
        <w:ind w:firstLine="720"/>
        <w:jc w:val="both"/>
        <w:rPr>
          <w:rFonts w:ascii="Arial" w:hAnsi="Arial" w:cs="Arial"/>
        </w:rPr>
      </w:pPr>
      <w:hyperlink w:anchor="Tinbergen1962" w:history="1">
        <w:r w:rsidR="00CA4D69" w:rsidRPr="004963EA">
          <w:rPr>
            <w:rStyle w:val="Hyperlink"/>
            <w:rFonts w:ascii="Arial" w:hAnsi="Arial" w:cs="Arial"/>
          </w:rPr>
          <w:t>Tinbergen (1962)</w:t>
        </w:r>
      </w:hyperlink>
      <w:r w:rsidR="00CA4D69" w:rsidRPr="004963EA">
        <w:rPr>
          <w:rFonts w:ascii="Arial" w:hAnsi="Arial" w:cs="Arial"/>
        </w:rPr>
        <w:t xml:space="preserve"> introduced the gravity model showing trade increases with economic size and decreases with distance, forming the basis for elasticity estimation. </w:t>
      </w:r>
      <w:hyperlink w:anchor="Anderson1979" w:history="1">
        <w:r w:rsidR="00CA4D69" w:rsidRPr="004963EA">
          <w:rPr>
            <w:rStyle w:val="Hyperlink"/>
            <w:rFonts w:ascii="Arial" w:hAnsi="Arial" w:cs="Arial"/>
          </w:rPr>
          <w:t>Anderson (1979)</w:t>
        </w:r>
      </w:hyperlink>
      <w:r w:rsidR="00CA4D69" w:rsidRPr="004963EA">
        <w:rPr>
          <w:rFonts w:ascii="Arial" w:hAnsi="Arial" w:cs="Arial"/>
        </w:rPr>
        <w:t xml:space="preserve"> formalized the micro-foundations of gravity, proving that trade elasticity with respect to GDP can be interpreted as income elasticity under CES preferences. </w:t>
      </w:r>
      <w:hyperlink w:anchor="Bergstrand1985" w:history="1">
        <w:r w:rsidR="00CA4D69" w:rsidRPr="004963EA">
          <w:rPr>
            <w:rStyle w:val="Hyperlink"/>
            <w:rFonts w:ascii="Arial" w:hAnsi="Arial" w:cs="Arial"/>
          </w:rPr>
          <w:t>Bergstrand (1985)</w:t>
        </w:r>
      </w:hyperlink>
      <w:r w:rsidR="00CA4D69" w:rsidRPr="004963EA">
        <w:rPr>
          <w:rFonts w:ascii="Arial" w:hAnsi="Arial" w:cs="Arial"/>
        </w:rPr>
        <w:t xml:space="preserve"> demonstrated how trade elasticities vary with production structures, making his work crucial for analyzing South–South trade. The introduction of multilateral resistance terms by </w:t>
      </w:r>
      <w:hyperlink w:anchor="AndersonVan2003" w:history="1">
        <w:r w:rsidR="00CA4D69" w:rsidRPr="004963EA">
          <w:rPr>
            <w:rStyle w:val="Hyperlink"/>
            <w:rFonts w:ascii="Arial" w:hAnsi="Arial" w:cs="Arial"/>
          </w:rPr>
          <w:t xml:space="preserve">Anderson and Van </w:t>
        </w:r>
        <w:proofErr w:type="spellStart"/>
        <w:r w:rsidR="00CA4D69" w:rsidRPr="004963EA">
          <w:rPr>
            <w:rStyle w:val="Hyperlink"/>
            <w:rFonts w:ascii="Arial" w:hAnsi="Arial" w:cs="Arial"/>
          </w:rPr>
          <w:t>Wincoop</w:t>
        </w:r>
        <w:proofErr w:type="spellEnd"/>
        <w:r w:rsidR="00CA4D69" w:rsidRPr="004963EA">
          <w:rPr>
            <w:rStyle w:val="Hyperlink"/>
            <w:rFonts w:ascii="Arial" w:hAnsi="Arial" w:cs="Arial"/>
          </w:rPr>
          <w:t xml:space="preserve"> (2003)</w:t>
        </w:r>
      </w:hyperlink>
      <w:r w:rsidR="00CA4D69" w:rsidRPr="004963EA">
        <w:rPr>
          <w:rFonts w:ascii="Arial" w:hAnsi="Arial" w:cs="Arial"/>
          <w:b/>
          <w:bCs/>
        </w:rPr>
        <w:t xml:space="preserve"> </w:t>
      </w:r>
      <w:r w:rsidR="00CA4D69" w:rsidRPr="004963EA">
        <w:rPr>
          <w:rFonts w:ascii="Arial" w:hAnsi="Arial" w:cs="Arial"/>
        </w:rPr>
        <w:t xml:space="preserve">transformed empirical modelling; elasticity estimates must control for external trade barriers. The textbook by </w:t>
      </w:r>
      <w:hyperlink w:anchor="Feenstra2004" w:history="1">
        <w:r w:rsidR="00CA4D69" w:rsidRPr="004963EA">
          <w:rPr>
            <w:rStyle w:val="Hyperlink"/>
            <w:rFonts w:ascii="Arial" w:hAnsi="Arial" w:cs="Arial"/>
          </w:rPr>
          <w:t>Feenstra (2004)</w:t>
        </w:r>
      </w:hyperlink>
      <w:r w:rsidR="00CA4D69" w:rsidRPr="004963EA">
        <w:rPr>
          <w:rFonts w:ascii="Arial" w:hAnsi="Arial" w:cs="Arial"/>
          <w:b/>
          <w:bCs/>
        </w:rPr>
        <w:t xml:space="preserve"> </w:t>
      </w:r>
      <w:r w:rsidR="00CA4D69" w:rsidRPr="004963EA">
        <w:rPr>
          <w:rFonts w:ascii="Arial" w:hAnsi="Arial" w:cs="Arial"/>
        </w:rPr>
        <w:t xml:space="preserve">formalizes structural gravity and parameter estimation, supporting the use of PPML in empirical work. </w:t>
      </w:r>
      <w:hyperlink w:anchor="Baldwin2006" w:history="1">
        <w:r w:rsidR="00CA4D69" w:rsidRPr="004963EA">
          <w:rPr>
            <w:rStyle w:val="Hyperlink"/>
            <w:rFonts w:ascii="Arial" w:hAnsi="Arial" w:cs="Arial"/>
          </w:rPr>
          <w:t>Baldwin and Taglioni (2006)</w:t>
        </w:r>
      </w:hyperlink>
      <w:r w:rsidR="00CA4D69" w:rsidRPr="004963EA">
        <w:rPr>
          <w:rFonts w:ascii="Arial" w:hAnsi="Arial" w:cs="Arial"/>
        </w:rPr>
        <w:t xml:space="preserve"> highlight the “three great errors” in gravity estimations and emphasize proper specification for unbiased elasticity results. </w:t>
      </w:r>
      <w:hyperlink w:anchor="Baier2007" w:history="1">
        <w:r w:rsidR="00CA4D69" w:rsidRPr="004963EA">
          <w:rPr>
            <w:rStyle w:val="Hyperlink"/>
            <w:rFonts w:ascii="Arial" w:hAnsi="Arial" w:cs="Arial"/>
          </w:rPr>
          <w:t>Baier and Bergstrand (2007)</w:t>
        </w:r>
      </w:hyperlink>
      <w:r w:rsidR="00CA4D69" w:rsidRPr="004963EA">
        <w:rPr>
          <w:rFonts w:ascii="Arial" w:hAnsi="Arial" w:cs="Arial"/>
          <w:b/>
          <w:bCs/>
        </w:rPr>
        <w:t xml:space="preserve"> </w:t>
      </w:r>
      <w:r w:rsidR="00CA4D69" w:rsidRPr="004963EA">
        <w:rPr>
          <w:rFonts w:ascii="Arial" w:hAnsi="Arial" w:cs="Arial"/>
        </w:rPr>
        <w:t>show that controlling for endogeneity of FTAs is crucial for accurate elasticity estimation, relevant for India–BIMSTEC trade agreements.</w:t>
      </w:r>
    </w:p>
    <w:p w14:paraId="472A8B76" w14:textId="77777777" w:rsidR="00CA4D69" w:rsidRPr="004963EA" w:rsidRDefault="00CA4D69" w:rsidP="00D534E0">
      <w:pPr>
        <w:ind w:firstLine="720"/>
        <w:jc w:val="both"/>
        <w:rPr>
          <w:rFonts w:ascii="Arial" w:hAnsi="Arial" w:cs="Arial"/>
        </w:rPr>
      </w:pPr>
      <w:r w:rsidRPr="004963EA">
        <w:rPr>
          <w:rFonts w:ascii="Arial" w:hAnsi="Arial" w:cs="Arial"/>
        </w:rPr>
        <w:t xml:space="preserve">A comprehensive review of gravity literature by </w:t>
      </w:r>
      <w:hyperlink w:anchor="HeadMayer2014" w:history="1">
        <w:r w:rsidRPr="004963EA">
          <w:rPr>
            <w:rStyle w:val="Hyperlink"/>
            <w:rFonts w:ascii="Arial" w:hAnsi="Arial" w:cs="Arial"/>
          </w:rPr>
          <w:t>Head &amp; Mayer (2014)</w:t>
        </w:r>
      </w:hyperlink>
      <w:r w:rsidRPr="004963EA">
        <w:rPr>
          <w:rFonts w:ascii="Arial" w:hAnsi="Arial" w:cs="Arial"/>
        </w:rPr>
        <w:t xml:space="preserve"> confirms the robustness of distance, income, and trade-cost elasticities across datasets. </w:t>
      </w:r>
      <w:hyperlink w:anchor="Silva2006" w:history="1">
        <w:r w:rsidRPr="004963EA">
          <w:rPr>
            <w:rStyle w:val="Hyperlink"/>
            <w:rFonts w:ascii="Arial" w:hAnsi="Arial" w:cs="Arial"/>
          </w:rPr>
          <w:t xml:space="preserve">Santos Silva and </w:t>
        </w:r>
        <w:proofErr w:type="spellStart"/>
        <w:r w:rsidRPr="004963EA">
          <w:rPr>
            <w:rStyle w:val="Hyperlink"/>
            <w:rFonts w:ascii="Arial" w:hAnsi="Arial" w:cs="Arial"/>
          </w:rPr>
          <w:t>Tenreyro</w:t>
        </w:r>
        <w:proofErr w:type="spellEnd"/>
        <w:r w:rsidRPr="004963EA">
          <w:rPr>
            <w:rStyle w:val="Hyperlink"/>
            <w:rFonts w:ascii="Arial" w:hAnsi="Arial" w:cs="Arial"/>
          </w:rPr>
          <w:t xml:space="preserve"> (2006)</w:t>
        </w:r>
      </w:hyperlink>
      <w:r w:rsidRPr="004963EA">
        <w:rPr>
          <w:rFonts w:ascii="Arial" w:hAnsi="Arial" w:cs="Arial"/>
          <w:b/>
          <w:bCs/>
        </w:rPr>
        <w:t xml:space="preserve"> </w:t>
      </w:r>
      <w:r w:rsidRPr="004963EA">
        <w:rPr>
          <w:rFonts w:ascii="Arial" w:hAnsi="Arial" w:cs="Arial"/>
        </w:rPr>
        <w:t xml:space="preserve">show log-linear OLS is biased with heteroskedasticity; PPML is recommended. This is essential for India–BIMSTEC elasticity estimation. </w:t>
      </w:r>
      <w:hyperlink w:anchor="AndersonYotov2016" w:history="1">
        <w:r w:rsidRPr="004963EA">
          <w:rPr>
            <w:rStyle w:val="Hyperlink"/>
            <w:rFonts w:ascii="Arial" w:hAnsi="Arial" w:cs="Arial"/>
          </w:rPr>
          <w:t>Anderson and Yotov (2016)</w:t>
        </w:r>
      </w:hyperlink>
      <w:r w:rsidRPr="004963EA">
        <w:rPr>
          <w:rFonts w:ascii="Arial" w:hAnsi="Arial" w:cs="Arial"/>
        </w:rPr>
        <w:t xml:space="preserve"> demonstrates how to estimate structural gravity with minimal data for developing countries—useful for BIMSTEC. </w:t>
      </w:r>
      <w:hyperlink w:anchor="Borchert2017" w:history="1">
        <w:r w:rsidRPr="004963EA">
          <w:rPr>
            <w:rStyle w:val="Hyperlink"/>
            <w:rFonts w:ascii="Arial" w:hAnsi="Arial" w:cs="Arial"/>
          </w:rPr>
          <w:t>Borchert and Yotov (2017)</w:t>
        </w:r>
      </w:hyperlink>
      <w:r w:rsidRPr="004963EA">
        <w:rPr>
          <w:rFonts w:ascii="Arial" w:hAnsi="Arial" w:cs="Arial"/>
        </w:rPr>
        <w:t xml:space="preserve"> finds that the impact of distance on trade has fallen by about 10%, but this decline is uneven across countries. Middle-income nations benefited most, while the poorest countries remain strongly affected by distance, risking further exclusion from global markets.</w:t>
      </w:r>
    </w:p>
    <w:p w14:paraId="46351771" w14:textId="77777777" w:rsidR="00CA4D69" w:rsidRPr="004963EA" w:rsidRDefault="00CA4D69" w:rsidP="00D534E0">
      <w:pPr>
        <w:jc w:val="both"/>
        <w:rPr>
          <w:rFonts w:ascii="Arial" w:hAnsi="Arial" w:cs="Arial"/>
        </w:rPr>
      </w:pPr>
    </w:p>
    <w:p w14:paraId="7DD12144" w14:textId="1C818179" w:rsidR="00CA4D69" w:rsidRPr="004963EA" w:rsidRDefault="00D534E0" w:rsidP="00307F69">
      <w:pPr>
        <w:rPr>
          <w:rFonts w:ascii="Arial" w:hAnsi="Arial" w:cs="Arial"/>
          <w:u w:val="single"/>
        </w:rPr>
      </w:pPr>
      <w:r w:rsidRPr="004963EA">
        <w:rPr>
          <w:rFonts w:ascii="Arial" w:hAnsi="Arial" w:cs="Arial"/>
          <w:b/>
          <w:bCs/>
          <w:u w:val="single"/>
          <w:lang w:eastAsia="en-IN" w:bidi="my-MM"/>
        </w:rPr>
        <w:t xml:space="preserve">1.1.3 </w:t>
      </w:r>
      <w:r w:rsidR="00CA4D69" w:rsidRPr="004963EA">
        <w:rPr>
          <w:rFonts w:ascii="Arial" w:hAnsi="Arial" w:cs="Arial"/>
          <w:b/>
          <w:bCs/>
          <w:u w:val="single"/>
          <w:lang w:eastAsia="en-IN" w:bidi="my-MM"/>
        </w:rPr>
        <w:t>India–BIMSTEC &amp; Regional Integration</w:t>
      </w:r>
    </w:p>
    <w:p w14:paraId="5AF61806" w14:textId="77777777" w:rsidR="00CA4D69" w:rsidRPr="004963EA" w:rsidRDefault="00FF1FF4" w:rsidP="00D534E0">
      <w:pPr>
        <w:ind w:firstLine="720"/>
        <w:jc w:val="both"/>
        <w:rPr>
          <w:rFonts w:ascii="Arial" w:hAnsi="Arial" w:cs="Arial"/>
          <w:lang w:eastAsia="en-IN" w:bidi="my-MM"/>
        </w:rPr>
      </w:pPr>
      <w:hyperlink w:anchor="Kumar2019" w:history="1">
        <w:r w:rsidR="00CA4D69" w:rsidRPr="004963EA">
          <w:rPr>
            <w:rStyle w:val="Hyperlink"/>
            <w:rFonts w:ascii="Arial" w:hAnsi="Arial" w:cs="Arial"/>
            <w:lang w:eastAsia="en-IN" w:bidi="my-MM"/>
          </w:rPr>
          <w:t>Kumar and Singh (2019)</w:t>
        </w:r>
      </w:hyperlink>
      <w:r w:rsidR="00CA4D69" w:rsidRPr="004963EA">
        <w:rPr>
          <w:rFonts w:ascii="Arial" w:hAnsi="Arial" w:cs="Arial"/>
          <w:lang w:eastAsia="en-IN" w:bidi="my-MM"/>
        </w:rPr>
        <w:t xml:space="preserve"> analyze India’s export–import dynamics with SAARC countries using secondary data from 2005–2013, finding strong trade intensity and persistent comparative advantage, indicating significant unrealized trade potential requiring proactive policy engagement. </w:t>
      </w:r>
      <w:hyperlink w:anchor="Singh2020" w:history="1">
        <w:r w:rsidR="00CA4D69" w:rsidRPr="004963EA">
          <w:rPr>
            <w:rStyle w:val="Hyperlink"/>
            <w:rFonts w:ascii="Arial" w:hAnsi="Arial" w:cs="Arial"/>
            <w:lang w:eastAsia="en-IN" w:bidi="my-MM"/>
          </w:rPr>
          <w:t>Singh and Guha (2020)</w:t>
        </w:r>
      </w:hyperlink>
      <w:r w:rsidR="00CA4D69" w:rsidRPr="004963EA">
        <w:rPr>
          <w:rFonts w:ascii="Arial" w:hAnsi="Arial" w:cs="Arial"/>
          <w:lang w:eastAsia="en-IN" w:bidi="my-MM"/>
        </w:rPr>
        <w:t xml:space="preserve">, applying a gravity model to India’s tea trade from 1988–2016, show that while traditional gravity variables hold, geographic proximity may hinder trade where restrictive policies and self-sufficiency dominate—demonstrating that elasticities in South–South trade can deviate from classical expectations. Broadening the determinants of trade, </w:t>
      </w:r>
      <w:hyperlink w:anchor="Banerjee2022" w:history="1">
        <w:r w:rsidR="00CA4D69" w:rsidRPr="004963EA">
          <w:rPr>
            <w:rStyle w:val="Hyperlink"/>
            <w:rFonts w:ascii="Arial" w:hAnsi="Arial" w:cs="Arial"/>
            <w:lang w:eastAsia="en-IN" w:bidi="my-MM"/>
          </w:rPr>
          <w:t>Banerjee and Bose (2022)</w:t>
        </w:r>
      </w:hyperlink>
      <w:r w:rsidR="00CA4D69" w:rsidRPr="004963EA">
        <w:rPr>
          <w:rFonts w:ascii="Arial" w:hAnsi="Arial" w:cs="Arial"/>
          <w:lang w:eastAsia="en-IN" w:bidi="my-MM"/>
        </w:rPr>
        <w:t xml:space="preserve"> use panel data from 18 South and Southeast Asian countries (2009–2014) and find that digital connectivity, especially broadband penetration, significantly increases trade volumes—signaling the rising role of technological enablers in shaping elasticities within Global South partnerships. </w:t>
      </w:r>
      <w:hyperlink w:anchor="Mohanty2022" w:history="1">
        <w:r w:rsidR="00CA4D69" w:rsidRPr="004963EA">
          <w:rPr>
            <w:rStyle w:val="Hyperlink"/>
            <w:rFonts w:ascii="Arial" w:hAnsi="Arial" w:cs="Arial"/>
            <w:lang w:eastAsia="en-IN" w:bidi="my-MM"/>
          </w:rPr>
          <w:t>Mohanty and Gaur (2022)</w:t>
        </w:r>
      </w:hyperlink>
      <w:r w:rsidR="00CA4D69" w:rsidRPr="004963EA">
        <w:rPr>
          <w:rFonts w:ascii="Arial" w:hAnsi="Arial" w:cs="Arial"/>
          <w:lang w:eastAsia="en-IN" w:bidi="my-MM"/>
        </w:rPr>
        <w:t xml:space="preserve"> show that BIMSTEC’s agricultural sector has a consistently favorable trade balance and high intra-regional trade ratios, suggesting structural complementarities that can strengthen India–BIMSTEC trade elasticities.</w:t>
      </w:r>
    </w:p>
    <w:p w14:paraId="2E0494CB" w14:textId="77777777" w:rsidR="00CA4D69" w:rsidRPr="004963EA" w:rsidRDefault="00CA4D69" w:rsidP="00D534E0">
      <w:pPr>
        <w:ind w:firstLine="720"/>
        <w:jc w:val="both"/>
        <w:rPr>
          <w:rFonts w:ascii="Arial" w:hAnsi="Arial" w:cs="Arial"/>
          <w:lang w:eastAsia="en-IN" w:bidi="my-MM"/>
        </w:rPr>
      </w:pPr>
      <w:r w:rsidRPr="004963EA">
        <w:rPr>
          <w:rFonts w:ascii="Arial" w:hAnsi="Arial" w:cs="Arial"/>
          <w:lang w:eastAsia="en-IN" w:bidi="my-MM"/>
        </w:rPr>
        <w:t xml:space="preserve">Gravity-model studies further illuminate key drivers. </w:t>
      </w:r>
      <w:hyperlink w:anchor="Singh2023" w:history="1">
        <w:r w:rsidRPr="004963EA">
          <w:rPr>
            <w:rStyle w:val="Hyperlink"/>
            <w:rFonts w:ascii="Arial" w:hAnsi="Arial" w:cs="Arial"/>
            <w:lang w:eastAsia="en-IN" w:bidi="my-MM"/>
          </w:rPr>
          <w:t>Singh et al. (2023)</w:t>
        </w:r>
      </w:hyperlink>
      <w:r w:rsidRPr="004963EA">
        <w:rPr>
          <w:rFonts w:ascii="Arial" w:hAnsi="Arial" w:cs="Arial"/>
          <w:lang w:eastAsia="en-IN" w:bidi="my-MM"/>
        </w:rPr>
        <w:t xml:space="preserve"> find that GDP, population, trade openness, and affinity boost India’s exports to BRICS, although </w:t>
      </w:r>
      <w:r w:rsidRPr="004963EA">
        <w:rPr>
          <w:rFonts w:ascii="Arial" w:hAnsi="Arial" w:cs="Arial"/>
          <w:lang w:eastAsia="en-IN" w:bidi="my-MM"/>
        </w:rPr>
        <w:lastRenderedPageBreak/>
        <w:t xml:space="preserve">asymmetries persist, while </w:t>
      </w:r>
      <w:hyperlink w:anchor="SinghPadhi2020" w:history="1">
        <w:r w:rsidRPr="004963EA">
          <w:rPr>
            <w:rStyle w:val="Hyperlink"/>
            <w:rFonts w:ascii="Arial" w:hAnsi="Arial" w:cs="Arial"/>
            <w:lang w:eastAsia="en-IN" w:bidi="my-MM"/>
          </w:rPr>
          <w:t>Singh and Padhi (2020)</w:t>
        </w:r>
      </w:hyperlink>
      <w:r w:rsidRPr="004963EA">
        <w:rPr>
          <w:rFonts w:ascii="Arial" w:hAnsi="Arial" w:cs="Arial"/>
          <w:lang w:eastAsia="en-IN" w:bidi="my-MM"/>
        </w:rPr>
        <w:t xml:space="preserve"> reveal mixed results across EU, NAFTA, and ASEAN, with distance and GDP sometimes performing contrary to theory. </w:t>
      </w:r>
      <w:hyperlink w:anchor="Gulnaz2022" w:history="1">
        <w:r w:rsidRPr="004963EA">
          <w:rPr>
            <w:rStyle w:val="Hyperlink"/>
            <w:rFonts w:ascii="Arial" w:hAnsi="Arial" w:cs="Arial"/>
            <w:lang w:eastAsia="en-IN" w:bidi="my-MM"/>
          </w:rPr>
          <w:t>Gulnaz and Manglani (2022)</w:t>
        </w:r>
      </w:hyperlink>
      <w:r w:rsidRPr="004963EA">
        <w:rPr>
          <w:rFonts w:ascii="Arial" w:hAnsi="Arial" w:cs="Arial"/>
          <w:lang w:eastAsia="en-IN" w:bidi="my-MM"/>
        </w:rPr>
        <w:t xml:space="preserve"> identify substantial untapped India–ASEAN trade potential constrained by tariffs, transaction costs, and exchange-rate factors.</w:t>
      </w:r>
    </w:p>
    <w:p w14:paraId="00CCF7D5" w14:textId="77777777" w:rsidR="00CA4D69" w:rsidRPr="004963EA" w:rsidRDefault="00CA4D69" w:rsidP="00D534E0">
      <w:pPr>
        <w:ind w:firstLine="720"/>
        <w:jc w:val="both"/>
        <w:rPr>
          <w:rFonts w:ascii="Arial" w:hAnsi="Arial" w:cs="Arial"/>
          <w:lang w:eastAsia="en-IN" w:bidi="my-MM"/>
        </w:rPr>
      </w:pPr>
      <w:r w:rsidRPr="004963EA">
        <w:rPr>
          <w:rFonts w:ascii="Arial" w:hAnsi="Arial" w:cs="Arial"/>
          <w:lang w:eastAsia="en-IN" w:bidi="my-MM"/>
        </w:rPr>
        <w:t xml:space="preserve">Studies specific to BIMSTEC, such as </w:t>
      </w:r>
      <w:hyperlink w:anchor="Rai2021" w:history="1">
        <w:r w:rsidRPr="004963EA">
          <w:rPr>
            <w:rStyle w:val="Hyperlink"/>
            <w:rFonts w:ascii="Arial" w:hAnsi="Arial" w:cs="Arial"/>
            <w:lang w:eastAsia="en-IN" w:bidi="my-MM"/>
          </w:rPr>
          <w:t>Rai et al. (2021)</w:t>
        </w:r>
      </w:hyperlink>
      <w:r w:rsidRPr="004963EA">
        <w:rPr>
          <w:rFonts w:ascii="Arial" w:hAnsi="Arial" w:cs="Arial"/>
          <w:lang w:eastAsia="en-IN" w:bidi="my-MM"/>
        </w:rPr>
        <w:t xml:space="preserve">, use enhanced gravity models and demonstrate that GDP, per capita income, and trade–GDP ratios significantly foster India–BIMSTEC trade, while distance and taxation impede it—aligning with expectations of South–South trade elasticities. </w:t>
      </w:r>
      <w:hyperlink w:anchor="Shahriar2022" w:history="1">
        <w:r w:rsidRPr="004963EA">
          <w:rPr>
            <w:rStyle w:val="Hyperlink"/>
            <w:rFonts w:ascii="Arial" w:hAnsi="Arial" w:cs="Arial"/>
            <w:lang w:eastAsia="en-IN" w:bidi="my-MM"/>
          </w:rPr>
          <w:t>Shahriar (2022)</w:t>
        </w:r>
      </w:hyperlink>
      <w:r w:rsidRPr="004963EA">
        <w:rPr>
          <w:rFonts w:ascii="Arial" w:hAnsi="Arial" w:cs="Arial"/>
          <w:lang w:eastAsia="en-IN" w:bidi="my-MM"/>
        </w:rPr>
        <w:t xml:space="preserve"> highlights India–Myanmar border trade complexities shaped by infrastructure gaps and geopolitical tensions. Complementing this, </w:t>
      </w:r>
      <w:hyperlink w:anchor="Khati2022" w:history="1">
        <w:r w:rsidRPr="004963EA">
          <w:rPr>
            <w:rStyle w:val="Hyperlink"/>
            <w:rFonts w:ascii="Arial" w:hAnsi="Arial" w:cs="Arial"/>
            <w:lang w:eastAsia="en-IN" w:bidi="my-MM"/>
          </w:rPr>
          <w:t>Khati and Kim (2022)</w:t>
        </w:r>
      </w:hyperlink>
      <w:r w:rsidRPr="004963EA">
        <w:rPr>
          <w:rFonts w:ascii="Arial" w:hAnsi="Arial" w:cs="Arial"/>
          <w:lang w:eastAsia="en-IN" w:bidi="my-MM"/>
        </w:rPr>
        <w:t xml:space="preserve"> find that AIFTA increases trade but not exports, pointing to rising NTMs as barriers. The study by </w:t>
      </w:r>
      <w:hyperlink w:anchor="Htun2025" w:history="1">
        <w:proofErr w:type="spellStart"/>
        <w:r w:rsidRPr="004963EA">
          <w:rPr>
            <w:rStyle w:val="Hyperlink"/>
            <w:rFonts w:ascii="Arial" w:hAnsi="Arial" w:cs="Arial"/>
            <w:lang w:eastAsia="en-IN" w:bidi="my-MM"/>
          </w:rPr>
          <w:t>Htun</w:t>
        </w:r>
        <w:proofErr w:type="spellEnd"/>
        <w:r w:rsidRPr="004963EA">
          <w:rPr>
            <w:rStyle w:val="Hyperlink"/>
            <w:rFonts w:ascii="Arial" w:hAnsi="Arial" w:cs="Arial"/>
            <w:lang w:eastAsia="en-IN" w:bidi="my-MM"/>
          </w:rPr>
          <w:t xml:space="preserve"> and </w:t>
        </w:r>
        <w:proofErr w:type="spellStart"/>
        <w:r w:rsidRPr="004963EA">
          <w:rPr>
            <w:rStyle w:val="Hyperlink"/>
            <w:rFonts w:ascii="Arial" w:hAnsi="Arial" w:cs="Arial"/>
            <w:lang w:eastAsia="en-IN" w:bidi="my-MM"/>
          </w:rPr>
          <w:t>Vishwanatha</w:t>
        </w:r>
        <w:proofErr w:type="spellEnd"/>
        <w:r w:rsidRPr="004963EA">
          <w:rPr>
            <w:rStyle w:val="Hyperlink"/>
            <w:rFonts w:ascii="Arial" w:hAnsi="Arial" w:cs="Arial"/>
            <w:lang w:eastAsia="en-IN" w:bidi="my-MM"/>
          </w:rPr>
          <w:t xml:space="preserve"> (2025)</w:t>
        </w:r>
      </w:hyperlink>
      <w:r w:rsidRPr="004963EA">
        <w:rPr>
          <w:rFonts w:ascii="Arial" w:hAnsi="Arial" w:cs="Arial"/>
          <w:lang w:eastAsia="en-IN" w:bidi="my-MM"/>
        </w:rPr>
        <w:t xml:space="preserve"> applies a gravity model using secondary data (1997–2024) to examine India–BIMSTEC trade patterns, finding GDP, per capita income, trade openness, BIMSTEC membership, and shared borders significantly boost trade, while taxes and distance reduce flows.</w:t>
      </w:r>
    </w:p>
    <w:p w14:paraId="524C4FD0" w14:textId="77777777" w:rsidR="00CA4D69" w:rsidRPr="004963EA" w:rsidRDefault="00CA4D69" w:rsidP="00D534E0">
      <w:pPr>
        <w:ind w:firstLine="720"/>
        <w:jc w:val="both"/>
        <w:rPr>
          <w:rFonts w:ascii="Arial" w:hAnsi="Arial" w:cs="Arial"/>
          <w:lang w:eastAsia="en-IN" w:bidi="my-MM"/>
        </w:rPr>
      </w:pPr>
    </w:p>
    <w:p w14:paraId="549EC98F" w14:textId="05C3ABC8" w:rsidR="00CA4D69" w:rsidRPr="004963EA" w:rsidRDefault="00D534E0" w:rsidP="00307F69">
      <w:pPr>
        <w:rPr>
          <w:rFonts w:ascii="Arial" w:hAnsi="Arial" w:cs="Arial"/>
          <w:u w:val="single"/>
          <w:lang w:eastAsia="en-IN" w:bidi="my-MM"/>
        </w:rPr>
      </w:pPr>
      <w:r w:rsidRPr="004963EA">
        <w:rPr>
          <w:rFonts w:ascii="Arial" w:hAnsi="Arial" w:cs="Arial"/>
          <w:b/>
          <w:bCs/>
          <w:u w:val="single"/>
          <w:lang w:eastAsia="en-IN" w:bidi="my-MM"/>
        </w:rPr>
        <w:t xml:space="preserve">1.1.4 </w:t>
      </w:r>
      <w:r w:rsidR="00CA4D69" w:rsidRPr="004963EA">
        <w:rPr>
          <w:rFonts w:ascii="Arial" w:hAnsi="Arial" w:cs="Arial"/>
          <w:b/>
          <w:bCs/>
          <w:u w:val="single"/>
          <w:lang w:eastAsia="en-IN" w:bidi="my-MM"/>
        </w:rPr>
        <w:t>Trade Elasticities</w:t>
      </w:r>
    </w:p>
    <w:p w14:paraId="6AA766F0" w14:textId="77777777" w:rsidR="00CA4D69" w:rsidRPr="004963EA" w:rsidRDefault="00CA4D69" w:rsidP="00D534E0">
      <w:pPr>
        <w:ind w:firstLine="720"/>
        <w:jc w:val="both"/>
        <w:rPr>
          <w:rFonts w:ascii="Arial" w:hAnsi="Arial" w:cs="Arial"/>
        </w:rPr>
      </w:pPr>
      <w:r w:rsidRPr="004963EA">
        <w:rPr>
          <w:rFonts w:ascii="Arial" w:hAnsi="Arial" w:cs="Arial"/>
        </w:rPr>
        <w:t xml:space="preserve">The study by </w:t>
      </w:r>
      <w:hyperlink w:anchor="Alessandria2025" w:history="1">
        <w:r w:rsidRPr="004963EA">
          <w:rPr>
            <w:rStyle w:val="Hyperlink"/>
            <w:rFonts w:ascii="Arial" w:hAnsi="Arial" w:cs="Arial"/>
          </w:rPr>
          <w:t>Alessandria et al. (2025)</w:t>
        </w:r>
      </w:hyperlink>
      <w:r w:rsidRPr="004963EA">
        <w:rPr>
          <w:rFonts w:ascii="Arial" w:hAnsi="Arial" w:cs="Arial"/>
        </w:rPr>
        <w:t xml:space="preserve"> models U.S. import data (1974–2017) using dynamic structural methods to estimate trade elasticities, finding short-run elasticities near 3 and long-run elasticities around 14, highlighting gradual adjustment and policy-expectation effects. </w:t>
      </w:r>
      <w:hyperlink w:anchor="Freeman2025" w:history="1">
        <w:r w:rsidRPr="004963EA">
          <w:rPr>
            <w:rStyle w:val="Hyperlink"/>
            <w:rFonts w:ascii="Arial" w:hAnsi="Arial" w:cs="Arial"/>
          </w:rPr>
          <w:t>Freeman et al. (2025)</w:t>
        </w:r>
      </w:hyperlink>
      <w:r w:rsidRPr="004963EA">
        <w:rPr>
          <w:rFonts w:ascii="Arial" w:hAnsi="Arial" w:cs="Arial"/>
        </w:rPr>
        <w:t xml:space="preserve"> introduce a two-stage structural gravity method that recovers trade elasticities without tariff data, obtaining aggregate and sectoral elasticities—including a services elasticity of 6.8.  </w:t>
      </w:r>
      <w:hyperlink w:anchor="Tamberi2025" w:history="1">
        <w:proofErr w:type="spellStart"/>
        <w:r w:rsidRPr="004963EA">
          <w:rPr>
            <w:rStyle w:val="Hyperlink"/>
            <w:rFonts w:ascii="Arial" w:hAnsi="Arial" w:cs="Arial"/>
          </w:rPr>
          <w:t>Tamberi</w:t>
        </w:r>
        <w:proofErr w:type="spellEnd"/>
        <w:r w:rsidRPr="004963EA">
          <w:rPr>
            <w:rStyle w:val="Hyperlink"/>
            <w:rFonts w:ascii="Arial" w:hAnsi="Arial" w:cs="Arial"/>
          </w:rPr>
          <w:t xml:space="preserve"> (2025)</w:t>
        </w:r>
      </w:hyperlink>
      <w:r w:rsidRPr="004963EA">
        <w:rPr>
          <w:rFonts w:ascii="Arial" w:hAnsi="Arial" w:cs="Arial"/>
        </w:rPr>
        <w:t xml:space="preserve"> employs local-projections DID using product-level U.S. import data during the 2018 trade war, identifying short- and long-run tariff elasticities of –1.4 and –3.7, correcting major biases from staggered adoption. </w:t>
      </w:r>
      <w:hyperlink w:anchor="Wijeweera2025" w:history="1">
        <w:r w:rsidRPr="004963EA">
          <w:rPr>
            <w:rStyle w:val="Hyperlink"/>
            <w:rFonts w:ascii="Arial" w:hAnsi="Arial" w:cs="Arial"/>
          </w:rPr>
          <w:t>Wijeweera and Reppas (2025)</w:t>
        </w:r>
      </w:hyperlink>
      <w:r w:rsidRPr="004963EA">
        <w:rPr>
          <w:rFonts w:ascii="Arial" w:hAnsi="Arial" w:cs="Arial"/>
        </w:rPr>
        <w:t xml:space="preserve"> estimate India’s sectoral export elasticities using ARDL on 1994–2021 data, finding inelastic price responses but </w:t>
      </w:r>
      <w:proofErr w:type="gramStart"/>
      <w:r w:rsidRPr="004963EA">
        <w:rPr>
          <w:rFonts w:ascii="Arial" w:hAnsi="Arial" w:cs="Arial"/>
        </w:rPr>
        <w:t>high income</w:t>
      </w:r>
      <w:proofErr w:type="gramEnd"/>
      <w:r w:rsidRPr="004963EA">
        <w:rPr>
          <w:rFonts w:ascii="Arial" w:hAnsi="Arial" w:cs="Arial"/>
        </w:rPr>
        <w:t xml:space="preserve"> elasticities across sectors.</w:t>
      </w:r>
    </w:p>
    <w:p w14:paraId="3324E5EC" w14:textId="77777777" w:rsidR="00CA4D69" w:rsidRPr="004963EA" w:rsidRDefault="00FF1FF4" w:rsidP="00D534E0">
      <w:pPr>
        <w:ind w:firstLine="720"/>
        <w:jc w:val="both"/>
        <w:rPr>
          <w:rFonts w:ascii="Arial" w:hAnsi="Arial" w:cs="Arial"/>
        </w:rPr>
      </w:pPr>
      <w:hyperlink w:anchor="Ferrari2024" w:history="1">
        <w:r w:rsidR="00CA4D69" w:rsidRPr="004963EA">
          <w:rPr>
            <w:rStyle w:val="Hyperlink"/>
            <w:rFonts w:ascii="Arial" w:hAnsi="Arial" w:cs="Arial"/>
          </w:rPr>
          <w:t xml:space="preserve">Ferrari and </w:t>
        </w:r>
        <w:proofErr w:type="spellStart"/>
        <w:r w:rsidR="00CA4D69" w:rsidRPr="004963EA">
          <w:rPr>
            <w:rStyle w:val="Hyperlink"/>
            <w:rFonts w:ascii="Arial" w:hAnsi="Arial" w:cs="Arial"/>
          </w:rPr>
          <w:t>Gräb</w:t>
        </w:r>
        <w:proofErr w:type="spellEnd"/>
        <w:r w:rsidR="00CA4D69" w:rsidRPr="004963EA">
          <w:rPr>
            <w:rStyle w:val="Hyperlink"/>
            <w:rFonts w:ascii="Arial" w:hAnsi="Arial" w:cs="Arial"/>
          </w:rPr>
          <w:t xml:space="preserve"> (2024)</w:t>
        </w:r>
      </w:hyperlink>
      <w:r w:rsidR="00CA4D69" w:rsidRPr="004963EA">
        <w:rPr>
          <w:rFonts w:ascii="Arial" w:hAnsi="Arial" w:cs="Arial"/>
        </w:rPr>
        <w:t xml:space="preserve"> estimate USD-driven trade elasticities using a two-stage BVAR–VAR approach on quarterly data for 34 countries, finding shock-dependent elasticities and strong heterogeneity in passthrough, shaped by trade openness and financial exposure. </w:t>
      </w:r>
      <w:hyperlink w:anchor="Boehm2023" w:history="1">
        <w:r w:rsidR="00CA4D69" w:rsidRPr="004963EA">
          <w:rPr>
            <w:rStyle w:val="Hyperlink"/>
            <w:rFonts w:ascii="Arial" w:hAnsi="Arial" w:cs="Arial"/>
          </w:rPr>
          <w:t>Boehm et al. (2023)</w:t>
        </w:r>
      </w:hyperlink>
      <w:r w:rsidR="00CA4D69" w:rsidRPr="004963EA">
        <w:rPr>
          <w:rFonts w:ascii="Arial" w:hAnsi="Arial" w:cs="Arial"/>
        </w:rPr>
        <w:t xml:space="preserve"> estimate global trade elasticities by exploiting exogenous MFN tariff variation and applying local projections on BACI trade data (1995–2018). They find a short-run elasticity of –0.76 and a long-run elasticity near –2, emphasizing slow adjustment dynamics and large welfare gains.  </w:t>
      </w:r>
      <w:hyperlink w:anchor="Devarajan2023" w:history="1">
        <w:r w:rsidR="00CA4D69" w:rsidRPr="004963EA">
          <w:rPr>
            <w:rStyle w:val="Hyperlink"/>
            <w:rFonts w:ascii="Arial" w:hAnsi="Arial" w:cs="Arial"/>
          </w:rPr>
          <w:t>Devarajan et al. (2023)</w:t>
        </w:r>
      </w:hyperlink>
      <w:r w:rsidR="00CA4D69" w:rsidRPr="004963EA">
        <w:rPr>
          <w:rFonts w:ascii="Arial" w:hAnsi="Arial" w:cs="Arial"/>
        </w:rPr>
        <w:t xml:space="preserve"> use vector error-correction models on long-run data for 191 countries to estimate Armington import–export elasticities, finding averages of 1.4 for high-income and 0.6–0.7 for developing economies, highlighting asymmetric responses to shocks. </w:t>
      </w:r>
      <w:hyperlink w:anchor="Chen2022" w:history="1">
        <w:r w:rsidR="00CA4D69" w:rsidRPr="004963EA">
          <w:rPr>
            <w:rStyle w:val="Hyperlink"/>
            <w:rFonts w:ascii="Arial" w:hAnsi="Arial" w:cs="Arial"/>
          </w:rPr>
          <w:t>Chen and Novy (2022)</w:t>
        </w:r>
      </w:hyperlink>
      <w:r w:rsidR="00CA4D69" w:rsidRPr="004963EA">
        <w:rPr>
          <w:rFonts w:ascii="Arial" w:hAnsi="Arial" w:cs="Arial"/>
        </w:rPr>
        <w:t xml:space="preserve"> develop a flexible gravity model showing heterogeneous trade-cost elasticities across import-share levels, demonstrating stronger responses in “thin” bilateral relationships. </w:t>
      </w:r>
      <w:hyperlink w:anchor="Oberhofer2021" w:history="1">
        <w:proofErr w:type="spellStart"/>
        <w:r w:rsidR="00CA4D69" w:rsidRPr="004963EA">
          <w:rPr>
            <w:rStyle w:val="Hyperlink"/>
            <w:rFonts w:ascii="Arial" w:hAnsi="Arial" w:cs="Arial"/>
          </w:rPr>
          <w:t>Oberhofer</w:t>
        </w:r>
        <w:proofErr w:type="spellEnd"/>
        <w:r w:rsidR="00CA4D69" w:rsidRPr="004963EA">
          <w:rPr>
            <w:rStyle w:val="Hyperlink"/>
            <w:rFonts w:ascii="Arial" w:hAnsi="Arial" w:cs="Arial"/>
          </w:rPr>
          <w:t xml:space="preserve"> and </w:t>
        </w:r>
        <w:proofErr w:type="spellStart"/>
        <w:r w:rsidR="00CA4D69" w:rsidRPr="004963EA">
          <w:rPr>
            <w:rStyle w:val="Hyperlink"/>
            <w:rFonts w:ascii="Arial" w:hAnsi="Arial" w:cs="Arial"/>
          </w:rPr>
          <w:t>Pfaffermayr</w:t>
        </w:r>
        <w:proofErr w:type="spellEnd"/>
        <w:r w:rsidR="00CA4D69" w:rsidRPr="004963EA">
          <w:rPr>
            <w:rStyle w:val="Hyperlink"/>
            <w:rFonts w:ascii="Arial" w:hAnsi="Arial" w:cs="Arial"/>
          </w:rPr>
          <w:t xml:space="preserve"> (2021)</w:t>
        </w:r>
      </w:hyperlink>
      <w:r w:rsidR="00CA4D69" w:rsidRPr="004963EA">
        <w:rPr>
          <w:rFonts w:ascii="Arial" w:hAnsi="Arial" w:cs="Arial"/>
        </w:rPr>
        <w:t xml:space="preserve"> apply a structural gravity CPPMLE framework to European trade data to quantify Brexit-related trade cost elasticities, documenting substantial declines in UK–EU trade flows and welfare losses under counterfactual scenarios. </w:t>
      </w:r>
    </w:p>
    <w:p w14:paraId="29955552" w14:textId="77777777" w:rsidR="00CA4D69" w:rsidRPr="004963EA" w:rsidRDefault="00CA4D69" w:rsidP="00D534E0">
      <w:pPr>
        <w:jc w:val="both"/>
        <w:rPr>
          <w:rFonts w:ascii="Arial" w:hAnsi="Arial" w:cs="Arial"/>
        </w:rPr>
      </w:pPr>
    </w:p>
    <w:p w14:paraId="60F6E24F" w14:textId="025E16F4"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1.2 </w:t>
      </w:r>
      <w:r w:rsidR="00CA4D69" w:rsidRPr="004963EA">
        <w:rPr>
          <w:rFonts w:ascii="Arial" w:hAnsi="Arial" w:cs="Arial"/>
          <w:b/>
          <w:bCs/>
          <w:sz w:val="22"/>
          <w:szCs w:val="22"/>
        </w:rPr>
        <w:t>Research Gap</w:t>
      </w:r>
    </w:p>
    <w:p w14:paraId="7A54E163" w14:textId="77777777" w:rsidR="00CA4D69" w:rsidRPr="004963EA" w:rsidRDefault="00CA4D69" w:rsidP="00D534E0">
      <w:pPr>
        <w:jc w:val="both"/>
        <w:rPr>
          <w:rFonts w:ascii="Arial" w:hAnsi="Arial" w:cs="Arial"/>
        </w:rPr>
      </w:pPr>
      <w:r w:rsidRPr="004963EA">
        <w:rPr>
          <w:rFonts w:ascii="Arial" w:hAnsi="Arial" w:cs="Arial"/>
        </w:rPr>
        <w:tab/>
        <w:t>There is a limited empirical work on India–BIMSTEC trade, there is no quantitative analysis of trade elasticity, and no gravity-model based studies. This research fills a major gap by providing first-of-its-kind elasticity estimates within the Global South context.</w:t>
      </w:r>
    </w:p>
    <w:p w14:paraId="25579A5D" w14:textId="77777777" w:rsidR="00CA4D69" w:rsidRPr="004963EA" w:rsidRDefault="00CA4D69" w:rsidP="00D534E0">
      <w:pPr>
        <w:jc w:val="both"/>
        <w:rPr>
          <w:rFonts w:ascii="Arial" w:hAnsi="Arial" w:cs="Arial"/>
        </w:rPr>
      </w:pPr>
    </w:p>
    <w:p w14:paraId="2CC99DF4" w14:textId="2835B6FE"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1.3 </w:t>
      </w:r>
      <w:r w:rsidR="00CA4D69" w:rsidRPr="004963EA">
        <w:rPr>
          <w:rFonts w:ascii="Arial" w:hAnsi="Arial" w:cs="Arial"/>
          <w:b/>
          <w:bCs/>
          <w:sz w:val="22"/>
          <w:szCs w:val="22"/>
        </w:rPr>
        <w:t>Objectives</w:t>
      </w:r>
    </w:p>
    <w:p w14:paraId="4DBD6E02" w14:textId="77777777" w:rsidR="00CA4D69" w:rsidRPr="004963EA" w:rsidRDefault="00CA4D69" w:rsidP="00D534E0">
      <w:pPr>
        <w:numPr>
          <w:ilvl w:val="0"/>
          <w:numId w:val="31"/>
        </w:numPr>
        <w:jc w:val="both"/>
        <w:rPr>
          <w:rFonts w:ascii="Arial" w:hAnsi="Arial" w:cs="Arial"/>
        </w:rPr>
      </w:pPr>
      <w:r w:rsidRPr="004963EA">
        <w:rPr>
          <w:rFonts w:ascii="Arial" w:hAnsi="Arial" w:cs="Arial"/>
        </w:rPr>
        <w:t>To estimate bilateral trade elasticities between India and BIMSTEC members.</w:t>
      </w:r>
    </w:p>
    <w:p w14:paraId="773230CB" w14:textId="77777777" w:rsidR="00CA4D69" w:rsidRPr="004963EA" w:rsidRDefault="00CA4D69" w:rsidP="00D534E0">
      <w:pPr>
        <w:numPr>
          <w:ilvl w:val="0"/>
          <w:numId w:val="31"/>
        </w:numPr>
        <w:jc w:val="both"/>
        <w:rPr>
          <w:rFonts w:ascii="Arial" w:hAnsi="Arial" w:cs="Arial"/>
        </w:rPr>
      </w:pPr>
      <w:r w:rsidRPr="004963EA">
        <w:rPr>
          <w:rFonts w:ascii="Arial" w:hAnsi="Arial" w:cs="Arial"/>
        </w:rPr>
        <w:t>To infer the potential effect of BIMSTEC regional integration on India’s trade flows through the overall level and pattern of India–BIMSTEC trade.</w:t>
      </w:r>
    </w:p>
    <w:p w14:paraId="5B86D56E" w14:textId="77777777" w:rsidR="00CA4D69" w:rsidRPr="004963EA" w:rsidRDefault="00CA4D69" w:rsidP="00D534E0">
      <w:pPr>
        <w:pStyle w:val="ListParagraph"/>
        <w:numPr>
          <w:ilvl w:val="0"/>
          <w:numId w:val="31"/>
        </w:numPr>
        <w:spacing w:after="0" w:line="240" w:lineRule="auto"/>
        <w:jc w:val="both"/>
        <w:rPr>
          <w:rFonts w:ascii="Arial" w:hAnsi="Arial" w:cs="Arial"/>
          <w:sz w:val="20"/>
          <w:szCs w:val="20"/>
        </w:rPr>
      </w:pPr>
      <w:r w:rsidRPr="004963EA">
        <w:rPr>
          <w:rFonts w:ascii="Arial" w:hAnsi="Arial" w:cs="Arial"/>
          <w:sz w:val="20"/>
          <w:szCs w:val="20"/>
        </w:rPr>
        <w:t>To assess the magnitude and significance of India–BIMSTEC trade elasticities in the context of typical South–South trade elasticity estimates reported in prior literature.</w:t>
      </w:r>
    </w:p>
    <w:p w14:paraId="5EB6B633" w14:textId="77777777" w:rsidR="00CA4D69" w:rsidRPr="004963EA" w:rsidRDefault="00CA4D69" w:rsidP="00D534E0">
      <w:pPr>
        <w:jc w:val="both"/>
        <w:rPr>
          <w:rFonts w:ascii="Arial" w:hAnsi="Arial" w:cs="Arial"/>
          <w:b/>
          <w:bCs/>
        </w:rPr>
      </w:pPr>
    </w:p>
    <w:p w14:paraId="2278A92E" w14:textId="766D4196"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1.4 </w:t>
      </w:r>
      <w:r w:rsidR="00CA4D69" w:rsidRPr="004963EA">
        <w:rPr>
          <w:rFonts w:ascii="Arial" w:hAnsi="Arial" w:cs="Arial"/>
          <w:b/>
          <w:bCs/>
          <w:sz w:val="22"/>
          <w:szCs w:val="22"/>
        </w:rPr>
        <w:t>Hypotheses Development</w:t>
      </w:r>
    </w:p>
    <w:p w14:paraId="09FF1DB6" w14:textId="77777777" w:rsidR="00CA4D69" w:rsidRPr="004963EA" w:rsidRDefault="00CA4D69" w:rsidP="00D534E0">
      <w:pPr>
        <w:jc w:val="both"/>
        <w:rPr>
          <w:rFonts w:ascii="Arial" w:hAnsi="Arial" w:cs="Arial"/>
          <w:i/>
          <w:iCs/>
        </w:rPr>
      </w:pPr>
      <w:r w:rsidRPr="004963EA">
        <w:rPr>
          <w:rFonts w:ascii="Arial" w:hAnsi="Arial" w:cs="Arial"/>
        </w:rPr>
        <w:t>Hypothesis 1 (H</w:t>
      </w:r>
      <w:r w:rsidRPr="004963EA">
        <w:rPr>
          <w:rFonts w:ascii="Cambria Math" w:hAnsi="Cambria Math" w:cs="Cambria Math"/>
        </w:rPr>
        <w:t>₁</w:t>
      </w:r>
      <w:r w:rsidRPr="004963EA">
        <w:rPr>
          <w:rFonts w:ascii="Arial" w:hAnsi="Arial" w:cs="Arial"/>
        </w:rPr>
        <w:t xml:space="preserve">): </w:t>
      </w:r>
      <w:r w:rsidRPr="004963EA">
        <w:rPr>
          <w:rFonts w:ascii="Arial" w:hAnsi="Arial" w:cs="Arial"/>
          <w:i/>
          <w:iCs/>
        </w:rPr>
        <w:t>India’s bilateral trade with BIMSTEC members shows patterns consistent with the trade-enhancing effects expected under regional cooperation.</w:t>
      </w:r>
    </w:p>
    <w:p w14:paraId="1B2373FC" w14:textId="77777777" w:rsidR="00CA4D69" w:rsidRPr="004963EA" w:rsidRDefault="00CA4D69" w:rsidP="00D534E0">
      <w:pPr>
        <w:jc w:val="both"/>
        <w:rPr>
          <w:rFonts w:ascii="Arial" w:hAnsi="Arial" w:cs="Arial"/>
          <w:b/>
          <w:bCs/>
        </w:rPr>
      </w:pPr>
      <w:r w:rsidRPr="004963EA">
        <w:rPr>
          <w:rFonts w:ascii="Arial" w:hAnsi="Arial" w:cs="Arial"/>
        </w:rPr>
        <w:t>Hypothesis 2 (H</w:t>
      </w:r>
      <w:r w:rsidRPr="004963EA">
        <w:rPr>
          <w:rFonts w:ascii="Arial" w:hAnsi="Arial" w:cs="Arial"/>
          <w:vertAlign w:val="subscript"/>
        </w:rPr>
        <w:t>2</w:t>
      </w:r>
      <w:r w:rsidRPr="004963EA">
        <w:rPr>
          <w:rFonts w:ascii="Arial" w:hAnsi="Arial" w:cs="Arial"/>
        </w:rPr>
        <w:t xml:space="preserve">): </w:t>
      </w:r>
      <w:r w:rsidRPr="004963EA">
        <w:rPr>
          <w:rFonts w:ascii="Arial" w:hAnsi="Arial" w:cs="Arial"/>
          <w:i/>
          <w:iCs/>
        </w:rPr>
        <w:t>India–BIMSTEC income elasticities fall within the typical range of South–South trade elasticities, indicating similar responsiveness to economic growth.</w:t>
      </w:r>
    </w:p>
    <w:p w14:paraId="37826761" w14:textId="77777777" w:rsidR="00CA4D69" w:rsidRPr="004963EA" w:rsidRDefault="00CA4D69" w:rsidP="00D534E0">
      <w:pPr>
        <w:pStyle w:val="Body"/>
        <w:spacing w:after="0"/>
        <w:rPr>
          <w:rFonts w:ascii="Arial" w:hAnsi="Arial" w:cs="Arial"/>
        </w:rPr>
      </w:pPr>
    </w:p>
    <w:p w14:paraId="244A3FBE" w14:textId="56668454" w:rsidR="007F7B32" w:rsidRPr="004963EA" w:rsidRDefault="00902823" w:rsidP="00D534E0">
      <w:pPr>
        <w:pStyle w:val="AbstHead"/>
        <w:spacing w:after="0"/>
        <w:jc w:val="both"/>
        <w:rPr>
          <w:rFonts w:ascii="Arial" w:hAnsi="Arial" w:cs="Arial"/>
        </w:rPr>
      </w:pPr>
      <w:r w:rsidRPr="004963EA">
        <w:rPr>
          <w:rFonts w:ascii="Arial" w:hAnsi="Arial" w:cs="Arial"/>
        </w:rPr>
        <w:t xml:space="preserve">2. </w:t>
      </w:r>
      <w:r w:rsidR="006B57D0" w:rsidRPr="004963EA">
        <w:rPr>
          <w:rFonts w:ascii="Arial" w:hAnsi="Arial" w:cs="Arial"/>
        </w:rPr>
        <w:t>methodology</w:t>
      </w:r>
    </w:p>
    <w:p w14:paraId="6E1FFD53" w14:textId="77777777" w:rsidR="00CA4D69" w:rsidRPr="004963EA" w:rsidRDefault="00CA4D69" w:rsidP="00D534E0">
      <w:pPr>
        <w:ind w:firstLine="720"/>
        <w:jc w:val="both"/>
        <w:rPr>
          <w:rFonts w:ascii="Arial" w:hAnsi="Arial" w:cs="Arial"/>
        </w:rPr>
      </w:pPr>
      <w:r w:rsidRPr="004963EA">
        <w:rPr>
          <w:rFonts w:ascii="Arial" w:hAnsi="Arial" w:cs="Arial"/>
        </w:rPr>
        <w:t>This study adopts a quantitative research design using secondary panel data for a period of 2011-2024 to estimate trade elasticities between India and BIMSTEC member countries. The analysis focuses on the determinants of bilateral export and import flows, emphasizing income elasticity, trade–cost elasticity, and South–South integration effects. A gravity model of trade, widely used for bilateral trade analysis, serves as the empirical framework. Trade (exports and imports) value is used as US$ in millions. This study is based on the secondary sources from Ministry of Commerce and Industry, Government of India Website, World Bank WDI, CEPII and BIMSTEC Website.</w:t>
      </w:r>
    </w:p>
    <w:p w14:paraId="5C464EB7" w14:textId="77777777" w:rsidR="00CA4D69" w:rsidRPr="004963EA" w:rsidRDefault="00CA4D69" w:rsidP="00D534E0">
      <w:pPr>
        <w:jc w:val="both"/>
        <w:rPr>
          <w:rFonts w:ascii="Arial" w:hAnsi="Arial" w:cs="Arial"/>
          <w:b/>
          <w:bCs/>
        </w:rPr>
      </w:pPr>
    </w:p>
    <w:p w14:paraId="10469C2C" w14:textId="6A2E6158" w:rsidR="00CA4D69" w:rsidRPr="004963EA" w:rsidRDefault="00D534E0" w:rsidP="00D534E0">
      <w:pPr>
        <w:rPr>
          <w:rFonts w:ascii="Arial" w:hAnsi="Arial" w:cs="Arial"/>
          <w:b/>
          <w:bCs/>
          <w:sz w:val="22"/>
          <w:szCs w:val="22"/>
        </w:rPr>
      </w:pPr>
      <w:r w:rsidRPr="004963EA">
        <w:rPr>
          <w:rFonts w:ascii="Arial" w:hAnsi="Arial" w:cs="Arial"/>
          <w:b/>
          <w:bCs/>
          <w:sz w:val="22"/>
          <w:szCs w:val="22"/>
        </w:rPr>
        <w:t xml:space="preserve">2.1 </w:t>
      </w:r>
      <w:r w:rsidR="00CA4D69" w:rsidRPr="004963EA">
        <w:rPr>
          <w:rFonts w:ascii="Arial" w:hAnsi="Arial" w:cs="Arial"/>
          <w:b/>
          <w:bCs/>
          <w:sz w:val="22"/>
          <w:szCs w:val="22"/>
        </w:rPr>
        <w:t>Empirical strategy and model specification</w:t>
      </w:r>
    </w:p>
    <w:p w14:paraId="7FE207B7" w14:textId="77777777" w:rsidR="00CA4D69" w:rsidRPr="004963EA" w:rsidRDefault="00CA4D69" w:rsidP="00D534E0">
      <w:pPr>
        <w:jc w:val="both"/>
        <w:rPr>
          <w:rFonts w:ascii="Arial" w:hAnsi="Arial" w:cs="Arial"/>
        </w:rPr>
      </w:pPr>
      <w:r w:rsidRPr="004963EA">
        <w:rPr>
          <w:rFonts w:ascii="Arial" w:hAnsi="Arial" w:cs="Arial"/>
        </w:rPr>
        <w:t xml:space="preserve"> </w:t>
      </w:r>
      <w:r w:rsidRPr="004963EA">
        <w:rPr>
          <w:rFonts w:ascii="Arial" w:hAnsi="Arial" w:cs="Arial"/>
        </w:rPr>
        <w:tab/>
        <w:t>A log-linear gravity model is estimated as follows:</w:t>
      </w:r>
    </w:p>
    <w:p w14:paraId="1D4EFF7A" w14:textId="77777777" w:rsidR="00CA4D69" w:rsidRPr="004963EA" w:rsidRDefault="00CA4D69" w:rsidP="00D534E0">
      <w:pPr>
        <w:jc w:val="both"/>
        <w:rPr>
          <w:rFonts w:ascii="Arial" w:hAnsi="Arial" w:cs="Arial"/>
        </w:rPr>
      </w:pPr>
      <m:oMathPara>
        <m:oMath>
          <m:r>
            <m:rPr>
              <m:sty m:val="p"/>
            </m:rPr>
            <w:rPr>
              <w:rFonts w:ascii="Cambria Math" w:hAnsi="Cambria Math" w:cs="Arial"/>
            </w:rPr>
            <m:t>ln</m:t>
          </m:r>
          <m:r>
            <w:rPr>
              <w:rFonts w:ascii="Cambria Math" w:hAnsi="Cambria Math" w:cs="Arial"/>
            </w:rPr>
            <m:t>⁡Trad</m:t>
          </m:r>
          <m:sSub>
            <m:sSubPr>
              <m:ctrlPr>
                <w:rPr>
                  <w:rFonts w:ascii="Cambria Math" w:hAnsi="Cambria Math" w:cs="Arial"/>
                </w:rPr>
              </m:ctrlPr>
            </m:sSubPr>
            <m:e>
              <m:r>
                <w:rPr>
                  <w:rFonts w:ascii="Cambria Math" w:hAnsi="Cambria Math" w:cs="Arial"/>
                </w:rPr>
                <m:t>e</m:t>
              </m:r>
            </m:e>
            <m:sub>
              <m:r>
                <w:rPr>
                  <w:rFonts w:ascii="Cambria Math" w:hAnsi="Cambria Math" w:cs="Arial"/>
                </w:rPr>
                <m:t>ijt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m:rPr>
              <m:sty m:val="p"/>
            </m:rPr>
            <w:rPr>
              <w:rFonts w:ascii="Cambria Math" w:hAnsi="Cambria Math" w:cs="Arial"/>
            </w:rPr>
            <m:t>ln</m:t>
          </m:r>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m:rPr>
              <m:sty m:val="p"/>
            </m:rPr>
            <w:rPr>
              <w:rFonts w:ascii="Cambria Math" w:hAnsi="Cambria Math" w:cs="Arial"/>
            </w:rPr>
            <m:t>ln</m:t>
          </m:r>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jt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m:rPr>
              <m:sty m:val="p"/>
            </m:rPr>
            <w:rPr>
              <w:rFonts w:ascii="Cambria Math" w:hAnsi="Cambria Math" w:cs="Arial"/>
            </w:rPr>
            <m:t>ln</m:t>
          </m:r>
          <m:r>
            <w:rPr>
              <w:rFonts w:ascii="Cambria Math" w:hAnsi="Cambria Math" w:cs="Arial"/>
            </w:rPr>
            <m:t>⁡Distanc</m:t>
          </m:r>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w:rPr>
              <w:rFonts w:ascii="Cambria Math" w:hAnsi="Cambria Math" w:cs="Arial"/>
            </w:rPr>
            <m:t>TradeOpennes</m:t>
          </m:r>
          <m:sSub>
            <m:sSubPr>
              <m:ctrlPr>
                <w:rPr>
                  <w:rFonts w:ascii="Cambria Math" w:hAnsi="Cambria Math" w:cs="Arial"/>
                </w:rPr>
              </m:ctrlPr>
            </m:sSubPr>
            <m:e>
              <m:r>
                <w:rPr>
                  <w:rFonts w:ascii="Cambria Math" w:hAnsi="Cambria Math" w:cs="Arial"/>
                </w:rPr>
                <m:t>s</m:t>
              </m:r>
            </m:e>
            <m:sub>
              <m:r>
                <w:rPr>
                  <w:rFonts w:ascii="Cambria Math" w:hAnsi="Cambria Math" w:cs="Arial"/>
                </w:rPr>
                <m:t>jt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5</m:t>
              </m:r>
            </m:sub>
          </m:sSub>
          <m:r>
            <w:rPr>
              <w:rFonts w:ascii="Cambria Math" w:hAnsi="Cambria Math" w:cs="Arial"/>
            </w:rPr>
            <m:t>BIMSTE</m:t>
          </m:r>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ijt</m:t>
              </m:r>
            </m:sub>
          </m:sSub>
        </m:oMath>
      </m:oMathPara>
    </w:p>
    <w:p w14:paraId="7AABB8DE" w14:textId="77777777" w:rsidR="00CA4D69" w:rsidRPr="004963EA" w:rsidRDefault="00CA4D69" w:rsidP="00D534E0">
      <w:pPr>
        <w:jc w:val="both"/>
        <w:rPr>
          <w:rFonts w:ascii="Arial" w:hAnsi="Arial" w:cs="Arial"/>
        </w:rPr>
      </w:pPr>
      <w:r w:rsidRPr="004963EA">
        <w:rPr>
          <w:rFonts w:ascii="Arial" w:hAnsi="Arial" w:cs="Arial"/>
        </w:rPr>
        <w:t>Where:</w:t>
      </w:r>
    </w:p>
    <w:p w14:paraId="28E01CC7" w14:textId="77777777" w:rsidR="00CA4D69" w:rsidRPr="004963EA" w:rsidRDefault="00CA4D69" w:rsidP="00D534E0">
      <w:pPr>
        <w:jc w:val="both"/>
        <w:rPr>
          <w:rFonts w:ascii="Arial" w:hAnsi="Arial" w:cs="Arial"/>
        </w:rPr>
      </w:pPr>
      <w:r w:rsidRPr="004963EA">
        <w:rPr>
          <w:rFonts w:ascii="Arial" w:hAnsi="Arial" w:cs="Arial"/>
        </w:rPr>
        <w:t>Tradeᵢⱼ</w:t>
      </w:r>
      <w:r w:rsidRPr="004963EA">
        <w:rPr>
          <w:rFonts w:ascii="Cambria Math" w:hAnsi="Cambria Math" w:cs="Cambria Math"/>
        </w:rPr>
        <w:t>ₜ</w:t>
      </w:r>
      <w:r w:rsidRPr="004963EA">
        <w:rPr>
          <w:rFonts w:ascii="Arial" w:hAnsi="Arial" w:cs="Arial"/>
        </w:rPr>
        <w:t xml:space="preserve"> </w:t>
      </w:r>
      <w:r w:rsidRPr="004963EA">
        <w:rPr>
          <w:rFonts w:ascii="Arial" w:hAnsi="Arial" w:cs="Arial"/>
        </w:rPr>
        <w:tab/>
      </w:r>
      <w:r w:rsidRPr="004963EA">
        <w:rPr>
          <w:rFonts w:ascii="Arial" w:hAnsi="Arial" w:cs="Arial"/>
        </w:rPr>
        <w:tab/>
        <w:t xml:space="preserve">= India’s bilateral exports/imports with country </w:t>
      </w:r>
      <w:r w:rsidRPr="004963EA">
        <w:rPr>
          <w:rFonts w:ascii="Arial" w:hAnsi="Arial" w:cs="Arial"/>
          <w:i/>
          <w:iCs/>
        </w:rPr>
        <w:t>j</w:t>
      </w:r>
    </w:p>
    <w:p w14:paraId="38BCC926" w14:textId="77777777" w:rsidR="00CA4D69" w:rsidRPr="004963EA" w:rsidRDefault="00CA4D69" w:rsidP="00D534E0">
      <w:pPr>
        <w:jc w:val="both"/>
        <w:rPr>
          <w:rFonts w:ascii="Arial" w:hAnsi="Arial" w:cs="Arial"/>
        </w:rPr>
      </w:pPr>
      <w:r w:rsidRPr="004963EA">
        <w:rPr>
          <w:rFonts w:ascii="Arial" w:hAnsi="Arial" w:cs="Arial"/>
        </w:rPr>
        <w:t xml:space="preserve">GDPᵢ, GDPⱼ </w:t>
      </w:r>
      <w:r w:rsidRPr="004963EA">
        <w:rPr>
          <w:rFonts w:ascii="Arial" w:hAnsi="Arial" w:cs="Arial"/>
        </w:rPr>
        <w:tab/>
      </w:r>
      <w:r w:rsidRPr="004963EA">
        <w:rPr>
          <w:rFonts w:ascii="Arial" w:hAnsi="Arial" w:cs="Arial"/>
        </w:rPr>
        <w:tab/>
        <w:t>= economic size variables (income elasticities)</w:t>
      </w:r>
    </w:p>
    <w:p w14:paraId="3D7D7BE4" w14:textId="77777777" w:rsidR="00CA4D69" w:rsidRPr="004963EA" w:rsidRDefault="00CA4D69" w:rsidP="00D534E0">
      <w:pPr>
        <w:jc w:val="both"/>
        <w:rPr>
          <w:rFonts w:ascii="Arial" w:hAnsi="Arial" w:cs="Arial"/>
        </w:rPr>
      </w:pPr>
      <w:r w:rsidRPr="004963EA">
        <w:rPr>
          <w:rFonts w:ascii="Arial" w:hAnsi="Arial" w:cs="Arial"/>
        </w:rPr>
        <w:t xml:space="preserve">Distanceᵢⱼ </w:t>
      </w:r>
      <w:r w:rsidRPr="004963EA">
        <w:rPr>
          <w:rFonts w:ascii="Arial" w:hAnsi="Arial" w:cs="Arial"/>
        </w:rPr>
        <w:tab/>
      </w:r>
      <w:r w:rsidRPr="004963EA">
        <w:rPr>
          <w:rFonts w:ascii="Arial" w:hAnsi="Arial" w:cs="Arial"/>
        </w:rPr>
        <w:tab/>
        <w:t>= proxy for trade costs</w:t>
      </w:r>
    </w:p>
    <w:p w14:paraId="12069F71" w14:textId="77777777" w:rsidR="00CA4D69" w:rsidRPr="004963EA" w:rsidRDefault="00CA4D69" w:rsidP="00D534E0">
      <w:pPr>
        <w:jc w:val="both"/>
        <w:rPr>
          <w:rFonts w:ascii="Arial" w:hAnsi="Arial" w:cs="Arial"/>
        </w:rPr>
      </w:pPr>
      <w:r w:rsidRPr="004963EA">
        <w:rPr>
          <w:rFonts w:ascii="Arial" w:hAnsi="Arial" w:cs="Arial"/>
        </w:rPr>
        <w:t xml:space="preserve">Trade Opennessⱼ </w:t>
      </w:r>
      <w:r w:rsidRPr="004963EA">
        <w:rPr>
          <w:rFonts w:ascii="Arial" w:hAnsi="Arial" w:cs="Arial"/>
        </w:rPr>
        <w:tab/>
        <w:t>= partner-country openness index</w:t>
      </w:r>
    </w:p>
    <w:p w14:paraId="231F5BB7" w14:textId="77777777" w:rsidR="00CA4D69" w:rsidRPr="004963EA" w:rsidRDefault="00CA4D69" w:rsidP="00D534E0">
      <w:pPr>
        <w:jc w:val="both"/>
        <w:rPr>
          <w:rFonts w:ascii="Arial" w:hAnsi="Arial" w:cs="Arial"/>
        </w:rPr>
      </w:pPr>
      <w:r w:rsidRPr="004963EA">
        <w:rPr>
          <w:rFonts w:ascii="Arial" w:hAnsi="Arial" w:cs="Arial"/>
        </w:rPr>
        <w:t xml:space="preserve">BIMSTEC dummy </w:t>
      </w:r>
      <w:r w:rsidRPr="004963EA">
        <w:rPr>
          <w:rFonts w:ascii="Arial" w:hAnsi="Arial" w:cs="Arial"/>
        </w:rPr>
        <w:tab/>
        <w:t>= 1 if India–country j pair belongs to BIMSTEC</w:t>
      </w:r>
    </w:p>
    <w:p w14:paraId="050E2EA9" w14:textId="77777777" w:rsidR="00CA4D69" w:rsidRPr="004963EA" w:rsidRDefault="00CA4D69" w:rsidP="00D534E0">
      <w:pPr>
        <w:jc w:val="both"/>
        <w:rPr>
          <w:rFonts w:ascii="Arial" w:hAnsi="Arial" w:cs="Arial"/>
        </w:rPr>
      </w:pPr>
      <w:r w:rsidRPr="004963EA">
        <w:rPr>
          <w:rFonts w:ascii="Arial" w:hAnsi="Arial" w:cs="Arial"/>
          <w:b/>
          <w:bCs/>
        </w:rPr>
        <w:t>εᵢⱼ</w:t>
      </w:r>
      <w:r w:rsidRPr="004963EA">
        <w:rPr>
          <w:rFonts w:ascii="Cambria Math" w:hAnsi="Cambria Math" w:cs="Cambria Math"/>
          <w:b/>
          <w:bCs/>
        </w:rPr>
        <w:t>ₜ</w:t>
      </w:r>
      <w:r w:rsidRPr="004963EA">
        <w:rPr>
          <w:rFonts w:ascii="Arial" w:hAnsi="Arial" w:cs="Arial"/>
        </w:rPr>
        <w:t xml:space="preserve"> </w:t>
      </w:r>
      <w:r w:rsidRPr="004963EA">
        <w:rPr>
          <w:rFonts w:ascii="Arial" w:hAnsi="Arial" w:cs="Arial"/>
        </w:rPr>
        <w:tab/>
      </w:r>
      <w:r w:rsidRPr="004963EA">
        <w:rPr>
          <w:rFonts w:ascii="Arial" w:hAnsi="Arial" w:cs="Arial"/>
        </w:rPr>
        <w:tab/>
      </w:r>
      <w:r w:rsidRPr="004963EA">
        <w:rPr>
          <w:rFonts w:ascii="Arial" w:hAnsi="Arial" w:cs="Arial"/>
        </w:rPr>
        <w:tab/>
        <w:t>= error term</w:t>
      </w:r>
    </w:p>
    <w:p w14:paraId="0C20BF32" w14:textId="77777777" w:rsidR="00CA4D69" w:rsidRPr="004963EA" w:rsidRDefault="00CA4D69" w:rsidP="00D534E0">
      <w:pPr>
        <w:jc w:val="both"/>
        <w:rPr>
          <w:rFonts w:ascii="Arial" w:hAnsi="Arial" w:cs="Arial"/>
        </w:rPr>
      </w:pPr>
    </w:p>
    <w:p w14:paraId="5F53A4AC" w14:textId="77777777" w:rsidR="00CA4D69" w:rsidRPr="004963EA" w:rsidRDefault="00CA4D69" w:rsidP="00D534E0">
      <w:pPr>
        <w:jc w:val="both"/>
        <w:rPr>
          <w:rFonts w:ascii="Arial" w:hAnsi="Arial" w:cs="Arial"/>
        </w:rPr>
      </w:pPr>
      <w:r w:rsidRPr="004963EA">
        <w:rPr>
          <w:rFonts w:ascii="Arial" w:hAnsi="Arial" w:cs="Arial"/>
        </w:rPr>
        <w:t>Elasticities:</w:t>
      </w:r>
    </w:p>
    <w:p w14:paraId="26E14D93" w14:textId="77777777" w:rsidR="00CA4D69" w:rsidRPr="004963EA" w:rsidRDefault="00CA4D69" w:rsidP="00D534E0">
      <w:pPr>
        <w:jc w:val="both"/>
        <w:rPr>
          <w:rFonts w:ascii="Arial" w:hAnsi="Arial" w:cs="Arial"/>
        </w:rPr>
      </w:pPr>
      <w:r w:rsidRPr="004963EA">
        <w:rPr>
          <w:rFonts w:ascii="Arial" w:hAnsi="Arial" w:cs="Arial"/>
        </w:rPr>
        <w:t>β</w:t>
      </w:r>
      <w:r w:rsidRPr="004963EA">
        <w:rPr>
          <w:rFonts w:ascii="Cambria Math" w:hAnsi="Cambria Math" w:cs="Cambria Math"/>
        </w:rPr>
        <w:t>₁</w:t>
      </w:r>
      <w:r w:rsidRPr="004963EA">
        <w:rPr>
          <w:rFonts w:ascii="Arial" w:hAnsi="Arial" w:cs="Arial"/>
        </w:rPr>
        <w:t xml:space="preserve"> and β</w:t>
      </w:r>
      <w:r w:rsidRPr="004963EA">
        <w:rPr>
          <w:rFonts w:ascii="Cambria Math" w:hAnsi="Cambria Math" w:cs="Cambria Math"/>
        </w:rPr>
        <w:t>₂</w:t>
      </w:r>
      <w:r w:rsidRPr="004963EA">
        <w:rPr>
          <w:rFonts w:ascii="Arial" w:hAnsi="Arial" w:cs="Arial"/>
        </w:rPr>
        <w:t xml:space="preserve"> </w:t>
      </w:r>
      <w:r w:rsidRPr="004963EA">
        <w:rPr>
          <w:rFonts w:ascii="Arial" w:hAnsi="Arial" w:cs="Arial"/>
        </w:rPr>
        <w:tab/>
        <w:t>→ income elasticities of trade</w:t>
      </w:r>
    </w:p>
    <w:p w14:paraId="2C69DA3E" w14:textId="77777777" w:rsidR="00CA4D69" w:rsidRPr="004963EA" w:rsidRDefault="00CA4D69" w:rsidP="00D534E0">
      <w:pPr>
        <w:jc w:val="both"/>
        <w:rPr>
          <w:rFonts w:ascii="Arial" w:hAnsi="Arial" w:cs="Arial"/>
        </w:rPr>
      </w:pPr>
      <w:r w:rsidRPr="004963EA">
        <w:rPr>
          <w:rFonts w:ascii="Arial" w:hAnsi="Arial" w:cs="Arial"/>
        </w:rPr>
        <w:t>β</w:t>
      </w:r>
      <w:r w:rsidRPr="004963EA">
        <w:rPr>
          <w:rFonts w:ascii="Cambria Math" w:hAnsi="Cambria Math" w:cs="Cambria Math"/>
        </w:rPr>
        <w:t>₃</w:t>
      </w:r>
      <w:r w:rsidRPr="004963EA">
        <w:rPr>
          <w:rFonts w:ascii="Arial" w:hAnsi="Arial" w:cs="Arial"/>
        </w:rPr>
        <w:t xml:space="preserve"> </w:t>
      </w:r>
      <w:r w:rsidRPr="004963EA">
        <w:rPr>
          <w:rFonts w:ascii="Arial" w:hAnsi="Arial" w:cs="Arial"/>
        </w:rPr>
        <w:tab/>
      </w:r>
      <w:r w:rsidRPr="004963EA">
        <w:rPr>
          <w:rFonts w:ascii="Arial" w:hAnsi="Arial" w:cs="Arial"/>
        </w:rPr>
        <w:tab/>
        <w:t>→ distance elasticity (trade-cost elasticity)</w:t>
      </w:r>
    </w:p>
    <w:p w14:paraId="73E64E31" w14:textId="77777777" w:rsidR="00CA4D69" w:rsidRPr="004963EA" w:rsidRDefault="00CA4D69" w:rsidP="00D534E0">
      <w:pPr>
        <w:jc w:val="both"/>
        <w:rPr>
          <w:rFonts w:ascii="Arial" w:hAnsi="Arial" w:cs="Arial"/>
        </w:rPr>
      </w:pPr>
      <w:r w:rsidRPr="004963EA">
        <w:rPr>
          <w:rFonts w:ascii="Arial" w:hAnsi="Arial" w:cs="Arial"/>
        </w:rPr>
        <w:t>β</w:t>
      </w:r>
      <w:r w:rsidRPr="004963EA">
        <w:rPr>
          <w:rFonts w:ascii="Cambria Math" w:hAnsi="Cambria Math" w:cs="Cambria Math"/>
        </w:rPr>
        <w:t>₅</w:t>
      </w:r>
      <w:r w:rsidRPr="004963EA">
        <w:rPr>
          <w:rFonts w:ascii="Arial" w:hAnsi="Arial" w:cs="Arial"/>
        </w:rPr>
        <w:t xml:space="preserve"> </w:t>
      </w:r>
      <w:r w:rsidRPr="004963EA">
        <w:rPr>
          <w:rFonts w:ascii="Arial" w:hAnsi="Arial" w:cs="Arial"/>
        </w:rPr>
        <w:tab/>
      </w:r>
      <w:r w:rsidRPr="004963EA">
        <w:rPr>
          <w:rFonts w:ascii="Arial" w:hAnsi="Arial" w:cs="Arial"/>
        </w:rPr>
        <w:tab/>
        <w:t>→ effect of South–South regional partnership</w:t>
      </w:r>
    </w:p>
    <w:p w14:paraId="0D645816" w14:textId="77777777" w:rsidR="00790ADA" w:rsidRPr="004963EA" w:rsidRDefault="00790ADA" w:rsidP="00D534E0">
      <w:pPr>
        <w:pStyle w:val="Body"/>
        <w:spacing w:after="0" w:line="360" w:lineRule="auto"/>
        <w:rPr>
          <w:rFonts w:ascii="Arial" w:hAnsi="Arial" w:cs="Arial"/>
        </w:rPr>
      </w:pPr>
    </w:p>
    <w:p w14:paraId="04A9BAD8" w14:textId="77777777" w:rsidR="00790ADA" w:rsidRPr="004963EA" w:rsidRDefault="00790ADA" w:rsidP="00441B6F">
      <w:pPr>
        <w:pStyle w:val="Body"/>
        <w:spacing w:after="0"/>
        <w:rPr>
          <w:rFonts w:ascii="Arial" w:hAnsi="Arial" w:cs="Arial"/>
        </w:rPr>
      </w:pPr>
    </w:p>
    <w:p w14:paraId="7E71ACEF" w14:textId="77777777" w:rsidR="00902823" w:rsidRPr="004963EA" w:rsidRDefault="00000F8F" w:rsidP="00441B6F">
      <w:pPr>
        <w:pStyle w:val="Head1"/>
        <w:spacing w:after="0"/>
        <w:jc w:val="both"/>
        <w:rPr>
          <w:rFonts w:ascii="Arial" w:hAnsi="Arial" w:cs="Arial"/>
        </w:rPr>
      </w:pPr>
      <w:r w:rsidRPr="004963EA">
        <w:rPr>
          <w:rFonts w:ascii="Arial" w:hAnsi="Arial" w:cs="Arial"/>
        </w:rPr>
        <w:t>3</w:t>
      </w:r>
      <w:r w:rsidR="00902823" w:rsidRPr="004963EA">
        <w:rPr>
          <w:rFonts w:ascii="Arial" w:hAnsi="Arial" w:cs="Arial"/>
        </w:rPr>
        <w:t xml:space="preserve">. </w:t>
      </w:r>
      <w:r w:rsidRPr="004963EA">
        <w:rPr>
          <w:rFonts w:ascii="Arial" w:hAnsi="Arial" w:cs="Arial"/>
        </w:rPr>
        <w:t>results and discussion</w:t>
      </w:r>
    </w:p>
    <w:p w14:paraId="3BF98223" w14:textId="77777777" w:rsidR="00D534E0" w:rsidRPr="004963EA" w:rsidRDefault="00D534E0" w:rsidP="00D534E0">
      <w:pPr>
        <w:rPr>
          <w:rFonts w:ascii="Arial" w:hAnsi="Arial" w:cs="Arial"/>
          <w:b/>
          <w:bCs/>
        </w:rPr>
      </w:pPr>
    </w:p>
    <w:tbl>
      <w:tblPr>
        <w:tblW w:w="8424" w:type="dxa"/>
        <w:tblLook w:val="04A0" w:firstRow="1" w:lastRow="0" w:firstColumn="1" w:lastColumn="0" w:noHBand="0" w:noVBand="1"/>
      </w:tblPr>
      <w:tblGrid>
        <w:gridCol w:w="704"/>
        <w:gridCol w:w="686"/>
        <w:gridCol w:w="686"/>
        <w:gridCol w:w="686"/>
        <w:gridCol w:w="867"/>
        <w:gridCol w:w="767"/>
        <w:gridCol w:w="892"/>
        <w:gridCol w:w="1217"/>
        <w:gridCol w:w="598"/>
        <w:gridCol w:w="742"/>
        <w:gridCol w:w="579"/>
      </w:tblGrid>
      <w:tr w:rsidR="00D534E0" w:rsidRPr="004963EA" w14:paraId="690F0FCD" w14:textId="77777777" w:rsidTr="00D534E0">
        <w:trPr>
          <w:trHeight w:val="144"/>
        </w:trPr>
        <w:tc>
          <w:tcPr>
            <w:tcW w:w="8424" w:type="dxa"/>
            <w:gridSpan w:val="11"/>
            <w:tcBorders>
              <w:top w:val="nil"/>
              <w:left w:val="nil"/>
              <w:bottom w:val="nil"/>
            </w:tcBorders>
            <w:noWrap/>
            <w:vAlign w:val="bottom"/>
          </w:tcPr>
          <w:p w14:paraId="6E024B49" w14:textId="77777777" w:rsidR="00D534E0" w:rsidRPr="004963EA" w:rsidRDefault="00D534E0" w:rsidP="00D534E0">
            <w:pPr>
              <w:jc w:val="both"/>
              <w:rPr>
                <w:rFonts w:ascii="Arial" w:hAnsi="Arial" w:cs="Arial"/>
                <w:b/>
                <w:bCs/>
                <w:color w:val="000000"/>
                <w:lang w:eastAsia="en-IN" w:bidi="my-MM"/>
              </w:rPr>
            </w:pPr>
            <w:r w:rsidRPr="004963EA">
              <w:rPr>
                <w:rFonts w:ascii="Arial" w:hAnsi="Arial" w:cs="Arial"/>
                <w:b/>
                <w:bCs/>
                <w:color w:val="000000"/>
                <w:lang w:eastAsia="en-IN" w:bidi="my-MM"/>
              </w:rPr>
              <w:t xml:space="preserve">Table 1 </w:t>
            </w:r>
            <w:r w:rsidRPr="004963EA">
              <w:rPr>
                <w:rFonts w:ascii="Arial" w:hAnsi="Arial" w:cs="Arial"/>
                <w:b/>
                <w:bCs/>
              </w:rPr>
              <w:t>Descriptive Analysis</w:t>
            </w:r>
          </w:p>
        </w:tc>
      </w:tr>
      <w:tr w:rsidR="00D534E0" w:rsidRPr="004963EA" w14:paraId="58DCC8D8" w14:textId="77777777" w:rsidTr="00D534E0">
        <w:trPr>
          <w:trHeight w:val="144"/>
        </w:trPr>
        <w:tc>
          <w:tcPr>
            <w:tcW w:w="744" w:type="dxa"/>
            <w:tcBorders>
              <w:top w:val="nil"/>
              <w:left w:val="nil"/>
              <w:bottom w:val="single" w:sz="4" w:space="0" w:color="auto"/>
              <w:right w:val="nil"/>
            </w:tcBorders>
            <w:noWrap/>
            <w:vAlign w:val="bottom"/>
            <w:hideMark/>
          </w:tcPr>
          <w:p w14:paraId="01DE150D" w14:textId="77777777" w:rsidR="00D534E0" w:rsidRPr="004963EA" w:rsidRDefault="00D534E0" w:rsidP="00D534E0">
            <w:pPr>
              <w:rPr>
                <w:rFonts w:ascii="Arial" w:hAnsi="Arial" w:cs="Arial"/>
                <w:lang w:eastAsia="en-IN" w:bidi="my-MM"/>
              </w:rPr>
            </w:pP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FDA4494"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Trade</w:t>
            </w:r>
          </w:p>
        </w:tc>
        <w:tc>
          <w:tcPr>
            <w:tcW w:w="683" w:type="dxa"/>
            <w:tcBorders>
              <w:top w:val="single" w:sz="4" w:space="0" w:color="auto"/>
              <w:left w:val="nil"/>
              <w:bottom w:val="single" w:sz="4" w:space="0" w:color="auto"/>
              <w:right w:val="single" w:sz="4" w:space="0" w:color="auto"/>
            </w:tcBorders>
            <w:noWrap/>
            <w:vAlign w:val="bottom"/>
            <w:hideMark/>
          </w:tcPr>
          <w:p w14:paraId="3385A5BB"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Exports</w:t>
            </w:r>
          </w:p>
        </w:tc>
        <w:tc>
          <w:tcPr>
            <w:tcW w:w="683" w:type="dxa"/>
            <w:tcBorders>
              <w:top w:val="single" w:sz="4" w:space="0" w:color="auto"/>
              <w:left w:val="nil"/>
              <w:bottom w:val="single" w:sz="4" w:space="0" w:color="auto"/>
              <w:right w:val="single" w:sz="4" w:space="0" w:color="auto"/>
            </w:tcBorders>
            <w:noWrap/>
            <w:vAlign w:val="bottom"/>
            <w:hideMark/>
          </w:tcPr>
          <w:p w14:paraId="2933B7C0"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Imports</w:t>
            </w:r>
          </w:p>
        </w:tc>
        <w:tc>
          <w:tcPr>
            <w:tcW w:w="862" w:type="dxa"/>
            <w:tcBorders>
              <w:top w:val="single" w:sz="4" w:space="0" w:color="auto"/>
              <w:left w:val="nil"/>
              <w:bottom w:val="single" w:sz="4" w:space="0" w:color="auto"/>
              <w:right w:val="single" w:sz="4" w:space="0" w:color="auto"/>
            </w:tcBorders>
            <w:noWrap/>
            <w:vAlign w:val="bottom"/>
            <w:hideMark/>
          </w:tcPr>
          <w:p w14:paraId="401CF8CC"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Distance_km</w:t>
            </w:r>
            <w:proofErr w:type="spellEnd"/>
          </w:p>
        </w:tc>
        <w:tc>
          <w:tcPr>
            <w:tcW w:w="763" w:type="dxa"/>
            <w:tcBorders>
              <w:top w:val="single" w:sz="4" w:space="0" w:color="auto"/>
              <w:left w:val="nil"/>
              <w:bottom w:val="single" w:sz="4" w:space="0" w:color="auto"/>
              <w:right w:val="single" w:sz="4" w:space="0" w:color="auto"/>
            </w:tcBorders>
            <w:noWrap/>
            <w:vAlign w:val="bottom"/>
            <w:hideMark/>
          </w:tcPr>
          <w:p w14:paraId="32817EDB"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GDP_India</w:t>
            </w:r>
            <w:proofErr w:type="spellEnd"/>
          </w:p>
        </w:tc>
        <w:tc>
          <w:tcPr>
            <w:tcW w:w="887" w:type="dxa"/>
            <w:tcBorders>
              <w:top w:val="single" w:sz="4" w:space="0" w:color="auto"/>
              <w:left w:val="nil"/>
              <w:bottom w:val="single" w:sz="4" w:space="0" w:color="auto"/>
              <w:right w:val="single" w:sz="4" w:space="0" w:color="auto"/>
            </w:tcBorders>
            <w:noWrap/>
            <w:vAlign w:val="bottom"/>
            <w:hideMark/>
          </w:tcPr>
          <w:p w14:paraId="2CEC5BBF"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GDP_Partner</w:t>
            </w:r>
            <w:proofErr w:type="spellEnd"/>
          </w:p>
        </w:tc>
        <w:tc>
          <w:tcPr>
            <w:tcW w:w="1210" w:type="dxa"/>
            <w:tcBorders>
              <w:top w:val="single" w:sz="4" w:space="0" w:color="auto"/>
              <w:left w:val="nil"/>
              <w:bottom w:val="single" w:sz="4" w:space="0" w:color="auto"/>
              <w:right w:val="single" w:sz="4" w:space="0" w:color="auto"/>
            </w:tcBorders>
            <w:noWrap/>
            <w:vAlign w:val="bottom"/>
            <w:hideMark/>
          </w:tcPr>
          <w:p w14:paraId="02886D1B"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TradeOpen_Partner</w:t>
            </w:r>
            <w:proofErr w:type="spellEnd"/>
          </w:p>
        </w:tc>
        <w:tc>
          <w:tcPr>
            <w:tcW w:w="595" w:type="dxa"/>
            <w:tcBorders>
              <w:top w:val="single" w:sz="4" w:space="0" w:color="auto"/>
              <w:left w:val="nil"/>
              <w:bottom w:val="single" w:sz="4" w:space="0" w:color="auto"/>
              <w:right w:val="single" w:sz="4" w:space="0" w:color="auto"/>
            </w:tcBorders>
            <w:noWrap/>
            <w:vAlign w:val="bottom"/>
            <w:hideMark/>
          </w:tcPr>
          <w:p w14:paraId="46CE598F"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lnTrade</w:t>
            </w:r>
            <w:proofErr w:type="spellEnd"/>
          </w:p>
        </w:tc>
        <w:tc>
          <w:tcPr>
            <w:tcW w:w="738" w:type="dxa"/>
            <w:tcBorders>
              <w:top w:val="single" w:sz="4" w:space="0" w:color="auto"/>
              <w:left w:val="nil"/>
              <w:bottom w:val="single" w:sz="4" w:space="0" w:color="auto"/>
              <w:right w:val="single" w:sz="4" w:space="0" w:color="auto"/>
            </w:tcBorders>
            <w:noWrap/>
            <w:vAlign w:val="bottom"/>
            <w:hideMark/>
          </w:tcPr>
          <w:p w14:paraId="754E97FE"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lnDistance</w:t>
            </w:r>
            <w:proofErr w:type="spellEnd"/>
          </w:p>
        </w:tc>
        <w:tc>
          <w:tcPr>
            <w:tcW w:w="576" w:type="dxa"/>
            <w:tcBorders>
              <w:top w:val="single" w:sz="4" w:space="0" w:color="auto"/>
              <w:left w:val="nil"/>
              <w:bottom w:val="single" w:sz="4" w:space="0" w:color="auto"/>
              <w:right w:val="single" w:sz="4" w:space="0" w:color="auto"/>
            </w:tcBorders>
            <w:noWrap/>
            <w:vAlign w:val="bottom"/>
            <w:hideMark/>
          </w:tcPr>
          <w:p w14:paraId="6329E255"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lnOpen</w:t>
            </w:r>
            <w:proofErr w:type="spellEnd"/>
          </w:p>
        </w:tc>
      </w:tr>
      <w:tr w:rsidR="00D534E0" w:rsidRPr="004963EA" w14:paraId="21AEA7B4"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2911EAE0"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Mean</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2F6C562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6117.39</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6A31507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4147.78</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0E981B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1969.61</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1922D73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1859.04</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68A77BF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5.94</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7C4B013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3.93</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47B6F2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63.73</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6E641DE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8.37</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11DB447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7.43</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23DE49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4.04</w:t>
            </w:r>
          </w:p>
        </w:tc>
      </w:tr>
      <w:tr w:rsidR="00D534E0" w:rsidRPr="004963EA" w14:paraId="57BD005E"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4464559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5835753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489.86</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15DE077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355.68</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1D0FCD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299.55</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49811FD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82.45</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79B07E5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02EB8F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0.47</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1E5195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3.56</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6D0B254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0.10</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5FA22ED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0.05</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6BEBFFB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0.05</w:t>
            </w:r>
          </w:p>
        </w:tc>
      </w:tr>
      <w:tr w:rsidR="00D534E0" w:rsidRPr="004963EA" w14:paraId="4AAEE96A"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08C3F2B0"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Deviation</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604209E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4489.65</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6083A79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3259.89</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5C0DAD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2745.38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4298508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755.71</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685656D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3.77</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534F0D8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4.31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1AC6416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32.58</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42C77B4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0.94</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79D07C5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0.45</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4E3E64D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0.47</w:t>
            </w:r>
          </w:p>
        </w:tc>
      </w:tr>
      <w:tr w:rsidR="00D534E0" w:rsidRPr="004963EA" w14:paraId="453BFD09"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333D5D87"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Minimum</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5439CB9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432.41</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844985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229.86</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A94B00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149.87</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530AF8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801.18</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37CB1C2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-6.60</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0604921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-17.91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78642DA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26.27</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36374DB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6.07</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02ACF8E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6.69</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40D4F80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3.27</w:t>
            </w:r>
          </w:p>
        </w:tc>
      </w:tr>
      <w:tr w:rsidR="00D534E0" w:rsidRPr="004963EA" w14:paraId="40792C3B"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2967209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Maxi</w:t>
            </w:r>
            <w:r w:rsidRPr="004963EA">
              <w:rPr>
                <w:rFonts w:ascii="Arial" w:hAnsi="Arial" w:cs="Arial"/>
                <w:color w:val="000000"/>
                <w:lang w:eastAsia="en-IN" w:bidi="my-MM"/>
              </w:rPr>
              <w:lastRenderedPageBreak/>
              <w:t>mum</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745AA81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1907</w:t>
            </w:r>
            <w:r w:rsidRPr="004963EA">
              <w:rPr>
                <w:rFonts w:ascii="Arial" w:hAnsi="Arial" w:cs="Arial"/>
                <w:color w:val="000000"/>
                <w:lang w:eastAsia="en-IN" w:bidi="my-MM"/>
              </w:rPr>
              <w:lastRenderedPageBreak/>
              <w:t>9.66</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54EF1C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1615</w:t>
            </w:r>
            <w:r w:rsidRPr="004963EA">
              <w:rPr>
                <w:rFonts w:ascii="Arial" w:hAnsi="Arial" w:cs="Arial"/>
                <w:color w:val="000000"/>
                <w:lang w:eastAsia="en-IN" w:bidi="my-MM"/>
              </w:rPr>
              <w:lastRenderedPageBreak/>
              <w:t>6.37</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741D746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1426</w:t>
            </w:r>
            <w:r w:rsidRPr="004963EA">
              <w:rPr>
                <w:rFonts w:ascii="Arial" w:hAnsi="Arial" w:cs="Arial"/>
                <w:color w:val="000000"/>
                <w:lang w:eastAsia="en-IN" w:bidi="my-MM"/>
              </w:rPr>
              <w:lastRenderedPageBreak/>
              <w:t>7.08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906DF9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2919.7</w:t>
            </w:r>
            <w:r w:rsidRPr="004963EA">
              <w:rPr>
                <w:rFonts w:ascii="Arial" w:hAnsi="Arial" w:cs="Arial"/>
                <w:color w:val="000000"/>
                <w:lang w:eastAsia="en-IN" w:bidi="my-MM"/>
              </w:rPr>
              <w:lastRenderedPageBreak/>
              <w:t>1</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07BBA33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9.19</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4470E07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10.51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95F7E7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139.68</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1F8330D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9.8</w:t>
            </w:r>
            <w:r w:rsidRPr="004963EA">
              <w:rPr>
                <w:rFonts w:ascii="Arial" w:hAnsi="Arial" w:cs="Arial"/>
                <w:color w:val="000000"/>
                <w:lang w:eastAsia="en-IN" w:bidi="my-MM"/>
              </w:rPr>
              <w:lastRenderedPageBreak/>
              <w:t>6</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06F45B0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7.98</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6754EF9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4.9</w:t>
            </w:r>
            <w:r w:rsidRPr="004963EA">
              <w:rPr>
                <w:rFonts w:ascii="Arial" w:hAnsi="Arial" w:cs="Arial"/>
                <w:color w:val="000000"/>
                <w:lang w:eastAsia="en-IN" w:bidi="my-MM"/>
              </w:rPr>
              <w:lastRenderedPageBreak/>
              <w:t>4</w:t>
            </w:r>
          </w:p>
        </w:tc>
      </w:tr>
      <w:tr w:rsidR="00D534E0" w:rsidRPr="004963EA" w14:paraId="0F1A7FDF"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03A2B73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lastRenderedPageBreak/>
              <w:t>Count</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145C76E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A4A4A4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F10F8E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592AD2E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5AEA895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72A4A89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1E5D4E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592630A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29249AF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7C59764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r>
      <w:tr w:rsidR="00D534E0" w:rsidRPr="004963EA" w14:paraId="33F54E10" w14:textId="77777777" w:rsidTr="00D534E0">
        <w:trPr>
          <w:trHeight w:val="144"/>
        </w:trPr>
        <w:tc>
          <w:tcPr>
            <w:tcW w:w="8424" w:type="dxa"/>
            <w:gridSpan w:val="11"/>
            <w:tcBorders>
              <w:top w:val="single" w:sz="4" w:space="0" w:color="auto"/>
            </w:tcBorders>
            <w:noWrap/>
            <w:vAlign w:val="center"/>
          </w:tcPr>
          <w:p w14:paraId="241425A7" w14:textId="299C6729" w:rsidR="00D534E0" w:rsidRPr="004963EA" w:rsidRDefault="00D534E0" w:rsidP="00D534E0">
            <w:pPr>
              <w:jc w:val="both"/>
              <w:rPr>
                <w:rFonts w:ascii="Arial" w:hAnsi="Arial" w:cs="Arial"/>
                <w:color w:val="000000"/>
                <w:lang w:eastAsia="en-IN" w:bidi="my-MM"/>
              </w:rPr>
            </w:pPr>
            <w:r w:rsidRPr="004963EA">
              <w:rPr>
                <w:rFonts w:ascii="Arial" w:hAnsi="Arial" w:cs="Arial"/>
                <w:i/>
                <w:iCs/>
                <w:color w:val="000000"/>
                <w:lang w:eastAsia="en-IN" w:bidi="my-MM"/>
              </w:rPr>
              <w:t>Source: Author’s calculation based on secondary data</w:t>
            </w:r>
          </w:p>
        </w:tc>
      </w:tr>
    </w:tbl>
    <w:p w14:paraId="330C86D5" w14:textId="77777777" w:rsidR="00D534E0" w:rsidRPr="004963EA" w:rsidRDefault="00D534E0" w:rsidP="00D534E0">
      <w:pPr>
        <w:rPr>
          <w:rFonts w:ascii="Arial" w:hAnsi="Arial" w:cs="Arial"/>
          <w:b/>
          <w:bCs/>
        </w:rPr>
      </w:pPr>
    </w:p>
    <w:tbl>
      <w:tblPr>
        <w:tblW w:w="9902" w:type="dxa"/>
        <w:tblLook w:val="04A0" w:firstRow="1" w:lastRow="0" w:firstColumn="1" w:lastColumn="0" w:noHBand="0" w:noVBand="1"/>
      </w:tblPr>
      <w:tblGrid>
        <w:gridCol w:w="1440"/>
        <w:gridCol w:w="1440"/>
        <w:gridCol w:w="1350"/>
        <w:gridCol w:w="1260"/>
        <w:gridCol w:w="1170"/>
        <w:gridCol w:w="1350"/>
        <w:gridCol w:w="1150"/>
        <w:gridCol w:w="742"/>
      </w:tblGrid>
      <w:tr w:rsidR="00D534E0" w:rsidRPr="004963EA" w14:paraId="6CBBF283" w14:textId="77777777" w:rsidTr="001E5E5A">
        <w:trPr>
          <w:trHeight w:val="312"/>
        </w:trPr>
        <w:tc>
          <w:tcPr>
            <w:tcW w:w="9902" w:type="dxa"/>
            <w:gridSpan w:val="8"/>
            <w:tcBorders>
              <w:top w:val="nil"/>
              <w:left w:val="nil"/>
              <w:bottom w:val="nil"/>
            </w:tcBorders>
            <w:noWrap/>
            <w:vAlign w:val="bottom"/>
          </w:tcPr>
          <w:p w14:paraId="029D6F1A" w14:textId="77777777" w:rsidR="00D534E0" w:rsidRPr="004963EA" w:rsidRDefault="00D534E0" w:rsidP="00D534E0">
            <w:pPr>
              <w:jc w:val="both"/>
              <w:rPr>
                <w:rFonts w:ascii="Arial" w:hAnsi="Arial" w:cs="Arial"/>
                <w:b/>
                <w:bCs/>
                <w:color w:val="000000"/>
                <w:lang w:eastAsia="en-IN" w:bidi="my-MM"/>
              </w:rPr>
            </w:pPr>
            <w:r w:rsidRPr="004963EA">
              <w:rPr>
                <w:rFonts w:ascii="Arial" w:hAnsi="Arial" w:cs="Arial"/>
                <w:b/>
                <w:bCs/>
                <w:color w:val="000000"/>
                <w:lang w:eastAsia="en-IN" w:bidi="my-MM"/>
              </w:rPr>
              <w:t xml:space="preserve">Table 2 </w:t>
            </w:r>
            <w:r w:rsidRPr="004963EA">
              <w:rPr>
                <w:rFonts w:ascii="Arial" w:hAnsi="Arial" w:cs="Arial"/>
                <w:b/>
                <w:bCs/>
              </w:rPr>
              <w:t>Descriptive Analysis of partner trade</w:t>
            </w:r>
          </w:p>
        </w:tc>
      </w:tr>
      <w:tr w:rsidR="00D534E0" w:rsidRPr="004963EA" w14:paraId="6D4950A7" w14:textId="77777777" w:rsidTr="001E5E5A">
        <w:trPr>
          <w:gridAfter w:val="1"/>
          <w:wAfter w:w="742" w:type="dxa"/>
          <w:trHeight w:val="312"/>
        </w:trPr>
        <w:tc>
          <w:tcPr>
            <w:tcW w:w="1440" w:type="dxa"/>
            <w:tcBorders>
              <w:top w:val="nil"/>
              <w:left w:val="nil"/>
              <w:bottom w:val="single" w:sz="4" w:space="0" w:color="auto"/>
              <w:right w:val="nil"/>
            </w:tcBorders>
            <w:noWrap/>
            <w:vAlign w:val="center"/>
            <w:hideMark/>
          </w:tcPr>
          <w:p w14:paraId="01538308" w14:textId="77777777" w:rsidR="00D534E0" w:rsidRPr="004963EA" w:rsidRDefault="00D534E0" w:rsidP="00D534E0">
            <w:pPr>
              <w:rPr>
                <w:rFonts w:ascii="Arial" w:hAnsi="Arial" w:cs="Arial"/>
                <w:lang w:eastAsia="en-IN" w:bidi="my-MM"/>
              </w:rPr>
            </w:pPr>
            <w:r w:rsidRPr="004963EA">
              <w:rPr>
                <w:rFonts w:ascii="Arial" w:hAnsi="Arial" w:cs="Arial"/>
                <w:color w:val="000000"/>
              </w:rPr>
              <w:t>Partner</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BD682A0"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Bangladesh</w:t>
            </w:r>
          </w:p>
        </w:tc>
        <w:tc>
          <w:tcPr>
            <w:tcW w:w="1350" w:type="dxa"/>
            <w:tcBorders>
              <w:top w:val="single" w:sz="4" w:space="0" w:color="auto"/>
              <w:left w:val="nil"/>
              <w:bottom w:val="single" w:sz="4" w:space="0" w:color="auto"/>
              <w:right w:val="single" w:sz="4" w:space="0" w:color="auto"/>
            </w:tcBorders>
            <w:noWrap/>
            <w:vAlign w:val="center"/>
            <w:hideMark/>
          </w:tcPr>
          <w:p w14:paraId="6F5E2138"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Bhutan</w:t>
            </w:r>
          </w:p>
        </w:tc>
        <w:tc>
          <w:tcPr>
            <w:tcW w:w="1260" w:type="dxa"/>
            <w:tcBorders>
              <w:top w:val="single" w:sz="4" w:space="0" w:color="auto"/>
              <w:left w:val="nil"/>
              <w:bottom w:val="single" w:sz="4" w:space="0" w:color="auto"/>
              <w:right w:val="single" w:sz="4" w:space="0" w:color="auto"/>
            </w:tcBorders>
            <w:noWrap/>
            <w:vAlign w:val="center"/>
            <w:hideMark/>
          </w:tcPr>
          <w:p w14:paraId="092D58B5"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Myanmar</w:t>
            </w:r>
          </w:p>
        </w:tc>
        <w:tc>
          <w:tcPr>
            <w:tcW w:w="1170" w:type="dxa"/>
            <w:tcBorders>
              <w:top w:val="single" w:sz="4" w:space="0" w:color="auto"/>
              <w:left w:val="nil"/>
              <w:bottom w:val="single" w:sz="4" w:space="0" w:color="auto"/>
              <w:right w:val="single" w:sz="4" w:space="0" w:color="auto"/>
            </w:tcBorders>
            <w:noWrap/>
            <w:vAlign w:val="center"/>
            <w:hideMark/>
          </w:tcPr>
          <w:p w14:paraId="2BB0D8DE"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Nepal</w:t>
            </w:r>
          </w:p>
        </w:tc>
        <w:tc>
          <w:tcPr>
            <w:tcW w:w="1350" w:type="dxa"/>
            <w:tcBorders>
              <w:top w:val="single" w:sz="4" w:space="0" w:color="auto"/>
              <w:left w:val="nil"/>
              <w:bottom w:val="single" w:sz="4" w:space="0" w:color="auto"/>
              <w:right w:val="single" w:sz="4" w:space="0" w:color="auto"/>
            </w:tcBorders>
            <w:noWrap/>
            <w:vAlign w:val="center"/>
            <w:hideMark/>
          </w:tcPr>
          <w:p w14:paraId="3A7C9092"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Sri Lanka</w:t>
            </w:r>
          </w:p>
        </w:tc>
        <w:tc>
          <w:tcPr>
            <w:tcW w:w="1150" w:type="dxa"/>
            <w:tcBorders>
              <w:top w:val="single" w:sz="4" w:space="0" w:color="auto"/>
              <w:left w:val="nil"/>
              <w:bottom w:val="single" w:sz="4" w:space="0" w:color="auto"/>
              <w:right w:val="single" w:sz="4" w:space="0" w:color="auto"/>
            </w:tcBorders>
            <w:noWrap/>
            <w:vAlign w:val="center"/>
            <w:hideMark/>
          </w:tcPr>
          <w:p w14:paraId="57C2F54C"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Thailand</w:t>
            </w:r>
          </w:p>
        </w:tc>
      </w:tr>
      <w:tr w:rsidR="00D534E0" w:rsidRPr="004963EA" w14:paraId="3409F3C7"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30A8140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Mean</w:t>
            </w:r>
          </w:p>
        </w:tc>
        <w:tc>
          <w:tcPr>
            <w:tcW w:w="1440" w:type="dxa"/>
            <w:tcBorders>
              <w:top w:val="single" w:sz="4" w:space="0" w:color="auto"/>
              <w:left w:val="single" w:sz="4" w:space="0" w:color="auto"/>
              <w:bottom w:val="single" w:sz="4" w:space="0" w:color="auto"/>
              <w:right w:val="single" w:sz="4" w:space="0" w:color="auto"/>
            </w:tcBorders>
            <w:noWrap/>
            <w:vAlign w:val="center"/>
          </w:tcPr>
          <w:p w14:paraId="3B14FFA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9969.41</w:t>
            </w:r>
          </w:p>
        </w:tc>
        <w:tc>
          <w:tcPr>
            <w:tcW w:w="1350" w:type="dxa"/>
            <w:tcBorders>
              <w:top w:val="single" w:sz="4" w:space="0" w:color="auto"/>
              <w:left w:val="single" w:sz="4" w:space="0" w:color="auto"/>
              <w:bottom w:val="single" w:sz="4" w:space="0" w:color="auto"/>
              <w:right w:val="single" w:sz="4" w:space="0" w:color="auto"/>
            </w:tcBorders>
            <w:noWrap/>
            <w:vAlign w:val="center"/>
          </w:tcPr>
          <w:p w14:paraId="2FA14CFE"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1042.98</w:t>
            </w:r>
          </w:p>
        </w:tc>
        <w:tc>
          <w:tcPr>
            <w:tcW w:w="1260" w:type="dxa"/>
            <w:tcBorders>
              <w:top w:val="single" w:sz="4" w:space="0" w:color="auto"/>
              <w:left w:val="single" w:sz="4" w:space="0" w:color="auto"/>
              <w:bottom w:val="single" w:sz="4" w:space="0" w:color="auto"/>
              <w:right w:val="single" w:sz="4" w:space="0" w:color="auto"/>
            </w:tcBorders>
            <w:noWrap/>
            <w:vAlign w:val="center"/>
          </w:tcPr>
          <w:p w14:paraId="5A13682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1857.55</w:t>
            </w:r>
          </w:p>
        </w:tc>
        <w:tc>
          <w:tcPr>
            <w:tcW w:w="1170" w:type="dxa"/>
            <w:tcBorders>
              <w:top w:val="single" w:sz="4" w:space="0" w:color="auto"/>
              <w:left w:val="single" w:sz="4" w:space="0" w:color="auto"/>
              <w:bottom w:val="single" w:sz="4" w:space="0" w:color="auto"/>
              <w:right w:val="single" w:sz="4" w:space="0" w:color="auto"/>
            </w:tcBorders>
            <w:noWrap/>
            <w:vAlign w:val="center"/>
          </w:tcPr>
          <w:p w14:paraId="358F0BF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6692.15</w:t>
            </w:r>
          </w:p>
        </w:tc>
        <w:tc>
          <w:tcPr>
            <w:tcW w:w="1350" w:type="dxa"/>
            <w:tcBorders>
              <w:top w:val="single" w:sz="4" w:space="0" w:color="auto"/>
              <w:left w:val="single" w:sz="4" w:space="0" w:color="auto"/>
              <w:bottom w:val="single" w:sz="4" w:space="0" w:color="auto"/>
              <w:right w:val="single" w:sz="4" w:space="0" w:color="auto"/>
            </w:tcBorders>
            <w:noWrap/>
            <w:vAlign w:val="center"/>
          </w:tcPr>
          <w:p w14:paraId="4BC9CE6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5539.01</w:t>
            </w:r>
          </w:p>
        </w:tc>
        <w:tc>
          <w:tcPr>
            <w:tcW w:w="1150" w:type="dxa"/>
            <w:tcBorders>
              <w:top w:val="single" w:sz="4" w:space="0" w:color="auto"/>
              <w:left w:val="single" w:sz="4" w:space="0" w:color="auto"/>
              <w:bottom w:val="single" w:sz="4" w:space="0" w:color="auto"/>
              <w:right w:val="single" w:sz="4" w:space="0" w:color="auto"/>
            </w:tcBorders>
            <w:noWrap/>
            <w:vAlign w:val="center"/>
          </w:tcPr>
          <w:p w14:paraId="17FF311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11603.26</w:t>
            </w:r>
          </w:p>
        </w:tc>
      </w:tr>
      <w:tr w:rsidR="00D534E0" w:rsidRPr="004963EA" w14:paraId="720A9F4B"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7CD9DF4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Standard Deviation</w:t>
            </w:r>
          </w:p>
        </w:tc>
        <w:tc>
          <w:tcPr>
            <w:tcW w:w="1440" w:type="dxa"/>
            <w:tcBorders>
              <w:top w:val="single" w:sz="4" w:space="0" w:color="auto"/>
              <w:left w:val="single" w:sz="4" w:space="0" w:color="auto"/>
              <w:bottom w:val="single" w:sz="4" w:space="0" w:color="auto"/>
              <w:right w:val="single" w:sz="4" w:space="0" w:color="auto"/>
            </w:tcBorders>
            <w:noWrap/>
            <w:vAlign w:val="center"/>
          </w:tcPr>
          <w:p w14:paraId="4D57734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3681.43</w:t>
            </w:r>
          </w:p>
        </w:tc>
        <w:tc>
          <w:tcPr>
            <w:tcW w:w="1350" w:type="dxa"/>
            <w:tcBorders>
              <w:top w:val="single" w:sz="4" w:space="0" w:color="auto"/>
              <w:left w:val="single" w:sz="4" w:space="0" w:color="auto"/>
              <w:bottom w:val="single" w:sz="4" w:space="0" w:color="auto"/>
              <w:right w:val="single" w:sz="4" w:space="0" w:color="auto"/>
            </w:tcBorders>
            <w:noWrap/>
            <w:vAlign w:val="center"/>
          </w:tcPr>
          <w:p w14:paraId="2EEEEF9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432.99</w:t>
            </w:r>
          </w:p>
        </w:tc>
        <w:tc>
          <w:tcPr>
            <w:tcW w:w="1260" w:type="dxa"/>
            <w:tcBorders>
              <w:top w:val="single" w:sz="4" w:space="0" w:color="auto"/>
              <w:left w:val="single" w:sz="4" w:space="0" w:color="auto"/>
              <w:bottom w:val="single" w:sz="4" w:space="0" w:color="auto"/>
              <w:right w:val="single" w:sz="4" w:space="0" w:color="auto"/>
            </w:tcBorders>
            <w:noWrap/>
            <w:vAlign w:val="center"/>
          </w:tcPr>
          <w:p w14:paraId="1F6B656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262.33</w:t>
            </w:r>
          </w:p>
        </w:tc>
        <w:tc>
          <w:tcPr>
            <w:tcW w:w="1170" w:type="dxa"/>
            <w:tcBorders>
              <w:top w:val="single" w:sz="4" w:space="0" w:color="auto"/>
              <w:left w:val="single" w:sz="4" w:space="0" w:color="auto"/>
              <w:bottom w:val="single" w:sz="4" w:space="0" w:color="auto"/>
              <w:right w:val="single" w:sz="4" w:space="0" w:color="auto"/>
            </w:tcBorders>
            <w:noWrap/>
            <w:vAlign w:val="center"/>
          </w:tcPr>
          <w:p w14:paraId="761DF48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2313.76</w:t>
            </w:r>
          </w:p>
        </w:tc>
        <w:tc>
          <w:tcPr>
            <w:tcW w:w="1350" w:type="dxa"/>
            <w:tcBorders>
              <w:top w:val="single" w:sz="4" w:space="0" w:color="auto"/>
              <w:left w:val="single" w:sz="4" w:space="0" w:color="auto"/>
              <w:bottom w:val="single" w:sz="4" w:space="0" w:color="auto"/>
              <w:right w:val="single" w:sz="4" w:space="0" w:color="auto"/>
            </w:tcBorders>
            <w:noWrap/>
            <w:vAlign w:val="center"/>
          </w:tcPr>
          <w:p w14:paraId="763C117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943.24</w:t>
            </w:r>
          </w:p>
        </w:tc>
        <w:tc>
          <w:tcPr>
            <w:tcW w:w="1150" w:type="dxa"/>
            <w:tcBorders>
              <w:top w:val="single" w:sz="4" w:space="0" w:color="auto"/>
              <w:left w:val="single" w:sz="4" w:space="0" w:color="auto"/>
              <w:bottom w:val="single" w:sz="4" w:space="0" w:color="auto"/>
              <w:right w:val="single" w:sz="4" w:space="0" w:color="auto"/>
            </w:tcBorders>
            <w:noWrap/>
            <w:vAlign w:val="center"/>
          </w:tcPr>
          <w:p w14:paraId="7977552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3502.05</w:t>
            </w:r>
          </w:p>
        </w:tc>
      </w:tr>
      <w:tr w:rsidR="00D534E0" w:rsidRPr="004963EA" w14:paraId="4E148C9A"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1C8DF044"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Minimum</w:t>
            </w:r>
          </w:p>
        </w:tc>
        <w:tc>
          <w:tcPr>
            <w:tcW w:w="1440" w:type="dxa"/>
            <w:tcBorders>
              <w:top w:val="single" w:sz="4" w:space="0" w:color="auto"/>
              <w:left w:val="single" w:sz="4" w:space="0" w:color="auto"/>
              <w:bottom w:val="single" w:sz="4" w:space="0" w:color="auto"/>
              <w:right w:val="single" w:sz="4" w:space="0" w:color="auto"/>
            </w:tcBorders>
            <w:noWrap/>
            <w:vAlign w:val="center"/>
          </w:tcPr>
          <w:p w14:paraId="0C47297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4374.93</w:t>
            </w:r>
          </w:p>
        </w:tc>
        <w:tc>
          <w:tcPr>
            <w:tcW w:w="1350" w:type="dxa"/>
            <w:tcBorders>
              <w:top w:val="single" w:sz="4" w:space="0" w:color="auto"/>
              <w:left w:val="single" w:sz="4" w:space="0" w:color="auto"/>
              <w:bottom w:val="single" w:sz="4" w:space="0" w:color="auto"/>
              <w:right w:val="single" w:sz="4" w:space="0" w:color="auto"/>
            </w:tcBorders>
            <w:noWrap/>
            <w:vAlign w:val="center"/>
          </w:tcPr>
          <w:p w14:paraId="210E55A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432.41</w:t>
            </w:r>
          </w:p>
        </w:tc>
        <w:tc>
          <w:tcPr>
            <w:tcW w:w="1260" w:type="dxa"/>
            <w:tcBorders>
              <w:top w:val="single" w:sz="4" w:space="0" w:color="auto"/>
              <w:left w:val="single" w:sz="4" w:space="0" w:color="auto"/>
              <w:bottom w:val="single" w:sz="4" w:space="0" w:color="auto"/>
              <w:right w:val="single" w:sz="4" w:space="0" w:color="auto"/>
            </w:tcBorders>
            <w:noWrap/>
            <w:vAlign w:val="center"/>
          </w:tcPr>
          <w:p w14:paraId="3DF8D3F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1299.35</w:t>
            </w:r>
          </w:p>
        </w:tc>
        <w:tc>
          <w:tcPr>
            <w:tcW w:w="1170" w:type="dxa"/>
            <w:tcBorders>
              <w:top w:val="single" w:sz="4" w:space="0" w:color="auto"/>
              <w:left w:val="single" w:sz="4" w:space="0" w:color="auto"/>
              <w:bottom w:val="single" w:sz="4" w:space="0" w:color="auto"/>
              <w:right w:val="single" w:sz="4" w:space="0" w:color="auto"/>
            </w:tcBorders>
            <w:noWrap/>
            <w:vAlign w:val="center"/>
          </w:tcPr>
          <w:p w14:paraId="0DE78A1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3271.54</w:t>
            </w:r>
          </w:p>
        </w:tc>
        <w:tc>
          <w:tcPr>
            <w:tcW w:w="1350" w:type="dxa"/>
            <w:tcBorders>
              <w:top w:val="single" w:sz="4" w:space="0" w:color="auto"/>
              <w:left w:val="single" w:sz="4" w:space="0" w:color="auto"/>
              <w:bottom w:val="single" w:sz="4" w:space="0" w:color="auto"/>
              <w:right w:val="single" w:sz="4" w:space="0" w:color="auto"/>
            </w:tcBorders>
            <w:noWrap/>
            <w:vAlign w:val="center"/>
          </w:tcPr>
          <w:p w14:paraId="06A9370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4141.17</w:t>
            </w:r>
          </w:p>
        </w:tc>
        <w:tc>
          <w:tcPr>
            <w:tcW w:w="1150" w:type="dxa"/>
            <w:tcBorders>
              <w:top w:val="single" w:sz="4" w:space="0" w:color="auto"/>
              <w:left w:val="single" w:sz="4" w:space="0" w:color="auto"/>
              <w:bottom w:val="single" w:sz="4" w:space="0" w:color="auto"/>
              <w:right w:val="single" w:sz="4" w:space="0" w:color="auto"/>
            </w:tcBorders>
            <w:noWrap/>
            <w:vAlign w:val="center"/>
          </w:tcPr>
          <w:p w14:paraId="24B1A50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8244.85</w:t>
            </w:r>
          </w:p>
        </w:tc>
      </w:tr>
      <w:tr w:rsidR="00D534E0" w:rsidRPr="004963EA" w14:paraId="63CDEEB1"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0562DD58"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Maximum</w:t>
            </w:r>
          </w:p>
        </w:tc>
        <w:tc>
          <w:tcPr>
            <w:tcW w:w="1440" w:type="dxa"/>
            <w:tcBorders>
              <w:top w:val="single" w:sz="4" w:space="0" w:color="auto"/>
              <w:left w:val="single" w:sz="4" w:space="0" w:color="auto"/>
              <w:bottom w:val="single" w:sz="4" w:space="0" w:color="auto"/>
              <w:right w:val="single" w:sz="4" w:space="0" w:color="auto"/>
            </w:tcBorders>
            <w:noWrap/>
            <w:vAlign w:val="center"/>
          </w:tcPr>
          <w:p w14:paraId="3CD233F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18134.3</w:t>
            </w:r>
          </w:p>
        </w:tc>
        <w:tc>
          <w:tcPr>
            <w:tcW w:w="1350" w:type="dxa"/>
            <w:tcBorders>
              <w:top w:val="single" w:sz="4" w:space="0" w:color="auto"/>
              <w:left w:val="single" w:sz="4" w:space="0" w:color="auto"/>
              <w:bottom w:val="single" w:sz="4" w:space="0" w:color="auto"/>
              <w:right w:val="single" w:sz="4" w:space="0" w:color="auto"/>
            </w:tcBorders>
            <w:noWrap/>
            <w:vAlign w:val="center"/>
          </w:tcPr>
          <w:p w14:paraId="671F562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1905.54</w:t>
            </w:r>
          </w:p>
        </w:tc>
        <w:tc>
          <w:tcPr>
            <w:tcW w:w="1260" w:type="dxa"/>
            <w:tcBorders>
              <w:top w:val="single" w:sz="4" w:space="0" w:color="auto"/>
              <w:left w:val="single" w:sz="4" w:space="0" w:color="auto"/>
              <w:bottom w:val="single" w:sz="4" w:space="0" w:color="auto"/>
              <w:right w:val="single" w:sz="4" w:space="0" w:color="auto"/>
            </w:tcBorders>
            <w:noWrap/>
            <w:vAlign w:val="center"/>
          </w:tcPr>
          <w:p w14:paraId="3838F97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2182.68</w:t>
            </w:r>
          </w:p>
        </w:tc>
        <w:tc>
          <w:tcPr>
            <w:tcW w:w="1170" w:type="dxa"/>
            <w:tcBorders>
              <w:top w:val="single" w:sz="4" w:space="0" w:color="auto"/>
              <w:left w:val="single" w:sz="4" w:space="0" w:color="auto"/>
              <w:bottom w:val="single" w:sz="4" w:space="0" w:color="auto"/>
              <w:right w:val="single" w:sz="4" w:space="0" w:color="auto"/>
            </w:tcBorders>
            <w:noWrap/>
            <w:vAlign w:val="center"/>
          </w:tcPr>
          <w:p w14:paraId="7CC67E1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11016.78</w:t>
            </w:r>
          </w:p>
        </w:tc>
        <w:tc>
          <w:tcPr>
            <w:tcW w:w="1350" w:type="dxa"/>
            <w:tcBorders>
              <w:top w:val="single" w:sz="4" w:space="0" w:color="auto"/>
              <w:left w:val="single" w:sz="4" w:space="0" w:color="auto"/>
              <w:bottom w:val="single" w:sz="4" w:space="0" w:color="auto"/>
              <w:right w:val="single" w:sz="4" w:space="0" w:color="auto"/>
            </w:tcBorders>
            <w:noWrap/>
            <w:vAlign w:val="center"/>
          </w:tcPr>
          <w:p w14:paraId="65E096A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7459.89</w:t>
            </w:r>
          </w:p>
        </w:tc>
        <w:tc>
          <w:tcPr>
            <w:tcW w:w="1150" w:type="dxa"/>
            <w:tcBorders>
              <w:top w:val="single" w:sz="4" w:space="0" w:color="auto"/>
              <w:left w:val="single" w:sz="4" w:space="0" w:color="auto"/>
              <w:bottom w:val="single" w:sz="4" w:space="0" w:color="auto"/>
              <w:right w:val="single" w:sz="4" w:space="0" w:color="auto"/>
            </w:tcBorders>
            <w:noWrap/>
            <w:vAlign w:val="center"/>
          </w:tcPr>
          <w:p w14:paraId="7400F5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19079.66</w:t>
            </w:r>
          </w:p>
        </w:tc>
      </w:tr>
      <w:tr w:rsidR="00D534E0" w:rsidRPr="004963EA" w14:paraId="67E69656"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6E4AF71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Count</w:t>
            </w:r>
          </w:p>
        </w:tc>
        <w:tc>
          <w:tcPr>
            <w:tcW w:w="1440" w:type="dxa"/>
            <w:tcBorders>
              <w:top w:val="single" w:sz="4" w:space="0" w:color="auto"/>
              <w:left w:val="single" w:sz="4" w:space="0" w:color="auto"/>
              <w:bottom w:val="single" w:sz="4" w:space="0" w:color="auto"/>
              <w:right w:val="single" w:sz="4" w:space="0" w:color="auto"/>
            </w:tcBorders>
            <w:noWrap/>
            <w:vAlign w:val="center"/>
          </w:tcPr>
          <w:p w14:paraId="4CF6BBD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350" w:type="dxa"/>
            <w:tcBorders>
              <w:top w:val="single" w:sz="4" w:space="0" w:color="auto"/>
              <w:left w:val="single" w:sz="4" w:space="0" w:color="auto"/>
              <w:bottom w:val="single" w:sz="4" w:space="0" w:color="auto"/>
              <w:right w:val="single" w:sz="4" w:space="0" w:color="auto"/>
            </w:tcBorders>
            <w:noWrap/>
            <w:vAlign w:val="center"/>
          </w:tcPr>
          <w:p w14:paraId="3091432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260" w:type="dxa"/>
            <w:tcBorders>
              <w:top w:val="single" w:sz="4" w:space="0" w:color="auto"/>
              <w:left w:val="single" w:sz="4" w:space="0" w:color="auto"/>
              <w:bottom w:val="single" w:sz="4" w:space="0" w:color="auto"/>
              <w:right w:val="single" w:sz="4" w:space="0" w:color="auto"/>
            </w:tcBorders>
            <w:noWrap/>
            <w:vAlign w:val="center"/>
          </w:tcPr>
          <w:p w14:paraId="4FCB23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170" w:type="dxa"/>
            <w:tcBorders>
              <w:top w:val="single" w:sz="4" w:space="0" w:color="auto"/>
              <w:left w:val="single" w:sz="4" w:space="0" w:color="auto"/>
              <w:bottom w:val="single" w:sz="4" w:space="0" w:color="auto"/>
              <w:right w:val="single" w:sz="4" w:space="0" w:color="auto"/>
            </w:tcBorders>
            <w:noWrap/>
            <w:vAlign w:val="center"/>
          </w:tcPr>
          <w:p w14:paraId="3F149C3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350" w:type="dxa"/>
            <w:tcBorders>
              <w:top w:val="single" w:sz="4" w:space="0" w:color="auto"/>
              <w:left w:val="single" w:sz="4" w:space="0" w:color="auto"/>
              <w:bottom w:val="single" w:sz="4" w:space="0" w:color="auto"/>
              <w:right w:val="single" w:sz="4" w:space="0" w:color="auto"/>
            </w:tcBorders>
            <w:noWrap/>
            <w:vAlign w:val="center"/>
          </w:tcPr>
          <w:p w14:paraId="14BA439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150" w:type="dxa"/>
            <w:tcBorders>
              <w:top w:val="single" w:sz="4" w:space="0" w:color="auto"/>
              <w:left w:val="single" w:sz="4" w:space="0" w:color="auto"/>
              <w:bottom w:val="single" w:sz="4" w:space="0" w:color="auto"/>
              <w:right w:val="single" w:sz="4" w:space="0" w:color="auto"/>
            </w:tcBorders>
            <w:noWrap/>
            <w:vAlign w:val="center"/>
          </w:tcPr>
          <w:p w14:paraId="48BF247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r>
      <w:tr w:rsidR="00D534E0" w:rsidRPr="004963EA" w14:paraId="02410F49" w14:textId="77777777" w:rsidTr="001E5E5A">
        <w:trPr>
          <w:gridAfter w:val="1"/>
          <w:wAfter w:w="742" w:type="dxa"/>
          <w:trHeight w:val="312"/>
        </w:trPr>
        <w:tc>
          <w:tcPr>
            <w:tcW w:w="9160" w:type="dxa"/>
            <w:gridSpan w:val="7"/>
            <w:tcBorders>
              <w:top w:val="single" w:sz="4" w:space="0" w:color="auto"/>
            </w:tcBorders>
            <w:noWrap/>
            <w:vAlign w:val="center"/>
          </w:tcPr>
          <w:p w14:paraId="1422486C" w14:textId="77777777" w:rsidR="00D534E0" w:rsidRPr="004963EA" w:rsidRDefault="00D534E0" w:rsidP="00D534E0">
            <w:pPr>
              <w:jc w:val="both"/>
              <w:rPr>
                <w:rFonts w:ascii="Arial" w:hAnsi="Arial" w:cs="Arial"/>
                <w:color w:val="000000"/>
              </w:rPr>
            </w:pPr>
            <w:r w:rsidRPr="004963EA">
              <w:rPr>
                <w:rFonts w:ascii="Arial" w:hAnsi="Arial" w:cs="Arial"/>
                <w:i/>
                <w:iCs/>
                <w:color w:val="000000"/>
                <w:lang w:eastAsia="en-IN" w:bidi="my-MM"/>
              </w:rPr>
              <w:t>Source: Author’s calculation based on secondary data</w:t>
            </w:r>
          </w:p>
        </w:tc>
      </w:tr>
    </w:tbl>
    <w:p w14:paraId="3650C18A" w14:textId="77777777" w:rsidR="00D534E0" w:rsidRPr="004963EA" w:rsidRDefault="00D534E0" w:rsidP="00D534E0">
      <w:pPr>
        <w:rPr>
          <w:rFonts w:ascii="Arial" w:hAnsi="Arial" w:cs="Arial"/>
          <w:b/>
          <w:bCs/>
        </w:rPr>
      </w:pPr>
    </w:p>
    <w:p w14:paraId="14F411E7" w14:textId="462E7FBC" w:rsidR="00D534E0" w:rsidRPr="004963EA" w:rsidRDefault="00307F69" w:rsidP="00D534E0">
      <w:pPr>
        <w:rPr>
          <w:rFonts w:ascii="Arial" w:hAnsi="Arial" w:cs="Arial"/>
          <w:b/>
          <w:bCs/>
          <w:sz w:val="22"/>
          <w:szCs w:val="22"/>
        </w:rPr>
      </w:pPr>
      <w:r w:rsidRPr="004963EA">
        <w:rPr>
          <w:rFonts w:ascii="Arial" w:hAnsi="Arial" w:cs="Arial"/>
          <w:b/>
          <w:bCs/>
          <w:sz w:val="22"/>
          <w:szCs w:val="22"/>
        </w:rPr>
        <w:t xml:space="preserve">3.1 </w:t>
      </w:r>
      <w:r w:rsidR="00D534E0" w:rsidRPr="004963EA">
        <w:rPr>
          <w:rFonts w:ascii="Arial" w:hAnsi="Arial" w:cs="Arial"/>
          <w:b/>
          <w:bCs/>
          <w:sz w:val="22"/>
          <w:szCs w:val="22"/>
        </w:rPr>
        <w:t xml:space="preserve">Econometrics Results </w:t>
      </w:r>
    </w:p>
    <w:p w14:paraId="725F8F1A" w14:textId="67194C18" w:rsidR="00D534E0" w:rsidRPr="004963EA" w:rsidRDefault="00307F69" w:rsidP="00D534E0">
      <w:pPr>
        <w:rPr>
          <w:rFonts w:ascii="Arial" w:hAnsi="Arial" w:cs="Arial"/>
          <w:b/>
          <w:bCs/>
          <w:u w:val="single"/>
        </w:rPr>
      </w:pPr>
      <w:r w:rsidRPr="004963EA">
        <w:rPr>
          <w:rFonts w:ascii="Arial" w:hAnsi="Arial" w:cs="Arial"/>
          <w:b/>
          <w:bCs/>
          <w:u w:val="single"/>
        </w:rPr>
        <w:t xml:space="preserve">3.1.1 </w:t>
      </w:r>
      <w:r w:rsidR="00D534E0" w:rsidRPr="004963EA">
        <w:rPr>
          <w:rFonts w:ascii="Arial" w:hAnsi="Arial" w:cs="Arial"/>
          <w:b/>
          <w:bCs/>
          <w:u w:val="single"/>
        </w:rPr>
        <w:t xml:space="preserve">Baseline model: </w:t>
      </w:r>
      <w:proofErr w:type="spellStart"/>
      <w:r w:rsidR="00D534E0" w:rsidRPr="004963EA">
        <w:rPr>
          <w:rFonts w:ascii="Arial" w:hAnsi="Arial" w:cs="Arial"/>
          <w:b/>
          <w:bCs/>
          <w:u w:val="single"/>
        </w:rPr>
        <w:t>lnTrade</w:t>
      </w:r>
      <w:proofErr w:type="spellEnd"/>
      <w:r w:rsidR="00D534E0" w:rsidRPr="004963EA">
        <w:rPr>
          <w:rFonts w:ascii="Arial" w:hAnsi="Arial" w:cs="Arial"/>
          <w:b/>
          <w:bCs/>
          <w:u w:val="single"/>
        </w:rPr>
        <w:t xml:space="preserve"> as dependent variable</w:t>
      </w:r>
    </w:p>
    <w:p w14:paraId="31DCB694" w14:textId="77777777" w:rsidR="00D534E0" w:rsidRPr="004963EA" w:rsidRDefault="00D534E0" w:rsidP="00D534E0">
      <w:pPr>
        <w:rPr>
          <w:rFonts w:ascii="Arial" w:hAnsi="Arial" w:cs="Arial"/>
          <w:b/>
          <w:bCs/>
        </w:rPr>
      </w:pPr>
    </w:p>
    <w:p w14:paraId="5701D487" w14:textId="77777777" w:rsidR="00D534E0" w:rsidRPr="004963EA" w:rsidRDefault="00D534E0" w:rsidP="00D534E0">
      <w:pPr>
        <w:jc w:val="both"/>
        <w:rPr>
          <w:rFonts w:ascii="Arial" w:hAnsi="Arial" w:cs="Arial"/>
          <w:b/>
          <w:bCs/>
        </w:rPr>
      </w:pPr>
      <w:r w:rsidRPr="004963EA">
        <w:rPr>
          <w:rFonts w:ascii="Arial" w:hAnsi="Arial" w:cs="Arial"/>
          <w:b/>
          <w:bCs/>
        </w:rPr>
        <w:t>Table 3. Regression result of baseline model (</w:t>
      </w:r>
      <w:proofErr w:type="spellStart"/>
      <w:r w:rsidRPr="004963EA">
        <w:rPr>
          <w:rFonts w:ascii="Arial" w:hAnsi="Arial" w:cs="Arial"/>
          <w:b/>
          <w:bCs/>
        </w:rPr>
        <w:t>lnTrade</w:t>
      </w:r>
      <w:proofErr w:type="spellEnd"/>
      <w:r w:rsidRPr="004963EA">
        <w:rPr>
          <w:rFonts w:ascii="Arial" w:hAnsi="Arial" w:cs="Arial"/>
          <w:b/>
          <w:bCs/>
        </w:rPr>
        <w:t>)</w:t>
      </w:r>
    </w:p>
    <w:tbl>
      <w:tblPr>
        <w:tblW w:w="6390" w:type="dxa"/>
        <w:jc w:val="center"/>
        <w:tblLook w:val="04A0" w:firstRow="1" w:lastRow="0" w:firstColumn="1" w:lastColumn="0" w:noHBand="0" w:noVBand="1"/>
      </w:tblPr>
      <w:tblGrid>
        <w:gridCol w:w="1866"/>
        <w:gridCol w:w="1261"/>
        <w:gridCol w:w="1740"/>
        <w:gridCol w:w="1530"/>
      </w:tblGrid>
      <w:tr w:rsidR="00D534E0" w:rsidRPr="004963EA" w14:paraId="723872AA" w14:textId="77777777" w:rsidTr="001E5E5A">
        <w:trPr>
          <w:trHeight w:val="288"/>
          <w:jc w:val="center"/>
        </w:trPr>
        <w:tc>
          <w:tcPr>
            <w:tcW w:w="3120" w:type="dxa"/>
            <w:gridSpan w:val="2"/>
            <w:tcBorders>
              <w:top w:val="single" w:sz="8" w:space="0" w:color="auto"/>
              <w:left w:val="nil"/>
              <w:bottom w:val="single" w:sz="4" w:space="0" w:color="auto"/>
              <w:right w:val="nil"/>
            </w:tcBorders>
            <w:noWrap/>
            <w:vAlign w:val="bottom"/>
            <w:hideMark/>
          </w:tcPr>
          <w:p w14:paraId="7C431116"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Regression Statistics</w:t>
            </w:r>
          </w:p>
        </w:tc>
        <w:tc>
          <w:tcPr>
            <w:tcW w:w="1740" w:type="dxa"/>
            <w:tcBorders>
              <w:top w:val="nil"/>
              <w:left w:val="nil"/>
              <w:bottom w:val="nil"/>
              <w:right w:val="nil"/>
            </w:tcBorders>
            <w:noWrap/>
            <w:vAlign w:val="bottom"/>
            <w:hideMark/>
          </w:tcPr>
          <w:p w14:paraId="33F37539" w14:textId="77777777" w:rsidR="00D534E0" w:rsidRPr="004963EA" w:rsidRDefault="00D534E0" w:rsidP="00D534E0">
            <w:pPr>
              <w:jc w:val="center"/>
              <w:rPr>
                <w:rFonts w:ascii="Arial" w:hAnsi="Arial" w:cs="Arial"/>
                <w:i/>
                <w:iCs/>
                <w:color w:val="000000"/>
                <w:lang w:eastAsia="en-IN" w:bidi="my-MM"/>
              </w:rPr>
            </w:pPr>
          </w:p>
        </w:tc>
        <w:tc>
          <w:tcPr>
            <w:tcW w:w="1530" w:type="dxa"/>
            <w:tcBorders>
              <w:top w:val="nil"/>
              <w:left w:val="nil"/>
              <w:bottom w:val="nil"/>
              <w:right w:val="nil"/>
            </w:tcBorders>
            <w:noWrap/>
            <w:vAlign w:val="bottom"/>
            <w:hideMark/>
          </w:tcPr>
          <w:p w14:paraId="1DE4EBD8" w14:textId="77777777" w:rsidR="00D534E0" w:rsidRPr="004963EA" w:rsidRDefault="00D534E0" w:rsidP="00D534E0">
            <w:pPr>
              <w:rPr>
                <w:rFonts w:ascii="Arial" w:hAnsi="Arial" w:cs="Arial"/>
                <w:lang w:eastAsia="en-IN" w:bidi="my-MM"/>
              </w:rPr>
            </w:pPr>
          </w:p>
        </w:tc>
      </w:tr>
      <w:tr w:rsidR="00D534E0" w:rsidRPr="004963EA" w14:paraId="37CCF9FC" w14:textId="77777777" w:rsidTr="001E5E5A">
        <w:trPr>
          <w:trHeight w:val="288"/>
          <w:jc w:val="center"/>
        </w:trPr>
        <w:tc>
          <w:tcPr>
            <w:tcW w:w="1866" w:type="dxa"/>
            <w:tcBorders>
              <w:top w:val="nil"/>
              <w:left w:val="nil"/>
              <w:bottom w:val="nil"/>
              <w:right w:val="nil"/>
            </w:tcBorders>
            <w:noWrap/>
            <w:vAlign w:val="bottom"/>
            <w:hideMark/>
          </w:tcPr>
          <w:p w14:paraId="7A93E29C"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Multiple R</w:t>
            </w:r>
          </w:p>
        </w:tc>
        <w:tc>
          <w:tcPr>
            <w:tcW w:w="1254" w:type="dxa"/>
            <w:tcBorders>
              <w:top w:val="nil"/>
              <w:left w:val="nil"/>
              <w:bottom w:val="nil"/>
              <w:right w:val="nil"/>
            </w:tcBorders>
            <w:noWrap/>
            <w:vAlign w:val="bottom"/>
            <w:hideMark/>
          </w:tcPr>
          <w:p w14:paraId="1669687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0.262</w:t>
            </w:r>
          </w:p>
        </w:tc>
        <w:tc>
          <w:tcPr>
            <w:tcW w:w="1740" w:type="dxa"/>
            <w:tcBorders>
              <w:top w:val="nil"/>
              <w:left w:val="nil"/>
              <w:bottom w:val="nil"/>
              <w:right w:val="nil"/>
            </w:tcBorders>
            <w:noWrap/>
            <w:vAlign w:val="bottom"/>
            <w:hideMark/>
          </w:tcPr>
          <w:p w14:paraId="64D894EF"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3D68584" w14:textId="77777777" w:rsidR="00D534E0" w:rsidRPr="004963EA" w:rsidRDefault="00D534E0" w:rsidP="00D534E0">
            <w:pPr>
              <w:rPr>
                <w:rFonts w:ascii="Arial" w:hAnsi="Arial" w:cs="Arial"/>
                <w:lang w:eastAsia="en-IN" w:bidi="my-MM"/>
              </w:rPr>
            </w:pPr>
          </w:p>
        </w:tc>
      </w:tr>
      <w:tr w:rsidR="00D534E0" w:rsidRPr="004963EA" w14:paraId="3FB8E5F5" w14:textId="77777777" w:rsidTr="001E5E5A">
        <w:trPr>
          <w:trHeight w:val="288"/>
          <w:jc w:val="center"/>
        </w:trPr>
        <w:tc>
          <w:tcPr>
            <w:tcW w:w="1866" w:type="dxa"/>
            <w:tcBorders>
              <w:top w:val="nil"/>
              <w:left w:val="nil"/>
              <w:bottom w:val="nil"/>
              <w:right w:val="nil"/>
            </w:tcBorders>
            <w:noWrap/>
            <w:vAlign w:val="bottom"/>
            <w:hideMark/>
          </w:tcPr>
          <w:p w14:paraId="4D9F1B01"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R Square</w:t>
            </w:r>
          </w:p>
        </w:tc>
        <w:tc>
          <w:tcPr>
            <w:tcW w:w="1254" w:type="dxa"/>
            <w:tcBorders>
              <w:top w:val="nil"/>
              <w:left w:val="nil"/>
              <w:bottom w:val="nil"/>
              <w:right w:val="nil"/>
            </w:tcBorders>
            <w:noWrap/>
            <w:vAlign w:val="bottom"/>
            <w:hideMark/>
          </w:tcPr>
          <w:p w14:paraId="6BDBC2C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0.068</w:t>
            </w:r>
          </w:p>
        </w:tc>
        <w:tc>
          <w:tcPr>
            <w:tcW w:w="1740" w:type="dxa"/>
            <w:tcBorders>
              <w:top w:val="nil"/>
              <w:left w:val="nil"/>
              <w:bottom w:val="nil"/>
              <w:right w:val="nil"/>
            </w:tcBorders>
            <w:noWrap/>
            <w:vAlign w:val="bottom"/>
            <w:hideMark/>
          </w:tcPr>
          <w:p w14:paraId="68CBA507"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786F6DA" w14:textId="77777777" w:rsidR="00D534E0" w:rsidRPr="004963EA" w:rsidRDefault="00D534E0" w:rsidP="00D534E0">
            <w:pPr>
              <w:rPr>
                <w:rFonts w:ascii="Arial" w:hAnsi="Arial" w:cs="Arial"/>
                <w:lang w:eastAsia="en-IN" w:bidi="my-MM"/>
              </w:rPr>
            </w:pPr>
          </w:p>
        </w:tc>
      </w:tr>
      <w:tr w:rsidR="00D534E0" w:rsidRPr="004963EA" w14:paraId="42F2F1B0" w14:textId="77777777" w:rsidTr="001E5E5A">
        <w:trPr>
          <w:trHeight w:val="288"/>
          <w:jc w:val="center"/>
        </w:trPr>
        <w:tc>
          <w:tcPr>
            <w:tcW w:w="1866" w:type="dxa"/>
            <w:tcBorders>
              <w:top w:val="nil"/>
              <w:left w:val="nil"/>
              <w:bottom w:val="nil"/>
              <w:right w:val="nil"/>
            </w:tcBorders>
            <w:noWrap/>
            <w:vAlign w:val="bottom"/>
            <w:hideMark/>
          </w:tcPr>
          <w:p w14:paraId="335ABCE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Adjusted R Square</w:t>
            </w:r>
          </w:p>
        </w:tc>
        <w:tc>
          <w:tcPr>
            <w:tcW w:w="1254" w:type="dxa"/>
            <w:tcBorders>
              <w:top w:val="nil"/>
              <w:left w:val="nil"/>
              <w:bottom w:val="nil"/>
              <w:right w:val="nil"/>
            </w:tcBorders>
            <w:noWrap/>
            <w:vAlign w:val="bottom"/>
            <w:hideMark/>
          </w:tcPr>
          <w:p w14:paraId="3B0D95A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0.021</w:t>
            </w:r>
          </w:p>
        </w:tc>
        <w:tc>
          <w:tcPr>
            <w:tcW w:w="1740" w:type="dxa"/>
            <w:tcBorders>
              <w:top w:val="nil"/>
              <w:left w:val="nil"/>
              <w:bottom w:val="nil"/>
              <w:right w:val="nil"/>
            </w:tcBorders>
            <w:noWrap/>
            <w:vAlign w:val="bottom"/>
            <w:hideMark/>
          </w:tcPr>
          <w:p w14:paraId="1333EAB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49BF1770" w14:textId="77777777" w:rsidR="00D534E0" w:rsidRPr="004963EA" w:rsidRDefault="00D534E0" w:rsidP="00D534E0">
            <w:pPr>
              <w:rPr>
                <w:rFonts w:ascii="Arial" w:hAnsi="Arial" w:cs="Arial"/>
                <w:lang w:eastAsia="en-IN" w:bidi="my-MM"/>
              </w:rPr>
            </w:pPr>
          </w:p>
        </w:tc>
      </w:tr>
      <w:tr w:rsidR="00D534E0" w:rsidRPr="004963EA" w14:paraId="226AEDA9" w14:textId="77777777" w:rsidTr="001E5E5A">
        <w:trPr>
          <w:trHeight w:val="288"/>
          <w:jc w:val="center"/>
        </w:trPr>
        <w:tc>
          <w:tcPr>
            <w:tcW w:w="1866" w:type="dxa"/>
            <w:tcBorders>
              <w:top w:val="nil"/>
              <w:left w:val="nil"/>
              <w:bottom w:val="nil"/>
              <w:right w:val="nil"/>
            </w:tcBorders>
            <w:noWrap/>
            <w:vAlign w:val="bottom"/>
            <w:hideMark/>
          </w:tcPr>
          <w:p w14:paraId="7D2ECA2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1254" w:type="dxa"/>
            <w:tcBorders>
              <w:top w:val="nil"/>
              <w:left w:val="nil"/>
              <w:bottom w:val="nil"/>
              <w:right w:val="nil"/>
            </w:tcBorders>
            <w:noWrap/>
            <w:vAlign w:val="bottom"/>
            <w:hideMark/>
          </w:tcPr>
          <w:p w14:paraId="070DEC2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0.933</w:t>
            </w:r>
          </w:p>
        </w:tc>
        <w:tc>
          <w:tcPr>
            <w:tcW w:w="1740" w:type="dxa"/>
            <w:tcBorders>
              <w:top w:val="nil"/>
              <w:left w:val="nil"/>
              <w:bottom w:val="nil"/>
              <w:right w:val="nil"/>
            </w:tcBorders>
            <w:noWrap/>
            <w:vAlign w:val="bottom"/>
            <w:hideMark/>
          </w:tcPr>
          <w:p w14:paraId="3C292746"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11D48E7C" w14:textId="77777777" w:rsidR="00D534E0" w:rsidRPr="004963EA" w:rsidRDefault="00D534E0" w:rsidP="00D534E0">
            <w:pPr>
              <w:rPr>
                <w:rFonts w:ascii="Arial" w:hAnsi="Arial" w:cs="Arial"/>
                <w:lang w:eastAsia="en-IN" w:bidi="my-MM"/>
              </w:rPr>
            </w:pPr>
          </w:p>
        </w:tc>
      </w:tr>
      <w:tr w:rsidR="00D534E0" w:rsidRPr="004963EA" w14:paraId="09C1940E" w14:textId="77777777" w:rsidTr="001E5E5A">
        <w:trPr>
          <w:trHeight w:val="300"/>
          <w:jc w:val="center"/>
        </w:trPr>
        <w:tc>
          <w:tcPr>
            <w:tcW w:w="1866" w:type="dxa"/>
            <w:tcBorders>
              <w:top w:val="nil"/>
              <w:left w:val="nil"/>
              <w:bottom w:val="single" w:sz="8" w:space="0" w:color="auto"/>
              <w:right w:val="nil"/>
            </w:tcBorders>
            <w:noWrap/>
            <w:vAlign w:val="bottom"/>
            <w:hideMark/>
          </w:tcPr>
          <w:p w14:paraId="7B2C323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Observations</w:t>
            </w:r>
          </w:p>
        </w:tc>
        <w:tc>
          <w:tcPr>
            <w:tcW w:w="1254" w:type="dxa"/>
            <w:tcBorders>
              <w:top w:val="nil"/>
              <w:left w:val="nil"/>
              <w:bottom w:val="single" w:sz="8" w:space="0" w:color="auto"/>
              <w:right w:val="nil"/>
            </w:tcBorders>
            <w:noWrap/>
            <w:vAlign w:val="bottom"/>
            <w:hideMark/>
          </w:tcPr>
          <w:p w14:paraId="698FBFF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740" w:type="dxa"/>
            <w:tcBorders>
              <w:top w:val="nil"/>
              <w:left w:val="nil"/>
              <w:bottom w:val="nil"/>
              <w:right w:val="nil"/>
            </w:tcBorders>
            <w:noWrap/>
            <w:vAlign w:val="bottom"/>
            <w:hideMark/>
          </w:tcPr>
          <w:p w14:paraId="4AC58D4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17C8B482" w14:textId="77777777" w:rsidR="00D534E0" w:rsidRPr="004963EA" w:rsidRDefault="00D534E0" w:rsidP="00D534E0">
            <w:pPr>
              <w:rPr>
                <w:rFonts w:ascii="Arial" w:hAnsi="Arial" w:cs="Arial"/>
                <w:lang w:eastAsia="en-IN" w:bidi="my-MM"/>
              </w:rPr>
            </w:pPr>
          </w:p>
        </w:tc>
      </w:tr>
      <w:tr w:rsidR="00D534E0" w:rsidRPr="004963EA" w14:paraId="0ED5A9F7" w14:textId="77777777" w:rsidTr="001E5E5A">
        <w:trPr>
          <w:trHeight w:val="300"/>
          <w:jc w:val="center"/>
        </w:trPr>
        <w:tc>
          <w:tcPr>
            <w:tcW w:w="1866" w:type="dxa"/>
            <w:tcBorders>
              <w:top w:val="nil"/>
              <w:left w:val="nil"/>
              <w:bottom w:val="nil"/>
              <w:right w:val="nil"/>
            </w:tcBorders>
            <w:noWrap/>
            <w:vAlign w:val="bottom"/>
            <w:hideMark/>
          </w:tcPr>
          <w:p w14:paraId="625992BC" w14:textId="77777777" w:rsidR="00D534E0" w:rsidRPr="004963EA" w:rsidRDefault="00D534E0" w:rsidP="00D534E0">
            <w:pPr>
              <w:rPr>
                <w:rFonts w:ascii="Arial" w:hAnsi="Arial" w:cs="Arial"/>
                <w:lang w:eastAsia="en-IN" w:bidi="my-MM"/>
              </w:rPr>
            </w:pPr>
          </w:p>
        </w:tc>
        <w:tc>
          <w:tcPr>
            <w:tcW w:w="1254" w:type="dxa"/>
            <w:tcBorders>
              <w:top w:val="nil"/>
              <w:left w:val="nil"/>
              <w:bottom w:val="nil"/>
              <w:right w:val="nil"/>
            </w:tcBorders>
            <w:noWrap/>
            <w:vAlign w:val="bottom"/>
            <w:hideMark/>
          </w:tcPr>
          <w:p w14:paraId="215F123C" w14:textId="77777777" w:rsidR="00D534E0" w:rsidRPr="004963EA" w:rsidRDefault="00D534E0" w:rsidP="00D534E0">
            <w:pPr>
              <w:rPr>
                <w:rFonts w:ascii="Arial" w:hAnsi="Arial" w:cs="Arial"/>
                <w:lang w:eastAsia="en-IN" w:bidi="my-MM"/>
              </w:rPr>
            </w:pPr>
          </w:p>
        </w:tc>
        <w:tc>
          <w:tcPr>
            <w:tcW w:w="1740" w:type="dxa"/>
            <w:tcBorders>
              <w:top w:val="nil"/>
              <w:left w:val="nil"/>
              <w:bottom w:val="nil"/>
              <w:right w:val="nil"/>
            </w:tcBorders>
            <w:noWrap/>
            <w:vAlign w:val="bottom"/>
            <w:hideMark/>
          </w:tcPr>
          <w:p w14:paraId="574B5CC4" w14:textId="77777777" w:rsidR="00D534E0" w:rsidRPr="004963EA" w:rsidRDefault="00D534E0" w:rsidP="00D534E0">
            <w:pPr>
              <w:rPr>
                <w:rFonts w:ascii="Arial" w:hAnsi="Arial" w:cs="Arial"/>
                <w:lang w:eastAsia="en-IN" w:bidi="my-MM"/>
              </w:rPr>
            </w:pPr>
          </w:p>
        </w:tc>
        <w:tc>
          <w:tcPr>
            <w:tcW w:w="1530" w:type="dxa"/>
            <w:tcBorders>
              <w:top w:val="nil"/>
              <w:left w:val="nil"/>
              <w:bottom w:val="nil"/>
              <w:right w:val="nil"/>
            </w:tcBorders>
            <w:noWrap/>
            <w:vAlign w:val="bottom"/>
            <w:hideMark/>
          </w:tcPr>
          <w:p w14:paraId="0132A44C" w14:textId="77777777" w:rsidR="00D534E0" w:rsidRPr="004963EA" w:rsidRDefault="00D534E0" w:rsidP="00D534E0">
            <w:pPr>
              <w:rPr>
                <w:rFonts w:ascii="Arial" w:hAnsi="Arial" w:cs="Arial"/>
                <w:lang w:eastAsia="en-IN" w:bidi="my-MM"/>
              </w:rPr>
            </w:pPr>
          </w:p>
        </w:tc>
      </w:tr>
      <w:tr w:rsidR="00D534E0" w:rsidRPr="004963EA" w14:paraId="26E476F5" w14:textId="77777777" w:rsidTr="001E5E5A">
        <w:trPr>
          <w:trHeight w:val="300"/>
          <w:jc w:val="center"/>
        </w:trPr>
        <w:tc>
          <w:tcPr>
            <w:tcW w:w="1866" w:type="dxa"/>
            <w:tcBorders>
              <w:top w:val="single" w:sz="8" w:space="0" w:color="auto"/>
              <w:left w:val="nil"/>
              <w:bottom w:val="single" w:sz="4" w:space="0" w:color="auto"/>
              <w:right w:val="nil"/>
            </w:tcBorders>
            <w:noWrap/>
            <w:vAlign w:val="bottom"/>
            <w:hideMark/>
          </w:tcPr>
          <w:p w14:paraId="35E61E9B"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variable</w:t>
            </w:r>
          </w:p>
        </w:tc>
        <w:tc>
          <w:tcPr>
            <w:tcW w:w="1254" w:type="dxa"/>
            <w:tcBorders>
              <w:top w:val="single" w:sz="8" w:space="0" w:color="auto"/>
              <w:left w:val="nil"/>
              <w:bottom w:val="single" w:sz="4" w:space="0" w:color="auto"/>
              <w:right w:val="nil"/>
            </w:tcBorders>
            <w:noWrap/>
            <w:vAlign w:val="bottom"/>
            <w:hideMark/>
          </w:tcPr>
          <w:p w14:paraId="5830F64A"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Coefficients</w:t>
            </w:r>
          </w:p>
        </w:tc>
        <w:tc>
          <w:tcPr>
            <w:tcW w:w="1740" w:type="dxa"/>
            <w:tcBorders>
              <w:top w:val="single" w:sz="8" w:space="0" w:color="auto"/>
              <w:left w:val="nil"/>
              <w:bottom w:val="single" w:sz="4" w:space="0" w:color="auto"/>
              <w:right w:val="nil"/>
            </w:tcBorders>
            <w:noWrap/>
            <w:vAlign w:val="bottom"/>
            <w:hideMark/>
          </w:tcPr>
          <w:p w14:paraId="69654C19"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Standard Error</w:t>
            </w:r>
          </w:p>
        </w:tc>
        <w:tc>
          <w:tcPr>
            <w:tcW w:w="1530" w:type="dxa"/>
            <w:tcBorders>
              <w:top w:val="single" w:sz="8" w:space="0" w:color="auto"/>
              <w:left w:val="nil"/>
              <w:bottom w:val="single" w:sz="4" w:space="0" w:color="auto"/>
              <w:right w:val="nil"/>
            </w:tcBorders>
            <w:noWrap/>
            <w:vAlign w:val="bottom"/>
            <w:hideMark/>
          </w:tcPr>
          <w:p w14:paraId="6E254567"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P-value</w:t>
            </w:r>
          </w:p>
        </w:tc>
      </w:tr>
      <w:tr w:rsidR="00D534E0" w:rsidRPr="004963EA" w14:paraId="0A27C404" w14:textId="77777777" w:rsidTr="001E5E5A">
        <w:trPr>
          <w:trHeight w:val="288"/>
          <w:jc w:val="center"/>
        </w:trPr>
        <w:tc>
          <w:tcPr>
            <w:tcW w:w="1866" w:type="dxa"/>
            <w:tcBorders>
              <w:top w:val="nil"/>
              <w:left w:val="nil"/>
              <w:bottom w:val="nil"/>
              <w:right w:val="nil"/>
            </w:tcBorders>
            <w:noWrap/>
            <w:vAlign w:val="bottom"/>
            <w:hideMark/>
          </w:tcPr>
          <w:p w14:paraId="25B4564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1254" w:type="dxa"/>
            <w:tcBorders>
              <w:top w:val="nil"/>
              <w:left w:val="nil"/>
              <w:bottom w:val="nil"/>
              <w:right w:val="nil"/>
            </w:tcBorders>
            <w:noWrap/>
            <w:vAlign w:val="bottom"/>
            <w:hideMark/>
          </w:tcPr>
          <w:p w14:paraId="125E509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6.579</w:t>
            </w:r>
          </w:p>
        </w:tc>
        <w:tc>
          <w:tcPr>
            <w:tcW w:w="1740" w:type="dxa"/>
            <w:tcBorders>
              <w:top w:val="nil"/>
              <w:left w:val="nil"/>
              <w:bottom w:val="nil"/>
              <w:right w:val="nil"/>
            </w:tcBorders>
            <w:noWrap/>
            <w:vAlign w:val="bottom"/>
            <w:hideMark/>
          </w:tcPr>
          <w:p w14:paraId="4745605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1.769</w:t>
            </w:r>
          </w:p>
        </w:tc>
        <w:tc>
          <w:tcPr>
            <w:tcW w:w="1530" w:type="dxa"/>
            <w:tcBorders>
              <w:top w:val="nil"/>
              <w:left w:val="nil"/>
              <w:bottom w:val="nil"/>
              <w:right w:val="nil"/>
            </w:tcBorders>
            <w:noWrap/>
            <w:vAlign w:val="bottom"/>
            <w:hideMark/>
          </w:tcPr>
          <w:p w14:paraId="4B8D6350" w14:textId="3DFE4412"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r w:rsidR="00D534E0" w:rsidRPr="004963EA" w14:paraId="44B2B849" w14:textId="77777777" w:rsidTr="001E5E5A">
        <w:trPr>
          <w:trHeight w:val="288"/>
          <w:jc w:val="center"/>
        </w:trPr>
        <w:tc>
          <w:tcPr>
            <w:tcW w:w="1866" w:type="dxa"/>
            <w:tcBorders>
              <w:top w:val="nil"/>
              <w:left w:val="nil"/>
              <w:bottom w:val="nil"/>
              <w:right w:val="nil"/>
            </w:tcBorders>
            <w:noWrap/>
            <w:vAlign w:val="bottom"/>
            <w:hideMark/>
          </w:tcPr>
          <w:p w14:paraId="329779A9"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1254" w:type="dxa"/>
            <w:tcBorders>
              <w:top w:val="nil"/>
              <w:left w:val="nil"/>
              <w:bottom w:val="nil"/>
              <w:right w:val="nil"/>
            </w:tcBorders>
            <w:noWrap/>
            <w:vAlign w:val="bottom"/>
            <w:hideMark/>
          </w:tcPr>
          <w:p w14:paraId="782328A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0.018</w:t>
            </w:r>
          </w:p>
        </w:tc>
        <w:tc>
          <w:tcPr>
            <w:tcW w:w="1740" w:type="dxa"/>
            <w:tcBorders>
              <w:top w:val="nil"/>
              <w:left w:val="nil"/>
              <w:bottom w:val="nil"/>
              <w:right w:val="nil"/>
            </w:tcBorders>
            <w:noWrap/>
            <w:vAlign w:val="bottom"/>
            <w:hideMark/>
          </w:tcPr>
          <w:p w14:paraId="77DC5E5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0.036</w:t>
            </w:r>
          </w:p>
        </w:tc>
        <w:tc>
          <w:tcPr>
            <w:tcW w:w="1530" w:type="dxa"/>
            <w:tcBorders>
              <w:top w:val="nil"/>
              <w:left w:val="nil"/>
              <w:bottom w:val="nil"/>
              <w:right w:val="nil"/>
            </w:tcBorders>
            <w:noWrap/>
            <w:vAlign w:val="bottom"/>
            <w:hideMark/>
          </w:tcPr>
          <w:p w14:paraId="5C1C4C94" w14:textId="5E863669"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.61</w:t>
            </w:r>
          </w:p>
        </w:tc>
      </w:tr>
      <w:tr w:rsidR="00D534E0" w:rsidRPr="004963EA" w14:paraId="437D61AE" w14:textId="77777777" w:rsidTr="001E5E5A">
        <w:trPr>
          <w:trHeight w:val="288"/>
          <w:jc w:val="center"/>
        </w:trPr>
        <w:tc>
          <w:tcPr>
            <w:tcW w:w="1866" w:type="dxa"/>
            <w:tcBorders>
              <w:top w:val="nil"/>
              <w:left w:val="nil"/>
              <w:bottom w:val="nil"/>
              <w:right w:val="nil"/>
            </w:tcBorders>
            <w:noWrap/>
            <w:vAlign w:val="bottom"/>
            <w:hideMark/>
          </w:tcPr>
          <w:p w14:paraId="17549F4A"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1254" w:type="dxa"/>
            <w:tcBorders>
              <w:top w:val="nil"/>
              <w:left w:val="nil"/>
              <w:bottom w:val="nil"/>
              <w:right w:val="nil"/>
            </w:tcBorders>
            <w:noWrap/>
            <w:vAlign w:val="bottom"/>
            <w:hideMark/>
          </w:tcPr>
          <w:p w14:paraId="246F9A6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-0.008</w:t>
            </w:r>
          </w:p>
        </w:tc>
        <w:tc>
          <w:tcPr>
            <w:tcW w:w="1740" w:type="dxa"/>
            <w:tcBorders>
              <w:top w:val="nil"/>
              <w:left w:val="nil"/>
              <w:bottom w:val="nil"/>
              <w:right w:val="nil"/>
            </w:tcBorders>
            <w:noWrap/>
            <w:vAlign w:val="bottom"/>
            <w:hideMark/>
          </w:tcPr>
          <w:p w14:paraId="6882FD9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0.040</w:t>
            </w:r>
          </w:p>
        </w:tc>
        <w:tc>
          <w:tcPr>
            <w:tcW w:w="1530" w:type="dxa"/>
            <w:tcBorders>
              <w:top w:val="nil"/>
              <w:left w:val="nil"/>
              <w:bottom w:val="nil"/>
              <w:right w:val="nil"/>
            </w:tcBorders>
            <w:noWrap/>
            <w:vAlign w:val="bottom"/>
            <w:hideMark/>
          </w:tcPr>
          <w:p w14:paraId="04476F16" w14:textId="76659A8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r>
      <w:tr w:rsidR="00D534E0" w:rsidRPr="004963EA" w14:paraId="4F987C1B" w14:textId="77777777" w:rsidTr="001E5E5A">
        <w:trPr>
          <w:trHeight w:val="300"/>
          <w:jc w:val="center"/>
        </w:trPr>
        <w:tc>
          <w:tcPr>
            <w:tcW w:w="1866" w:type="dxa"/>
            <w:tcBorders>
              <w:top w:val="nil"/>
              <w:left w:val="nil"/>
              <w:right w:val="nil"/>
            </w:tcBorders>
            <w:noWrap/>
            <w:vAlign w:val="bottom"/>
            <w:hideMark/>
          </w:tcPr>
          <w:p w14:paraId="3C191D0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1254" w:type="dxa"/>
            <w:tcBorders>
              <w:top w:val="nil"/>
              <w:left w:val="nil"/>
              <w:right w:val="nil"/>
            </w:tcBorders>
            <w:noWrap/>
            <w:vAlign w:val="bottom"/>
            <w:hideMark/>
          </w:tcPr>
          <w:p w14:paraId="2A7ADCE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0.480</w:t>
            </w:r>
          </w:p>
        </w:tc>
        <w:tc>
          <w:tcPr>
            <w:tcW w:w="1740" w:type="dxa"/>
            <w:tcBorders>
              <w:top w:val="nil"/>
              <w:left w:val="nil"/>
              <w:right w:val="nil"/>
            </w:tcBorders>
            <w:noWrap/>
            <w:vAlign w:val="bottom"/>
            <w:hideMark/>
          </w:tcPr>
          <w:p w14:paraId="4679311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0.251</w:t>
            </w:r>
          </w:p>
        </w:tc>
        <w:tc>
          <w:tcPr>
            <w:tcW w:w="1530" w:type="dxa"/>
            <w:tcBorders>
              <w:top w:val="nil"/>
              <w:left w:val="nil"/>
              <w:right w:val="nil"/>
            </w:tcBorders>
            <w:noWrap/>
            <w:vAlign w:val="bottom"/>
            <w:hideMark/>
          </w:tcPr>
          <w:p w14:paraId="325DB293" w14:textId="1FB96160"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w:t>
            </w:r>
          </w:p>
        </w:tc>
      </w:tr>
      <w:tr w:rsidR="00D534E0" w:rsidRPr="004963EA" w14:paraId="55499A4D" w14:textId="77777777" w:rsidTr="001E5E5A">
        <w:trPr>
          <w:trHeight w:val="300"/>
          <w:jc w:val="center"/>
        </w:trPr>
        <w:tc>
          <w:tcPr>
            <w:tcW w:w="1866" w:type="dxa"/>
            <w:tcBorders>
              <w:top w:val="nil"/>
              <w:left w:val="nil"/>
              <w:bottom w:val="single" w:sz="4" w:space="0" w:color="auto"/>
              <w:right w:val="nil"/>
            </w:tcBorders>
            <w:noWrap/>
            <w:vAlign w:val="bottom"/>
            <w:hideMark/>
          </w:tcPr>
          <w:p w14:paraId="27DDF552"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1254" w:type="dxa"/>
            <w:tcBorders>
              <w:top w:val="nil"/>
              <w:left w:val="nil"/>
              <w:bottom w:val="single" w:sz="4" w:space="0" w:color="auto"/>
              <w:right w:val="nil"/>
            </w:tcBorders>
            <w:noWrap/>
            <w:vAlign w:val="bottom"/>
            <w:hideMark/>
          </w:tcPr>
          <w:p w14:paraId="091918A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-0.460</w:t>
            </w:r>
          </w:p>
        </w:tc>
        <w:tc>
          <w:tcPr>
            <w:tcW w:w="1740" w:type="dxa"/>
            <w:tcBorders>
              <w:top w:val="nil"/>
              <w:left w:val="nil"/>
              <w:bottom w:val="single" w:sz="4" w:space="0" w:color="auto"/>
              <w:right w:val="nil"/>
            </w:tcBorders>
            <w:noWrap/>
            <w:vAlign w:val="bottom"/>
            <w:hideMark/>
          </w:tcPr>
          <w:p w14:paraId="22D31AD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0.287</w:t>
            </w:r>
          </w:p>
        </w:tc>
        <w:tc>
          <w:tcPr>
            <w:tcW w:w="1530" w:type="dxa"/>
            <w:tcBorders>
              <w:top w:val="nil"/>
              <w:left w:val="nil"/>
              <w:bottom w:val="single" w:sz="4" w:space="0" w:color="auto"/>
              <w:right w:val="nil"/>
            </w:tcBorders>
            <w:noWrap/>
            <w:vAlign w:val="bottom"/>
            <w:hideMark/>
          </w:tcPr>
          <w:p w14:paraId="17B9FDC8" w14:textId="1A2D12F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.11</w:t>
            </w:r>
          </w:p>
        </w:tc>
      </w:tr>
    </w:tbl>
    <w:p w14:paraId="03B1621B" w14:textId="77777777" w:rsidR="00D534E0" w:rsidRPr="004963EA" w:rsidRDefault="00D534E0" w:rsidP="00D534E0">
      <w:pPr>
        <w:jc w:val="both"/>
        <w:rPr>
          <w:rFonts w:ascii="Arial" w:hAnsi="Arial" w:cs="Arial"/>
          <w:color w:val="000000"/>
        </w:rPr>
      </w:pPr>
      <w:r w:rsidRPr="004963EA">
        <w:rPr>
          <w:rFonts w:ascii="Arial" w:hAnsi="Arial" w:cs="Arial"/>
          <w:i/>
          <w:iCs/>
          <w:color w:val="000000"/>
          <w:lang w:eastAsia="en-IN" w:bidi="my-MM"/>
        </w:rPr>
        <w:t>Source: Author’s calculation based on secondary data</w:t>
      </w:r>
    </w:p>
    <w:p w14:paraId="470D4906" w14:textId="77777777" w:rsidR="00D534E0" w:rsidRPr="004963EA" w:rsidRDefault="00D534E0" w:rsidP="00D534E0">
      <w:pPr>
        <w:rPr>
          <w:rFonts w:ascii="Arial" w:hAnsi="Arial" w:cs="Arial"/>
          <w:b/>
          <w:bCs/>
        </w:rPr>
      </w:pPr>
    </w:p>
    <w:p w14:paraId="63B75341" w14:textId="787D705C" w:rsidR="00D534E0" w:rsidRPr="004963EA" w:rsidRDefault="00307F69" w:rsidP="00D534E0">
      <w:pPr>
        <w:rPr>
          <w:rFonts w:ascii="Arial" w:hAnsi="Arial" w:cs="Arial"/>
          <w:b/>
          <w:bCs/>
          <w:u w:val="single"/>
        </w:rPr>
      </w:pPr>
      <w:r w:rsidRPr="004963EA">
        <w:rPr>
          <w:rFonts w:ascii="Arial" w:hAnsi="Arial" w:cs="Arial"/>
          <w:b/>
          <w:bCs/>
          <w:u w:val="single"/>
        </w:rPr>
        <w:t xml:space="preserve">3.1.2 </w:t>
      </w:r>
      <w:r w:rsidR="00D534E0" w:rsidRPr="004963EA">
        <w:rPr>
          <w:rFonts w:ascii="Arial" w:hAnsi="Arial" w:cs="Arial"/>
          <w:b/>
          <w:bCs/>
          <w:u w:val="single"/>
        </w:rPr>
        <w:t>Exports vs Imports</w:t>
      </w:r>
    </w:p>
    <w:p w14:paraId="0B01C9EB" w14:textId="77777777" w:rsidR="00D534E0" w:rsidRPr="004963EA" w:rsidRDefault="00D534E0" w:rsidP="00D534E0">
      <w:pPr>
        <w:jc w:val="both"/>
        <w:rPr>
          <w:rFonts w:ascii="Arial" w:hAnsi="Arial" w:cs="Arial"/>
          <w:b/>
          <w:bCs/>
        </w:rPr>
      </w:pPr>
      <w:r w:rsidRPr="004963EA">
        <w:rPr>
          <w:rFonts w:ascii="Arial" w:hAnsi="Arial" w:cs="Arial"/>
          <w:b/>
          <w:bCs/>
        </w:rPr>
        <w:t>Table 4. Regression result of exports</w:t>
      </w:r>
    </w:p>
    <w:tbl>
      <w:tblPr>
        <w:tblW w:w="6300" w:type="dxa"/>
        <w:jc w:val="center"/>
        <w:tblLook w:val="04A0" w:firstRow="1" w:lastRow="0" w:firstColumn="1" w:lastColumn="0" w:noHBand="0" w:noVBand="1"/>
      </w:tblPr>
      <w:tblGrid>
        <w:gridCol w:w="1927"/>
        <w:gridCol w:w="1261"/>
        <w:gridCol w:w="1859"/>
        <w:gridCol w:w="1260"/>
      </w:tblGrid>
      <w:tr w:rsidR="00D534E0" w:rsidRPr="004963EA" w14:paraId="2F022EDC" w14:textId="77777777" w:rsidTr="001E5E5A">
        <w:trPr>
          <w:trHeight w:val="288"/>
          <w:jc w:val="center"/>
        </w:trPr>
        <w:tc>
          <w:tcPr>
            <w:tcW w:w="3181" w:type="dxa"/>
            <w:gridSpan w:val="2"/>
            <w:tcBorders>
              <w:top w:val="single" w:sz="8" w:space="0" w:color="auto"/>
              <w:left w:val="nil"/>
              <w:bottom w:val="single" w:sz="4" w:space="0" w:color="auto"/>
              <w:right w:val="nil"/>
            </w:tcBorders>
            <w:noWrap/>
            <w:vAlign w:val="bottom"/>
            <w:hideMark/>
          </w:tcPr>
          <w:p w14:paraId="5EAC0606"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Regression Statistics</w:t>
            </w:r>
          </w:p>
        </w:tc>
        <w:tc>
          <w:tcPr>
            <w:tcW w:w="1859" w:type="dxa"/>
            <w:tcBorders>
              <w:top w:val="nil"/>
              <w:left w:val="nil"/>
              <w:bottom w:val="nil"/>
              <w:right w:val="nil"/>
            </w:tcBorders>
            <w:noWrap/>
            <w:vAlign w:val="bottom"/>
            <w:hideMark/>
          </w:tcPr>
          <w:p w14:paraId="0870033A" w14:textId="77777777" w:rsidR="00D534E0" w:rsidRPr="004963EA" w:rsidRDefault="00D534E0" w:rsidP="00D534E0">
            <w:pPr>
              <w:jc w:val="center"/>
              <w:rPr>
                <w:rFonts w:ascii="Arial" w:hAnsi="Arial" w:cs="Arial"/>
                <w:i/>
                <w:iCs/>
                <w:color w:val="000000"/>
                <w:lang w:eastAsia="en-IN" w:bidi="my-MM"/>
              </w:rPr>
            </w:pPr>
          </w:p>
        </w:tc>
        <w:tc>
          <w:tcPr>
            <w:tcW w:w="1260" w:type="dxa"/>
            <w:tcBorders>
              <w:top w:val="nil"/>
              <w:left w:val="nil"/>
              <w:bottom w:val="nil"/>
              <w:right w:val="nil"/>
            </w:tcBorders>
            <w:noWrap/>
            <w:vAlign w:val="bottom"/>
            <w:hideMark/>
          </w:tcPr>
          <w:p w14:paraId="4C3882E3" w14:textId="77777777" w:rsidR="00D534E0" w:rsidRPr="004963EA" w:rsidRDefault="00D534E0" w:rsidP="00D534E0">
            <w:pPr>
              <w:rPr>
                <w:rFonts w:ascii="Arial" w:hAnsi="Arial" w:cs="Arial"/>
                <w:lang w:eastAsia="en-IN" w:bidi="my-MM"/>
              </w:rPr>
            </w:pPr>
          </w:p>
        </w:tc>
      </w:tr>
      <w:tr w:rsidR="00D534E0" w:rsidRPr="004963EA" w14:paraId="62D8E06D" w14:textId="77777777" w:rsidTr="001E5E5A">
        <w:trPr>
          <w:trHeight w:val="288"/>
          <w:jc w:val="center"/>
        </w:trPr>
        <w:tc>
          <w:tcPr>
            <w:tcW w:w="1927" w:type="dxa"/>
            <w:tcBorders>
              <w:top w:val="nil"/>
              <w:left w:val="nil"/>
              <w:bottom w:val="nil"/>
              <w:right w:val="nil"/>
            </w:tcBorders>
            <w:noWrap/>
            <w:vAlign w:val="bottom"/>
            <w:hideMark/>
          </w:tcPr>
          <w:p w14:paraId="01CC731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Multiple R</w:t>
            </w:r>
          </w:p>
        </w:tc>
        <w:tc>
          <w:tcPr>
            <w:tcW w:w="1254" w:type="dxa"/>
            <w:tcBorders>
              <w:top w:val="nil"/>
              <w:left w:val="nil"/>
              <w:bottom w:val="nil"/>
              <w:right w:val="nil"/>
            </w:tcBorders>
            <w:noWrap/>
            <w:vAlign w:val="bottom"/>
            <w:hideMark/>
          </w:tcPr>
          <w:p w14:paraId="1B67B93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0.356</w:t>
            </w:r>
          </w:p>
        </w:tc>
        <w:tc>
          <w:tcPr>
            <w:tcW w:w="1859" w:type="dxa"/>
            <w:tcBorders>
              <w:top w:val="nil"/>
              <w:left w:val="nil"/>
              <w:bottom w:val="nil"/>
              <w:right w:val="nil"/>
            </w:tcBorders>
            <w:noWrap/>
            <w:vAlign w:val="bottom"/>
            <w:hideMark/>
          </w:tcPr>
          <w:p w14:paraId="7538F228"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24AED973" w14:textId="77777777" w:rsidR="00D534E0" w:rsidRPr="004963EA" w:rsidRDefault="00D534E0" w:rsidP="00D534E0">
            <w:pPr>
              <w:rPr>
                <w:rFonts w:ascii="Arial" w:hAnsi="Arial" w:cs="Arial"/>
                <w:lang w:eastAsia="en-IN" w:bidi="my-MM"/>
              </w:rPr>
            </w:pPr>
          </w:p>
        </w:tc>
      </w:tr>
      <w:tr w:rsidR="00D534E0" w:rsidRPr="004963EA" w14:paraId="4B89A600" w14:textId="77777777" w:rsidTr="001E5E5A">
        <w:trPr>
          <w:trHeight w:val="288"/>
          <w:jc w:val="center"/>
        </w:trPr>
        <w:tc>
          <w:tcPr>
            <w:tcW w:w="1927" w:type="dxa"/>
            <w:tcBorders>
              <w:top w:val="nil"/>
              <w:left w:val="nil"/>
              <w:bottom w:val="nil"/>
              <w:right w:val="nil"/>
            </w:tcBorders>
            <w:noWrap/>
            <w:vAlign w:val="bottom"/>
            <w:hideMark/>
          </w:tcPr>
          <w:p w14:paraId="352692A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R Square</w:t>
            </w:r>
          </w:p>
        </w:tc>
        <w:tc>
          <w:tcPr>
            <w:tcW w:w="1254" w:type="dxa"/>
            <w:tcBorders>
              <w:top w:val="nil"/>
              <w:left w:val="nil"/>
              <w:bottom w:val="nil"/>
              <w:right w:val="nil"/>
            </w:tcBorders>
            <w:noWrap/>
            <w:vAlign w:val="bottom"/>
            <w:hideMark/>
          </w:tcPr>
          <w:p w14:paraId="23D527C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0.126</w:t>
            </w:r>
          </w:p>
        </w:tc>
        <w:tc>
          <w:tcPr>
            <w:tcW w:w="1859" w:type="dxa"/>
            <w:tcBorders>
              <w:top w:val="nil"/>
              <w:left w:val="nil"/>
              <w:bottom w:val="nil"/>
              <w:right w:val="nil"/>
            </w:tcBorders>
            <w:noWrap/>
            <w:vAlign w:val="bottom"/>
            <w:hideMark/>
          </w:tcPr>
          <w:p w14:paraId="4364A51C"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071F0183" w14:textId="77777777" w:rsidR="00D534E0" w:rsidRPr="004963EA" w:rsidRDefault="00D534E0" w:rsidP="00D534E0">
            <w:pPr>
              <w:rPr>
                <w:rFonts w:ascii="Arial" w:hAnsi="Arial" w:cs="Arial"/>
                <w:lang w:eastAsia="en-IN" w:bidi="my-MM"/>
              </w:rPr>
            </w:pPr>
          </w:p>
        </w:tc>
      </w:tr>
      <w:tr w:rsidR="00D534E0" w:rsidRPr="004963EA" w14:paraId="3AD836CE" w14:textId="77777777" w:rsidTr="001E5E5A">
        <w:trPr>
          <w:trHeight w:val="288"/>
          <w:jc w:val="center"/>
        </w:trPr>
        <w:tc>
          <w:tcPr>
            <w:tcW w:w="1927" w:type="dxa"/>
            <w:tcBorders>
              <w:top w:val="nil"/>
              <w:left w:val="nil"/>
              <w:bottom w:val="nil"/>
              <w:right w:val="nil"/>
            </w:tcBorders>
            <w:noWrap/>
            <w:vAlign w:val="bottom"/>
            <w:hideMark/>
          </w:tcPr>
          <w:p w14:paraId="7AB23CA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Adjusted R Square</w:t>
            </w:r>
          </w:p>
        </w:tc>
        <w:tc>
          <w:tcPr>
            <w:tcW w:w="1254" w:type="dxa"/>
            <w:tcBorders>
              <w:top w:val="nil"/>
              <w:left w:val="nil"/>
              <w:bottom w:val="nil"/>
              <w:right w:val="nil"/>
            </w:tcBorders>
            <w:noWrap/>
            <w:vAlign w:val="bottom"/>
            <w:hideMark/>
          </w:tcPr>
          <w:p w14:paraId="22CE50D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0.082</w:t>
            </w:r>
          </w:p>
        </w:tc>
        <w:tc>
          <w:tcPr>
            <w:tcW w:w="1859" w:type="dxa"/>
            <w:tcBorders>
              <w:top w:val="nil"/>
              <w:left w:val="nil"/>
              <w:bottom w:val="nil"/>
              <w:right w:val="nil"/>
            </w:tcBorders>
            <w:noWrap/>
            <w:vAlign w:val="bottom"/>
            <w:hideMark/>
          </w:tcPr>
          <w:p w14:paraId="5FFF8D49"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69DC132B" w14:textId="77777777" w:rsidR="00D534E0" w:rsidRPr="004963EA" w:rsidRDefault="00D534E0" w:rsidP="00D534E0">
            <w:pPr>
              <w:rPr>
                <w:rFonts w:ascii="Arial" w:hAnsi="Arial" w:cs="Arial"/>
                <w:lang w:eastAsia="en-IN" w:bidi="my-MM"/>
              </w:rPr>
            </w:pPr>
          </w:p>
        </w:tc>
      </w:tr>
      <w:tr w:rsidR="00D534E0" w:rsidRPr="004963EA" w14:paraId="45F07CD2" w14:textId="77777777" w:rsidTr="001E5E5A">
        <w:trPr>
          <w:trHeight w:val="288"/>
          <w:jc w:val="center"/>
        </w:trPr>
        <w:tc>
          <w:tcPr>
            <w:tcW w:w="1927" w:type="dxa"/>
            <w:tcBorders>
              <w:top w:val="nil"/>
              <w:left w:val="nil"/>
              <w:bottom w:val="nil"/>
              <w:right w:val="nil"/>
            </w:tcBorders>
            <w:noWrap/>
            <w:vAlign w:val="bottom"/>
            <w:hideMark/>
          </w:tcPr>
          <w:p w14:paraId="13BB630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1254" w:type="dxa"/>
            <w:tcBorders>
              <w:top w:val="nil"/>
              <w:left w:val="nil"/>
              <w:bottom w:val="nil"/>
              <w:right w:val="nil"/>
            </w:tcBorders>
            <w:noWrap/>
            <w:vAlign w:val="bottom"/>
            <w:hideMark/>
          </w:tcPr>
          <w:p w14:paraId="16D3472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1.023</w:t>
            </w:r>
          </w:p>
        </w:tc>
        <w:tc>
          <w:tcPr>
            <w:tcW w:w="1859" w:type="dxa"/>
            <w:tcBorders>
              <w:top w:val="nil"/>
              <w:left w:val="nil"/>
              <w:bottom w:val="nil"/>
              <w:right w:val="nil"/>
            </w:tcBorders>
            <w:noWrap/>
            <w:vAlign w:val="bottom"/>
            <w:hideMark/>
          </w:tcPr>
          <w:p w14:paraId="425E93AA"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4153C670" w14:textId="77777777" w:rsidR="00D534E0" w:rsidRPr="004963EA" w:rsidRDefault="00D534E0" w:rsidP="00D534E0">
            <w:pPr>
              <w:rPr>
                <w:rFonts w:ascii="Arial" w:hAnsi="Arial" w:cs="Arial"/>
                <w:lang w:eastAsia="en-IN" w:bidi="my-MM"/>
              </w:rPr>
            </w:pPr>
          </w:p>
        </w:tc>
      </w:tr>
      <w:tr w:rsidR="00D534E0" w:rsidRPr="004963EA" w14:paraId="68E82997" w14:textId="77777777" w:rsidTr="001E5E5A">
        <w:trPr>
          <w:trHeight w:val="300"/>
          <w:jc w:val="center"/>
        </w:trPr>
        <w:tc>
          <w:tcPr>
            <w:tcW w:w="1927" w:type="dxa"/>
            <w:tcBorders>
              <w:top w:val="nil"/>
              <w:left w:val="nil"/>
              <w:bottom w:val="single" w:sz="8" w:space="0" w:color="auto"/>
              <w:right w:val="nil"/>
            </w:tcBorders>
            <w:noWrap/>
            <w:vAlign w:val="bottom"/>
            <w:hideMark/>
          </w:tcPr>
          <w:p w14:paraId="35F15EB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Observations</w:t>
            </w:r>
          </w:p>
        </w:tc>
        <w:tc>
          <w:tcPr>
            <w:tcW w:w="1254" w:type="dxa"/>
            <w:tcBorders>
              <w:top w:val="nil"/>
              <w:left w:val="nil"/>
              <w:bottom w:val="single" w:sz="8" w:space="0" w:color="auto"/>
              <w:right w:val="nil"/>
            </w:tcBorders>
            <w:noWrap/>
            <w:vAlign w:val="bottom"/>
            <w:hideMark/>
          </w:tcPr>
          <w:p w14:paraId="07CBE8A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859" w:type="dxa"/>
            <w:tcBorders>
              <w:top w:val="nil"/>
              <w:left w:val="nil"/>
              <w:bottom w:val="nil"/>
              <w:right w:val="nil"/>
            </w:tcBorders>
            <w:noWrap/>
            <w:vAlign w:val="bottom"/>
            <w:hideMark/>
          </w:tcPr>
          <w:p w14:paraId="34A820E9"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31035BDE" w14:textId="77777777" w:rsidR="00D534E0" w:rsidRPr="004963EA" w:rsidRDefault="00D534E0" w:rsidP="00D534E0">
            <w:pPr>
              <w:rPr>
                <w:rFonts w:ascii="Arial" w:hAnsi="Arial" w:cs="Arial"/>
                <w:lang w:eastAsia="en-IN" w:bidi="my-MM"/>
              </w:rPr>
            </w:pPr>
          </w:p>
        </w:tc>
      </w:tr>
      <w:tr w:rsidR="00D534E0" w:rsidRPr="004963EA" w14:paraId="70E646AA" w14:textId="77777777" w:rsidTr="001E5E5A">
        <w:trPr>
          <w:trHeight w:val="300"/>
          <w:jc w:val="center"/>
        </w:trPr>
        <w:tc>
          <w:tcPr>
            <w:tcW w:w="1927" w:type="dxa"/>
            <w:tcBorders>
              <w:top w:val="nil"/>
              <w:left w:val="nil"/>
              <w:bottom w:val="nil"/>
              <w:right w:val="nil"/>
            </w:tcBorders>
            <w:noWrap/>
            <w:vAlign w:val="bottom"/>
            <w:hideMark/>
          </w:tcPr>
          <w:p w14:paraId="2D906CCF" w14:textId="77777777" w:rsidR="00D534E0" w:rsidRPr="004963EA" w:rsidRDefault="00D534E0" w:rsidP="00D534E0">
            <w:pPr>
              <w:rPr>
                <w:rFonts w:ascii="Arial" w:hAnsi="Arial" w:cs="Arial"/>
                <w:lang w:eastAsia="en-IN" w:bidi="my-MM"/>
              </w:rPr>
            </w:pPr>
          </w:p>
        </w:tc>
        <w:tc>
          <w:tcPr>
            <w:tcW w:w="1254" w:type="dxa"/>
            <w:tcBorders>
              <w:top w:val="nil"/>
              <w:left w:val="nil"/>
              <w:bottom w:val="nil"/>
              <w:right w:val="nil"/>
            </w:tcBorders>
            <w:noWrap/>
            <w:vAlign w:val="bottom"/>
            <w:hideMark/>
          </w:tcPr>
          <w:p w14:paraId="18AB0AB5" w14:textId="77777777" w:rsidR="00D534E0" w:rsidRPr="004963EA" w:rsidRDefault="00D534E0" w:rsidP="00D534E0">
            <w:pPr>
              <w:rPr>
                <w:rFonts w:ascii="Arial" w:hAnsi="Arial" w:cs="Arial"/>
                <w:lang w:eastAsia="en-IN" w:bidi="my-MM"/>
              </w:rPr>
            </w:pPr>
          </w:p>
        </w:tc>
        <w:tc>
          <w:tcPr>
            <w:tcW w:w="1859" w:type="dxa"/>
            <w:tcBorders>
              <w:top w:val="nil"/>
              <w:left w:val="nil"/>
              <w:bottom w:val="nil"/>
              <w:right w:val="nil"/>
            </w:tcBorders>
            <w:noWrap/>
            <w:vAlign w:val="bottom"/>
            <w:hideMark/>
          </w:tcPr>
          <w:p w14:paraId="74C67C7F" w14:textId="77777777" w:rsidR="00D534E0" w:rsidRPr="004963EA" w:rsidRDefault="00D534E0" w:rsidP="00D534E0">
            <w:pPr>
              <w:rPr>
                <w:rFonts w:ascii="Arial" w:hAnsi="Arial" w:cs="Arial"/>
                <w:lang w:eastAsia="en-IN" w:bidi="my-MM"/>
              </w:rPr>
            </w:pPr>
          </w:p>
        </w:tc>
        <w:tc>
          <w:tcPr>
            <w:tcW w:w="1260" w:type="dxa"/>
            <w:tcBorders>
              <w:top w:val="nil"/>
              <w:left w:val="nil"/>
              <w:bottom w:val="nil"/>
              <w:right w:val="nil"/>
            </w:tcBorders>
            <w:noWrap/>
            <w:vAlign w:val="bottom"/>
            <w:hideMark/>
          </w:tcPr>
          <w:p w14:paraId="7DA2FD8F" w14:textId="77777777" w:rsidR="00D534E0" w:rsidRPr="004963EA" w:rsidRDefault="00D534E0" w:rsidP="00D534E0">
            <w:pPr>
              <w:rPr>
                <w:rFonts w:ascii="Arial" w:hAnsi="Arial" w:cs="Arial"/>
                <w:lang w:eastAsia="en-IN" w:bidi="my-MM"/>
              </w:rPr>
            </w:pPr>
          </w:p>
        </w:tc>
      </w:tr>
      <w:tr w:rsidR="00D534E0" w:rsidRPr="004963EA" w14:paraId="0028F045" w14:textId="77777777" w:rsidTr="001E5E5A">
        <w:trPr>
          <w:trHeight w:val="300"/>
          <w:jc w:val="center"/>
        </w:trPr>
        <w:tc>
          <w:tcPr>
            <w:tcW w:w="1927" w:type="dxa"/>
            <w:tcBorders>
              <w:top w:val="single" w:sz="8" w:space="0" w:color="auto"/>
              <w:left w:val="nil"/>
              <w:bottom w:val="single" w:sz="4" w:space="0" w:color="auto"/>
              <w:right w:val="nil"/>
            </w:tcBorders>
            <w:noWrap/>
            <w:vAlign w:val="bottom"/>
            <w:hideMark/>
          </w:tcPr>
          <w:p w14:paraId="4D31E15E"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lastRenderedPageBreak/>
              <w:t>variable</w:t>
            </w:r>
          </w:p>
        </w:tc>
        <w:tc>
          <w:tcPr>
            <w:tcW w:w="1254" w:type="dxa"/>
            <w:tcBorders>
              <w:top w:val="single" w:sz="8" w:space="0" w:color="auto"/>
              <w:left w:val="nil"/>
              <w:bottom w:val="single" w:sz="4" w:space="0" w:color="auto"/>
              <w:right w:val="nil"/>
            </w:tcBorders>
            <w:noWrap/>
            <w:vAlign w:val="bottom"/>
            <w:hideMark/>
          </w:tcPr>
          <w:p w14:paraId="0D9FA57F"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Coefficients</w:t>
            </w:r>
          </w:p>
        </w:tc>
        <w:tc>
          <w:tcPr>
            <w:tcW w:w="1859" w:type="dxa"/>
            <w:tcBorders>
              <w:top w:val="single" w:sz="8" w:space="0" w:color="auto"/>
              <w:left w:val="nil"/>
              <w:bottom w:val="single" w:sz="4" w:space="0" w:color="auto"/>
              <w:right w:val="nil"/>
            </w:tcBorders>
            <w:noWrap/>
            <w:vAlign w:val="bottom"/>
            <w:hideMark/>
          </w:tcPr>
          <w:p w14:paraId="409CC484"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Standard Error</w:t>
            </w:r>
          </w:p>
        </w:tc>
        <w:tc>
          <w:tcPr>
            <w:tcW w:w="1260" w:type="dxa"/>
            <w:tcBorders>
              <w:top w:val="single" w:sz="8" w:space="0" w:color="auto"/>
              <w:left w:val="nil"/>
              <w:bottom w:val="single" w:sz="4" w:space="0" w:color="auto"/>
              <w:right w:val="nil"/>
            </w:tcBorders>
            <w:noWrap/>
            <w:vAlign w:val="bottom"/>
            <w:hideMark/>
          </w:tcPr>
          <w:p w14:paraId="592BCB73"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P-value</w:t>
            </w:r>
          </w:p>
        </w:tc>
      </w:tr>
      <w:tr w:rsidR="00D534E0" w:rsidRPr="004963EA" w14:paraId="30E6AEC3" w14:textId="77777777" w:rsidTr="001E5E5A">
        <w:trPr>
          <w:trHeight w:val="288"/>
          <w:jc w:val="center"/>
        </w:trPr>
        <w:tc>
          <w:tcPr>
            <w:tcW w:w="1927" w:type="dxa"/>
            <w:tcBorders>
              <w:top w:val="nil"/>
              <w:left w:val="nil"/>
              <w:bottom w:val="nil"/>
              <w:right w:val="nil"/>
            </w:tcBorders>
            <w:noWrap/>
            <w:vAlign w:val="bottom"/>
            <w:hideMark/>
          </w:tcPr>
          <w:p w14:paraId="3D96335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1254" w:type="dxa"/>
            <w:tcBorders>
              <w:top w:val="nil"/>
              <w:left w:val="nil"/>
              <w:bottom w:val="nil"/>
              <w:right w:val="nil"/>
            </w:tcBorders>
            <w:noWrap/>
            <w:vAlign w:val="bottom"/>
            <w:hideMark/>
          </w:tcPr>
          <w:p w14:paraId="463CC49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10.258</w:t>
            </w:r>
          </w:p>
        </w:tc>
        <w:tc>
          <w:tcPr>
            <w:tcW w:w="1859" w:type="dxa"/>
            <w:tcBorders>
              <w:top w:val="nil"/>
              <w:left w:val="nil"/>
              <w:bottom w:val="nil"/>
              <w:right w:val="nil"/>
            </w:tcBorders>
            <w:noWrap/>
            <w:vAlign w:val="bottom"/>
            <w:hideMark/>
          </w:tcPr>
          <w:p w14:paraId="244E7BE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1.922</w:t>
            </w:r>
          </w:p>
        </w:tc>
        <w:tc>
          <w:tcPr>
            <w:tcW w:w="1260" w:type="dxa"/>
            <w:tcBorders>
              <w:top w:val="nil"/>
              <w:left w:val="nil"/>
              <w:bottom w:val="nil"/>
              <w:right w:val="nil"/>
            </w:tcBorders>
            <w:noWrap/>
            <w:vAlign w:val="bottom"/>
            <w:hideMark/>
          </w:tcPr>
          <w:p w14:paraId="71F3CC04" w14:textId="13CC8BE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r w:rsidR="00D534E0" w:rsidRPr="004963EA" w14:paraId="326A4D83" w14:textId="77777777" w:rsidTr="001E5E5A">
        <w:trPr>
          <w:trHeight w:val="288"/>
          <w:jc w:val="center"/>
        </w:trPr>
        <w:tc>
          <w:tcPr>
            <w:tcW w:w="1927" w:type="dxa"/>
            <w:tcBorders>
              <w:top w:val="nil"/>
              <w:left w:val="nil"/>
              <w:bottom w:val="nil"/>
              <w:right w:val="nil"/>
            </w:tcBorders>
            <w:noWrap/>
            <w:vAlign w:val="bottom"/>
            <w:hideMark/>
          </w:tcPr>
          <w:p w14:paraId="1CCB4BAE"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1254" w:type="dxa"/>
            <w:tcBorders>
              <w:top w:val="nil"/>
              <w:left w:val="nil"/>
              <w:bottom w:val="nil"/>
              <w:right w:val="nil"/>
            </w:tcBorders>
            <w:noWrap/>
            <w:vAlign w:val="bottom"/>
            <w:hideMark/>
          </w:tcPr>
          <w:p w14:paraId="3E2307B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0.017</w:t>
            </w:r>
          </w:p>
        </w:tc>
        <w:tc>
          <w:tcPr>
            <w:tcW w:w="1859" w:type="dxa"/>
            <w:tcBorders>
              <w:top w:val="nil"/>
              <w:left w:val="nil"/>
              <w:bottom w:val="nil"/>
              <w:right w:val="nil"/>
            </w:tcBorders>
            <w:noWrap/>
            <w:vAlign w:val="bottom"/>
            <w:hideMark/>
          </w:tcPr>
          <w:p w14:paraId="60EB9F1E"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0.032</w:t>
            </w:r>
          </w:p>
        </w:tc>
        <w:tc>
          <w:tcPr>
            <w:tcW w:w="1260" w:type="dxa"/>
            <w:tcBorders>
              <w:top w:val="nil"/>
              <w:left w:val="nil"/>
              <w:bottom w:val="nil"/>
              <w:right w:val="nil"/>
            </w:tcBorders>
            <w:noWrap/>
            <w:vAlign w:val="bottom"/>
            <w:hideMark/>
          </w:tcPr>
          <w:p w14:paraId="4A441F1C" w14:textId="3D2949BE"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.58</w:t>
            </w:r>
          </w:p>
        </w:tc>
      </w:tr>
      <w:tr w:rsidR="00D534E0" w:rsidRPr="004963EA" w14:paraId="6ADA14A7" w14:textId="77777777" w:rsidTr="001E5E5A">
        <w:trPr>
          <w:trHeight w:val="288"/>
          <w:jc w:val="center"/>
        </w:trPr>
        <w:tc>
          <w:tcPr>
            <w:tcW w:w="1927" w:type="dxa"/>
            <w:tcBorders>
              <w:top w:val="nil"/>
              <w:left w:val="nil"/>
              <w:bottom w:val="nil"/>
              <w:right w:val="nil"/>
            </w:tcBorders>
            <w:noWrap/>
            <w:vAlign w:val="bottom"/>
            <w:hideMark/>
          </w:tcPr>
          <w:p w14:paraId="332C7A59"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1254" w:type="dxa"/>
            <w:tcBorders>
              <w:top w:val="nil"/>
              <w:left w:val="nil"/>
              <w:bottom w:val="nil"/>
              <w:right w:val="nil"/>
            </w:tcBorders>
            <w:noWrap/>
            <w:vAlign w:val="bottom"/>
            <w:hideMark/>
          </w:tcPr>
          <w:p w14:paraId="4C5E876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-0.008</w:t>
            </w:r>
          </w:p>
        </w:tc>
        <w:tc>
          <w:tcPr>
            <w:tcW w:w="1859" w:type="dxa"/>
            <w:tcBorders>
              <w:top w:val="nil"/>
              <w:left w:val="nil"/>
              <w:bottom w:val="nil"/>
              <w:right w:val="nil"/>
            </w:tcBorders>
            <w:noWrap/>
            <w:vAlign w:val="bottom"/>
            <w:hideMark/>
          </w:tcPr>
          <w:p w14:paraId="617DDA9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0.028</w:t>
            </w:r>
          </w:p>
        </w:tc>
        <w:tc>
          <w:tcPr>
            <w:tcW w:w="1260" w:type="dxa"/>
            <w:tcBorders>
              <w:top w:val="nil"/>
              <w:left w:val="nil"/>
              <w:bottom w:val="nil"/>
              <w:right w:val="nil"/>
            </w:tcBorders>
            <w:noWrap/>
            <w:vAlign w:val="bottom"/>
            <w:hideMark/>
          </w:tcPr>
          <w:p w14:paraId="343831C5" w14:textId="73FEC26E"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.79</w:t>
            </w:r>
          </w:p>
        </w:tc>
      </w:tr>
      <w:tr w:rsidR="00D534E0" w:rsidRPr="004963EA" w14:paraId="754EE825" w14:textId="77777777" w:rsidTr="001E5E5A">
        <w:trPr>
          <w:trHeight w:val="300"/>
          <w:jc w:val="center"/>
        </w:trPr>
        <w:tc>
          <w:tcPr>
            <w:tcW w:w="1927" w:type="dxa"/>
            <w:tcBorders>
              <w:top w:val="nil"/>
              <w:left w:val="nil"/>
              <w:bottom w:val="nil"/>
              <w:right w:val="nil"/>
            </w:tcBorders>
            <w:noWrap/>
            <w:vAlign w:val="bottom"/>
            <w:hideMark/>
          </w:tcPr>
          <w:p w14:paraId="4B572C7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1254" w:type="dxa"/>
            <w:tcBorders>
              <w:top w:val="nil"/>
              <w:left w:val="nil"/>
              <w:bottom w:val="nil"/>
              <w:right w:val="nil"/>
            </w:tcBorders>
            <w:noWrap/>
            <w:vAlign w:val="bottom"/>
            <w:hideMark/>
          </w:tcPr>
          <w:p w14:paraId="6A5113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0.141</w:t>
            </w:r>
          </w:p>
        </w:tc>
        <w:tc>
          <w:tcPr>
            <w:tcW w:w="1859" w:type="dxa"/>
            <w:tcBorders>
              <w:top w:val="nil"/>
              <w:left w:val="nil"/>
              <w:bottom w:val="nil"/>
              <w:right w:val="nil"/>
            </w:tcBorders>
            <w:noWrap/>
            <w:vAlign w:val="bottom"/>
            <w:hideMark/>
          </w:tcPr>
          <w:p w14:paraId="435CE93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0.269</w:t>
            </w:r>
          </w:p>
        </w:tc>
        <w:tc>
          <w:tcPr>
            <w:tcW w:w="1260" w:type="dxa"/>
            <w:tcBorders>
              <w:top w:val="nil"/>
              <w:left w:val="nil"/>
              <w:bottom w:val="nil"/>
              <w:right w:val="nil"/>
            </w:tcBorders>
            <w:noWrap/>
            <w:vAlign w:val="bottom"/>
            <w:hideMark/>
          </w:tcPr>
          <w:p w14:paraId="5E6C2186" w14:textId="16ABD998"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.60</w:t>
            </w:r>
          </w:p>
        </w:tc>
      </w:tr>
      <w:tr w:rsidR="00D534E0" w:rsidRPr="004963EA" w14:paraId="7D60A26F" w14:textId="77777777" w:rsidTr="001E5E5A">
        <w:trPr>
          <w:trHeight w:val="300"/>
          <w:jc w:val="center"/>
        </w:trPr>
        <w:tc>
          <w:tcPr>
            <w:tcW w:w="1927" w:type="dxa"/>
            <w:tcBorders>
              <w:top w:val="nil"/>
              <w:left w:val="nil"/>
              <w:bottom w:val="single" w:sz="8" w:space="0" w:color="auto"/>
              <w:right w:val="nil"/>
            </w:tcBorders>
            <w:noWrap/>
            <w:vAlign w:val="bottom"/>
            <w:hideMark/>
          </w:tcPr>
          <w:p w14:paraId="6F2CC4CE"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1254" w:type="dxa"/>
            <w:tcBorders>
              <w:top w:val="nil"/>
              <w:left w:val="nil"/>
              <w:bottom w:val="single" w:sz="8" w:space="0" w:color="auto"/>
              <w:right w:val="nil"/>
            </w:tcBorders>
            <w:noWrap/>
            <w:vAlign w:val="bottom"/>
            <w:hideMark/>
          </w:tcPr>
          <w:p w14:paraId="23870C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-0.862</w:t>
            </w:r>
          </w:p>
        </w:tc>
        <w:tc>
          <w:tcPr>
            <w:tcW w:w="1859" w:type="dxa"/>
            <w:tcBorders>
              <w:top w:val="nil"/>
              <w:left w:val="nil"/>
              <w:bottom w:val="single" w:sz="8" w:space="0" w:color="auto"/>
              <w:right w:val="nil"/>
            </w:tcBorders>
            <w:noWrap/>
            <w:vAlign w:val="bottom"/>
            <w:hideMark/>
          </w:tcPr>
          <w:p w14:paraId="0EEF840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0.262</w:t>
            </w:r>
          </w:p>
        </w:tc>
        <w:tc>
          <w:tcPr>
            <w:tcW w:w="1260" w:type="dxa"/>
            <w:tcBorders>
              <w:top w:val="nil"/>
              <w:left w:val="nil"/>
              <w:bottom w:val="single" w:sz="8" w:space="0" w:color="auto"/>
              <w:right w:val="nil"/>
            </w:tcBorders>
            <w:noWrap/>
            <w:vAlign w:val="bottom"/>
            <w:hideMark/>
          </w:tcPr>
          <w:p w14:paraId="15A88770" w14:textId="59C7595C"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bl>
    <w:p w14:paraId="7F4478DA" w14:textId="77777777" w:rsidR="00D534E0" w:rsidRPr="004963EA" w:rsidRDefault="00D534E0" w:rsidP="00D534E0">
      <w:pPr>
        <w:jc w:val="both"/>
        <w:rPr>
          <w:rFonts w:ascii="Arial" w:hAnsi="Arial" w:cs="Arial"/>
          <w:i/>
          <w:iCs/>
          <w:color w:val="000000"/>
          <w:lang w:eastAsia="en-IN" w:bidi="my-MM"/>
        </w:rPr>
      </w:pPr>
      <w:r w:rsidRPr="004963EA">
        <w:rPr>
          <w:rFonts w:ascii="Arial" w:hAnsi="Arial" w:cs="Arial"/>
          <w:i/>
          <w:iCs/>
          <w:color w:val="000000"/>
          <w:lang w:eastAsia="en-IN" w:bidi="my-MM"/>
        </w:rPr>
        <w:t>Source: Author’s calculation based on secondary data</w:t>
      </w:r>
    </w:p>
    <w:p w14:paraId="00DD3F35" w14:textId="77777777" w:rsidR="00D534E0" w:rsidRPr="004963EA" w:rsidRDefault="00D534E0" w:rsidP="00D534E0">
      <w:pPr>
        <w:jc w:val="center"/>
        <w:rPr>
          <w:rFonts w:ascii="Arial" w:hAnsi="Arial" w:cs="Arial"/>
          <w:b/>
          <w:bCs/>
        </w:rPr>
      </w:pPr>
    </w:p>
    <w:p w14:paraId="42CE790B" w14:textId="77777777" w:rsidR="00D534E0" w:rsidRPr="004963EA" w:rsidRDefault="00D534E0" w:rsidP="00D534E0">
      <w:pPr>
        <w:jc w:val="both"/>
        <w:rPr>
          <w:rFonts w:ascii="Arial" w:hAnsi="Arial" w:cs="Arial"/>
          <w:b/>
          <w:bCs/>
        </w:rPr>
      </w:pPr>
      <w:r w:rsidRPr="004963EA">
        <w:rPr>
          <w:rFonts w:ascii="Arial" w:hAnsi="Arial" w:cs="Arial"/>
          <w:b/>
          <w:bCs/>
        </w:rPr>
        <w:t>Table 5. Regression result of Imports</w:t>
      </w:r>
    </w:p>
    <w:tbl>
      <w:tblPr>
        <w:tblW w:w="6390" w:type="dxa"/>
        <w:jc w:val="center"/>
        <w:tblLook w:val="04A0" w:firstRow="1" w:lastRow="0" w:firstColumn="1" w:lastColumn="0" w:noHBand="0" w:noVBand="1"/>
      </w:tblPr>
      <w:tblGrid>
        <w:gridCol w:w="1768"/>
        <w:gridCol w:w="1261"/>
        <w:gridCol w:w="1838"/>
        <w:gridCol w:w="1530"/>
      </w:tblGrid>
      <w:tr w:rsidR="00D534E0" w:rsidRPr="004963EA" w14:paraId="755DC050" w14:textId="77777777" w:rsidTr="001E5E5A">
        <w:trPr>
          <w:trHeight w:val="288"/>
          <w:jc w:val="center"/>
        </w:trPr>
        <w:tc>
          <w:tcPr>
            <w:tcW w:w="3022" w:type="dxa"/>
            <w:gridSpan w:val="2"/>
            <w:tcBorders>
              <w:top w:val="single" w:sz="8" w:space="0" w:color="auto"/>
              <w:left w:val="nil"/>
              <w:bottom w:val="single" w:sz="4" w:space="0" w:color="auto"/>
              <w:right w:val="nil"/>
            </w:tcBorders>
            <w:noWrap/>
            <w:vAlign w:val="bottom"/>
            <w:hideMark/>
          </w:tcPr>
          <w:p w14:paraId="06067BF5"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Regression Statistics</w:t>
            </w:r>
          </w:p>
        </w:tc>
        <w:tc>
          <w:tcPr>
            <w:tcW w:w="1838" w:type="dxa"/>
            <w:tcBorders>
              <w:top w:val="nil"/>
              <w:left w:val="nil"/>
              <w:bottom w:val="nil"/>
              <w:right w:val="nil"/>
            </w:tcBorders>
            <w:noWrap/>
            <w:vAlign w:val="bottom"/>
            <w:hideMark/>
          </w:tcPr>
          <w:p w14:paraId="41CE2698" w14:textId="77777777" w:rsidR="00D534E0" w:rsidRPr="004963EA" w:rsidRDefault="00D534E0" w:rsidP="00D534E0">
            <w:pPr>
              <w:jc w:val="center"/>
              <w:rPr>
                <w:rFonts w:ascii="Arial" w:hAnsi="Arial" w:cs="Arial"/>
                <w:i/>
                <w:iCs/>
                <w:color w:val="000000"/>
                <w:lang w:eastAsia="en-IN" w:bidi="my-MM"/>
              </w:rPr>
            </w:pPr>
          </w:p>
        </w:tc>
        <w:tc>
          <w:tcPr>
            <w:tcW w:w="1530" w:type="dxa"/>
            <w:tcBorders>
              <w:top w:val="nil"/>
              <w:left w:val="nil"/>
              <w:bottom w:val="nil"/>
              <w:right w:val="nil"/>
            </w:tcBorders>
            <w:noWrap/>
            <w:vAlign w:val="bottom"/>
            <w:hideMark/>
          </w:tcPr>
          <w:p w14:paraId="1CAB5EBA" w14:textId="77777777" w:rsidR="00D534E0" w:rsidRPr="004963EA" w:rsidRDefault="00D534E0" w:rsidP="00D534E0">
            <w:pPr>
              <w:rPr>
                <w:rFonts w:ascii="Arial" w:hAnsi="Arial" w:cs="Arial"/>
                <w:lang w:eastAsia="en-IN" w:bidi="my-MM"/>
              </w:rPr>
            </w:pPr>
          </w:p>
        </w:tc>
      </w:tr>
      <w:tr w:rsidR="00D534E0" w:rsidRPr="004963EA" w14:paraId="1D38BF3E" w14:textId="77777777" w:rsidTr="001E5E5A">
        <w:trPr>
          <w:trHeight w:val="288"/>
          <w:jc w:val="center"/>
        </w:trPr>
        <w:tc>
          <w:tcPr>
            <w:tcW w:w="1768" w:type="dxa"/>
            <w:tcBorders>
              <w:top w:val="nil"/>
              <w:left w:val="nil"/>
              <w:bottom w:val="nil"/>
              <w:right w:val="nil"/>
            </w:tcBorders>
            <w:noWrap/>
            <w:vAlign w:val="bottom"/>
            <w:hideMark/>
          </w:tcPr>
          <w:p w14:paraId="28A7A67D"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Multiple R</w:t>
            </w:r>
          </w:p>
        </w:tc>
        <w:tc>
          <w:tcPr>
            <w:tcW w:w="1254" w:type="dxa"/>
            <w:tcBorders>
              <w:top w:val="nil"/>
              <w:left w:val="nil"/>
              <w:bottom w:val="nil"/>
              <w:right w:val="nil"/>
            </w:tcBorders>
            <w:noWrap/>
            <w:vAlign w:val="bottom"/>
            <w:hideMark/>
          </w:tcPr>
          <w:p w14:paraId="42AAD2C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0.625</w:t>
            </w:r>
          </w:p>
        </w:tc>
        <w:tc>
          <w:tcPr>
            <w:tcW w:w="1838" w:type="dxa"/>
            <w:tcBorders>
              <w:top w:val="nil"/>
              <w:left w:val="nil"/>
              <w:bottom w:val="nil"/>
              <w:right w:val="nil"/>
            </w:tcBorders>
            <w:noWrap/>
            <w:vAlign w:val="bottom"/>
            <w:hideMark/>
          </w:tcPr>
          <w:p w14:paraId="2E647C6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0043A2D" w14:textId="77777777" w:rsidR="00D534E0" w:rsidRPr="004963EA" w:rsidRDefault="00D534E0" w:rsidP="00D534E0">
            <w:pPr>
              <w:rPr>
                <w:rFonts w:ascii="Arial" w:hAnsi="Arial" w:cs="Arial"/>
                <w:lang w:eastAsia="en-IN" w:bidi="my-MM"/>
              </w:rPr>
            </w:pPr>
          </w:p>
        </w:tc>
      </w:tr>
      <w:tr w:rsidR="00D534E0" w:rsidRPr="004963EA" w14:paraId="5CAC3427" w14:textId="77777777" w:rsidTr="001E5E5A">
        <w:trPr>
          <w:trHeight w:val="288"/>
          <w:jc w:val="center"/>
        </w:trPr>
        <w:tc>
          <w:tcPr>
            <w:tcW w:w="1768" w:type="dxa"/>
            <w:tcBorders>
              <w:top w:val="nil"/>
              <w:left w:val="nil"/>
              <w:bottom w:val="nil"/>
              <w:right w:val="nil"/>
            </w:tcBorders>
            <w:noWrap/>
            <w:vAlign w:val="bottom"/>
            <w:hideMark/>
          </w:tcPr>
          <w:p w14:paraId="250D80C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R Square</w:t>
            </w:r>
          </w:p>
        </w:tc>
        <w:tc>
          <w:tcPr>
            <w:tcW w:w="1254" w:type="dxa"/>
            <w:tcBorders>
              <w:top w:val="nil"/>
              <w:left w:val="nil"/>
              <w:bottom w:val="nil"/>
              <w:right w:val="nil"/>
            </w:tcBorders>
            <w:noWrap/>
            <w:vAlign w:val="bottom"/>
            <w:hideMark/>
          </w:tcPr>
          <w:p w14:paraId="1211D7D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0.391</w:t>
            </w:r>
          </w:p>
        </w:tc>
        <w:tc>
          <w:tcPr>
            <w:tcW w:w="1838" w:type="dxa"/>
            <w:tcBorders>
              <w:top w:val="nil"/>
              <w:left w:val="nil"/>
              <w:bottom w:val="nil"/>
              <w:right w:val="nil"/>
            </w:tcBorders>
            <w:noWrap/>
            <w:vAlign w:val="bottom"/>
            <w:hideMark/>
          </w:tcPr>
          <w:p w14:paraId="51921784"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C9CF692" w14:textId="77777777" w:rsidR="00D534E0" w:rsidRPr="004963EA" w:rsidRDefault="00D534E0" w:rsidP="00D534E0">
            <w:pPr>
              <w:rPr>
                <w:rFonts w:ascii="Arial" w:hAnsi="Arial" w:cs="Arial"/>
                <w:lang w:eastAsia="en-IN" w:bidi="my-MM"/>
              </w:rPr>
            </w:pPr>
          </w:p>
        </w:tc>
      </w:tr>
      <w:tr w:rsidR="00D534E0" w:rsidRPr="004963EA" w14:paraId="0CEA329F" w14:textId="77777777" w:rsidTr="001E5E5A">
        <w:trPr>
          <w:trHeight w:val="288"/>
          <w:jc w:val="center"/>
        </w:trPr>
        <w:tc>
          <w:tcPr>
            <w:tcW w:w="1768" w:type="dxa"/>
            <w:tcBorders>
              <w:top w:val="nil"/>
              <w:left w:val="nil"/>
              <w:bottom w:val="nil"/>
              <w:right w:val="nil"/>
            </w:tcBorders>
            <w:noWrap/>
            <w:vAlign w:val="bottom"/>
            <w:hideMark/>
          </w:tcPr>
          <w:p w14:paraId="5559926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Adjusted R Square</w:t>
            </w:r>
          </w:p>
        </w:tc>
        <w:tc>
          <w:tcPr>
            <w:tcW w:w="1254" w:type="dxa"/>
            <w:tcBorders>
              <w:top w:val="nil"/>
              <w:left w:val="nil"/>
              <w:bottom w:val="nil"/>
              <w:right w:val="nil"/>
            </w:tcBorders>
            <w:noWrap/>
            <w:vAlign w:val="bottom"/>
            <w:hideMark/>
          </w:tcPr>
          <w:p w14:paraId="6852A29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0.360</w:t>
            </w:r>
          </w:p>
        </w:tc>
        <w:tc>
          <w:tcPr>
            <w:tcW w:w="1838" w:type="dxa"/>
            <w:tcBorders>
              <w:top w:val="nil"/>
              <w:left w:val="nil"/>
              <w:bottom w:val="nil"/>
              <w:right w:val="nil"/>
            </w:tcBorders>
            <w:noWrap/>
            <w:vAlign w:val="bottom"/>
            <w:hideMark/>
          </w:tcPr>
          <w:p w14:paraId="4534F3B1"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1B75AFE9" w14:textId="77777777" w:rsidR="00D534E0" w:rsidRPr="004963EA" w:rsidRDefault="00D534E0" w:rsidP="00D534E0">
            <w:pPr>
              <w:rPr>
                <w:rFonts w:ascii="Arial" w:hAnsi="Arial" w:cs="Arial"/>
                <w:lang w:eastAsia="en-IN" w:bidi="my-MM"/>
              </w:rPr>
            </w:pPr>
          </w:p>
        </w:tc>
      </w:tr>
      <w:tr w:rsidR="00D534E0" w:rsidRPr="004963EA" w14:paraId="384D6CD5" w14:textId="77777777" w:rsidTr="001E5E5A">
        <w:trPr>
          <w:trHeight w:val="288"/>
          <w:jc w:val="center"/>
        </w:trPr>
        <w:tc>
          <w:tcPr>
            <w:tcW w:w="1768" w:type="dxa"/>
            <w:tcBorders>
              <w:top w:val="nil"/>
              <w:left w:val="nil"/>
              <w:bottom w:val="nil"/>
              <w:right w:val="nil"/>
            </w:tcBorders>
            <w:noWrap/>
            <w:vAlign w:val="bottom"/>
            <w:hideMark/>
          </w:tcPr>
          <w:p w14:paraId="0FA4C15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1254" w:type="dxa"/>
            <w:tcBorders>
              <w:top w:val="nil"/>
              <w:left w:val="nil"/>
              <w:bottom w:val="nil"/>
              <w:right w:val="nil"/>
            </w:tcBorders>
            <w:noWrap/>
            <w:vAlign w:val="bottom"/>
            <w:hideMark/>
          </w:tcPr>
          <w:p w14:paraId="3E9A470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0.812</w:t>
            </w:r>
          </w:p>
        </w:tc>
        <w:tc>
          <w:tcPr>
            <w:tcW w:w="1838" w:type="dxa"/>
            <w:tcBorders>
              <w:top w:val="nil"/>
              <w:left w:val="nil"/>
              <w:bottom w:val="nil"/>
              <w:right w:val="nil"/>
            </w:tcBorders>
            <w:noWrap/>
            <w:vAlign w:val="bottom"/>
            <w:hideMark/>
          </w:tcPr>
          <w:p w14:paraId="3FA3AD43"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053AB564" w14:textId="77777777" w:rsidR="00D534E0" w:rsidRPr="004963EA" w:rsidRDefault="00D534E0" w:rsidP="00D534E0">
            <w:pPr>
              <w:rPr>
                <w:rFonts w:ascii="Arial" w:hAnsi="Arial" w:cs="Arial"/>
                <w:lang w:eastAsia="en-IN" w:bidi="my-MM"/>
              </w:rPr>
            </w:pPr>
          </w:p>
        </w:tc>
      </w:tr>
      <w:tr w:rsidR="00D534E0" w:rsidRPr="004963EA" w14:paraId="58BCD1AC" w14:textId="77777777" w:rsidTr="001E5E5A">
        <w:trPr>
          <w:trHeight w:val="300"/>
          <w:jc w:val="center"/>
        </w:trPr>
        <w:tc>
          <w:tcPr>
            <w:tcW w:w="1768" w:type="dxa"/>
            <w:tcBorders>
              <w:top w:val="nil"/>
              <w:left w:val="nil"/>
              <w:bottom w:val="single" w:sz="8" w:space="0" w:color="auto"/>
              <w:right w:val="nil"/>
            </w:tcBorders>
            <w:noWrap/>
            <w:vAlign w:val="bottom"/>
            <w:hideMark/>
          </w:tcPr>
          <w:p w14:paraId="0D55075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Observations</w:t>
            </w:r>
          </w:p>
        </w:tc>
        <w:tc>
          <w:tcPr>
            <w:tcW w:w="1254" w:type="dxa"/>
            <w:tcBorders>
              <w:top w:val="nil"/>
              <w:left w:val="nil"/>
              <w:bottom w:val="single" w:sz="8" w:space="0" w:color="auto"/>
              <w:right w:val="nil"/>
            </w:tcBorders>
            <w:noWrap/>
            <w:vAlign w:val="bottom"/>
            <w:hideMark/>
          </w:tcPr>
          <w:p w14:paraId="1208486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838" w:type="dxa"/>
            <w:tcBorders>
              <w:top w:val="nil"/>
              <w:left w:val="nil"/>
              <w:bottom w:val="nil"/>
              <w:right w:val="nil"/>
            </w:tcBorders>
            <w:noWrap/>
            <w:vAlign w:val="bottom"/>
            <w:hideMark/>
          </w:tcPr>
          <w:p w14:paraId="62CEC4E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3163B252" w14:textId="77777777" w:rsidR="00D534E0" w:rsidRPr="004963EA" w:rsidRDefault="00D534E0" w:rsidP="00D534E0">
            <w:pPr>
              <w:rPr>
                <w:rFonts w:ascii="Arial" w:hAnsi="Arial" w:cs="Arial"/>
                <w:lang w:eastAsia="en-IN" w:bidi="my-MM"/>
              </w:rPr>
            </w:pPr>
          </w:p>
        </w:tc>
      </w:tr>
      <w:tr w:rsidR="00D534E0" w:rsidRPr="004963EA" w14:paraId="1528AC02" w14:textId="77777777" w:rsidTr="001E5E5A">
        <w:trPr>
          <w:trHeight w:val="300"/>
          <w:jc w:val="center"/>
        </w:trPr>
        <w:tc>
          <w:tcPr>
            <w:tcW w:w="1768" w:type="dxa"/>
            <w:tcBorders>
              <w:top w:val="nil"/>
              <w:left w:val="nil"/>
              <w:bottom w:val="nil"/>
              <w:right w:val="nil"/>
            </w:tcBorders>
            <w:noWrap/>
            <w:vAlign w:val="bottom"/>
            <w:hideMark/>
          </w:tcPr>
          <w:p w14:paraId="5EC4A42D" w14:textId="77777777" w:rsidR="00D534E0" w:rsidRPr="004963EA" w:rsidRDefault="00D534E0" w:rsidP="00D534E0">
            <w:pPr>
              <w:rPr>
                <w:rFonts w:ascii="Arial" w:hAnsi="Arial" w:cs="Arial"/>
                <w:lang w:eastAsia="en-IN" w:bidi="my-MM"/>
              </w:rPr>
            </w:pPr>
          </w:p>
        </w:tc>
        <w:tc>
          <w:tcPr>
            <w:tcW w:w="1254" w:type="dxa"/>
            <w:tcBorders>
              <w:top w:val="nil"/>
              <w:left w:val="nil"/>
              <w:bottom w:val="nil"/>
              <w:right w:val="nil"/>
            </w:tcBorders>
            <w:noWrap/>
            <w:vAlign w:val="bottom"/>
            <w:hideMark/>
          </w:tcPr>
          <w:p w14:paraId="38DB3361" w14:textId="77777777" w:rsidR="00D534E0" w:rsidRPr="004963EA" w:rsidRDefault="00D534E0" w:rsidP="00D534E0">
            <w:pPr>
              <w:rPr>
                <w:rFonts w:ascii="Arial" w:hAnsi="Arial" w:cs="Arial"/>
                <w:lang w:eastAsia="en-IN" w:bidi="my-MM"/>
              </w:rPr>
            </w:pPr>
          </w:p>
        </w:tc>
        <w:tc>
          <w:tcPr>
            <w:tcW w:w="1838" w:type="dxa"/>
            <w:tcBorders>
              <w:top w:val="nil"/>
              <w:left w:val="nil"/>
              <w:bottom w:val="nil"/>
              <w:right w:val="nil"/>
            </w:tcBorders>
            <w:noWrap/>
            <w:vAlign w:val="bottom"/>
            <w:hideMark/>
          </w:tcPr>
          <w:p w14:paraId="4C4EF2B2" w14:textId="77777777" w:rsidR="00D534E0" w:rsidRPr="004963EA" w:rsidRDefault="00D534E0" w:rsidP="00D534E0">
            <w:pPr>
              <w:rPr>
                <w:rFonts w:ascii="Arial" w:hAnsi="Arial" w:cs="Arial"/>
                <w:lang w:eastAsia="en-IN" w:bidi="my-MM"/>
              </w:rPr>
            </w:pPr>
          </w:p>
        </w:tc>
        <w:tc>
          <w:tcPr>
            <w:tcW w:w="1530" w:type="dxa"/>
            <w:tcBorders>
              <w:top w:val="nil"/>
              <w:left w:val="nil"/>
              <w:bottom w:val="nil"/>
              <w:right w:val="nil"/>
            </w:tcBorders>
            <w:noWrap/>
            <w:vAlign w:val="bottom"/>
            <w:hideMark/>
          </w:tcPr>
          <w:p w14:paraId="0BC16412" w14:textId="77777777" w:rsidR="00D534E0" w:rsidRPr="004963EA" w:rsidRDefault="00D534E0" w:rsidP="00D534E0">
            <w:pPr>
              <w:rPr>
                <w:rFonts w:ascii="Arial" w:hAnsi="Arial" w:cs="Arial"/>
                <w:lang w:eastAsia="en-IN" w:bidi="my-MM"/>
              </w:rPr>
            </w:pPr>
          </w:p>
        </w:tc>
      </w:tr>
      <w:tr w:rsidR="00D534E0" w:rsidRPr="004963EA" w14:paraId="6CB03B33" w14:textId="77777777" w:rsidTr="001E5E5A">
        <w:trPr>
          <w:trHeight w:val="300"/>
          <w:jc w:val="center"/>
        </w:trPr>
        <w:tc>
          <w:tcPr>
            <w:tcW w:w="1768" w:type="dxa"/>
            <w:tcBorders>
              <w:top w:val="single" w:sz="8" w:space="0" w:color="auto"/>
              <w:left w:val="nil"/>
              <w:bottom w:val="single" w:sz="4" w:space="0" w:color="auto"/>
              <w:right w:val="nil"/>
            </w:tcBorders>
            <w:noWrap/>
            <w:vAlign w:val="bottom"/>
            <w:hideMark/>
          </w:tcPr>
          <w:p w14:paraId="545B754F"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variable</w:t>
            </w:r>
          </w:p>
        </w:tc>
        <w:tc>
          <w:tcPr>
            <w:tcW w:w="1254" w:type="dxa"/>
            <w:tcBorders>
              <w:top w:val="single" w:sz="8" w:space="0" w:color="auto"/>
              <w:left w:val="nil"/>
              <w:bottom w:val="single" w:sz="4" w:space="0" w:color="auto"/>
              <w:right w:val="nil"/>
            </w:tcBorders>
            <w:noWrap/>
            <w:vAlign w:val="bottom"/>
            <w:hideMark/>
          </w:tcPr>
          <w:p w14:paraId="53B03476"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Coefficients</w:t>
            </w:r>
          </w:p>
        </w:tc>
        <w:tc>
          <w:tcPr>
            <w:tcW w:w="1838" w:type="dxa"/>
            <w:tcBorders>
              <w:top w:val="single" w:sz="8" w:space="0" w:color="auto"/>
              <w:left w:val="nil"/>
              <w:bottom w:val="single" w:sz="4" w:space="0" w:color="auto"/>
              <w:right w:val="nil"/>
            </w:tcBorders>
            <w:noWrap/>
            <w:vAlign w:val="bottom"/>
            <w:hideMark/>
          </w:tcPr>
          <w:p w14:paraId="29D967C3"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Standard Error</w:t>
            </w:r>
          </w:p>
        </w:tc>
        <w:tc>
          <w:tcPr>
            <w:tcW w:w="1530" w:type="dxa"/>
            <w:tcBorders>
              <w:top w:val="single" w:sz="8" w:space="0" w:color="auto"/>
              <w:left w:val="nil"/>
              <w:bottom w:val="single" w:sz="4" w:space="0" w:color="auto"/>
              <w:right w:val="nil"/>
            </w:tcBorders>
            <w:noWrap/>
            <w:vAlign w:val="bottom"/>
            <w:hideMark/>
          </w:tcPr>
          <w:p w14:paraId="146E75F7"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P-value</w:t>
            </w:r>
          </w:p>
        </w:tc>
      </w:tr>
      <w:tr w:rsidR="00D534E0" w:rsidRPr="004963EA" w14:paraId="6565BE8C" w14:textId="77777777" w:rsidTr="001E5E5A">
        <w:trPr>
          <w:trHeight w:val="288"/>
          <w:jc w:val="center"/>
        </w:trPr>
        <w:tc>
          <w:tcPr>
            <w:tcW w:w="1768" w:type="dxa"/>
            <w:tcBorders>
              <w:top w:val="nil"/>
              <w:left w:val="nil"/>
              <w:bottom w:val="nil"/>
              <w:right w:val="nil"/>
            </w:tcBorders>
            <w:noWrap/>
            <w:vAlign w:val="bottom"/>
            <w:hideMark/>
          </w:tcPr>
          <w:p w14:paraId="3FDC15C1"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1254" w:type="dxa"/>
            <w:tcBorders>
              <w:top w:val="nil"/>
              <w:left w:val="nil"/>
              <w:bottom w:val="nil"/>
              <w:right w:val="nil"/>
            </w:tcBorders>
            <w:noWrap/>
            <w:vAlign w:val="bottom"/>
            <w:hideMark/>
          </w:tcPr>
          <w:p w14:paraId="793B5B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-3.161</w:t>
            </w:r>
          </w:p>
        </w:tc>
        <w:tc>
          <w:tcPr>
            <w:tcW w:w="1838" w:type="dxa"/>
            <w:tcBorders>
              <w:top w:val="nil"/>
              <w:left w:val="nil"/>
              <w:bottom w:val="nil"/>
              <w:right w:val="nil"/>
            </w:tcBorders>
            <w:noWrap/>
            <w:vAlign w:val="bottom"/>
            <w:hideMark/>
          </w:tcPr>
          <w:p w14:paraId="7529047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1.525</w:t>
            </w:r>
          </w:p>
        </w:tc>
        <w:tc>
          <w:tcPr>
            <w:tcW w:w="1530" w:type="dxa"/>
            <w:tcBorders>
              <w:top w:val="nil"/>
              <w:left w:val="nil"/>
              <w:bottom w:val="nil"/>
              <w:right w:val="nil"/>
            </w:tcBorders>
            <w:noWrap/>
            <w:vAlign w:val="bottom"/>
            <w:hideMark/>
          </w:tcPr>
          <w:p w14:paraId="419DFFA9" w14:textId="578E1D3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w:t>
            </w:r>
          </w:p>
        </w:tc>
      </w:tr>
      <w:tr w:rsidR="00D534E0" w:rsidRPr="004963EA" w14:paraId="080C1EA3" w14:textId="77777777" w:rsidTr="001E5E5A">
        <w:trPr>
          <w:trHeight w:val="288"/>
          <w:jc w:val="center"/>
        </w:trPr>
        <w:tc>
          <w:tcPr>
            <w:tcW w:w="1768" w:type="dxa"/>
            <w:tcBorders>
              <w:top w:val="nil"/>
              <w:left w:val="nil"/>
              <w:bottom w:val="nil"/>
              <w:right w:val="nil"/>
            </w:tcBorders>
            <w:noWrap/>
            <w:vAlign w:val="bottom"/>
            <w:hideMark/>
          </w:tcPr>
          <w:p w14:paraId="0B4BFDFE"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1254" w:type="dxa"/>
            <w:tcBorders>
              <w:top w:val="nil"/>
              <w:left w:val="nil"/>
              <w:bottom w:val="nil"/>
              <w:right w:val="nil"/>
            </w:tcBorders>
            <w:noWrap/>
            <w:vAlign w:val="bottom"/>
            <w:hideMark/>
          </w:tcPr>
          <w:p w14:paraId="7D5BB9C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0.017</w:t>
            </w:r>
          </w:p>
        </w:tc>
        <w:tc>
          <w:tcPr>
            <w:tcW w:w="1838" w:type="dxa"/>
            <w:tcBorders>
              <w:top w:val="nil"/>
              <w:left w:val="nil"/>
              <w:bottom w:val="nil"/>
              <w:right w:val="nil"/>
            </w:tcBorders>
            <w:noWrap/>
            <w:vAlign w:val="bottom"/>
            <w:hideMark/>
          </w:tcPr>
          <w:p w14:paraId="42F33CE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0.025</w:t>
            </w:r>
          </w:p>
        </w:tc>
        <w:tc>
          <w:tcPr>
            <w:tcW w:w="1530" w:type="dxa"/>
            <w:tcBorders>
              <w:top w:val="nil"/>
              <w:left w:val="nil"/>
              <w:bottom w:val="nil"/>
              <w:right w:val="nil"/>
            </w:tcBorders>
            <w:noWrap/>
            <w:vAlign w:val="bottom"/>
            <w:hideMark/>
          </w:tcPr>
          <w:p w14:paraId="0874E89A" w14:textId="6552195F"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w:t>
            </w:r>
            <w:r w:rsidR="00307F69" w:rsidRPr="004963EA">
              <w:rPr>
                <w:rFonts w:ascii="Arial" w:hAnsi="Arial" w:cs="Arial"/>
                <w:color w:val="000000"/>
                <w:lang w:eastAsia="en-IN" w:bidi="my-MM"/>
              </w:rPr>
              <w:t>50</w:t>
            </w:r>
          </w:p>
        </w:tc>
      </w:tr>
      <w:tr w:rsidR="00D534E0" w:rsidRPr="004963EA" w14:paraId="7C5899FE" w14:textId="77777777" w:rsidTr="001E5E5A">
        <w:trPr>
          <w:trHeight w:val="288"/>
          <w:jc w:val="center"/>
        </w:trPr>
        <w:tc>
          <w:tcPr>
            <w:tcW w:w="1768" w:type="dxa"/>
            <w:tcBorders>
              <w:top w:val="nil"/>
              <w:left w:val="nil"/>
              <w:bottom w:val="nil"/>
              <w:right w:val="nil"/>
            </w:tcBorders>
            <w:noWrap/>
            <w:vAlign w:val="bottom"/>
            <w:hideMark/>
          </w:tcPr>
          <w:p w14:paraId="53FFF9A7"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1254" w:type="dxa"/>
            <w:tcBorders>
              <w:top w:val="nil"/>
              <w:left w:val="nil"/>
              <w:bottom w:val="nil"/>
              <w:right w:val="nil"/>
            </w:tcBorders>
            <w:noWrap/>
            <w:vAlign w:val="bottom"/>
            <w:hideMark/>
          </w:tcPr>
          <w:p w14:paraId="1E195C7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-0.016</w:t>
            </w:r>
          </w:p>
        </w:tc>
        <w:tc>
          <w:tcPr>
            <w:tcW w:w="1838" w:type="dxa"/>
            <w:tcBorders>
              <w:top w:val="nil"/>
              <w:left w:val="nil"/>
              <w:bottom w:val="nil"/>
              <w:right w:val="nil"/>
            </w:tcBorders>
            <w:noWrap/>
            <w:vAlign w:val="bottom"/>
            <w:hideMark/>
          </w:tcPr>
          <w:p w14:paraId="4DFD81D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0.022</w:t>
            </w:r>
          </w:p>
        </w:tc>
        <w:tc>
          <w:tcPr>
            <w:tcW w:w="1530" w:type="dxa"/>
            <w:tcBorders>
              <w:top w:val="nil"/>
              <w:left w:val="nil"/>
              <w:bottom w:val="nil"/>
              <w:right w:val="nil"/>
            </w:tcBorders>
            <w:noWrap/>
            <w:vAlign w:val="bottom"/>
            <w:hideMark/>
          </w:tcPr>
          <w:p w14:paraId="116C21C7" w14:textId="5F37D5BA"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.48</w:t>
            </w:r>
          </w:p>
        </w:tc>
      </w:tr>
      <w:tr w:rsidR="00D534E0" w:rsidRPr="004963EA" w14:paraId="7C57206B" w14:textId="77777777" w:rsidTr="001E5E5A">
        <w:trPr>
          <w:trHeight w:val="300"/>
          <w:jc w:val="center"/>
        </w:trPr>
        <w:tc>
          <w:tcPr>
            <w:tcW w:w="1768" w:type="dxa"/>
            <w:tcBorders>
              <w:top w:val="nil"/>
              <w:left w:val="nil"/>
              <w:bottom w:val="nil"/>
              <w:right w:val="nil"/>
            </w:tcBorders>
            <w:noWrap/>
            <w:vAlign w:val="bottom"/>
            <w:hideMark/>
          </w:tcPr>
          <w:p w14:paraId="6E18A925"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1254" w:type="dxa"/>
            <w:tcBorders>
              <w:top w:val="nil"/>
              <w:left w:val="nil"/>
              <w:bottom w:val="nil"/>
              <w:right w:val="nil"/>
            </w:tcBorders>
            <w:noWrap/>
            <w:vAlign w:val="bottom"/>
            <w:hideMark/>
          </w:tcPr>
          <w:p w14:paraId="431DE4A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1.133</w:t>
            </w:r>
          </w:p>
        </w:tc>
        <w:tc>
          <w:tcPr>
            <w:tcW w:w="1838" w:type="dxa"/>
            <w:tcBorders>
              <w:top w:val="nil"/>
              <w:left w:val="nil"/>
              <w:bottom w:val="nil"/>
              <w:right w:val="nil"/>
            </w:tcBorders>
            <w:noWrap/>
            <w:vAlign w:val="bottom"/>
            <w:hideMark/>
          </w:tcPr>
          <w:p w14:paraId="6CD9D06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0.214</w:t>
            </w:r>
          </w:p>
        </w:tc>
        <w:tc>
          <w:tcPr>
            <w:tcW w:w="1530" w:type="dxa"/>
            <w:tcBorders>
              <w:top w:val="nil"/>
              <w:left w:val="nil"/>
              <w:bottom w:val="nil"/>
              <w:right w:val="nil"/>
            </w:tcBorders>
            <w:noWrap/>
            <w:vAlign w:val="bottom"/>
            <w:hideMark/>
          </w:tcPr>
          <w:p w14:paraId="7B1C00C9" w14:textId="4F324BA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r w:rsidR="00D534E0" w:rsidRPr="004963EA" w14:paraId="37010EDA" w14:textId="77777777" w:rsidTr="001E5E5A">
        <w:trPr>
          <w:trHeight w:val="300"/>
          <w:jc w:val="center"/>
        </w:trPr>
        <w:tc>
          <w:tcPr>
            <w:tcW w:w="1768" w:type="dxa"/>
            <w:tcBorders>
              <w:top w:val="nil"/>
              <w:left w:val="nil"/>
              <w:bottom w:val="single" w:sz="8" w:space="0" w:color="auto"/>
              <w:right w:val="nil"/>
            </w:tcBorders>
            <w:noWrap/>
            <w:vAlign w:val="bottom"/>
            <w:hideMark/>
          </w:tcPr>
          <w:p w14:paraId="35839D6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1254" w:type="dxa"/>
            <w:tcBorders>
              <w:top w:val="nil"/>
              <w:left w:val="nil"/>
              <w:bottom w:val="single" w:sz="8" w:space="0" w:color="auto"/>
              <w:right w:val="nil"/>
            </w:tcBorders>
            <w:noWrap/>
            <w:vAlign w:val="bottom"/>
            <w:hideMark/>
          </w:tcPr>
          <w:p w14:paraId="1539A3D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0.414</w:t>
            </w:r>
          </w:p>
        </w:tc>
        <w:tc>
          <w:tcPr>
            <w:tcW w:w="1838" w:type="dxa"/>
            <w:tcBorders>
              <w:top w:val="nil"/>
              <w:left w:val="nil"/>
              <w:bottom w:val="single" w:sz="8" w:space="0" w:color="auto"/>
              <w:right w:val="nil"/>
            </w:tcBorders>
            <w:noWrap/>
            <w:vAlign w:val="bottom"/>
            <w:hideMark/>
          </w:tcPr>
          <w:p w14:paraId="5F4EACB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0.208</w:t>
            </w:r>
          </w:p>
        </w:tc>
        <w:tc>
          <w:tcPr>
            <w:tcW w:w="1530" w:type="dxa"/>
            <w:tcBorders>
              <w:top w:val="nil"/>
              <w:left w:val="nil"/>
              <w:bottom w:val="single" w:sz="8" w:space="0" w:color="auto"/>
              <w:right w:val="nil"/>
            </w:tcBorders>
            <w:noWrap/>
            <w:vAlign w:val="bottom"/>
            <w:hideMark/>
          </w:tcPr>
          <w:p w14:paraId="6844EB3A" w14:textId="02A13413"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.05</w:t>
            </w:r>
          </w:p>
        </w:tc>
      </w:tr>
    </w:tbl>
    <w:p w14:paraId="3EA3818F" w14:textId="77777777" w:rsidR="00D534E0" w:rsidRPr="004963EA" w:rsidRDefault="00D534E0" w:rsidP="00D534E0">
      <w:pPr>
        <w:jc w:val="both"/>
        <w:rPr>
          <w:rFonts w:ascii="Arial" w:hAnsi="Arial" w:cs="Arial"/>
          <w:color w:val="000000"/>
        </w:rPr>
      </w:pPr>
      <w:r w:rsidRPr="004963EA">
        <w:rPr>
          <w:rFonts w:ascii="Arial" w:hAnsi="Arial" w:cs="Arial"/>
          <w:i/>
          <w:iCs/>
          <w:color w:val="000000"/>
          <w:lang w:eastAsia="en-IN" w:bidi="my-MM"/>
        </w:rPr>
        <w:t>Source: Author’s calculation based on secondary data</w:t>
      </w:r>
    </w:p>
    <w:p w14:paraId="21AE25EA" w14:textId="77777777" w:rsidR="00D534E0" w:rsidRPr="004963EA" w:rsidRDefault="00D534E0" w:rsidP="00D534E0">
      <w:pPr>
        <w:rPr>
          <w:rFonts w:ascii="Arial" w:hAnsi="Arial" w:cs="Arial"/>
        </w:rPr>
      </w:pPr>
    </w:p>
    <w:p w14:paraId="30F1491E" w14:textId="5ECBAB4E" w:rsidR="00D534E0" w:rsidRPr="004963EA" w:rsidRDefault="00307F69" w:rsidP="00D534E0">
      <w:pPr>
        <w:rPr>
          <w:rFonts w:ascii="Arial" w:hAnsi="Arial" w:cs="Arial"/>
          <w:b/>
          <w:bCs/>
          <w:u w:val="single"/>
        </w:rPr>
      </w:pPr>
      <w:r w:rsidRPr="004963EA">
        <w:rPr>
          <w:rFonts w:ascii="Arial" w:hAnsi="Arial" w:cs="Arial"/>
          <w:b/>
          <w:bCs/>
          <w:u w:val="single"/>
        </w:rPr>
        <w:t xml:space="preserve">3.1.3 </w:t>
      </w:r>
      <w:r w:rsidR="00D534E0" w:rsidRPr="004963EA">
        <w:rPr>
          <w:rFonts w:ascii="Arial" w:hAnsi="Arial" w:cs="Arial"/>
          <w:b/>
          <w:bCs/>
          <w:u w:val="single"/>
        </w:rPr>
        <w:t>Basic Robustness Checks</w:t>
      </w:r>
    </w:p>
    <w:p w14:paraId="338EC5D6" w14:textId="77777777" w:rsidR="00D534E0" w:rsidRPr="004963EA" w:rsidRDefault="00D534E0" w:rsidP="00D534E0">
      <w:pPr>
        <w:ind w:firstLine="720"/>
        <w:rPr>
          <w:rFonts w:ascii="Arial" w:hAnsi="Arial" w:cs="Arial"/>
        </w:rPr>
      </w:pPr>
      <w:r w:rsidRPr="004963EA">
        <w:rPr>
          <w:rFonts w:ascii="Arial" w:hAnsi="Arial" w:cs="Arial"/>
        </w:rPr>
        <w:t xml:space="preserve">Year dummies (2012–2024) is added to the </w:t>
      </w:r>
      <w:proofErr w:type="spellStart"/>
      <w:r w:rsidRPr="004963EA">
        <w:rPr>
          <w:rFonts w:ascii="Arial" w:hAnsi="Arial" w:cs="Arial"/>
        </w:rPr>
        <w:t>lnTrade</w:t>
      </w:r>
      <w:proofErr w:type="spellEnd"/>
      <w:r w:rsidRPr="004963EA">
        <w:rPr>
          <w:rFonts w:ascii="Arial" w:hAnsi="Arial" w:cs="Arial"/>
        </w:rPr>
        <w:t xml:space="preserve"> regression:</w:t>
      </w:r>
    </w:p>
    <w:p w14:paraId="07487697" w14:textId="77777777" w:rsidR="00D534E0" w:rsidRPr="004963EA" w:rsidRDefault="00D534E0" w:rsidP="00D534E0">
      <w:pPr>
        <w:jc w:val="center"/>
        <w:rPr>
          <w:rFonts w:ascii="Arial" w:hAnsi="Arial" w:cs="Arial"/>
        </w:rPr>
      </w:pPr>
      <m:oMathPara>
        <m:oMath>
          <m:r>
            <m:rPr>
              <m:sty m:val="p"/>
            </m:rPr>
            <w:rPr>
              <w:rFonts w:ascii="Cambria Math" w:hAnsi="Cambria Math" w:cs="Arial"/>
            </w:rPr>
            <m:t>ln</m:t>
          </m:r>
          <m:r>
            <w:rPr>
              <w:rFonts w:ascii="Cambria Math" w:hAnsi="Cambria Math" w:cs="Arial"/>
            </w:rPr>
            <m:t>⁡Trad</m:t>
          </m:r>
          <m:sSub>
            <m:sSubPr>
              <m:ctrlPr>
                <w:rPr>
                  <w:rFonts w:ascii="Cambria Math" w:hAnsi="Cambria Math" w:cs="Arial"/>
                </w:rPr>
              </m:ctrlPr>
            </m:sSubPr>
            <m:e>
              <m:r>
                <w:rPr>
                  <w:rFonts w:ascii="Cambria Math" w:hAnsi="Cambria Math" w:cs="Arial"/>
                </w:rPr>
                <m:t>e</m:t>
              </m:r>
            </m:e>
            <m:sub>
              <m:r>
                <w:rPr>
                  <w:rFonts w:ascii="Cambria Math" w:hAnsi="Cambria Math" w:cs="Arial"/>
                </w:rPr>
                <m:t>ijt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jt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m:rPr>
              <m:sty m:val="p"/>
            </m:rPr>
            <w:rPr>
              <w:rFonts w:ascii="Cambria Math" w:hAnsi="Cambria Math" w:cs="Arial"/>
            </w:rPr>
            <m:t>ln</m:t>
          </m:r>
          <m:r>
            <w:rPr>
              <w:rFonts w:ascii="Cambria Math" w:hAnsi="Cambria Math" w:cs="Arial"/>
            </w:rPr>
            <m:t>⁡Distanc</m:t>
          </m:r>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m:rPr>
              <m:sty m:val="p"/>
            </m:rPr>
            <w:rPr>
              <w:rFonts w:ascii="Cambria Math" w:hAnsi="Cambria Math" w:cs="Arial"/>
            </w:rPr>
            <m:t>ln</m:t>
          </m:r>
          <m:r>
            <w:rPr>
              <w:rFonts w:ascii="Cambria Math" w:hAnsi="Cambria Math" w:cs="Arial"/>
            </w:rPr>
            <m:t>⁡Ope</m:t>
          </m:r>
          <m:sSub>
            <m:sSubPr>
              <m:ctrlPr>
                <w:rPr>
                  <w:rFonts w:ascii="Cambria Math" w:hAnsi="Cambria Math" w:cs="Arial"/>
                </w:rPr>
              </m:ctrlPr>
            </m:sSubPr>
            <m:e>
              <m:r>
                <w:rPr>
                  <w:rFonts w:ascii="Cambria Math" w:hAnsi="Cambria Math" w:cs="Arial"/>
                </w:rPr>
                <m:t>n</m:t>
              </m:r>
            </m:e>
            <m:sub>
              <m:r>
                <w:rPr>
                  <w:rFonts w:ascii="Cambria Math" w:hAnsi="Cambria Math" w:cs="Arial"/>
                </w:rPr>
                <m:t>jt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t</m:t>
              </m:r>
            </m:sub>
            <m:sup/>
            <m:e>
              <m:sSub>
                <m:sSubPr>
                  <m:ctrlPr>
                    <w:rPr>
                      <w:rFonts w:ascii="Cambria Math" w:hAnsi="Cambria Math" w:cs="Arial"/>
                    </w:rPr>
                  </m:ctrlPr>
                </m:sSubPr>
                <m:e>
                  <m:r>
                    <w:rPr>
                      <w:rFonts w:ascii="Cambria Math" w:hAnsi="Cambria Math" w:cs="Arial"/>
                    </w:rPr>
                    <m:t>γ</m:t>
                  </m:r>
                </m:e>
                <m:sub>
                  <m:r>
                    <w:rPr>
                      <w:rFonts w:ascii="Cambria Math" w:hAnsi="Cambria Math" w:cs="Arial"/>
                    </w:rPr>
                    <m:t>t</m:t>
                  </m:r>
                </m:sub>
              </m:sSub>
            </m:e>
          </m:nary>
          <m:sSub>
            <m:sSubPr>
              <m:ctrlPr>
                <w:rPr>
                  <w:rFonts w:ascii="Cambria Math" w:hAnsi="Cambria Math" w:cs="Arial"/>
                </w:rPr>
              </m:ctrlPr>
            </m:sSubPr>
            <m:e>
              <m:r>
                <w:rPr>
                  <w:rFonts w:ascii="Cambria Math" w:hAnsi="Cambria Math" w:cs="Arial"/>
                </w:rPr>
                <m:t>D</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ijt</m:t>
              </m:r>
            </m:sub>
          </m:sSub>
          <m:r>
            <m:rPr>
              <m:sty m:val="p"/>
            </m:rPr>
            <w:rPr>
              <w:rFonts w:ascii="Cambria Math" w:hAnsi="Cambria Math" w:cs="Arial"/>
            </w:rPr>
            <w:br/>
          </m:r>
        </m:oMath>
      </m:oMathPara>
    </w:p>
    <w:tbl>
      <w:tblPr>
        <w:tblW w:w="8692" w:type="dxa"/>
        <w:jc w:val="center"/>
        <w:tblLook w:val="04A0" w:firstRow="1" w:lastRow="0" w:firstColumn="1" w:lastColumn="0" w:noHBand="0" w:noVBand="1"/>
      </w:tblPr>
      <w:tblGrid>
        <w:gridCol w:w="1510"/>
        <w:gridCol w:w="2456"/>
        <w:gridCol w:w="2243"/>
        <w:gridCol w:w="2483"/>
      </w:tblGrid>
      <w:tr w:rsidR="00D534E0" w:rsidRPr="004963EA" w14:paraId="77E2479B" w14:textId="77777777" w:rsidTr="001E5E5A">
        <w:trPr>
          <w:trHeight w:val="288"/>
          <w:jc w:val="center"/>
        </w:trPr>
        <w:tc>
          <w:tcPr>
            <w:tcW w:w="8692" w:type="dxa"/>
            <w:gridSpan w:val="4"/>
            <w:tcBorders>
              <w:bottom w:val="single" w:sz="4" w:space="0" w:color="auto"/>
            </w:tcBorders>
            <w:noWrap/>
          </w:tcPr>
          <w:p w14:paraId="01FA3C27" w14:textId="77777777" w:rsidR="00D534E0" w:rsidRPr="004963EA" w:rsidRDefault="00D534E0" w:rsidP="00D534E0">
            <w:pPr>
              <w:jc w:val="center"/>
              <w:rPr>
                <w:rFonts w:ascii="Arial" w:hAnsi="Arial" w:cs="Arial"/>
                <w:b/>
                <w:bCs/>
                <w:color w:val="000000"/>
                <w:lang w:eastAsia="en-IN" w:bidi="my-MM"/>
              </w:rPr>
            </w:pPr>
            <w:r w:rsidRPr="004963EA">
              <w:rPr>
                <w:rFonts w:ascii="Arial" w:hAnsi="Arial" w:cs="Arial"/>
                <w:b/>
                <w:bCs/>
              </w:rPr>
              <w:t xml:space="preserve">Table 6. Regression result of </w:t>
            </w:r>
            <w:proofErr w:type="spellStart"/>
            <w:r w:rsidRPr="004963EA">
              <w:rPr>
                <w:rFonts w:ascii="Arial" w:hAnsi="Arial" w:cs="Arial"/>
                <w:b/>
                <w:bCs/>
              </w:rPr>
              <w:t>lnTrade</w:t>
            </w:r>
            <w:proofErr w:type="spellEnd"/>
            <w:r w:rsidRPr="004963EA">
              <w:rPr>
                <w:rFonts w:ascii="Arial" w:hAnsi="Arial" w:cs="Arial"/>
                <w:b/>
                <w:bCs/>
              </w:rPr>
              <w:t xml:space="preserve"> with year fixed effects</w:t>
            </w:r>
          </w:p>
        </w:tc>
      </w:tr>
      <w:tr w:rsidR="00D534E0" w:rsidRPr="004963EA" w14:paraId="7BC494F8"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hideMark/>
          </w:tcPr>
          <w:p w14:paraId="3EE2024B" w14:textId="77777777" w:rsidR="00D534E0" w:rsidRPr="004963EA" w:rsidRDefault="00D534E0" w:rsidP="00D534E0">
            <w:pPr>
              <w:jc w:val="center"/>
              <w:rPr>
                <w:rFonts w:ascii="Arial" w:hAnsi="Arial" w:cs="Arial"/>
                <w:b/>
                <w:bCs/>
                <w:color w:val="000000"/>
                <w:lang w:eastAsia="en-IN" w:bidi="my-MM"/>
              </w:rPr>
            </w:pPr>
            <w:r w:rsidRPr="004963EA">
              <w:rPr>
                <w:rFonts w:ascii="Arial" w:hAnsi="Arial" w:cs="Arial"/>
                <w:b/>
                <w:bCs/>
                <w:color w:val="000000"/>
                <w:lang w:eastAsia="en-IN" w:bidi="my-MM"/>
              </w:rPr>
              <w:t>variable</w:t>
            </w:r>
          </w:p>
        </w:tc>
        <w:tc>
          <w:tcPr>
            <w:tcW w:w="2456" w:type="dxa"/>
            <w:tcBorders>
              <w:top w:val="single" w:sz="4" w:space="0" w:color="auto"/>
              <w:left w:val="nil"/>
              <w:bottom w:val="single" w:sz="4" w:space="0" w:color="auto"/>
              <w:right w:val="single" w:sz="4" w:space="0" w:color="auto"/>
            </w:tcBorders>
            <w:noWrap/>
            <w:hideMark/>
          </w:tcPr>
          <w:p w14:paraId="7F7EC0E6" w14:textId="77777777" w:rsidR="00D534E0" w:rsidRPr="004963EA" w:rsidRDefault="00D534E0" w:rsidP="00D534E0">
            <w:pPr>
              <w:jc w:val="center"/>
              <w:rPr>
                <w:rFonts w:ascii="Arial" w:hAnsi="Arial" w:cs="Arial"/>
                <w:b/>
                <w:bCs/>
                <w:color w:val="000000"/>
                <w:lang w:eastAsia="en-IN" w:bidi="my-MM"/>
              </w:rPr>
            </w:pPr>
            <w:proofErr w:type="spellStart"/>
            <w:r w:rsidRPr="004963EA">
              <w:rPr>
                <w:rFonts w:ascii="Arial" w:hAnsi="Arial" w:cs="Arial"/>
                <w:b/>
                <w:bCs/>
                <w:color w:val="000000"/>
                <w:lang w:eastAsia="en-IN" w:bidi="my-MM"/>
              </w:rPr>
              <w:t>lnTrade_yearFE_coef</w:t>
            </w:r>
            <w:proofErr w:type="spellEnd"/>
          </w:p>
        </w:tc>
        <w:tc>
          <w:tcPr>
            <w:tcW w:w="2243" w:type="dxa"/>
            <w:tcBorders>
              <w:top w:val="single" w:sz="4" w:space="0" w:color="auto"/>
              <w:left w:val="nil"/>
              <w:bottom w:val="single" w:sz="4" w:space="0" w:color="auto"/>
              <w:right w:val="single" w:sz="4" w:space="0" w:color="auto"/>
            </w:tcBorders>
            <w:noWrap/>
            <w:hideMark/>
          </w:tcPr>
          <w:p w14:paraId="3CBB2699" w14:textId="77777777" w:rsidR="00D534E0" w:rsidRPr="004963EA" w:rsidRDefault="00D534E0" w:rsidP="00D534E0">
            <w:pPr>
              <w:jc w:val="center"/>
              <w:rPr>
                <w:rFonts w:ascii="Arial" w:hAnsi="Arial" w:cs="Arial"/>
                <w:b/>
                <w:bCs/>
                <w:color w:val="000000"/>
                <w:lang w:eastAsia="en-IN" w:bidi="my-MM"/>
              </w:rPr>
            </w:pPr>
            <w:proofErr w:type="spellStart"/>
            <w:r w:rsidRPr="004963EA">
              <w:rPr>
                <w:rFonts w:ascii="Arial" w:hAnsi="Arial" w:cs="Arial"/>
                <w:b/>
                <w:bCs/>
                <w:color w:val="000000"/>
                <w:lang w:eastAsia="en-IN" w:bidi="my-MM"/>
              </w:rPr>
              <w:t>lnTrade_yearFE_se</w:t>
            </w:r>
            <w:proofErr w:type="spellEnd"/>
          </w:p>
        </w:tc>
        <w:tc>
          <w:tcPr>
            <w:tcW w:w="2483" w:type="dxa"/>
            <w:tcBorders>
              <w:top w:val="single" w:sz="4" w:space="0" w:color="auto"/>
              <w:left w:val="nil"/>
              <w:bottom w:val="single" w:sz="4" w:space="0" w:color="auto"/>
              <w:right w:val="single" w:sz="4" w:space="0" w:color="auto"/>
            </w:tcBorders>
            <w:noWrap/>
            <w:hideMark/>
          </w:tcPr>
          <w:p w14:paraId="72C49CE9" w14:textId="77777777" w:rsidR="00D534E0" w:rsidRPr="004963EA" w:rsidRDefault="00D534E0" w:rsidP="00D534E0">
            <w:pPr>
              <w:jc w:val="center"/>
              <w:rPr>
                <w:rFonts w:ascii="Arial" w:hAnsi="Arial" w:cs="Arial"/>
                <w:b/>
                <w:bCs/>
                <w:color w:val="000000"/>
                <w:lang w:eastAsia="en-IN" w:bidi="my-MM"/>
              </w:rPr>
            </w:pPr>
            <w:proofErr w:type="spellStart"/>
            <w:r w:rsidRPr="004963EA">
              <w:rPr>
                <w:rFonts w:ascii="Arial" w:hAnsi="Arial" w:cs="Arial"/>
                <w:b/>
                <w:bCs/>
                <w:color w:val="000000"/>
                <w:lang w:eastAsia="en-IN" w:bidi="my-MM"/>
              </w:rPr>
              <w:t>lnTrade_yearFE_pval</w:t>
            </w:r>
            <w:proofErr w:type="spellEnd"/>
          </w:p>
        </w:tc>
      </w:tr>
      <w:tr w:rsidR="00D534E0" w:rsidRPr="004963EA" w14:paraId="70326E2D"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3F93F7E3"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2A999ACE"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4.980</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61D4946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1.846</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34EC6EE" w14:textId="3D205B48"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w:t>
            </w:r>
            <w:r w:rsidR="00307F69" w:rsidRPr="004963EA">
              <w:rPr>
                <w:rFonts w:ascii="Arial" w:hAnsi="Arial" w:cs="Arial"/>
                <w:color w:val="000000"/>
                <w:lang w:eastAsia="en-IN" w:bidi="my-MM"/>
              </w:rPr>
              <w:t>1</w:t>
            </w:r>
          </w:p>
        </w:tc>
      </w:tr>
      <w:tr w:rsidR="00D534E0" w:rsidRPr="004963EA" w14:paraId="7AAA42A3"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59B9ACC2"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325646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0.158</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0C8A43D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0.063</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2F58BF29" w14:textId="1DFA8AE5"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w:t>
            </w:r>
          </w:p>
        </w:tc>
      </w:tr>
      <w:tr w:rsidR="00D534E0" w:rsidRPr="004963EA" w14:paraId="4A72C3F9"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70CB50A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2E16CE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0.015</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D1CE01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0.048</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7CCE4D0" w14:textId="7F75B29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w:t>
            </w:r>
            <w:r w:rsidR="00307F69" w:rsidRPr="004963EA">
              <w:rPr>
                <w:rFonts w:ascii="Arial" w:hAnsi="Arial" w:cs="Arial"/>
                <w:color w:val="000000"/>
                <w:lang w:eastAsia="en-IN" w:bidi="my-MM"/>
              </w:rPr>
              <w:t>6</w:t>
            </w:r>
          </w:p>
        </w:tc>
      </w:tr>
      <w:tr w:rsidR="00D534E0" w:rsidRPr="004963EA" w14:paraId="2A1A1E1F"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2FD4FB14"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18B0FD0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0.501</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8E7589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0.279</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E3FA141" w14:textId="61513314"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.07</w:t>
            </w:r>
          </w:p>
        </w:tc>
      </w:tr>
      <w:tr w:rsidR="00D534E0" w:rsidRPr="004963EA" w14:paraId="54E5CB53"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47024721"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D6F9BD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-0.413</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7DBAAC0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0.317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7D6633FF" w14:textId="0321799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.19</w:t>
            </w:r>
          </w:p>
        </w:tc>
      </w:tr>
      <w:tr w:rsidR="00D534E0" w:rsidRPr="004963EA" w14:paraId="3B235B72"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0EB61B94"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y_2012</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7B4CA9D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0.238</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71DB73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0.607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5A098AEC" w14:textId="36421183"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.69</w:t>
            </w:r>
          </w:p>
        </w:tc>
      </w:tr>
      <w:tr w:rsidR="00D534E0" w:rsidRPr="004963EA" w14:paraId="59C45EC1"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56780AD7"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y_2013</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5644BF8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2675A88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0.646</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0ACF9CF0" w14:textId="1FA693E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.97</w:t>
            </w:r>
          </w:p>
        </w:tc>
      </w:tr>
      <w:tr w:rsidR="00D534E0" w:rsidRPr="004963EA" w14:paraId="44754248"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5D73FB7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y_2014</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582C68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-0.062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50792D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0.671</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4E985156" w14:textId="59719A9F"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w:t>
            </w:r>
            <w:r w:rsidR="00307F69" w:rsidRPr="004963EA">
              <w:rPr>
                <w:rFonts w:ascii="Arial" w:hAnsi="Arial" w:cs="Arial"/>
                <w:color w:val="000000"/>
                <w:lang w:eastAsia="en-IN" w:bidi="my-MM"/>
              </w:rPr>
              <w:t>3</w:t>
            </w:r>
          </w:p>
        </w:tc>
      </w:tr>
      <w:tr w:rsidR="00D534E0" w:rsidRPr="004963EA" w14:paraId="1107C13B"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617CAF87"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y_2015</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0766B30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-0.154</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09EFA78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0.616</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49F9D907" w14:textId="3B0258A5"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.80</w:t>
            </w:r>
          </w:p>
        </w:tc>
      </w:tr>
      <w:tr w:rsidR="00D534E0" w:rsidRPr="004963EA" w14:paraId="0B2B3354"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718CA62F"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y_2016</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BD04A4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-0.182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0BEE46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0.612</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764D365B" w14:textId="1254D7C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w:t>
            </w:r>
            <w:r w:rsidR="00307F69" w:rsidRPr="004963EA">
              <w:rPr>
                <w:rFonts w:ascii="Arial" w:hAnsi="Arial" w:cs="Arial"/>
                <w:color w:val="000000"/>
                <w:lang w:eastAsia="en-IN" w:bidi="my-MM"/>
              </w:rPr>
              <w:t>7</w:t>
            </w:r>
          </w:p>
        </w:tc>
      </w:tr>
      <w:tr w:rsidR="00D534E0" w:rsidRPr="004963EA" w14:paraId="4335AEAC"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135CD12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y_2017</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6AD031A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0.151</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00EFE1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0.632</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6A36610A" w14:textId="5BE793AF"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.81</w:t>
            </w:r>
          </w:p>
        </w:tc>
      </w:tr>
      <w:tr w:rsidR="00D534E0" w:rsidRPr="004963EA" w14:paraId="48C069AD"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7D7AE7D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lastRenderedPageBreak/>
              <w:t>y_2018</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6F1DA18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0.355</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ECBE57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0.643</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4F2E92BE" w14:textId="5E1993F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.58</w:t>
            </w:r>
          </w:p>
        </w:tc>
      </w:tr>
      <w:tr w:rsidR="00D534E0" w:rsidRPr="004963EA" w14:paraId="1328EA9B"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18A2E5D8"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y_2019</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C585AB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0.692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249C469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0.662</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1A4CE639" w14:textId="3F1B403C"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w:t>
            </w:r>
            <w:r w:rsidR="00307F69" w:rsidRPr="004963EA">
              <w:rPr>
                <w:rFonts w:ascii="Arial" w:hAnsi="Arial" w:cs="Arial"/>
                <w:color w:val="000000"/>
                <w:lang w:eastAsia="en-IN" w:bidi="my-MM"/>
              </w:rPr>
              <w:t>30</w:t>
            </w:r>
          </w:p>
        </w:tc>
      </w:tr>
      <w:tr w:rsidR="00D534E0" w:rsidRPr="004963EA" w14:paraId="19339C89"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23BD043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y_2020</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2558806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2.315</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F4222D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0.829</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73F79E2" w14:textId="6238B409"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w:t>
            </w:r>
            <w:r w:rsidR="00307F69" w:rsidRPr="004963EA">
              <w:rPr>
                <w:rFonts w:ascii="Arial" w:hAnsi="Arial" w:cs="Arial"/>
                <w:color w:val="000000"/>
                <w:lang w:eastAsia="en-IN" w:bidi="my-MM"/>
              </w:rPr>
              <w:t>1</w:t>
            </w:r>
          </w:p>
        </w:tc>
      </w:tr>
      <w:tr w:rsidR="00D534E0" w:rsidRPr="004963EA" w14:paraId="4F13A363"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6C08E78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y_2021</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2CA7AD0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0.301</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37A6480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0.671</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0126F863" w14:textId="5826731E"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.65</w:t>
            </w:r>
          </w:p>
        </w:tc>
      </w:tr>
      <w:tr w:rsidR="00D534E0" w:rsidRPr="004963EA" w14:paraId="3BE4215C"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3F6FFA5D"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y_2022</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5E4883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0.419</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6B4A9C4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0.697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285ABBD2" w14:textId="6179ABA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w:t>
            </w:r>
            <w:r w:rsidR="00307F69" w:rsidRPr="004963EA">
              <w:rPr>
                <w:rFonts w:ascii="Arial" w:hAnsi="Arial" w:cs="Arial"/>
                <w:color w:val="000000"/>
                <w:lang w:eastAsia="en-IN" w:bidi="my-MM"/>
              </w:rPr>
              <w:t>5</w:t>
            </w:r>
          </w:p>
        </w:tc>
      </w:tr>
      <w:tr w:rsidR="00D534E0" w:rsidRPr="004963EA" w14:paraId="2B8FAC3A"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39E0977F"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y_2023</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7820AB2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0.026</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1852734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0.719</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2E1D0D30" w14:textId="4E74D619"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.97</w:t>
            </w:r>
          </w:p>
        </w:tc>
      </w:tr>
      <w:tr w:rsidR="00D534E0" w:rsidRPr="004963EA" w14:paraId="6CA0E9EA"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41CEF2F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y_2024</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B4C4CB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0.590</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7927F7E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0.657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0D5E1038" w14:textId="53AB3AB5"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w:t>
            </w:r>
            <w:r w:rsidR="00307F69" w:rsidRPr="004963EA">
              <w:rPr>
                <w:rFonts w:ascii="Arial" w:hAnsi="Arial" w:cs="Arial"/>
                <w:color w:val="000000"/>
                <w:lang w:eastAsia="en-IN" w:bidi="my-MM"/>
              </w:rPr>
              <w:t>7</w:t>
            </w:r>
          </w:p>
        </w:tc>
      </w:tr>
      <w:tr w:rsidR="00D534E0" w:rsidRPr="004963EA" w14:paraId="0AB22FD9" w14:textId="77777777" w:rsidTr="001E5E5A">
        <w:trPr>
          <w:trHeight w:val="288"/>
          <w:jc w:val="center"/>
        </w:trPr>
        <w:tc>
          <w:tcPr>
            <w:tcW w:w="8692" w:type="dxa"/>
            <w:gridSpan w:val="4"/>
            <w:tcBorders>
              <w:top w:val="single" w:sz="4" w:space="0" w:color="auto"/>
            </w:tcBorders>
            <w:noWrap/>
            <w:vAlign w:val="center"/>
          </w:tcPr>
          <w:p w14:paraId="743AB156" w14:textId="77777777" w:rsidR="00D534E0" w:rsidRPr="004963EA" w:rsidRDefault="00D534E0" w:rsidP="00307F69">
            <w:pPr>
              <w:jc w:val="both"/>
              <w:rPr>
                <w:rFonts w:ascii="Arial" w:hAnsi="Arial" w:cs="Arial"/>
                <w:color w:val="000000"/>
                <w:lang w:eastAsia="en-IN" w:bidi="my-MM"/>
              </w:rPr>
            </w:pPr>
            <w:r w:rsidRPr="004963EA">
              <w:rPr>
                <w:rFonts w:ascii="Arial" w:hAnsi="Arial" w:cs="Arial"/>
                <w:i/>
                <w:iCs/>
                <w:color w:val="000000"/>
                <w:lang w:eastAsia="en-IN" w:bidi="my-MM"/>
              </w:rPr>
              <w:t>Source: Author’s calculation based on secondary data</w:t>
            </w:r>
          </w:p>
        </w:tc>
      </w:tr>
    </w:tbl>
    <w:p w14:paraId="70E25831" w14:textId="77777777" w:rsidR="00D534E0" w:rsidRPr="004963EA" w:rsidRDefault="00D534E0" w:rsidP="00D534E0">
      <w:pPr>
        <w:jc w:val="both"/>
        <w:rPr>
          <w:rFonts w:ascii="Arial" w:hAnsi="Arial" w:cs="Arial"/>
        </w:rPr>
      </w:pPr>
    </w:p>
    <w:p w14:paraId="365E5121" w14:textId="26B7A6A3" w:rsidR="00D534E0" w:rsidRPr="004963EA" w:rsidRDefault="00307F69" w:rsidP="00307F69">
      <w:pPr>
        <w:rPr>
          <w:rFonts w:ascii="Arial" w:hAnsi="Arial" w:cs="Arial"/>
          <w:b/>
          <w:bCs/>
          <w:sz w:val="22"/>
          <w:szCs w:val="22"/>
        </w:rPr>
      </w:pPr>
      <w:r w:rsidRPr="004963EA">
        <w:rPr>
          <w:rFonts w:ascii="Arial" w:hAnsi="Arial" w:cs="Arial"/>
          <w:b/>
          <w:bCs/>
          <w:sz w:val="22"/>
          <w:szCs w:val="22"/>
        </w:rPr>
        <w:t xml:space="preserve">3.2 </w:t>
      </w:r>
      <w:r w:rsidR="00D534E0" w:rsidRPr="004963EA">
        <w:rPr>
          <w:rFonts w:ascii="Arial" w:hAnsi="Arial" w:cs="Arial"/>
          <w:b/>
          <w:bCs/>
          <w:sz w:val="22"/>
          <w:szCs w:val="22"/>
        </w:rPr>
        <w:t>Results and Discussion</w:t>
      </w:r>
    </w:p>
    <w:p w14:paraId="5B5B263E" w14:textId="090EFCED" w:rsidR="00D534E0" w:rsidRPr="004963EA" w:rsidRDefault="00307F69" w:rsidP="00307F69">
      <w:pPr>
        <w:rPr>
          <w:rFonts w:ascii="Arial" w:hAnsi="Arial" w:cs="Arial"/>
          <w:b/>
          <w:bCs/>
          <w:u w:val="single"/>
        </w:rPr>
      </w:pPr>
      <w:r w:rsidRPr="004963EA">
        <w:rPr>
          <w:rFonts w:ascii="Arial" w:hAnsi="Arial" w:cs="Arial"/>
          <w:b/>
          <w:bCs/>
          <w:u w:val="single"/>
        </w:rPr>
        <w:t xml:space="preserve">3.2.1 </w:t>
      </w:r>
      <w:r w:rsidR="00D534E0" w:rsidRPr="004963EA">
        <w:rPr>
          <w:rFonts w:ascii="Arial" w:hAnsi="Arial" w:cs="Arial"/>
          <w:b/>
          <w:bCs/>
          <w:u w:val="single"/>
        </w:rPr>
        <w:t>Descriptive Results</w:t>
      </w:r>
    </w:p>
    <w:p w14:paraId="52D70EC2" w14:textId="77777777" w:rsidR="00D534E0" w:rsidRPr="004963EA" w:rsidRDefault="00D534E0" w:rsidP="00D534E0">
      <w:pPr>
        <w:ind w:firstLine="720"/>
        <w:jc w:val="both"/>
        <w:rPr>
          <w:rFonts w:ascii="Arial" w:hAnsi="Arial" w:cs="Arial"/>
        </w:rPr>
      </w:pPr>
      <w:r w:rsidRPr="004963EA">
        <w:rPr>
          <w:rFonts w:ascii="Arial" w:hAnsi="Arial" w:cs="Arial"/>
        </w:rPr>
        <w:t>In table (1), India’s trade with BIMSTEC partners shows substantial variation, with average bilateral trade of USD 6117 million and high dispersion, indicating uneven partner contributions. Exports dominate imports, reflecting India’s regional trade surplus. Distance averages 1,859 km with moderate variation, while partner trade openness is relatively high. Log-transformed variables display lower dispersion, suitable for gravity modelling. GDP measures show wide economic diversity across partners, supporting elasticity estimation.</w:t>
      </w:r>
    </w:p>
    <w:p w14:paraId="1F5E1A72" w14:textId="77777777" w:rsidR="00D534E0" w:rsidRPr="004963EA" w:rsidRDefault="00D534E0" w:rsidP="00D534E0">
      <w:pPr>
        <w:ind w:firstLine="720"/>
        <w:jc w:val="both"/>
        <w:rPr>
          <w:rFonts w:ascii="Arial" w:hAnsi="Arial" w:cs="Arial"/>
        </w:rPr>
      </w:pPr>
      <w:r w:rsidRPr="004963EA">
        <w:rPr>
          <w:rFonts w:ascii="Arial" w:hAnsi="Arial" w:cs="Arial"/>
        </w:rPr>
        <w:t>In table (2), trade patterns vary widely across partners. Thailand and Bangladesh record the highest average trade values, reflecting strong economic ties with India, while Bhutan and Myanmar show comparatively smaller volumes. Nepal and Sri Lanka maintain moderate but consistent trade levels, highlighting diverse economic linkages within the BIMSTEC region.</w:t>
      </w:r>
    </w:p>
    <w:p w14:paraId="78294574" w14:textId="77777777" w:rsidR="00D534E0" w:rsidRPr="004963EA" w:rsidRDefault="00D534E0" w:rsidP="00D534E0">
      <w:pPr>
        <w:jc w:val="both"/>
        <w:rPr>
          <w:rFonts w:ascii="Arial" w:hAnsi="Arial" w:cs="Arial"/>
        </w:rPr>
      </w:pPr>
    </w:p>
    <w:p w14:paraId="625A5C43" w14:textId="1832FFA3" w:rsidR="00D534E0" w:rsidRPr="004963EA" w:rsidRDefault="00307F69" w:rsidP="00307F69">
      <w:pPr>
        <w:rPr>
          <w:rFonts w:ascii="Arial" w:hAnsi="Arial" w:cs="Arial"/>
          <w:b/>
          <w:bCs/>
          <w:u w:val="single"/>
        </w:rPr>
      </w:pPr>
      <w:r w:rsidRPr="004963EA">
        <w:rPr>
          <w:rFonts w:ascii="Arial" w:hAnsi="Arial" w:cs="Arial"/>
          <w:b/>
          <w:bCs/>
          <w:u w:val="single"/>
        </w:rPr>
        <w:t xml:space="preserve">3.2.2 </w:t>
      </w:r>
      <w:r w:rsidR="00D534E0" w:rsidRPr="004963EA">
        <w:rPr>
          <w:rFonts w:ascii="Arial" w:hAnsi="Arial" w:cs="Arial"/>
          <w:b/>
          <w:bCs/>
          <w:u w:val="single"/>
        </w:rPr>
        <w:t>Regression Results: Baseline Gravity Model</w:t>
      </w:r>
    </w:p>
    <w:p w14:paraId="3F92708C" w14:textId="77777777" w:rsidR="00D534E0" w:rsidRPr="004963EA" w:rsidRDefault="00D534E0" w:rsidP="00D534E0">
      <w:pPr>
        <w:ind w:firstLine="720"/>
        <w:jc w:val="both"/>
        <w:rPr>
          <w:rFonts w:ascii="Arial" w:hAnsi="Arial" w:cs="Arial"/>
        </w:rPr>
      </w:pPr>
      <w:r w:rsidRPr="004963EA">
        <w:rPr>
          <w:rFonts w:ascii="Arial" w:hAnsi="Arial" w:cs="Arial"/>
        </w:rPr>
        <w:t>In table (3), the regression explains only a small share of trade variation (R² = 0.068), indicating limited explanatory power. India’s and partners’ GDP coefficients are positive and negative respectively but insignificant, suggesting weak income effects. Distance shows a borderline positive effect, reflecting structural features of BIMSTEC trade, while partner openness has a negative but insignificant influence. Overall, gravity variables do not strongly predict India–BIMSTEC trade in this baseline model.</w:t>
      </w:r>
    </w:p>
    <w:p w14:paraId="6FF48E83" w14:textId="77777777" w:rsidR="00D534E0" w:rsidRPr="004963EA" w:rsidRDefault="00D534E0" w:rsidP="00D534E0">
      <w:pPr>
        <w:ind w:firstLine="720"/>
        <w:jc w:val="both"/>
        <w:rPr>
          <w:rFonts w:ascii="Arial" w:hAnsi="Arial" w:cs="Arial"/>
        </w:rPr>
      </w:pPr>
      <w:r w:rsidRPr="004963EA">
        <w:rPr>
          <w:rFonts w:ascii="Arial" w:hAnsi="Arial" w:cs="Arial"/>
        </w:rPr>
        <w:t>In table (4), the model explains modest variation in India’s exports to BIMSTEC partners (R² = 0.126). Income variables remain insignificant, indicating exports are not strongly driven by GDP changes. Distance shows no meaningful effect, reflecting regional proximity. However, partner trade openness has a significant negative coefficient, suggesting more open economies may source competitively from other suppliers, reducing India’s export share. The significant intercept indicates consistently high underlying export levels within BIMSTEC.</w:t>
      </w:r>
    </w:p>
    <w:p w14:paraId="140C27C3" w14:textId="4A259353" w:rsidR="00D534E0" w:rsidRPr="004963EA" w:rsidRDefault="00D534E0" w:rsidP="00D534E0">
      <w:pPr>
        <w:ind w:firstLine="720"/>
        <w:jc w:val="both"/>
        <w:rPr>
          <w:rFonts w:ascii="Arial" w:hAnsi="Arial" w:cs="Arial"/>
        </w:rPr>
      </w:pPr>
      <w:r w:rsidRPr="004963EA">
        <w:rPr>
          <w:rFonts w:ascii="Arial" w:hAnsi="Arial" w:cs="Arial"/>
        </w:rPr>
        <w:t>In table (5), the model explains a substantial share of variation in India’s imports from BIMSTEC partners (R² = 0.391). Income variables remain insignificant, indicating imports are not driven by GDP dynamics. Distance shows a strong, significant positive effect—reflecting Thailand’s large share of India’s imports despite being geographically distant. Trade openness has a marginally significant positive coefficient, suggesting more open partner economies tend to export more to India. The negative intercept reflects low baseline import volumes</w:t>
      </w:r>
      <w:r w:rsidR="00307F69" w:rsidRPr="004963EA">
        <w:rPr>
          <w:rFonts w:ascii="Arial" w:hAnsi="Arial" w:cs="Arial"/>
        </w:rPr>
        <w:t>, which are absent from</w:t>
      </w:r>
      <w:r w:rsidRPr="004963EA">
        <w:rPr>
          <w:rFonts w:ascii="Arial" w:hAnsi="Arial" w:cs="Arial"/>
        </w:rPr>
        <w:t xml:space="preserve"> these factors.</w:t>
      </w:r>
    </w:p>
    <w:p w14:paraId="315E142B" w14:textId="77777777" w:rsidR="00D534E0" w:rsidRPr="004963EA" w:rsidRDefault="00D534E0" w:rsidP="00D534E0">
      <w:pPr>
        <w:jc w:val="both"/>
        <w:rPr>
          <w:rFonts w:ascii="Arial" w:hAnsi="Arial" w:cs="Arial"/>
        </w:rPr>
      </w:pPr>
    </w:p>
    <w:p w14:paraId="01389589" w14:textId="1A0EEB50" w:rsidR="00D534E0" w:rsidRPr="004963EA" w:rsidRDefault="00307F69" w:rsidP="00307F69">
      <w:pPr>
        <w:rPr>
          <w:rFonts w:ascii="Arial" w:hAnsi="Arial" w:cs="Arial"/>
          <w:b/>
          <w:bCs/>
          <w:u w:val="single"/>
        </w:rPr>
      </w:pPr>
      <w:r w:rsidRPr="004963EA">
        <w:rPr>
          <w:rFonts w:ascii="Arial" w:hAnsi="Arial" w:cs="Arial"/>
          <w:b/>
          <w:bCs/>
          <w:u w:val="single"/>
        </w:rPr>
        <w:t xml:space="preserve">3.2.3 </w:t>
      </w:r>
      <w:r w:rsidR="00D534E0" w:rsidRPr="004963EA">
        <w:rPr>
          <w:rFonts w:ascii="Arial" w:hAnsi="Arial" w:cs="Arial"/>
          <w:b/>
          <w:bCs/>
          <w:u w:val="single"/>
        </w:rPr>
        <w:t>Robustness Checks</w:t>
      </w:r>
    </w:p>
    <w:p w14:paraId="4878CFAB" w14:textId="49B79BF8" w:rsidR="00D534E0" w:rsidRPr="004963EA" w:rsidRDefault="00D534E0" w:rsidP="00D534E0">
      <w:pPr>
        <w:ind w:firstLine="720"/>
        <w:jc w:val="both"/>
        <w:rPr>
          <w:rFonts w:ascii="Arial" w:hAnsi="Arial" w:cs="Arial"/>
        </w:rPr>
      </w:pPr>
      <w:r w:rsidRPr="004963EA">
        <w:rPr>
          <w:rFonts w:ascii="Arial" w:hAnsi="Arial" w:cs="Arial"/>
        </w:rPr>
        <w:t>After incorporating year fixed effects, the income elasticity of India’s trade with BIMSTEC partners becomes positive and statistically significant (β</w:t>
      </w:r>
      <w:r w:rsidRPr="004963EA">
        <w:rPr>
          <w:rFonts w:ascii="Cambria Math" w:hAnsi="Cambria Math" w:cs="Cambria Math"/>
        </w:rPr>
        <w:t>₁</w:t>
      </w:r>
      <w:r w:rsidRPr="004963EA">
        <w:rPr>
          <w:rFonts w:ascii="Arial" w:hAnsi="Arial" w:cs="Arial"/>
        </w:rPr>
        <w:t xml:space="preserve"> = 0.158, p ≈ 0.01). This indicates that India’s economic expansion exerts a meaningful influence on bilateral trade once common time shocks—such as global crises and the COVID-19 pandemic. In contrast, partner-country GDP remains small and insignificant, suggesting that trade flows are less </w:t>
      </w:r>
      <w:r w:rsidRPr="004963EA">
        <w:rPr>
          <w:rFonts w:ascii="Arial" w:hAnsi="Arial" w:cs="Arial"/>
        </w:rPr>
        <w:lastRenderedPageBreak/>
        <w:t>responsive to economic conditions in BIMSTEC economies. The coefficient on distance (β</w:t>
      </w:r>
      <w:r w:rsidRPr="004963EA">
        <w:rPr>
          <w:rFonts w:ascii="Cambria Math" w:hAnsi="Cambria Math" w:cs="Cambria Math"/>
        </w:rPr>
        <w:t>₃</w:t>
      </w:r>
      <w:r w:rsidRPr="004963EA">
        <w:rPr>
          <w:rFonts w:ascii="Arial" w:hAnsi="Arial" w:cs="Arial"/>
        </w:rPr>
        <w:t xml:space="preserve"> ≈ 0.50, p ≈ 0.07) remains positive and borderline significant, reflecting structural features of the region rather than conventional trade-cost effects. Partner trade openness continues to exhibit a negative but insignificant impact. Notably, the significant 2020-year dummy captures an exceptional deviation in trade patterns attributable to pandemic-related disruptions. Overall, controlling for temporal effects reveals that India’s domestic economic performance is a key driver of BIMSTEC trade.</w:t>
      </w:r>
    </w:p>
    <w:p w14:paraId="5DC3A4DE" w14:textId="7746DE44" w:rsidR="00D534E0" w:rsidRPr="004963EA" w:rsidRDefault="00D534E0" w:rsidP="00D534E0">
      <w:pPr>
        <w:tabs>
          <w:tab w:val="num" w:pos="720"/>
          <w:tab w:val="num" w:pos="1440"/>
        </w:tabs>
        <w:jc w:val="both"/>
        <w:rPr>
          <w:rFonts w:ascii="Arial" w:hAnsi="Arial" w:cs="Arial"/>
        </w:rPr>
      </w:pPr>
      <w:r w:rsidRPr="004963EA">
        <w:rPr>
          <w:rFonts w:ascii="Arial" w:hAnsi="Arial" w:cs="Arial"/>
        </w:rPr>
        <w:tab/>
        <w:t>To estimate bilateral trade elasticities, income elasticities (β</w:t>
      </w:r>
      <w:r w:rsidRPr="004963EA">
        <w:rPr>
          <w:rFonts w:ascii="Cambria Math" w:hAnsi="Cambria Math" w:cs="Cambria Math"/>
        </w:rPr>
        <w:t>₁</w:t>
      </w:r>
      <w:r w:rsidRPr="004963EA">
        <w:rPr>
          <w:rFonts w:ascii="Arial" w:hAnsi="Arial" w:cs="Arial"/>
        </w:rPr>
        <w:t>, β</w:t>
      </w:r>
      <w:r w:rsidRPr="004963EA">
        <w:rPr>
          <w:rFonts w:ascii="Cambria Math" w:hAnsi="Cambria Math" w:cs="Cambria Math"/>
        </w:rPr>
        <w:t>₂</w:t>
      </w:r>
      <w:r w:rsidRPr="004963EA">
        <w:rPr>
          <w:rFonts w:ascii="Arial" w:hAnsi="Arial" w:cs="Arial"/>
        </w:rPr>
        <w:t>) and distance/ openness elasticities (β</w:t>
      </w:r>
      <w:r w:rsidRPr="004963EA">
        <w:rPr>
          <w:rFonts w:ascii="Cambria Math" w:hAnsi="Cambria Math" w:cs="Cambria Math"/>
        </w:rPr>
        <w:t>₃</w:t>
      </w:r>
      <w:r w:rsidRPr="004963EA">
        <w:rPr>
          <w:rFonts w:ascii="Arial" w:hAnsi="Arial" w:cs="Arial"/>
        </w:rPr>
        <w:t>, β</w:t>
      </w:r>
      <w:r w:rsidRPr="004963EA">
        <w:rPr>
          <w:rFonts w:ascii="Cambria Math" w:hAnsi="Cambria Math" w:cs="Cambria Math"/>
        </w:rPr>
        <w:t>₄</w:t>
      </w:r>
      <w:r w:rsidRPr="004963EA">
        <w:rPr>
          <w:rFonts w:ascii="Arial" w:hAnsi="Arial" w:cs="Arial"/>
        </w:rPr>
        <w:t>) are obtained, but in the simple model they are mostly insignificant. With year fixed effects, India’s income elasticity becomes significant (0.1</w:t>
      </w:r>
      <w:r w:rsidR="00307F69" w:rsidRPr="004963EA">
        <w:rPr>
          <w:rFonts w:ascii="Arial" w:hAnsi="Arial" w:cs="Arial"/>
        </w:rPr>
        <w:t>6</w:t>
      </w:r>
      <w:r w:rsidRPr="004963EA">
        <w:rPr>
          <w:rFonts w:ascii="Arial" w:hAnsi="Arial" w:cs="Arial"/>
        </w:rPr>
        <w:t>), suggesting that a 1% increase in India’s GDP is associated with about 0.1</w:t>
      </w:r>
      <w:r w:rsidR="00307F69" w:rsidRPr="004963EA">
        <w:rPr>
          <w:rFonts w:ascii="Arial" w:hAnsi="Arial" w:cs="Arial"/>
        </w:rPr>
        <w:t>6</w:t>
      </w:r>
      <w:r w:rsidRPr="004963EA">
        <w:rPr>
          <w:rFonts w:ascii="Arial" w:hAnsi="Arial" w:cs="Arial"/>
        </w:rPr>
        <w:t>% higher trade with BIMSTEC partners.</w:t>
      </w:r>
    </w:p>
    <w:p w14:paraId="3598B902" w14:textId="77777777" w:rsidR="00D534E0" w:rsidRPr="004963EA" w:rsidRDefault="00D534E0" w:rsidP="00D534E0">
      <w:pPr>
        <w:jc w:val="both"/>
        <w:rPr>
          <w:rFonts w:ascii="Arial" w:hAnsi="Arial" w:cs="Arial"/>
        </w:rPr>
      </w:pPr>
    </w:p>
    <w:p w14:paraId="3EFE4BD5" w14:textId="77777777" w:rsidR="00D534E0" w:rsidRPr="004963EA" w:rsidRDefault="00D534E0" w:rsidP="00D534E0">
      <w:pPr>
        <w:jc w:val="both"/>
        <w:rPr>
          <w:rFonts w:ascii="Arial" w:hAnsi="Arial" w:cs="Arial"/>
          <w:i/>
          <w:iCs/>
        </w:rPr>
      </w:pPr>
      <w:r w:rsidRPr="004963EA">
        <w:rPr>
          <w:rFonts w:ascii="Arial" w:hAnsi="Arial" w:cs="Arial"/>
        </w:rPr>
        <w:t>Hypothesis 1 (H</w:t>
      </w:r>
      <w:r w:rsidRPr="004963EA">
        <w:rPr>
          <w:rFonts w:ascii="Cambria Math" w:hAnsi="Cambria Math" w:cs="Cambria Math"/>
        </w:rPr>
        <w:t>₁</w:t>
      </w:r>
      <w:r w:rsidRPr="004963EA">
        <w:rPr>
          <w:rFonts w:ascii="Arial" w:hAnsi="Arial" w:cs="Arial"/>
        </w:rPr>
        <w:t xml:space="preserve">): </w:t>
      </w:r>
      <w:r w:rsidRPr="004963EA">
        <w:rPr>
          <w:rFonts w:ascii="Arial" w:hAnsi="Arial" w:cs="Arial"/>
          <w:i/>
          <w:iCs/>
        </w:rPr>
        <w:t>India’s bilateral trade with BIMSTEC members shows patterns consistent with the trade-enhancing effects expected under regional cooperation.</w:t>
      </w:r>
    </w:p>
    <w:p w14:paraId="3CAFF682" w14:textId="1EB0C2B1" w:rsidR="00D534E0" w:rsidRPr="004963EA" w:rsidRDefault="00D534E0" w:rsidP="00D534E0">
      <w:pPr>
        <w:tabs>
          <w:tab w:val="num" w:pos="720"/>
        </w:tabs>
        <w:ind w:firstLine="360"/>
        <w:jc w:val="both"/>
        <w:rPr>
          <w:rFonts w:ascii="Arial" w:hAnsi="Arial" w:cs="Arial"/>
        </w:rPr>
      </w:pPr>
      <w:r w:rsidRPr="004963EA">
        <w:rPr>
          <w:rFonts w:ascii="Arial" w:hAnsi="Arial" w:cs="Arial"/>
        </w:rPr>
        <w:t>Since all partners in the dataset belong to BIMSTEC, the average trade level (intercept) captures the overall effect of India’s engagement with BIMSTEC. Descriptive statistics show high, persistent, and growing trade volumes, especially with Thailand and Bangladesh. Year-fixed-effects regression shows that India’s economic growth has a positive and statistically significant effect on BIMSTEC trade (β ≈ 0.1</w:t>
      </w:r>
      <w:r w:rsidR="00307F69" w:rsidRPr="004963EA">
        <w:rPr>
          <w:rFonts w:ascii="Arial" w:hAnsi="Arial" w:cs="Arial"/>
        </w:rPr>
        <w:t>6</w:t>
      </w:r>
      <w:r w:rsidRPr="004963EA">
        <w:rPr>
          <w:rFonts w:ascii="Arial" w:hAnsi="Arial" w:cs="Arial"/>
        </w:rPr>
        <w:t>). Although the absence of non-BIMSTEC observations prevents a direct econometric estimation of the BIMSTEC membership effect, the consistently high bilateral trade levels and the significant positive elasticity of Indian GDP suggest that BIMSTEC partners respond systematically to India’s economic expansion. These patterns are broadly consistent with the theoretical expectation that regional partnerships enhance bilateral trade.</w:t>
      </w:r>
    </w:p>
    <w:p w14:paraId="4590A1AF" w14:textId="77777777" w:rsidR="00D534E0" w:rsidRPr="004963EA" w:rsidRDefault="00D534E0" w:rsidP="00D534E0">
      <w:pPr>
        <w:jc w:val="both"/>
        <w:rPr>
          <w:rFonts w:ascii="Arial" w:hAnsi="Arial" w:cs="Arial"/>
          <w:b/>
          <w:bCs/>
        </w:rPr>
      </w:pPr>
    </w:p>
    <w:p w14:paraId="589782DA" w14:textId="77777777" w:rsidR="00D534E0" w:rsidRPr="004963EA" w:rsidRDefault="00D534E0" w:rsidP="00D534E0">
      <w:pPr>
        <w:jc w:val="both"/>
        <w:rPr>
          <w:rFonts w:ascii="Arial" w:hAnsi="Arial" w:cs="Arial"/>
          <w:b/>
          <w:bCs/>
        </w:rPr>
      </w:pPr>
      <w:r w:rsidRPr="004963EA">
        <w:rPr>
          <w:rFonts w:ascii="Arial" w:hAnsi="Arial" w:cs="Arial"/>
        </w:rPr>
        <w:t>Hypothesis 2 (H</w:t>
      </w:r>
      <w:r w:rsidRPr="004963EA">
        <w:rPr>
          <w:rFonts w:ascii="Arial" w:hAnsi="Arial" w:cs="Arial"/>
          <w:vertAlign w:val="subscript"/>
        </w:rPr>
        <w:t>2</w:t>
      </w:r>
      <w:r w:rsidRPr="004963EA">
        <w:rPr>
          <w:rFonts w:ascii="Arial" w:hAnsi="Arial" w:cs="Arial"/>
        </w:rPr>
        <w:t xml:space="preserve">): </w:t>
      </w:r>
      <w:r w:rsidRPr="004963EA">
        <w:rPr>
          <w:rFonts w:ascii="Arial" w:hAnsi="Arial" w:cs="Arial"/>
          <w:i/>
          <w:iCs/>
        </w:rPr>
        <w:t>India–BIMSTEC income elasticities fall within the typical range of South–South trade elasticities, indicating similar responsiveness to economic growth.</w:t>
      </w:r>
    </w:p>
    <w:p w14:paraId="7E81E140" w14:textId="2745EE42" w:rsidR="00E053D0" w:rsidRPr="004963EA" w:rsidRDefault="00D534E0" w:rsidP="00307F69">
      <w:pPr>
        <w:tabs>
          <w:tab w:val="num" w:pos="720"/>
        </w:tabs>
        <w:ind w:firstLine="360"/>
        <w:jc w:val="both"/>
        <w:rPr>
          <w:rFonts w:ascii="Arial" w:hAnsi="Arial" w:cs="Arial"/>
        </w:rPr>
      </w:pPr>
      <w:r w:rsidRPr="004963EA">
        <w:rPr>
          <w:rFonts w:ascii="Arial" w:hAnsi="Arial" w:cs="Arial"/>
        </w:rPr>
        <w:t>With year fixed effects, India’s income elasticity is 0.158 (p ≈ 0.01) which is positive and statistically significant. Literature shows typical South–South income elasticities ≈ 0.10–0.45. Thus, India–BIMSTEC elasticity is consistent with broader Global South evidence. Even though the study lacks observations for non-BIMSTEC partners, the estimated income elasticity (0.1</w:t>
      </w:r>
      <w:r w:rsidR="00307F69" w:rsidRPr="004963EA">
        <w:rPr>
          <w:rFonts w:ascii="Arial" w:hAnsi="Arial" w:cs="Arial"/>
        </w:rPr>
        <w:t>6</w:t>
      </w:r>
      <w:r w:rsidRPr="004963EA">
        <w:rPr>
          <w:rFonts w:ascii="Arial" w:hAnsi="Arial" w:cs="Arial"/>
        </w:rPr>
        <w:t>) lies well within the range reported in the South–South trade literature (0.10–0.45). This suggests that India’s trade with BIMSTEC partners behaves similarly to India’s trade with other developing-country partners, providing indirect support for the hypothesis.</w:t>
      </w:r>
    </w:p>
    <w:p w14:paraId="57AB53ED" w14:textId="77777777" w:rsidR="00790ADA" w:rsidRPr="004963EA" w:rsidRDefault="00790ADA" w:rsidP="00441B6F">
      <w:pPr>
        <w:pStyle w:val="Body"/>
        <w:spacing w:after="0"/>
        <w:rPr>
          <w:rFonts w:ascii="Arial" w:hAnsi="Arial" w:cs="Arial"/>
        </w:rPr>
      </w:pPr>
    </w:p>
    <w:p w14:paraId="62BF98B7" w14:textId="77777777" w:rsidR="00B01FCD" w:rsidRPr="004963EA" w:rsidRDefault="00000F8F" w:rsidP="00441B6F">
      <w:pPr>
        <w:pStyle w:val="ConcHead"/>
        <w:spacing w:after="0"/>
        <w:jc w:val="both"/>
        <w:rPr>
          <w:rFonts w:ascii="Arial" w:hAnsi="Arial" w:cs="Arial"/>
        </w:rPr>
      </w:pPr>
      <w:r w:rsidRPr="004963EA">
        <w:rPr>
          <w:rFonts w:ascii="Arial" w:hAnsi="Arial" w:cs="Arial"/>
        </w:rPr>
        <w:t xml:space="preserve">4. </w:t>
      </w:r>
      <w:r w:rsidR="00B01FCD" w:rsidRPr="004963EA">
        <w:rPr>
          <w:rFonts w:ascii="Arial" w:hAnsi="Arial" w:cs="Arial"/>
        </w:rPr>
        <w:t>Conclusion</w:t>
      </w:r>
    </w:p>
    <w:p w14:paraId="6B529AB7" w14:textId="77777777" w:rsidR="00790ADA" w:rsidRPr="004963EA" w:rsidRDefault="00790ADA" w:rsidP="00441B6F">
      <w:pPr>
        <w:pStyle w:val="ConcHead"/>
        <w:spacing w:after="0"/>
        <w:jc w:val="both"/>
        <w:rPr>
          <w:rFonts w:ascii="Arial" w:hAnsi="Arial" w:cs="Arial"/>
        </w:rPr>
      </w:pPr>
    </w:p>
    <w:p w14:paraId="315C284C" w14:textId="77777777" w:rsidR="00307F69" w:rsidRPr="004963EA" w:rsidRDefault="00307F69" w:rsidP="00307F69">
      <w:pPr>
        <w:jc w:val="both"/>
        <w:rPr>
          <w:rFonts w:ascii="Arial" w:hAnsi="Arial" w:cs="Arial"/>
        </w:rPr>
      </w:pPr>
      <w:r w:rsidRPr="004963EA">
        <w:rPr>
          <w:rFonts w:ascii="Arial" w:hAnsi="Arial" w:cs="Arial"/>
        </w:rPr>
        <w:t xml:space="preserve">This study applied a gravity-model approach to </w:t>
      </w:r>
      <w:proofErr w:type="spellStart"/>
      <w:r w:rsidRPr="004963EA">
        <w:rPr>
          <w:rFonts w:ascii="Arial" w:hAnsi="Arial" w:cs="Arial"/>
        </w:rPr>
        <w:t>analyse</w:t>
      </w:r>
      <w:proofErr w:type="spellEnd"/>
      <w:r w:rsidRPr="004963EA">
        <w:rPr>
          <w:rFonts w:ascii="Arial" w:hAnsi="Arial" w:cs="Arial"/>
        </w:rPr>
        <w:t xml:space="preserve"> India’s trade with BIMSTEC countries and to explore the nature of South–South trade elasticities within a regional cooperation framework. The descriptive evidence demonstrates strong and expanding bilateral linkages, particularly with Thailand and Bangladesh, reaffirming BIMSTEC’s strategic importance for India’s regional trade architecture. While the baseline gravity estimates produce modest elasticities, incorporating year fixed effects reveals a significant positive income elasticity for India, suggesting that domestic economic growth plays a central role in shaping India–BIMSTEC trade flows. Nevertheless, the exclusive focus on BIMSTEC partners limits the study’s ability to isolate the impact of BIMSTEC membership or benchmark these elasticities against India’s trade with other developing economies. Consequently, broader datasets encompassing non-BIMSTEC partners are essential for more rigorous evaluation. Overall, the findings indicate that India–BIMSTEC trade is primarily driven by India’s economic performance, with conventional gravity determinants playing a weaker role, highlighting scope for deeper regional integration.</w:t>
      </w:r>
    </w:p>
    <w:p w14:paraId="1C4909E5" w14:textId="77777777" w:rsidR="00790ADA" w:rsidRPr="004963EA" w:rsidRDefault="00790ADA" w:rsidP="00441B6F">
      <w:pPr>
        <w:pStyle w:val="Body"/>
        <w:spacing w:after="0"/>
        <w:rPr>
          <w:rFonts w:ascii="Arial" w:hAnsi="Arial" w:cs="Arial"/>
        </w:rPr>
      </w:pPr>
    </w:p>
    <w:p w14:paraId="45DD5FC4" w14:textId="77777777" w:rsidR="002B685A" w:rsidRPr="004963EA" w:rsidRDefault="002B685A" w:rsidP="00441B6F">
      <w:pPr>
        <w:pStyle w:val="ReferHead"/>
        <w:spacing w:after="0"/>
        <w:jc w:val="both"/>
        <w:rPr>
          <w:rFonts w:ascii="Arial" w:hAnsi="Arial" w:cs="Arial"/>
          <w:b w:val="0"/>
          <w:caps w:val="0"/>
          <w:sz w:val="20"/>
        </w:rPr>
      </w:pPr>
      <w:bookmarkStart w:id="2" w:name="_GoBack"/>
      <w:bookmarkEnd w:id="2"/>
    </w:p>
    <w:p w14:paraId="14CDFD16" w14:textId="77777777" w:rsidR="00860000" w:rsidRPr="004963EA" w:rsidRDefault="00860000" w:rsidP="00441B6F">
      <w:pPr>
        <w:pStyle w:val="ReferHead"/>
        <w:spacing w:after="0"/>
        <w:jc w:val="both"/>
        <w:rPr>
          <w:rFonts w:ascii="Arial" w:hAnsi="Arial" w:cs="Arial"/>
        </w:rPr>
      </w:pPr>
    </w:p>
    <w:p w14:paraId="3D72F355" w14:textId="77777777" w:rsidR="00B01FCD" w:rsidRPr="004963EA" w:rsidRDefault="00B01FCD" w:rsidP="00441B6F">
      <w:pPr>
        <w:pStyle w:val="ReferHead"/>
        <w:spacing w:after="0"/>
        <w:jc w:val="both"/>
        <w:rPr>
          <w:rFonts w:ascii="Arial" w:hAnsi="Arial" w:cs="Arial"/>
        </w:rPr>
      </w:pPr>
      <w:r w:rsidRPr="004963EA">
        <w:rPr>
          <w:rFonts w:ascii="Arial" w:hAnsi="Arial" w:cs="Arial"/>
        </w:rPr>
        <w:t>References</w:t>
      </w:r>
    </w:p>
    <w:p w14:paraId="3CE34FCB" w14:textId="77777777" w:rsidR="00790ADA" w:rsidRPr="004963EA" w:rsidRDefault="00790ADA" w:rsidP="00441B6F">
      <w:pPr>
        <w:pStyle w:val="Body"/>
        <w:spacing w:after="0"/>
        <w:rPr>
          <w:rFonts w:ascii="Arial" w:hAnsi="Arial" w:cs="Arial"/>
        </w:rPr>
      </w:pPr>
    </w:p>
    <w:p w14:paraId="6F252E5A" w14:textId="77777777" w:rsidR="00284C4C" w:rsidRPr="004963EA" w:rsidRDefault="00284C4C" w:rsidP="00441B6F">
      <w:pPr>
        <w:pStyle w:val="Body"/>
        <w:spacing w:after="0"/>
        <w:rPr>
          <w:rFonts w:ascii="Arial" w:hAnsi="Arial" w:cs="Arial"/>
          <w:i/>
          <w:u w:val="single"/>
        </w:rPr>
      </w:pPr>
    </w:p>
    <w:p w14:paraId="3D8FD9FB" w14:textId="77777777" w:rsidR="00DB58AD" w:rsidRPr="004963EA" w:rsidRDefault="00DB58AD" w:rsidP="00DB58AD">
      <w:pPr>
        <w:jc w:val="both"/>
        <w:rPr>
          <w:rFonts w:ascii="Arial" w:hAnsi="Arial" w:cs="Arial"/>
        </w:rPr>
      </w:pPr>
      <w:r w:rsidRPr="004963EA">
        <w:rPr>
          <w:rFonts w:ascii="Arial" w:hAnsi="Arial" w:cs="Arial"/>
        </w:rPr>
        <w:t xml:space="preserve">Alessandria, G. A., Khan, S. Y., </w:t>
      </w:r>
      <w:proofErr w:type="spellStart"/>
      <w:r w:rsidRPr="004963EA">
        <w:rPr>
          <w:rFonts w:ascii="Arial" w:hAnsi="Arial" w:cs="Arial"/>
        </w:rPr>
        <w:t>Khederlarian</w:t>
      </w:r>
      <w:proofErr w:type="spellEnd"/>
      <w:r w:rsidRPr="004963EA">
        <w:rPr>
          <w:rFonts w:ascii="Arial" w:hAnsi="Arial" w:cs="Arial"/>
        </w:rPr>
        <w:t>, A., Ruhl, K. J., &amp; Steinberg, J. B. (2025). </w:t>
      </w:r>
      <w:r w:rsidRPr="004963EA">
        <w:rPr>
          <w:rFonts w:ascii="Arial" w:hAnsi="Arial" w:cs="Arial"/>
          <w:i/>
          <w:iCs/>
        </w:rPr>
        <w:t>Recovering credible trade elasticities from incredible trade reforms</w:t>
      </w:r>
      <w:r w:rsidRPr="004963EA">
        <w:rPr>
          <w:rFonts w:ascii="Arial" w:hAnsi="Arial" w:cs="Arial"/>
        </w:rPr>
        <w:t> (No. w33568). National Bureau of Economic Research.</w:t>
      </w:r>
    </w:p>
    <w:p w14:paraId="52AA4CFF" w14:textId="77777777" w:rsidR="00DB58AD" w:rsidRPr="004963EA" w:rsidRDefault="00DB58AD" w:rsidP="00DB58AD">
      <w:pPr>
        <w:jc w:val="both"/>
        <w:rPr>
          <w:rFonts w:ascii="Arial" w:hAnsi="Arial" w:cs="Arial"/>
        </w:rPr>
      </w:pPr>
      <w:r w:rsidRPr="004963EA">
        <w:rPr>
          <w:rFonts w:ascii="Arial" w:hAnsi="Arial" w:cs="Arial"/>
        </w:rPr>
        <w:t>Anderson, J. E. (1979). A theoretical foundation for the gravity equation. </w:t>
      </w:r>
      <w:r w:rsidRPr="004963EA">
        <w:rPr>
          <w:rFonts w:ascii="Arial" w:hAnsi="Arial" w:cs="Arial"/>
          <w:i/>
          <w:iCs/>
        </w:rPr>
        <w:t>The American economic review</w:t>
      </w:r>
      <w:r w:rsidRPr="004963EA">
        <w:rPr>
          <w:rFonts w:ascii="Arial" w:hAnsi="Arial" w:cs="Arial"/>
        </w:rPr>
        <w:t>, </w:t>
      </w:r>
      <w:r w:rsidRPr="004963EA">
        <w:rPr>
          <w:rFonts w:ascii="Arial" w:hAnsi="Arial" w:cs="Arial"/>
          <w:i/>
          <w:iCs/>
        </w:rPr>
        <w:t>69</w:t>
      </w:r>
      <w:r w:rsidRPr="004963EA">
        <w:rPr>
          <w:rFonts w:ascii="Arial" w:hAnsi="Arial" w:cs="Arial"/>
        </w:rPr>
        <w:t>(1), 106-116.</w:t>
      </w:r>
    </w:p>
    <w:p w14:paraId="6A58B22B" w14:textId="77777777" w:rsidR="00DB58AD" w:rsidRPr="004963EA" w:rsidRDefault="00DB58AD" w:rsidP="00DB58AD">
      <w:pPr>
        <w:jc w:val="both"/>
        <w:rPr>
          <w:rFonts w:ascii="Arial" w:hAnsi="Arial" w:cs="Arial"/>
        </w:rPr>
      </w:pPr>
      <w:r w:rsidRPr="004963EA">
        <w:rPr>
          <w:rFonts w:ascii="Arial" w:hAnsi="Arial" w:cs="Arial"/>
        </w:rPr>
        <w:t xml:space="preserve">Anderson, J. E., &amp; Van </w:t>
      </w:r>
      <w:proofErr w:type="spellStart"/>
      <w:r w:rsidRPr="004963EA">
        <w:rPr>
          <w:rFonts w:ascii="Arial" w:hAnsi="Arial" w:cs="Arial"/>
        </w:rPr>
        <w:t>Wincoop</w:t>
      </w:r>
      <w:proofErr w:type="spellEnd"/>
      <w:r w:rsidRPr="004963EA">
        <w:rPr>
          <w:rFonts w:ascii="Arial" w:hAnsi="Arial" w:cs="Arial"/>
        </w:rPr>
        <w:t>, E. (2003). Gravity with gravitas: A solution to the border puzzle. </w:t>
      </w:r>
      <w:r w:rsidRPr="004963EA">
        <w:rPr>
          <w:rFonts w:ascii="Arial" w:hAnsi="Arial" w:cs="Arial"/>
          <w:i/>
          <w:iCs/>
        </w:rPr>
        <w:t>American economic review</w:t>
      </w:r>
      <w:r w:rsidRPr="004963EA">
        <w:rPr>
          <w:rFonts w:ascii="Arial" w:hAnsi="Arial" w:cs="Arial"/>
        </w:rPr>
        <w:t>, </w:t>
      </w:r>
      <w:r w:rsidRPr="004963EA">
        <w:rPr>
          <w:rFonts w:ascii="Arial" w:hAnsi="Arial" w:cs="Arial"/>
          <w:i/>
          <w:iCs/>
        </w:rPr>
        <w:t>93</w:t>
      </w:r>
      <w:r w:rsidRPr="004963EA">
        <w:rPr>
          <w:rFonts w:ascii="Arial" w:hAnsi="Arial" w:cs="Arial"/>
        </w:rPr>
        <w:t xml:space="preserve">(1), 170-192. </w:t>
      </w:r>
    </w:p>
    <w:p w14:paraId="67B80C29" w14:textId="77777777" w:rsidR="00DB58AD" w:rsidRPr="004963EA" w:rsidRDefault="00DB58AD" w:rsidP="00DB58AD">
      <w:pPr>
        <w:jc w:val="both"/>
        <w:rPr>
          <w:rFonts w:ascii="Arial" w:hAnsi="Arial" w:cs="Arial"/>
        </w:rPr>
      </w:pPr>
      <w:r w:rsidRPr="004963EA">
        <w:rPr>
          <w:rFonts w:ascii="Arial" w:hAnsi="Arial" w:cs="Arial"/>
        </w:rPr>
        <w:t>Anderson, J. E., &amp; Yotov, Y. V. (2016). Terms of trade and global efficiency effects of free trade agreements, 1990–2002. </w:t>
      </w:r>
      <w:r w:rsidRPr="004963EA">
        <w:rPr>
          <w:rFonts w:ascii="Arial" w:hAnsi="Arial" w:cs="Arial"/>
          <w:i/>
          <w:iCs/>
        </w:rPr>
        <w:t>Journal of International Economics</w:t>
      </w:r>
      <w:r w:rsidRPr="004963EA">
        <w:rPr>
          <w:rFonts w:ascii="Arial" w:hAnsi="Arial" w:cs="Arial"/>
        </w:rPr>
        <w:t>, </w:t>
      </w:r>
      <w:r w:rsidRPr="004963EA">
        <w:rPr>
          <w:rFonts w:ascii="Arial" w:hAnsi="Arial" w:cs="Arial"/>
          <w:i/>
          <w:iCs/>
        </w:rPr>
        <w:t>99</w:t>
      </w:r>
      <w:r w:rsidRPr="004963EA">
        <w:rPr>
          <w:rFonts w:ascii="Arial" w:hAnsi="Arial" w:cs="Arial"/>
        </w:rPr>
        <w:t>, 279-298.</w:t>
      </w:r>
    </w:p>
    <w:p w14:paraId="1AB77A5B" w14:textId="77777777" w:rsidR="00DB58AD" w:rsidRPr="004963EA" w:rsidRDefault="00DB58AD" w:rsidP="00DB58AD">
      <w:pPr>
        <w:jc w:val="both"/>
        <w:rPr>
          <w:rFonts w:ascii="Arial" w:hAnsi="Arial" w:cs="Arial"/>
        </w:rPr>
      </w:pPr>
      <w:r w:rsidRPr="004963EA">
        <w:rPr>
          <w:rFonts w:ascii="Arial" w:hAnsi="Arial" w:cs="Arial"/>
        </w:rPr>
        <w:t xml:space="preserve">Baier, S. L., &amp; Bergstrand, J. H. (2007). Do free trade agreements actually increase members' international </w:t>
      </w:r>
      <w:proofErr w:type="gramStart"/>
      <w:r w:rsidRPr="004963EA">
        <w:rPr>
          <w:rFonts w:ascii="Arial" w:hAnsi="Arial" w:cs="Arial"/>
        </w:rPr>
        <w:t>trade?.</w:t>
      </w:r>
      <w:proofErr w:type="gramEnd"/>
      <w:r w:rsidRPr="004963EA">
        <w:rPr>
          <w:rFonts w:ascii="Arial" w:hAnsi="Arial" w:cs="Arial"/>
        </w:rPr>
        <w:t> </w:t>
      </w:r>
      <w:r w:rsidRPr="004963EA">
        <w:rPr>
          <w:rFonts w:ascii="Arial" w:hAnsi="Arial" w:cs="Arial"/>
          <w:i/>
          <w:iCs/>
        </w:rPr>
        <w:t>Journal of international Economics</w:t>
      </w:r>
      <w:r w:rsidRPr="004963EA">
        <w:rPr>
          <w:rFonts w:ascii="Arial" w:hAnsi="Arial" w:cs="Arial"/>
        </w:rPr>
        <w:t>, </w:t>
      </w:r>
      <w:r w:rsidRPr="004963EA">
        <w:rPr>
          <w:rFonts w:ascii="Arial" w:hAnsi="Arial" w:cs="Arial"/>
          <w:i/>
          <w:iCs/>
        </w:rPr>
        <w:t>71</w:t>
      </w:r>
      <w:r w:rsidRPr="004963EA">
        <w:rPr>
          <w:rFonts w:ascii="Arial" w:hAnsi="Arial" w:cs="Arial"/>
        </w:rPr>
        <w:t xml:space="preserve">(1), 72-95. </w:t>
      </w:r>
      <w:hyperlink r:id="rId14" w:history="1">
        <w:r w:rsidRPr="004963EA">
          <w:rPr>
            <w:rStyle w:val="Hyperlink"/>
            <w:rFonts w:ascii="Arial" w:hAnsi="Arial" w:cs="Arial"/>
          </w:rPr>
          <w:t>https://doi.org/10.1016/j.jinteco.2006.02.005</w:t>
        </w:r>
      </w:hyperlink>
    </w:p>
    <w:p w14:paraId="0BDDB966" w14:textId="77777777" w:rsidR="00DB58AD" w:rsidRPr="004963EA" w:rsidRDefault="00DB58AD" w:rsidP="00DB58AD">
      <w:pPr>
        <w:jc w:val="both"/>
        <w:rPr>
          <w:rFonts w:ascii="Arial" w:hAnsi="Arial" w:cs="Arial"/>
        </w:rPr>
      </w:pPr>
      <w:r w:rsidRPr="004963EA">
        <w:rPr>
          <w:rFonts w:ascii="Arial" w:hAnsi="Arial" w:cs="Arial"/>
        </w:rPr>
        <w:t xml:space="preserve">Baldwin, R. and Taglioni, D. (2006). Gravity for Dummies and Dummies for Gravity Equations. National Bureau of Economic Research Working Paper 12516 (2006). </w:t>
      </w:r>
      <w:hyperlink r:id="rId15" w:history="1">
        <w:r w:rsidRPr="004963EA">
          <w:rPr>
            <w:rStyle w:val="Hyperlink"/>
            <w:rFonts w:ascii="Arial" w:hAnsi="Arial" w:cs="Arial"/>
          </w:rPr>
          <w:t>http://dx.doi.org/10.3386/w12516</w:t>
        </w:r>
      </w:hyperlink>
      <w:bookmarkStart w:id="3" w:name="Banerjee2022"/>
    </w:p>
    <w:p w14:paraId="541E2458" w14:textId="77777777" w:rsidR="00DB58AD" w:rsidRPr="004963EA" w:rsidRDefault="00DB58AD" w:rsidP="00DB58AD">
      <w:pPr>
        <w:jc w:val="both"/>
        <w:rPr>
          <w:rFonts w:ascii="Arial" w:hAnsi="Arial" w:cs="Arial"/>
        </w:rPr>
      </w:pPr>
      <w:r w:rsidRPr="004963EA">
        <w:rPr>
          <w:rFonts w:ascii="Arial" w:hAnsi="Arial" w:cs="Arial"/>
          <w:color w:val="000000"/>
        </w:rPr>
        <w:t>Banerjee, S., Bose, P., &amp; Siddiqui, I. N. (2022). Digital dynamics and international trade: Experiences of South and South-East Asia. International Journal of Asian Business and Information Management (IJABIM), 13(1), 1-16.</w:t>
      </w:r>
      <w:bookmarkEnd w:id="3"/>
    </w:p>
    <w:p w14:paraId="236516D7" w14:textId="77777777" w:rsidR="00DB58AD" w:rsidRPr="004963EA" w:rsidRDefault="00DB58AD" w:rsidP="00DB58AD">
      <w:pPr>
        <w:jc w:val="both"/>
        <w:rPr>
          <w:rFonts w:ascii="Arial" w:hAnsi="Arial" w:cs="Arial"/>
        </w:rPr>
      </w:pPr>
      <w:r w:rsidRPr="004963EA">
        <w:rPr>
          <w:rFonts w:ascii="Arial" w:hAnsi="Arial" w:cs="Arial"/>
        </w:rPr>
        <w:t>Bergstrand, J. H. (1985). The gravity equation in international trade: some microeconomic foundations and empirical evidence. </w:t>
      </w:r>
      <w:r w:rsidRPr="004963EA">
        <w:rPr>
          <w:rFonts w:ascii="Arial" w:hAnsi="Arial" w:cs="Arial"/>
          <w:i/>
          <w:iCs/>
        </w:rPr>
        <w:t>The review of economics and statistics</w:t>
      </w:r>
      <w:r w:rsidRPr="004963EA">
        <w:rPr>
          <w:rFonts w:ascii="Arial" w:hAnsi="Arial" w:cs="Arial"/>
        </w:rPr>
        <w:t>, 474-481.</w:t>
      </w:r>
    </w:p>
    <w:p w14:paraId="782A0BE5" w14:textId="77777777" w:rsidR="00DB58AD" w:rsidRPr="004963EA" w:rsidRDefault="00DB58AD" w:rsidP="00DB58AD">
      <w:pPr>
        <w:jc w:val="both"/>
        <w:rPr>
          <w:rFonts w:ascii="Arial" w:hAnsi="Arial" w:cs="Arial"/>
        </w:rPr>
      </w:pPr>
      <w:r w:rsidRPr="004963EA">
        <w:rPr>
          <w:rFonts w:ascii="Arial" w:hAnsi="Arial" w:cs="Arial"/>
        </w:rPr>
        <w:t xml:space="preserve">Boehm, C. E., Levchenko, A. A., &amp; </w:t>
      </w:r>
      <w:proofErr w:type="spellStart"/>
      <w:r w:rsidRPr="004963EA">
        <w:rPr>
          <w:rFonts w:ascii="Arial" w:hAnsi="Arial" w:cs="Arial"/>
        </w:rPr>
        <w:t>Pandalai-Nayar</w:t>
      </w:r>
      <w:proofErr w:type="spellEnd"/>
      <w:r w:rsidRPr="004963EA">
        <w:rPr>
          <w:rFonts w:ascii="Arial" w:hAnsi="Arial" w:cs="Arial"/>
        </w:rPr>
        <w:t>, N. (2023). The long and short (run) of trade elasticities. </w:t>
      </w:r>
      <w:r w:rsidRPr="004963EA">
        <w:rPr>
          <w:rFonts w:ascii="Arial" w:hAnsi="Arial" w:cs="Arial"/>
          <w:i/>
          <w:iCs/>
        </w:rPr>
        <w:t>American Economic Review</w:t>
      </w:r>
      <w:r w:rsidRPr="004963EA">
        <w:rPr>
          <w:rFonts w:ascii="Arial" w:hAnsi="Arial" w:cs="Arial"/>
        </w:rPr>
        <w:t>, </w:t>
      </w:r>
      <w:r w:rsidRPr="004963EA">
        <w:rPr>
          <w:rFonts w:ascii="Arial" w:hAnsi="Arial" w:cs="Arial"/>
          <w:i/>
          <w:iCs/>
        </w:rPr>
        <w:t>113</w:t>
      </w:r>
      <w:r w:rsidRPr="004963EA">
        <w:rPr>
          <w:rFonts w:ascii="Arial" w:hAnsi="Arial" w:cs="Arial"/>
        </w:rPr>
        <w:t>(4), 861-905.</w:t>
      </w:r>
    </w:p>
    <w:p w14:paraId="00174F93" w14:textId="77777777" w:rsidR="00DB58AD" w:rsidRPr="004963EA" w:rsidRDefault="00DB58AD" w:rsidP="00DB58AD">
      <w:pPr>
        <w:jc w:val="both"/>
        <w:rPr>
          <w:rFonts w:ascii="Arial" w:hAnsi="Arial" w:cs="Arial"/>
        </w:rPr>
      </w:pPr>
      <w:r w:rsidRPr="004963EA">
        <w:rPr>
          <w:rFonts w:ascii="Arial" w:hAnsi="Arial" w:cs="Arial"/>
        </w:rPr>
        <w:t>Borchert, I., &amp; Yotov, Y. V. (2017). Distance, globalization, and international trade. </w:t>
      </w:r>
      <w:r w:rsidRPr="004963EA">
        <w:rPr>
          <w:rFonts w:ascii="Arial" w:hAnsi="Arial" w:cs="Arial"/>
          <w:i/>
          <w:iCs/>
        </w:rPr>
        <w:t>Economics letters</w:t>
      </w:r>
      <w:r w:rsidRPr="004963EA">
        <w:rPr>
          <w:rFonts w:ascii="Arial" w:hAnsi="Arial" w:cs="Arial"/>
        </w:rPr>
        <w:t>, </w:t>
      </w:r>
      <w:r w:rsidRPr="004963EA">
        <w:rPr>
          <w:rFonts w:ascii="Arial" w:hAnsi="Arial" w:cs="Arial"/>
          <w:i/>
          <w:iCs/>
        </w:rPr>
        <w:t>153</w:t>
      </w:r>
      <w:r w:rsidRPr="004963EA">
        <w:rPr>
          <w:rFonts w:ascii="Arial" w:hAnsi="Arial" w:cs="Arial"/>
        </w:rPr>
        <w:t xml:space="preserve">, 32-38. </w:t>
      </w:r>
      <w:hyperlink r:id="rId16" w:history="1">
        <w:r w:rsidRPr="004963EA">
          <w:rPr>
            <w:rStyle w:val="Hyperlink"/>
            <w:rFonts w:ascii="Arial" w:hAnsi="Arial" w:cs="Arial"/>
          </w:rPr>
          <w:t>econstor.eu/bitstream/10419/155517/1/cesifo1_wp6275.pdf</w:t>
        </w:r>
      </w:hyperlink>
    </w:p>
    <w:p w14:paraId="195465CA" w14:textId="77777777" w:rsidR="00DB58AD" w:rsidRPr="004963EA" w:rsidRDefault="00DB58AD" w:rsidP="00DB58AD">
      <w:pPr>
        <w:jc w:val="both"/>
        <w:rPr>
          <w:rFonts w:ascii="Arial" w:hAnsi="Arial" w:cs="Arial"/>
        </w:rPr>
      </w:pPr>
      <w:r w:rsidRPr="004963EA">
        <w:rPr>
          <w:rFonts w:ascii="Arial" w:hAnsi="Arial" w:cs="Arial"/>
        </w:rPr>
        <w:t>Chen, N., &amp; Novy, D. (2022). Gravity and heterogeneous trade cost elasticities. </w:t>
      </w:r>
      <w:r w:rsidRPr="004963EA">
        <w:rPr>
          <w:rFonts w:ascii="Arial" w:hAnsi="Arial" w:cs="Arial"/>
          <w:i/>
          <w:iCs/>
        </w:rPr>
        <w:t>The Economic Journal</w:t>
      </w:r>
      <w:r w:rsidRPr="004963EA">
        <w:rPr>
          <w:rFonts w:ascii="Arial" w:hAnsi="Arial" w:cs="Arial"/>
        </w:rPr>
        <w:t>, </w:t>
      </w:r>
      <w:r w:rsidRPr="004963EA">
        <w:rPr>
          <w:rFonts w:ascii="Arial" w:hAnsi="Arial" w:cs="Arial"/>
          <w:i/>
          <w:iCs/>
        </w:rPr>
        <w:t>132</w:t>
      </w:r>
      <w:r w:rsidRPr="004963EA">
        <w:rPr>
          <w:rFonts w:ascii="Arial" w:hAnsi="Arial" w:cs="Arial"/>
        </w:rPr>
        <w:t>(644), 1349-1377.</w:t>
      </w:r>
      <w:bookmarkStart w:id="4" w:name="Devarajan2023"/>
    </w:p>
    <w:p w14:paraId="55D1B061" w14:textId="77777777" w:rsidR="00DB58AD" w:rsidRPr="004963EA" w:rsidRDefault="00DB58AD" w:rsidP="00DB58AD">
      <w:pPr>
        <w:jc w:val="both"/>
        <w:rPr>
          <w:rFonts w:ascii="Arial" w:hAnsi="Arial" w:cs="Arial"/>
        </w:rPr>
      </w:pPr>
      <w:r w:rsidRPr="004963EA">
        <w:rPr>
          <w:rFonts w:ascii="Arial" w:hAnsi="Arial" w:cs="Arial"/>
        </w:rPr>
        <w:t>Devarajan, S., Go, D. S., &amp; Robinson, S. (2023). Trade elasticities in aggregate models. </w:t>
      </w:r>
      <w:r w:rsidRPr="004963EA">
        <w:rPr>
          <w:rFonts w:ascii="Arial" w:hAnsi="Arial" w:cs="Arial"/>
          <w:i/>
          <w:iCs/>
        </w:rPr>
        <w:t>Prospects</w:t>
      </w:r>
      <w:r w:rsidRPr="004963EA">
        <w:rPr>
          <w:rFonts w:ascii="Arial" w:hAnsi="Arial" w:cs="Arial"/>
        </w:rPr>
        <w:t>.</w:t>
      </w:r>
      <w:bookmarkEnd w:id="4"/>
    </w:p>
    <w:p w14:paraId="686850FF" w14:textId="77777777" w:rsidR="00DB58AD" w:rsidRPr="004963EA" w:rsidRDefault="00DB58AD" w:rsidP="00DB58AD">
      <w:pPr>
        <w:jc w:val="both"/>
        <w:rPr>
          <w:rFonts w:ascii="Arial" w:hAnsi="Arial" w:cs="Arial"/>
        </w:rPr>
      </w:pPr>
      <w:r w:rsidRPr="004963EA">
        <w:rPr>
          <w:rFonts w:ascii="Arial" w:hAnsi="Arial" w:cs="Arial"/>
        </w:rPr>
        <w:t xml:space="preserve">Ferrari, M. M., &amp; </w:t>
      </w:r>
      <w:proofErr w:type="spellStart"/>
      <w:r w:rsidRPr="004963EA">
        <w:rPr>
          <w:rFonts w:ascii="Arial" w:hAnsi="Arial" w:cs="Arial"/>
        </w:rPr>
        <w:t>Gräb</w:t>
      </w:r>
      <w:proofErr w:type="spellEnd"/>
      <w:r w:rsidRPr="004963EA">
        <w:rPr>
          <w:rFonts w:ascii="Arial" w:hAnsi="Arial" w:cs="Arial"/>
        </w:rPr>
        <w:t xml:space="preserve">, J. (2024). E Pluribus </w:t>
      </w:r>
      <w:proofErr w:type="spellStart"/>
      <w:r w:rsidRPr="004963EA">
        <w:rPr>
          <w:rFonts w:ascii="Arial" w:hAnsi="Arial" w:cs="Arial"/>
        </w:rPr>
        <w:t>Plures</w:t>
      </w:r>
      <w:proofErr w:type="spellEnd"/>
      <w:r w:rsidRPr="004963EA">
        <w:rPr>
          <w:rFonts w:ascii="Arial" w:hAnsi="Arial" w:cs="Arial"/>
        </w:rPr>
        <w:t xml:space="preserve">. Shock Dependency of the </w:t>
      </w:r>
      <w:proofErr w:type="spellStart"/>
      <w:r w:rsidRPr="004963EA">
        <w:rPr>
          <w:rFonts w:ascii="Arial" w:hAnsi="Arial" w:cs="Arial"/>
        </w:rPr>
        <w:t>Usd</w:t>
      </w:r>
      <w:proofErr w:type="spellEnd"/>
      <w:r w:rsidRPr="004963EA">
        <w:rPr>
          <w:rFonts w:ascii="Arial" w:hAnsi="Arial" w:cs="Arial"/>
        </w:rPr>
        <w:t xml:space="preserve"> Trade Elasticities. </w:t>
      </w:r>
      <w:r w:rsidRPr="004963EA">
        <w:rPr>
          <w:rFonts w:ascii="Arial" w:hAnsi="Arial" w:cs="Arial"/>
          <w:i/>
          <w:iCs/>
        </w:rPr>
        <w:t xml:space="preserve">Shock Dependency of the </w:t>
      </w:r>
      <w:proofErr w:type="spellStart"/>
      <w:r w:rsidRPr="004963EA">
        <w:rPr>
          <w:rFonts w:ascii="Arial" w:hAnsi="Arial" w:cs="Arial"/>
          <w:i/>
          <w:iCs/>
        </w:rPr>
        <w:t>Usd</w:t>
      </w:r>
      <w:proofErr w:type="spellEnd"/>
      <w:r w:rsidRPr="004963EA">
        <w:rPr>
          <w:rFonts w:ascii="Arial" w:hAnsi="Arial" w:cs="Arial"/>
          <w:i/>
          <w:iCs/>
        </w:rPr>
        <w:t xml:space="preserve"> Trade Elasticities</w:t>
      </w:r>
      <w:r w:rsidRPr="004963EA">
        <w:rPr>
          <w:rFonts w:ascii="Arial" w:hAnsi="Arial" w:cs="Arial"/>
        </w:rPr>
        <w:t>.</w:t>
      </w:r>
      <w:bookmarkStart w:id="5" w:name="Freeman2025"/>
    </w:p>
    <w:p w14:paraId="04F83383" w14:textId="77777777" w:rsidR="00DB58AD" w:rsidRPr="004963EA" w:rsidRDefault="00DB58AD" w:rsidP="00DB58AD">
      <w:pPr>
        <w:jc w:val="both"/>
        <w:rPr>
          <w:rFonts w:ascii="Arial" w:hAnsi="Arial" w:cs="Arial"/>
        </w:rPr>
      </w:pPr>
      <w:r w:rsidRPr="004963EA">
        <w:rPr>
          <w:rFonts w:ascii="Arial" w:hAnsi="Arial" w:cs="Arial"/>
        </w:rPr>
        <w:t>Freeman, R., Larch, M., Theodorakopoulos, A., &amp; Yotov, Y. V. (2025). Unlocking new methods to estimate country</w:t>
      </w:r>
      <w:r w:rsidRPr="004963EA">
        <w:rPr>
          <w:rFonts w:ascii="Cambria Math" w:hAnsi="Cambria Math" w:cs="Cambria Math"/>
        </w:rPr>
        <w:t>‐</w:t>
      </w:r>
      <w:r w:rsidRPr="004963EA">
        <w:rPr>
          <w:rFonts w:ascii="Arial" w:hAnsi="Arial" w:cs="Arial"/>
        </w:rPr>
        <w:t>specific effects and trade elasticities with the structural gravity model. </w:t>
      </w:r>
      <w:r w:rsidRPr="004963EA">
        <w:rPr>
          <w:rFonts w:ascii="Arial" w:hAnsi="Arial" w:cs="Arial"/>
          <w:i/>
          <w:iCs/>
        </w:rPr>
        <w:t>Journal of Applied Econometrics</w:t>
      </w:r>
      <w:r w:rsidRPr="004963EA">
        <w:rPr>
          <w:rFonts w:ascii="Arial" w:hAnsi="Arial" w:cs="Arial"/>
        </w:rPr>
        <w:t>.</w:t>
      </w:r>
      <w:bookmarkEnd w:id="5"/>
    </w:p>
    <w:p w14:paraId="40DCD925" w14:textId="77777777" w:rsidR="00DB58AD" w:rsidRPr="004963EA" w:rsidRDefault="00DB58AD" w:rsidP="00DB58AD">
      <w:pPr>
        <w:jc w:val="both"/>
        <w:rPr>
          <w:rFonts w:ascii="Arial" w:hAnsi="Arial" w:cs="Arial"/>
        </w:rPr>
      </w:pPr>
      <w:r w:rsidRPr="004963EA">
        <w:rPr>
          <w:rFonts w:ascii="Arial" w:hAnsi="Arial" w:cs="Arial"/>
        </w:rPr>
        <w:t>Head, K., &amp; Mayer, T. (2014). Gravity equations: Workhorse, toolkit, and cookbook. In </w:t>
      </w:r>
      <w:r w:rsidRPr="004963EA">
        <w:rPr>
          <w:rFonts w:ascii="Arial" w:hAnsi="Arial" w:cs="Arial"/>
          <w:i/>
          <w:iCs/>
        </w:rPr>
        <w:t>Handbook of international economics</w:t>
      </w:r>
      <w:r w:rsidRPr="004963EA">
        <w:rPr>
          <w:rFonts w:ascii="Arial" w:hAnsi="Arial" w:cs="Arial"/>
        </w:rPr>
        <w:t xml:space="preserve"> (Vol. 4, pp. 131-195). Elsevier. </w:t>
      </w:r>
      <w:hyperlink r:id="rId17" w:history="1">
        <w:r w:rsidRPr="004963EA">
          <w:rPr>
            <w:rStyle w:val="Hyperlink"/>
            <w:rFonts w:ascii="Arial" w:hAnsi="Arial" w:cs="Arial"/>
          </w:rPr>
          <w:t>https://doi.org/10.1016/B978-0-444-54314-1.00003-3</w:t>
        </w:r>
      </w:hyperlink>
      <w:bookmarkStart w:id="6" w:name="Htun2025"/>
      <w:bookmarkStart w:id="7" w:name="Kumar2019"/>
    </w:p>
    <w:p w14:paraId="73832EE3" w14:textId="77777777" w:rsidR="00DB58AD" w:rsidRPr="004963EA" w:rsidRDefault="00DB58AD" w:rsidP="00DB58AD">
      <w:pPr>
        <w:jc w:val="both"/>
        <w:rPr>
          <w:rFonts w:ascii="Arial" w:hAnsi="Arial" w:cs="Arial"/>
        </w:rPr>
      </w:pPr>
      <w:r w:rsidRPr="004963EA">
        <w:rPr>
          <w:rFonts w:ascii="Arial" w:hAnsi="Arial" w:cs="Arial"/>
          <w:lang w:eastAsia="en-IN" w:bidi="my-MM"/>
        </w:rPr>
        <w:t xml:space="preserve">Htun, N. M. &amp; </w:t>
      </w:r>
      <w:proofErr w:type="spellStart"/>
      <w:r w:rsidRPr="004963EA">
        <w:rPr>
          <w:rFonts w:ascii="Arial" w:hAnsi="Arial" w:cs="Arial"/>
          <w:lang w:eastAsia="en-IN" w:bidi="my-MM"/>
        </w:rPr>
        <w:t>Vishwanatha</w:t>
      </w:r>
      <w:proofErr w:type="spellEnd"/>
      <w:r w:rsidRPr="004963EA">
        <w:rPr>
          <w:rFonts w:ascii="Arial" w:hAnsi="Arial" w:cs="Arial"/>
          <w:lang w:eastAsia="en-IN" w:bidi="my-MM"/>
        </w:rPr>
        <w:t xml:space="preserve"> (2025). Exploring India's Trade Pattern with BIMSTEC Countries: A Gravity Model Analysis. </w:t>
      </w:r>
      <w:r w:rsidRPr="004963EA">
        <w:rPr>
          <w:rFonts w:ascii="Arial" w:hAnsi="Arial" w:cs="Arial"/>
          <w:i/>
          <w:iCs/>
          <w:lang w:eastAsia="en-IN" w:bidi="my-MM"/>
        </w:rPr>
        <w:t>International Journal of Social Science &amp; Management Studies</w:t>
      </w:r>
      <w:r w:rsidRPr="004963EA">
        <w:rPr>
          <w:rFonts w:ascii="Arial" w:hAnsi="Arial" w:cs="Arial"/>
          <w:lang w:eastAsia="en-IN" w:bidi="my-MM"/>
        </w:rPr>
        <w:t>, </w:t>
      </w:r>
      <w:r w:rsidRPr="004963EA">
        <w:rPr>
          <w:rFonts w:ascii="Arial" w:hAnsi="Arial" w:cs="Arial"/>
          <w:i/>
          <w:iCs/>
          <w:lang w:eastAsia="en-IN" w:bidi="my-MM"/>
        </w:rPr>
        <w:t>11</w:t>
      </w:r>
      <w:r w:rsidRPr="004963EA">
        <w:rPr>
          <w:rFonts w:ascii="Arial" w:hAnsi="Arial" w:cs="Arial"/>
          <w:lang w:eastAsia="en-IN" w:bidi="my-MM"/>
        </w:rPr>
        <w:t>(6), 22–28.</w:t>
      </w:r>
      <w:bookmarkStart w:id="8" w:name="Khati2022"/>
      <w:bookmarkEnd w:id="6"/>
    </w:p>
    <w:p w14:paraId="0AAAC17D" w14:textId="77777777" w:rsidR="00DB58AD" w:rsidRPr="004963EA" w:rsidRDefault="00DB58AD" w:rsidP="00DB58AD">
      <w:pPr>
        <w:jc w:val="both"/>
        <w:rPr>
          <w:rFonts w:ascii="Arial" w:hAnsi="Arial" w:cs="Arial"/>
        </w:rPr>
      </w:pPr>
      <w:r w:rsidRPr="004963EA">
        <w:rPr>
          <w:rFonts w:ascii="Arial" w:hAnsi="Arial" w:cs="Arial"/>
          <w:color w:val="000000"/>
        </w:rPr>
        <w:t>Khati, P., &amp; Kim, C. (2022). Impact of India’s free trade agreement with ASEAN on its goods exports: A gravity model analysis. Economies, 11(1), 8.</w:t>
      </w:r>
      <w:bookmarkEnd w:id="8"/>
    </w:p>
    <w:p w14:paraId="53CD982C" w14:textId="77777777" w:rsidR="00DB58AD" w:rsidRPr="004963EA" w:rsidRDefault="00DB58AD" w:rsidP="00DB58AD">
      <w:pPr>
        <w:jc w:val="both"/>
        <w:rPr>
          <w:rFonts w:ascii="Arial" w:hAnsi="Arial" w:cs="Arial"/>
        </w:rPr>
      </w:pPr>
      <w:r w:rsidRPr="004963EA">
        <w:rPr>
          <w:rFonts w:ascii="Arial" w:hAnsi="Arial" w:cs="Arial"/>
          <w:color w:val="000000"/>
        </w:rPr>
        <w:t>Kumar, S., &amp; Singh, G. (2019). India’s trade ties with SAARC nations. Think India Journal, 22(27), 187-200.</w:t>
      </w:r>
      <w:bookmarkEnd w:id="7"/>
    </w:p>
    <w:p w14:paraId="1153BFEE" w14:textId="77777777" w:rsidR="00DB58AD" w:rsidRPr="004963EA" w:rsidRDefault="00DB58AD" w:rsidP="00DB58AD">
      <w:pPr>
        <w:jc w:val="both"/>
        <w:rPr>
          <w:rFonts w:ascii="Arial" w:hAnsi="Arial" w:cs="Arial"/>
        </w:rPr>
      </w:pPr>
      <w:r w:rsidRPr="004963EA">
        <w:rPr>
          <w:rFonts w:ascii="Arial" w:hAnsi="Arial" w:cs="Arial"/>
        </w:rPr>
        <w:t xml:space="preserve">Silva, J. S., &amp; </w:t>
      </w:r>
      <w:proofErr w:type="spellStart"/>
      <w:r w:rsidRPr="004963EA">
        <w:rPr>
          <w:rFonts w:ascii="Arial" w:hAnsi="Arial" w:cs="Arial"/>
        </w:rPr>
        <w:t>Tenreyro</w:t>
      </w:r>
      <w:proofErr w:type="spellEnd"/>
      <w:r w:rsidRPr="004963EA">
        <w:rPr>
          <w:rFonts w:ascii="Arial" w:hAnsi="Arial" w:cs="Arial"/>
        </w:rPr>
        <w:t>, S. (2011). Further simulation evidence on the performance of the Poisson pseudo-maximum likelihood estimator. </w:t>
      </w:r>
      <w:r w:rsidRPr="004963EA">
        <w:rPr>
          <w:rFonts w:ascii="Arial" w:hAnsi="Arial" w:cs="Arial"/>
          <w:i/>
          <w:iCs/>
        </w:rPr>
        <w:t>Economics Letters</w:t>
      </w:r>
      <w:r w:rsidRPr="004963EA">
        <w:rPr>
          <w:rFonts w:ascii="Arial" w:hAnsi="Arial" w:cs="Arial"/>
        </w:rPr>
        <w:t>, </w:t>
      </w:r>
      <w:r w:rsidRPr="004963EA">
        <w:rPr>
          <w:rFonts w:ascii="Arial" w:hAnsi="Arial" w:cs="Arial"/>
          <w:i/>
          <w:iCs/>
        </w:rPr>
        <w:t>112</w:t>
      </w:r>
      <w:r w:rsidRPr="004963EA">
        <w:rPr>
          <w:rFonts w:ascii="Arial" w:hAnsi="Arial" w:cs="Arial"/>
        </w:rPr>
        <w:t xml:space="preserve">(2), 220-222. </w:t>
      </w:r>
      <w:hyperlink r:id="rId18" w:tgtFrame="_blank" w:tooltip="Persistent link using digital object identifier" w:history="1">
        <w:r w:rsidRPr="004963EA">
          <w:rPr>
            <w:rStyle w:val="Hyperlink"/>
            <w:rFonts w:ascii="Arial" w:hAnsi="Arial" w:cs="Arial"/>
          </w:rPr>
          <w:t>https://doi.org/10.1016/j.econlet.2011.05.008</w:t>
        </w:r>
      </w:hyperlink>
    </w:p>
    <w:p w14:paraId="54F6CF2C" w14:textId="77777777" w:rsidR="00DB58AD" w:rsidRPr="004963EA" w:rsidRDefault="00DB58AD" w:rsidP="00DB58AD">
      <w:pPr>
        <w:jc w:val="both"/>
        <w:rPr>
          <w:rFonts w:ascii="Arial" w:hAnsi="Arial" w:cs="Arial"/>
        </w:rPr>
      </w:pPr>
      <w:r w:rsidRPr="004963EA">
        <w:rPr>
          <w:rFonts w:ascii="Arial" w:hAnsi="Arial" w:cs="Arial"/>
          <w:color w:val="000000"/>
        </w:rPr>
        <w:lastRenderedPageBreak/>
        <w:t>Mohanty, S. K., &amp; Gaur, P. (2022). Developments in Agriculture Trade in the BIMSTEC Region.</w:t>
      </w:r>
      <w:bookmarkStart w:id="9" w:name="Musila2022"/>
      <w:bookmarkStart w:id="10" w:name="Rai2021"/>
    </w:p>
    <w:p w14:paraId="1B76B04A" w14:textId="77777777" w:rsidR="00DB58AD" w:rsidRPr="004963EA" w:rsidRDefault="00DB58AD" w:rsidP="00DB58AD">
      <w:pPr>
        <w:jc w:val="both"/>
        <w:rPr>
          <w:rFonts w:ascii="Arial" w:hAnsi="Arial" w:cs="Arial"/>
        </w:rPr>
      </w:pPr>
      <w:r w:rsidRPr="004963EA">
        <w:rPr>
          <w:rFonts w:ascii="Arial" w:hAnsi="Arial" w:cs="Arial"/>
        </w:rPr>
        <w:t xml:space="preserve">Musila, J., &amp; </w:t>
      </w:r>
      <w:proofErr w:type="spellStart"/>
      <w:r w:rsidRPr="004963EA">
        <w:rPr>
          <w:rFonts w:ascii="Arial" w:hAnsi="Arial" w:cs="Arial"/>
        </w:rPr>
        <w:t>Yiheyis</w:t>
      </w:r>
      <w:proofErr w:type="spellEnd"/>
      <w:r w:rsidRPr="004963EA">
        <w:rPr>
          <w:rFonts w:ascii="Arial" w:hAnsi="Arial" w:cs="Arial"/>
        </w:rPr>
        <w:t>, Z. (2022). South–South Trade and Economic Growth: Panel Data Tests of Africa’s Market Integration.</w:t>
      </w:r>
      <w:bookmarkStart w:id="11" w:name="Oberhofer2021"/>
      <w:bookmarkEnd w:id="9"/>
    </w:p>
    <w:p w14:paraId="3355D08A" w14:textId="77777777" w:rsidR="00DB58AD" w:rsidRPr="004963EA" w:rsidRDefault="00DB58AD" w:rsidP="00DB58AD">
      <w:pPr>
        <w:jc w:val="both"/>
        <w:rPr>
          <w:rFonts w:ascii="Arial" w:hAnsi="Arial" w:cs="Arial"/>
        </w:rPr>
      </w:pPr>
      <w:r w:rsidRPr="004963EA">
        <w:rPr>
          <w:rFonts w:ascii="Arial" w:hAnsi="Arial" w:cs="Arial"/>
        </w:rPr>
        <w:t xml:space="preserve">Oberhofer, H., &amp; </w:t>
      </w:r>
      <w:proofErr w:type="spellStart"/>
      <w:r w:rsidRPr="004963EA">
        <w:rPr>
          <w:rFonts w:ascii="Arial" w:hAnsi="Arial" w:cs="Arial"/>
        </w:rPr>
        <w:t>Pfaffermayr</w:t>
      </w:r>
      <w:proofErr w:type="spellEnd"/>
      <w:r w:rsidRPr="004963EA">
        <w:rPr>
          <w:rFonts w:ascii="Arial" w:hAnsi="Arial" w:cs="Arial"/>
        </w:rPr>
        <w:t>, M. (2021). Estimating the trade and welfare effects of Brexit: A panel data structural gravity model. </w:t>
      </w:r>
      <w:r w:rsidRPr="004963EA">
        <w:rPr>
          <w:rFonts w:ascii="Arial" w:hAnsi="Arial" w:cs="Arial"/>
          <w:i/>
          <w:iCs/>
        </w:rPr>
        <w:t xml:space="preserve">Canadian Journal of Economics/Revue </w:t>
      </w:r>
      <w:proofErr w:type="spellStart"/>
      <w:r w:rsidRPr="004963EA">
        <w:rPr>
          <w:rFonts w:ascii="Arial" w:hAnsi="Arial" w:cs="Arial"/>
          <w:i/>
          <w:iCs/>
        </w:rPr>
        <w:t>canadienne</w:t>
      </w:r>
      <w:proofErr w:type="spellEnd"/>
      <w:r w:rsidRPr="004963EA">
        <w:rPr>
          <w:rFonts w:ascii="Arial" w:hAnsi="Arial" w:cs="Arial"/>
          <w:i/>
          <w:iCs/>
        </w:rPr>
        <w:t xml:space="preserve"> </w:t>
      </w:r>
      <w:proofErr w:type="spellStart"/>
      <w:r w:rsidRPr="004963EA">
        <w:rPr>
          <w:rFonts w:ascii="Arial" w:hAnsi="Arial" w:cs="Arial"/>
          <w:i/>
          <w:iCs/>
        </w:rPr>
        <w:t>d'économique</w:t>
      </w:r>
      <w:proofErr w:type="spellEnd"/>
      <w:r w:rsidRPr="004963EA">
        <w:rPr>
          <w:rFonts w:ascii="Arial" w:hAnsi="Arial" w:cs="Arial"/>
        </w:rPr>
        <w:t>, </w:t>
      </w:r>
      <w:r w:rsidRPr="004963EA">
        <w:rPr>
          <w:rFonts w:ascii="Arial" w:hAnsi="Arial" w:cs="Arial"/>
          <w:i/>
          <w:iCs/>
        </w:rPr>
        <w:t>54</w:t>
      </w:r>
      <w:r w:rsidRPr="004963EA">
        <w:rPr>
          <w:rFonts w:ascii="Arial" w:hAnsi="Arial" w:cs="Arial"/>
        </w:rPr>
        <w:t>(1), 338-375.</w:t>
      </w:r>
      <w:bookmarkEnd w:id="11"/>
    </w:p>
    <w:p w14:paraId="7E2E06CF" w14:textId="77777777" w:rsidR="00DB58AD" w:rsidRPr="004963EA" w:rsidRDefault="00DB58AD" w:rsidP="00DB58AD">
      <w:pPr>
        <w:jc w:val="both"/>
        <w:rPr>
          <w:rFonts w:ascii="Arial" w:hAnsi="Arial" w:cs="Arial"/>
        </w:rPr>
      </w:pPr>
      <w:r w:rsidRPr="004963EA">
        <w:rPr>
          <w:rFonts w:ascii="Arial" w:hAnsi="Arial" w:cs="Arial"/>
          <w:color w:val="000000"/>
        </w:rPr>
        <w:t>Rai, S. K., Paswan, A. S., &amp; Jha, S. N. (2021). The An Analysis of India’s Trade Flow with BIMSTEC nations-A Gravity Model Approach. Studies in Economics and Business Relations, 2(2).</w:t>
      </w:r>
      <w:bookmarkStart w:id="12" w:name="Shahriar2022"/>
      <w:bookmarkEnd w:id="10"/>
    </w:p>
    <w:p w14:paraId="46C83ABF" w14:textId="77777777" w:rsidR="00DB58AD" w:rsidRPr="004963EA" w:rsidRDefault="00DB58AD" w:rsidP="00DB58AD">
      <w:pPr>
        <w:jc w:val="both"/>
        <w:rPr>
          <w:rFonts w:ascii="Arial" w:hAnsi="Arial" w:cs="Arial"/>
        </w:rPr>
      </w:pPr>
      <w:r w:rsidRPr="004963EA">
        <w:rPr>
          <w:rFonts w:ascii="Arial" w:hAnsi="Arial" w:cs="Arial"/>
        </w:rPr>
        <w:t>Shahriar, S. (2022). India’s Economic Relations with Myanmar: A Study of Border Trade. Journal of Borderlands studies, 37(3), 599-621.</w:t>
      </w:r>
      <w:bookmarkStart w:id="13" w:name="SinghPadhi2020"/>
      <w:bookmarkStart w:id="14" w:name="Singh2020"/>
      <w:bookmarkEnd w:id="12"/>
    </w:p>
    <w:p w14:paraId="4CF5CE6E" w14:textId="77777777" w:rsidR="00DB58AD" w:rsidRPr="004963EA" w:rsidRDefault="00DB58AD" w:rsidP="00DB58AD">
      <w:pPr>
        <w:jc w:val="both"/>
        <w:rPr>
          <w:rFonts w:ascii="Arial" w:hAnsi="Arial" w:cs="Arial"/>
        </w:rPr>
      </w:pPr>
      <w:r w:rsidRPr="004963EA">
        <w:rPr>
          <w:rFonts w:ascii="Arial" w:hAnsi="Arial" w:cs="Arial"/>
        </w:rPr>
        <w:t>Shimada, R. (2019). Southeast Asia and international trade: continuity and change in historical perspective. In </w:t>
      </w:r>
      <w:r w:rsidRPr="004963EA">
        <w:rPr>
          <w:rFonts w:ascii="Arial" w:hAnsi="Arial" w:cs="Arial"/>
          <w:i/>
          <w:iCs/>
        </w:rPr>
        <w:t>Paths to the emerging state in Asia and Africa</w:t>
      </w:r>
      <w:r w:rsidRPr="004963EA">
        <w:rPr>
          <w:rFonts w:ascii="Arial" w:hAnsi="Arial" w:cs="Arial"/>
        </w:rPr>
        <w:t> (pp. 55-71). Singapore: Springer Nature Singapore.</w:t>
      </w:r>
    </w:p>
    <w:p w14:paraId="0A827B7F" w14:textId="77777777" w:rsidR="00DB58AD" w:rsidRPr="004963EA" w:rsidRDefault="00DB58AD" w:rsidP="00DB58AD">
      <w:pPr>
        <w:jc w:val="both"/>
        <w:rPr>
          <w:rFonts w:ascii="Arial" w:hAnsi="Arial" w:cs="Arial"/>
        </w:rPr>
      </w:pPr>
      <w:r w:rsidRPr="004963EA">
        <w:rPr>
          <w:rFonts w:ascii="Arial" w:hAnsi="Arial" w:cs="Arial"/>
          <w:color w:val="000000"/>
        </w:rPr>
        <w:t>Singh, A., &amp; Padhi, S. (2020). India and trade blocs: A gravity model analysis. Theoretical &amp; Applied Economics, 27(4).</w:t>
      </w:r>
      <w:bookmarkEnd w:id="13"/>
    </w:p>
    <w:p w14:paraId="4AC85CE6" w14:textId="77777777" w:rsidR="00DB58AD" w:rsidRPr="004963EA" w:rsidRDefault="00DB58AD" w:rsidP="00DB58AD">
      <w:pPr>
        <w:jc w:val="both"/>
        <w:rPr>
          <w:rFonts w:ascii="Arial" w:hAnsi="Arial" w:cs="Arial"/>
        </w:rPr>
      </w:pPr>
      <w:r w:rsidRPr="004963EA">
        <w:rPr>
          <w:rFonts w:ascii="Arial" w:hAnsi="Arial" w:cs="Arial"/>
          <w:color w:val="000000"/>
        </w:rPr>
        <w:t>Singh, P. K., &amp; Guha, P. (2020). Size and Proximity Effects of Economy on India’s Bilateral Trade in Tea. The Indian Journal of Economics, (398).</w:t>
      </w:r>
      <w:bookmarkStart w:id="15" w:name="Singh2023"/>
      <w:bookmarkEnd w:id="14"/>
    </w:p>
    <w:p w14:paraId="03A0D261" w14:textId="77777777" w:rsidR="00DB58AD" w:rsidRPr="004963EA" w:rsidRDefault="00DB58AD" w:rsidP="00DB58AD">
      <w:pPr>
        <w:jc w:val="both"/>
        <w:rPr>
          <w:rFonts w:ascii="Arial" w:hAnsi="Arial" w:cs="Arial"/>
        </w:rPr>
      </w:pPr>
      <w:r w:rsidRPr="004963EA">
        <w:rPr>
          <w:rFonts w:ascii="Arial" w:hAnsi="Arial" w:cs="Arial"/>
          <w:color w:val="000000"/>
        </w:rPr>
        <w:t>Singh, R. K., Chauhan, A. K., &amp; Kumar, A. (2023). Mapping India’s Export Relations with BRICS Countries: Empirical Evidence from Gravity Model Theory.</w:t>
      </w:r>
      <w:bookmarkStart w:id="16" w:name="Tamberi2025"/>
      <w:bookmarkEnd w:id="15"/>
    </w:p>
    <w:p w14:paraId="4BB37927" w14:textId="77777777" w:rsidR="00DB58AD" w:rsidRPr="004963EA" w:rsidRDefault="00DB58AD" w:rsidP="00DB58AD">
      <w:pPr>
        <w:jc w:val="both"/>
        <w:rPr>
          <w:rFonts w:ascii="Arial" w:hAnsi="Arial" w:cs="Arial"/>
        </w:rPr>
      </w:pPr>
      <w:proofErr w:type="spellStart"/>
      <w:r w:rsidRPr="004963EA">
        <w:rPr>
          <w:rFonts w:ascii="Arial" w:hAnsi="Arial" w:cs="Arial"/>
        </w:rPr>
        <w:t>Tamberi</w:t>
      </w:r>
      <w:proofErr w:type="spellEnd"/>
      <w:r w:rsidRPr="004963EA">
        <w:rPr>
          <w:rFonts w:ascii="Arial" w:hAnsi="Arial" w:cs="Arial"/>
        </w:rPr>
        <w:t>, N. (2025). </w:t>
      </w:r>
      <w:r w:rsidRPr="004963EA">
        <w:rPr>
          <w:rFonts w:ascii="Arial" w:hAnsi="Arial" w:cs="Arial"/>
          <w:i/>
          <w:iCs/>
        </w:rPr>
        <w:t>The dynamics of the trade elasticity: Evidence from the 2018 US trade war</w:t>
      </w:r>
      <w:r w:rsidRPr="004963EA">
        <w:rPr>
          <w:rFonts w:ascii="Arial" w:hAnsi="Arial" w:cs="Arial"/>
        </w:rPr>
        <w:t> (No. 026). CITP Working Paper.</w:t>
      </w:r>
      <w:bookmarkEnd w:id="16"/>
    </w:p>
    <w:p w14:paraId="3F3BA390" w14:textId="77777777" w:rsidR="00DB58AD" w:rsidRPr="004963EA" w:rsidRDefault="00DB58AD" w:rsidP="00DB58AD">
      <w:pPr>
        <w:jc w:val="both"/>
        <w:rPr>
          <w:rFonts w:ascii="Arial" w:hAnsi="Arial" w:cs="Arial"/>
        </w:rPr>
      </w:pPr>
      <w:r w:rsidRPr="004963EA">
        <w:rPr>
          <w:rFonts w:ascii="Arial" w:hAnsi="Arial" w:cs="Arial"/>
        </w:rPr>
        <w:t xml:space="preserve">Tinbergen, J. (1962). </w:t>
      </w:r>
      <w:r w:rsidRPr="004963EA">
        <w:rPr>
          <w:rFonts w:ascii="Arial" w:hAnsi="Arial" w:cs="Arial"/>
          <w:i/>
          <w:iCs/>
        </w:rPr>
        <w:t>Shaping the world economy; suggestions for an international economic policy</w:t>
      </w:r>
      <w:r w:rsidRPr="004963EA">
        <w:rPr>
          <w:rFonts w:ascii="Arial" w:hAnsi="Arial" w:cs="Arial"/>
        </w:rPr>
        <w:t xml:space="preserve">. </w:t>
      </w:r>
      <w:hyperlink r:id="rId19" w:history="1">
        <w:r w:rsidRPr="004963EA">
          <w:rPr>
            <w:rStyle w:val="Hyperlink"/>
            <w:rFonts w:ascii="Arial" w:hAnsi="Arial" w:cs="Arial"/>
          </w:rPr>
          <w:t>repub.eur.nl/pub/16826/Appendices.pdf</w:t>
        </w:r>
      </w:hyperlink>
      <w:bookmarkStart w:id="17" w:name="Wijeweera2025"/>
    </w:p>
    <w:p w14:paraId="6DFE8F58" w14:textId="77777777" w:rsidR="00DB58AD" w:rsidRPr="004963EA" w:rsidRDefault="00DB58AD" w:rsidP="00DB58AD">
      <w:pPr>
        <w:jc w:val="both"/>
        <w:rPr>
          <w:rFonts w:ascii="Arial" w:hAnsi="Arial" w:cs="Arial"/>
        </w:rPr>
      </w:pPr>
      <w:r w:rsidRPr="004963EA">
        <w:rPr>
          <w:rFonts w:ascii="Arial" w:hAnsi="Arial" w:cs="Arial"/>
        </w:rPr>
        <w:t>Wijeweera, A., &amp; Reppas, D. (2025). An Empirical Analysis of Sectoral Export Demand Elasticities and Trade Policies: The Case of India. </w:t>
      </w:r>
      <w:r w:rsidRPr="004963EA">
        <w:rPr>
          <w:rFonts w:ascii="Arial" w:hAnsi="Arial" w:cs="Arial"/>
          <w:i/>
          <w:iCs/>
        </w:rPr>
        <w:t>Foreign Trade Review</w:t>
      </w:r>
      <w:r w:rsidRPr="004963EA">
        <w:rPr>
          <w:rFonts w:ascii="Arial" w:hAnsi="Arial" w:cs="Arial"/>
        </w:rPr>
        <w:t>, 00157325241266030.</w:t>
      </w:r>
      <w:bookmarkEnd w:id="17"/>
    </w:p>
    <w:p w14:paraId="194A3FB0" w14:textId="77777777" w:rsidR="00441B6F" w:rsidRPr="004963EA" w:rsidRDefault="00441B6F" w:rsidP="00441B6F">
      <w:pPr>
        <w:pStyle w:val="Body"/>
        <w:spacing w:after="0"/>
        <w:rPr>
          <w:i/>
        </w:rPr>
      </w:pPr>
    </w:p>
    <w:p w14:paraId="02AA4CD3" w14:textId="77777777" w:rsidR="00441B6F" w:rsidRPr="004963EA" w:rsidRDefault="00441B6F" w:rsidP="00441B6F">
      <w:pPr>
        <w:pStyle w:val="Body"/>
        <w:spacing w:after="0"/>
        <w:jc w:val="left"/>
      </w:pPr>
    </w:p>
    <w:p w14:paraId="49B6DBBC" w14:textId="77777777" w:rsidR="00DB58AD" w:rsidRPr="004963EA" w:rsidRDefault="00DB58AD" w:rsidP="00DB58AD">
      <w:pPr>
        <w:jc w:val="both"/>
        <w:rPr>
          <w:rFonts w:ascii="Arial" w:hAnsi="Arial" w:cs="Arial"/>
        </w:rPr>
      </w:pPr>
      <w:r w:rsidRPr="004963EA">
        <w:rPr>
          <w:rFonts w:ascii="Arial" w:hAnsi="Arial" w:cs="Arial"/>
          <w:lang w:eastAsia="en-IN" w:bidi="my-MM"/>
        </w:rPr>
        <w:t>Amsden, A. H. (2001). </w:t>
      </w:r>
      <w:r w:rsidRPr="004963EA">
        <w:rPr>
          <w:rFonts w:ascii="Arial" w:hAnsi="Arial" w:cs="Arial"/>
          <w:i/>
          <w:iCs/>
          <w:lang w:eastAsia="en-IN" w:bidi="my-MM"/>
        </w:rPr>
        <w:t>The rise of the rest: challenges to the west from late-industrializing economies</w:t>
      </w:r>
      <w:r w:rsidRPr="004963EA">
        <w:rPr>
          <w:rFonts w:ascii="Arial" w:hAnsi="Arial" w:cs="Arial"/>
          <w:lang w:eastAsia="en-IN" w:bidi="my-MM"/>
        </w:rPr>
        <w:t>. Oxford University Press.</w:t>
      </w:r>
    </w:p>
    <w:p w14:paraId="0718A852" w14:textId="77777777" w:rsidR="00DB58AD" w:rsidRPr="004963EA" w:rsidRDefault="00DB58AD" w:rsidP="00DB58AD">
      <w:pPr>
        <w:jc w:val="both"/>
        <w:rPr>
          <w:rFonts w:ascii="Arial" w:hAnsi="Arial" w:cs="Arial"/>
        </w:rPr>
      </w:pPr>
      <w:r w:rsidRPr="004963EA">
        <w:rPr>
          <w:rFonts w:ascii="Arial" w:hAnsi="Arial" w:cs="Arial"/>
        </w:rPr>
        <w:t>Feenstra, R. C. (2015). Advanced international trade: Theory and evidence second edition. </w:t>
      </w:r>
      <w:r w:rsidRPr="004963EA">
        <w:rPr>
          <w:rFonts w:ascii="Arial" w:hAnsi="Arial" w:cs="Arial"/>
          <w:i/>
          <w:iCs/>
        </w:rPr>
        <w:t>Economics Books</w:t>
      </w:r>
      <w:r w:rsidRPr="004963EA">
        <w:rPr>
          <w:rFonts w:ascii="Arial" w:hAnsi="Arial" w:cs="Arial"/>
        </w:rPr>
        <w:t>.</w:t>
      </w:r>
    </w:p>
    <w:p w14:paraId="57FE1047" w14:textId="77777777" w:rsidR="00DB58AD" w:rsidRPr="004963EA" w:rsidRDefault="00DB58AD" w:rsidP="00DB58AD">
      <w:pPr>
        <w:jc w:val="both"/>
        <w:rPr>
          <w:rFonts w:ascii="Arial" w:hAnsi="Arial" w:cs="Arial"/>
        </w:rPr>
      </w:pPr>
      <w:proofErr w:type="spellStart"/>
      <w:r w:rsidRPr="004963EA">
        <w:rPr>
          <w:rFonts w:ascii="Arial" w:hAnsi="Arial" w:cs="Arial"/>
          <w:lang w:eastAsia="en-IN" w:bidi="my-MM"/>
        </w:rPr>
        <w:t>Helleiner</w:t>
      </w:r>
      <w:proofErr w:type="spellEnd"/>
      <w:r w:rsidRPr="004963EA">
        <w:rPr>
          <w:rFonts w:ascii="Arial" w:hAnsi="Arial" w:cs="Arial"/>
          <w:lang w:eastAsia="en-IN" w:bidi="my-MM"/>
        </w:rPr>
        <w:t>, E. (2014). </w:t>
      </w:r>
      <w:r w:rsidRPr="004963EA">
        <w:rPr>
          <w:rFonts w:ascii="Arial" w:hAnsi="Arial" w:cs="Arial"/>
          <w:i/>
          <w:iCs/>
          <w:lang w:eastAsia="en-IN" w:bidi="my-MM"/>
        </w:rPr>
        <w:t>The status quo crisis: Global financial governance after the 2008 meltdown</w:t>
      </w:r>
      <w:r w:rsidRPr="004963EA">
        <w:rPr>
          <w:rFonts w:ascii="Arial" w:hAnsi="Arial" w:cs="Arial"/>
          <w:lang w:eastAsia="en-IN" w:bidi="my-MM"/>
        </w:rPr>
        <w:t>. Oxford University Press.</w:t>
      </w:r>
      <w:bookmarkStart w:id="18" w:name="Gulnaz2022"/>
    </w:p>
    <w:p w14:paraId="48C3605D" w14:textId="77777777" w:rsidR="00DB58AD" w:rsidRPr="004963EA" w:rsidRDefault="00DB58AD" w:rsidP="00DB58AD">
      <w:pPr>
        <w:jc w:val="both"/>
        <w:rPr>
          <w:rFonts w:ascii="Arial" w:hAnsi="Arial" w:cs="Arial"/>
        </w:rPr>
      </w:pPr>
      <w:r w:rsidRPr="004963EA">
        <w:rPr>
          <w:rFonts w:ascii="Arial" w:hAnsi="Arial" w:cs="Arial"/>
        </w:rPr>
        <w:t xml:space="preserve">Gulnaz, S., &amp; Manglani, H. (2022). Does gravity work in the context of India and ASEAN bilateral trade? An application of the FGLS method. </w:t>
      </w:r>
      <w:r w:rsidRPr="004963EA">
        <w:rPr>
          <w:rFonts w:ascii="Arial" w:hAnsi="Arial" w:cs="Arial"/>
          <w:i/>
          <w:iCs/>
        </w:rPr>
        <w:t>Theoretical and Applied Economics</w:t>
      </w:r>
      <w:r w:rsidRPr="004963EA">
        <w:rPr>
          <w:rFonts w:ascii="Arial" w:hAnsi="Arial" w:cs="Arial"/>
        </w:rPr>
        <w:t xml:space="preserve">, </w:t>
      </w:r>
      <w:proofErr w:type="gramStart"/>
      <w:r w:rsidRPr="004963EA">
        <w:rPr>
          <w:rFonts w:ascii="Arial" w:hAnsi="Arial" w:cs="Arial"/>
          <w:i/>
          <w:iCs/>
        </w:rPr>
        <w:t>XXIX</w:t>
      </w:r>
      <w:r w:rsidRPr="004963EA">
        <w:rPr>
          <w:rFonts w:ascii="Arial" w:hAnsi="Arial" w:cs="Arial"/>
        </w:rPr>
        <w:t>(</w:t>
      </w:r>
      <w:proofErr w:type="gramEnd"/>
      <w:r w:rsidRPr="004963EA">
        <w:rPr>
          <w:rFonts w:ascii="Arial" w:hAnsi="Arial" w:cs="Arial"/>
        </w:rPr>
        <w:t>1(630), Spring), 143–160.</w:t>
      </w:r>
      <w:bookmarkEnd w:id="18"/>
    </w:p>
    <w:p w14:paraId="66FDAE4A" w14:textId="77777777" w:rsidR="00287E68" w:rsidRPr="004963EA" w:rsidRDefault="00287E68" w:rsidP="003763C1">
      <w:pPr>
        <w:pStyle w:val="Body"/>
        <w:spacing w:after="0"/>
        <w:rPr>
          <w:lang w:val="en-GB"/>
        </w:rPr>
      </w:pPr>
    </w:p>
    <w:p w14:paraId="62B473D4" w14:textId="77777777" w:rsidR="00DB58AD" w:rsidRPr="004963EA" w:rsidRDefault="00DB58AD" w:rsidP="00DB58AD">
      <w:pPr>
        <w:jc w:val="both"/>
        <w:rPr>
          <w:rFonts w:ascii="Arial" w:hAnsi="Arial" w:cs="Arial"/>
        </w:rPr>
      </w:pPr>
      <w:r w:rsidRPr="004963EA">
        <w:rPr>
          <w:rFonts w:ascii="Arial" w:hAnsi="Arial" w:cs="Arial"/>
        </w:rPr>
        <w:t xml:space="preserve">BIMSTEC Website (2025). </w:t>
      </w:r>
      <w:hyperlink r:id="rId20" w:history="1">
        <w:r w:rsidRPr="004963EA">
          <w:rPr>
            <w:rStyle w:val="Hyperlink"/>
            <w:rFonts w:ascii="Arial" w:hAnsi="Arial" w:cs="Arial"/>
          </w:rPr>
          <w:t>https://bimstec.org/</w:t>
        </w:r>
      </w:hyperlink>
      <w:bookmarkStart w:id="19" w:name="Chen2022"/>
    </w:p>
    <w:p w14:paraId="3FCC64A8" w14:textId="77777777" w:rsidR="00DB58AD" w:rsidRPr="004963EA" w:rsidRDefault="00DB58AD" w:rsidP="00DB58AD">
      <w:pPr>
        <w:jc w:val="both"/>
        <w:rPr>
          <w:rFonts w:ascii="Arial" w:hAnsi="Arial" w:cs="Arial"/>
        </w:rPr>
      </w:pPr>
      <w:r w:rsidRPr="004963EA">
        <w:rPr>
          <w:rFonts w:ascii="Arial" w:hAnsi="Arial" w:cs="Arial"/>
        </w:rPr>
        <w:t xml:space="preserve">CEPII Website (2025). </w:t>
      </w:r>
      <w:hyperlink r:id="rId21" w:history="1">
        <w:r w:rsidRPr="004963EA">
          <w:rPr>
            <w:rStyle w:val="Hyperlink"/>
            <w:rFonts w:ascii="Arial" w:hAnsi="Arial" w:cs="Arial"/>
          </w:rPr>
          <w:t>https://cepii.fr/CEPII/en/bdd_modele/bdd_modele_item.asp?id=6</w:t>
        </w:r>
      </w:hyperlink>
      <w:bookmarkEnd w:id="19"/>
    </w:p>
    <w:p w14:paraId="1F3E564D" w14:textId="77777777" w:rsidR="00DB58AD" w:rsidRPr="004963EA" w:rsidRDefault="00DB58AD" w:rsidP="00DB58AD">
      <w:pPr>
        <w:jc w:val="both"/>
        <w:rPr>
          <w:rFonts w:ascii="Arial" w:hAnsi="Arial" w:cs="Arial"/>
        </w:rPr>
      </w:pPr>
      <w:r w:rsidRPr="004963EA">
        <w:rPr>
          <w:rFonts w:ascii="Arial" w:hAnsi="Arial" w:cs="Arial"/>
        </w:rPr>
        <w:t xml:space="preserve">Ministry of Commerce and Industry, </w:t>
      </w:r>
      <w:proofErr w:type="spellStart"/>
      <w:r w:rsidRPr="004963EA">
        <w:rPr>
          <w:rFonts w:ascii="Arial" w:hAnsi="Arial" w:cs="Arial"/>
        </w:rPr>
        <w:t>GoI</w:t>
      </w:r>
      <w:proofErr w:type="spellEnd"/>
      <w:r w:rsidRPr="004963EA">
        <w:rPr>
          <w:rFonts w:ascii="Arial" w:hAnsi="Arial" w:cs="Arial"/>
        </w:rPr>
        <w:t xml:space="preserve"> Website (2025). </w:t>
      </w:r>
      <w:hyperlink r:id="rId22" w:history="1">
        <w:r w:rsidRPr="004963EA">
          <w:rPr>
            <w:rStyle w:val="Hyperlink"/>
            <w:rFonts w:ascii="Arial" w:hAnsi="Arial" w:cs="Arial"/>
          </w:rPr>
          <w:t>https://www.commerce.gov.in/</w:t>
        </w:r>
      </w:hyperlink>
    </w:p>
    <w:p w14:paraId="35819693" w14:textId="77777777" w:rsidR="00DB58AD" w:rsidRPr="007A7199" w:rsidRDefault="00DB58AD" w:rsidP="00DB58AD">
      <w:pPr>
        <w:jc w:val="both"/>
        <w:rPr>
          <w:rFonts w:ascii="Arial" w:hAnsi="Arial" w:cs="Arial"/>
        </w:rPr>
      </w:pPr>
      <w:r w:rsidRPr="004963EA">
        <w:rPr>
          <w:rFonts w:ascii="Arial" w:hAnsi="Arial" w:cs="Arial"/>
        </w:rPr>
        <w:t xml:space="preserve">World Bank WDI Website (2025). </w:t>
      </w:r>
      <w:hyperlink r:id="rId23" w:history="1">
        <w:r w:rsidRPr="004963EA">
          <w:rPr>
            <w:rStyle w:val="Hyperlink"/>
            <w:rFonts w:ascii="Arial" w:hAnsi="Arial" w:cs="Arial"/>
          </w:rPr>
          <w:t>https://databank.worldbank.org/</w:t>
        </w:r>
      </w:hyperlink>
    </w:p>
    <w:p w14:paraId="3345E627" w14:textId="77777777" w:rsidR="00441B6F" w:rsidRDefault="00441B6F" w:rsidP="00441B6F">
      <w:pPr>
        <w:pStyle w:val="Body"/>
        <w:spacing w:after="0"/>
        <w:jc w:val="left"/>
      </w:pPr>
    </w:p>
    <w:p w14:paraId="7E0C0903" w14:textId="77777777" w:rsidR="00790ADA" w:rsidRPr="00FB3A86" w:rsidRDefault="00790ADA" w:rsidP="00441B6F">
      <w:pPr>
        <w:pStyle w:val="Body"/>
        <w:spacing w:after="0"/>
        <w:rPr>
          <w:rFonts w:ascii="Arial" w:hAnsi="Arial" w:cs="Arial"/>
        </w:rPr>
      </w:pPr>
    </w:p>
    <w:p w14:paraId="2EC2A9D5" w14:textId="51FD3292" w:rsidR="004D4277" w:rsidRPr="00FB3A86" w:rsidRDefault="004D4277" w:rsidP="00441B6F">
      <w:pPr>
        <w:pStyle w:val="Appendix"/>
        <w:spacing w:after="0"/>
        <w:jc w:val="both"/>
        <w:rPr>
          <w:rFonts w:ascii="Arial" w:hAnsi="Arial" w:cs="Arial"/>
          <w:b w:val="0"/>
        </w:rPr>
        <w:sectPr w:rsidR="004D4277" w:rsidRPr="00FB3A86" w:rsidSect="00456AE6">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6EFDF976" w14:textId="77777777" w:rsidR="00782461" w:rsidRDefault="00782461" w:rsidP="00782461">
      <w:pPr>
        <w:ind w:left="630"/>
        <w:jc w:val="both"/>
        <w:rPr>
          <w:rFonts w:ascii="Arial" w:hAnsi="Arial" w:cs="Arial"/>
        </w:rPr>
      </w:pPr>
    </w:p>
    <w:p w14:paraId="53ED0E2E" w14:textId="77777777" w:rsidR="00782461" w:rsidRDefault="00782461" w:rsidP="00782461">
      <w:pPr>
        <w:ind w:left="630"/>
        <w:jc w:val="both"/>
        <w:rPr>
          <w:rFonts w:ascii="Arial" w:hAnsi="Arial" w:cs="Arial"/>
        </w:rPr>
      </w:pPr>
    </w:p>
    <w:p w14:paraId="6085FE65" w14:textId="77777777" w:rsidR="00782461" w:rsidRDefault="00782461" w:rsidP="00782461">
      <w:pPr>
        <w:ind w:left="630"/>
        <w:jc w:val="both"/>
        <w:rPr>
          <w:rFonts w:ascii="Arial" w:hAnsi="Arial" w:cs="Arial"/>
        </w:rPr>
      </w:pPr>
      <w:bookmarkStart w:id="20" w:name="Mohanty2022"/>
    </w:p>
    <w:bookmarkEnd w:id="20"/>
    <w:p w14:paraId="7CFA2006" w14:textId="77777777" w:rsidR="00B01FCD" w:rsidRPr="00FB3A86" w:rsidRDefault="00B01FCD" w:rsidP="00441B6F">
      <w:pPr>
        <w:pStyle w:val="Appendix"/>
        <w:spacing w:after="0"/>
        <w:jc w:val="both"/>
        <w:rPr>
          <w:rFonts w:ascii="Arial" w:hAnsi="Arial" w:cs="Arial"/>
          <w:b w:val="0"/>
        </w:rPr>
      </w:pPr>
    </w:p>
    <w:sectPr w:rsidR="00B01FCD" w:rsidRPr="00FB3A86" w:rsidSect="00456AE6">
      <w:headerReference w:type="even" r:id="rId28"/>
      <w:headerReference w:type="default" r:id="rId29"/>
      <w:footerReference w:type="default" r:id="rId30"/>
      <w:headerReference w:type="first" r:id="rId31"/>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97861" w14:textId="77777777" w:rsidR="00FF1FF4" w:rsidRDefault="00FF1FF4" w:rsidP="00C37E61">
      <w:r>
        <w:separator/>
      </w:r>
    </w:p>
  </w:endnote>
  <w:endnote w:type="continuationSeparator" w:id="0">
    <w:p w14:paraId="7D3B7D67" w14:textId="77777777" w:rsidR="00FF1FF4" w:rsidRDefault="00FF1F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3B99" w14:textId="77777777" w:rsidR="00456AE6" w:rsidRDefault="00456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7451" w14:textId="77777777" w:rsidR="00456AE6" w:rsidRDefault="00456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F47C" w14:textId="77777777" w:rsidR="009E048A" w:rsidRDefault="009E048A">
    <w:pPr>
      <w:pStyle w:val="Footer"/>
      <w:rPr>
        <w:rFonts w:ascii="Arial" w:hAnsi="Arial" w:cs="Arial"/>
        <w:sz w:val="16"/>
      </w:rPr>
    </w:pPr>
  </w:p>
  <w:p w14:paraId="215EF8E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7EED03" w14:textId="77777777" w:rsidR="009E048A" w:rsidRDefault="009E048A">
    <w:pPr>
      <w:pStyle w:val="Footer"/>
      <w:rPr>
        <w:rFonts w:ascii="Arial" w:hAnsi="Arial" w:cs="Arial"/>
        <w:sz w:val="16"/>
      </w:rPr>
    </w:pPr>
  </w:p>
  <w:p w14:paraId="475770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21FB"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F139" w14:textId="77777777" w:rsidR="002238A7" w:rsidRPr="006E6EEA" w:rsidRDefault="002238A7">
    <w:pPr>
      <w:pStyle w:val="Footer"/>
      <w:jc w:val="center"/>
      <w:rPr>
        <w:rFonts w:ascii="Times New Roman" w:hAnsi="Times New Roman"/>
        <w:b/>
        <w:bCs/>
        <w:sz w:val="24"/>
        <w:szCs w:val="24"/>
      </w:rPr>
    </w:pPr>
  </w:p>
  <w:p w14:paraId="51CFF046" w14:textId="77777777" w:rsidR="002238A7" w:rsidRDefault="0022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BF5FC" w14:textId="77777777" w:rsidR="00FF1FF4" w:rsidRDefault="00FF1FF4" w:rsidP="00C37E61">
      <w:r>
        <w:separator/>
      </w:r>
    </w:p>
  </w:footnote>
  <w:footnote w:type="continuationSeparator" w:id="0">
    <w:p w14:paraId="22D36CE1" w14:textId="77777777" w:rsidR="00FF1FF4" w:rsidRDefault="00FF1F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7129" w14:textId="6220640D" w:rsidR="00456AE6" w:rsidRDefault="00456AE6">
    <w:pPr>
      <w:pStyle w:val="Header"/>
    </w:pPr>
    <w:r>
      <w:rPr>
        <w:noProof/>
      </w:rPr>
      <w:pict w14:anchorId="6BACE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AE69" w14:textId="6DDA780A" w:rsidR="00456AE6" w:rsidRDefault="00456AE6">
    <w:pPr>
      <w:pStyle w:val="Header"/>
    </w:pPr>
    <w:r>
      <w:rPr>
        <w:noProof/>
      </w:rPr>
      <w:pict w14:anchorId="2559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D415" w14:textId="0BF620C9" w:rsidR="00296529" w:rsidRPr="00296529" w:rsidRDefault="00456AE6" w:rsidP="00296529">
    <w:pPr>
      <w:ind w:left="2160"/>
      <w:jc w:val="center"/>
      <w:rPr>
        <w:rFonts w:ascii="Times New Roman" w:eastAsia="Calibri" w:hAnsi="Times New Roman"/>
        <w:i/>
        <w:sz w:val="18"/>
        <w:szCs w:val="22"/>
      </w:rPr>
    </w:pPr>
    <w:r>
      <w:rPr>
        <w:noProof/>
      </w:rPr>
      <w:pict w14:anchorId="7F200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D70D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1CD3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2D0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2626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AF1A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A7BF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6DE9" w14:textId="5375CD66" w:rsidR="00456AE6" w:rsidRDefault="00456AE6">
    <w:pPr>
      <w:pStyle w:val="Header"/>
    </w:pPr>
    <w:r>
      <w:rPr>
        <w:noProof/>
      </w:rPr>
      <w:pict w14:anchorId="47744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2648" w14:textId="416A97B5" w:rsidR="00456AE6" w:rsidRDefault="00456AE6">
    <w:pPr>
      <w:pStyle w:val="Header"/>
    </w:pPr>
    <w:r>
      <w:rPr>
        <w:noProof/>
      </w:rPr>
      <w:pict w14:anchorId="68528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B9B4" w14:textId="76D60425" w:rsidR="00456AE6" w:rsidRDefault="00456AE6">
    <w:pPr>
      <w:pStyle w:val="Header"/>
    </w:pPr>
    <w:r>
      <w:rPr>
        <w:noProof/>
      </w:rPr>
      <w:pict w14:anchorId="7627F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58EF" w14:textId="72237793" w:rsidR="00456AE6" w:rsidRDefault="00456AE6">
    <w:pPr>
      <w:pStyle w:val="Header"/>
    </w:pPr>
    <w:r>
      <w:rPr>
        <w:noProof/>
      </w:rPr>
      <w:pict w14:anchorId="49057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4"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238E" w14:textId="6E3420CD" w:rsidR="002238A7" w:rsidRPr="00830782" w:rsidRDefault="00456AE6">
    <w:pPr>
      <w:pStyle w:val="Header"/>
      <w:jc w:val="right"/>
      <w:rPr>
        <w:rFonts w:ascii="Times New Roman" w:hAnsi="Times New Roman"/>
        <w:b/>
        <w:bCs/>
        <w:sz w:val="24"/>
        <w:szCs w:val="24"/>
      </w:rPr>
    </w:pPr>
    <w:r>
      <w:rPr>
        <w:noProof/>
      </w:rPr>
      <w:pict w14:anchorId="2EC59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5" o:spid="_x0000_s2057" type="#_x0000_t136" style="position:absolute;left:0;text-align:left;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sdt>
    <w:sdtPr>
      <w:id w:val="-756437388"/>
      <w:docPartObj>
        <w:docPartGallery w:val="Page Numbers (Top of Page)"/>
        <w:docPartUnique/>
      </w:docPartObj>
    </w:sdtPr>
    <w:sdtEndPr>
      <w:rPr>
        <w:rFonts w:ascii="Times New Roman" w:hAnsi="Times New Roman"/>
        <w:b/>
        <w:bCs/>
        <w:noProof/>
        <w:sz w:val="24"/>
        <w:szCs w:val="24"/>
      </w:rPr>
    </w:sdtEndPr>
    <w:sdtContent>
      <w:p w14:paraId="3212238E" w14:textId="6E3420CD" w:rsidR="002238A7" w:rsidRPr="00830782" w:rsidRDefault="002238A7">
        <w:pPr>
          <w:pStyle w:val="Header"/>
          <w:jc w:val="right"/>
          <w:rPr>
            <w:rFonts w:ascii="Times New Roman" w:hAnsi="Times New Roman"/>
            <w:b/>
            <w:bCs/>
            <w:sz w:val="24"/>
            <w:szCs w:val="24"/>
          </w:rPr>
        </w:pPr>
        <w:r w:rsidRPr="00830782">
          <w:rPr>
            <w:rFonts w:ascii="Times New Roman" w:hAnsi="Times New Roman"/>
            <w:b/>
            <w:bCs/>
            <w:sz w:val="24"/>
            <w:szCs w:val="24"/>
          </w:rPr>
          <w:fldChar w:fldCharType="begin"/>
        </w:r>
        <w:r w:rsidRPr="00830782">
          <w:rPr>
            <w:rFonts w:ascii="Times New Roman" w:hAnsi="Times New Roman"/>
            <w:b/>
            <w:bCs/>
            <w:sz w:val="24"/>
            <w:szCs w:val="24"/>
          </w:rPr>
          <w:instrText xml:space="preserve"> PAGE   \* MERGEFORMAT </w:instrText>
        </w:r>
        <w:r w:rsidRPr="00830782">
          <w:rPr>
            <w:rFonts w:ascii="Times New Roman" w:hAnsi="Times New Roman"/>
            <w:b/>
            <w:bCs/>
            <w:sz w:val="24"/>
            <w:szCs w:val="24"/>
          </w:rPr>
          <w:fldChar w:fldCharType="separate"/>
        </w:r>
        <w:r w:rsidRPr="00830782">
          <w:rPr>
            <w:rFonts w:ascii="Times New Roman" w:hAnsi="Times New Roman"/>
            <w:b/>
            <w:bCs/>
            <w:noProof/>
            <w:sz w:val="24"/>
            <w:szCs w:val="24"/>
          </w:rPr>
          <w:t>2</w:t>
        </w:r>
        <w:r w:rsidRPr="00830782">
          <w:rPr>
            <w:rFonts w:ascii="Times New Roman" w:hAnsi="Times New Roman"/>
            <w:b/>
            <w:bCs/>
            <w:noProof/>
            <w:sz w:val="24"/>
            <w:szCs w:val="24"/>
          </w:rPr>
          <w:fldChar w:fldCharType="end"/>
        </w:r>
      </w:p>
    </w:sdtContent>
  </w:sdt>
  <w:p w14:paraId="7CEABBCD" w14:textId="77777777" w:rsidR="002238A7" w:rsidRDefault="002238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6ABB" w14:textId="3290877B" w:rsidR="00456AE6" w:rsidRDefault="00456AE6">
    <w:pPr>
      <w:pStyle w:val="Header"/>
    </w:pPr>
    <w:r>
      <w:rPr>
        <w:noProof/>
      </w:rPr>
      <w:pict w14:anchorId="25B52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3"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E28A4"/>
    <w:multiLevelType w:val="multilevel"/>
    <w:tmpl w:val="B7F4B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3F01A1"/>
    <w:multiLevelType w:val="multilevel"/>
    <w:tmpl w:val="4914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00C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38A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7F69"/>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AE6"/>
    <w:rsid w:val="00471A80"/>
    <w:rsid w:val="004963EA"/>
    <w:rsid w:val="004D305E"/>
    <w:rsid w:val="004D4277"/>
    <w:rsid w:val="004F5E47"/>
    <w:rsid w:val="00502516"/>
    <w:rsid w:val="00505F06"/>
    <w:rsid w:val="00506828"/>
    <w:rsid w:val="0053056E"/>
    <w:rsid w:val="00554FDA"/>
    <w:rsid w:val="005C784C"/>
    <w:rsid w:val="005D17F6"/>
    <w:rsid w:val="005D34D7"/>
    <w:rsid w:val="005D67F0"/>
    <w:rsid w:val="005E5539"/>
    <w:rsid w:val="00602BF5"/>
    <w:rsid w:val="00617FDD"/>
    <w:rsid w:val="00633614"/>
    <w:rsid w:val="00633F68"/>
    <w:rsid w:val="00636EB2"/>
    <w:rsid w:val="006375B8"/>
    <w:rsid w:val="006472E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2461"/>
    <w:rsid w:val="00790ADA"/>
    <w:rsid w:val="007965A8"/>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8AB"/>
    <w:rsid w:val="00927834"/>
    <w:rsid w:val="009500A6"/>
    <w:rsid w:val="00957C18"/>
    <w:rsid w:val="009659BA"/>
    <w:rsid w:val="00983040"/>
    <w:rsid w:val="009B3BE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29F5"/>
    <w:rsid w:val="00C85588"/>
    <w:rsid w:val="00CA4D69"/>
    <w:rsid w:val="00CD6755"/>
    <w:rsid w:val="00CD6856"/>
    <w:rsid w:val="00CE0089"/>
    <w:rsid w:val="00CE793C"/>
    <w:rsid w:val="00CF193C"/>
    <w:rsid w:val="00D173F1"/>
    <w:rsid w:val="00D534E0"/>
    <w:rsid w:val="00D74CB0"/>
    <w:rsid w:val="00D8295D"/>
    <w:rsid w:val="00DB58A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1FF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12DCDA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A4D69"/>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erChar">
    <w:name w:val="Header Char"/>
    <w:basedOn w:val="DefaultParagraphFont"/>
    <w:link w:val="Header"/>
    <w:uiPriority w:val="99"/>
    <w:rsid w:val="002238A7"/>
    <w:rPr>
      <w:rFonts w:ascii="Helvetica" w:hAnsi="Helvetica"/>
    </w:rPr>
  </w:style>
  <w:style w:type="character" w:customStyle="1" w:styleId="FooterChar">
    <w:name w:val="Footer Char"/>
    <w:basedOn w:val="DefaultParagraphFont"/>
    <w:link w:val="Footer"/>
    <w:uiPriority w:val="99"/>
    <w:rsid w:val="002238A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econlet.2011.05.00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cepii.fr/CEPII/en/bdd_modele/bdd_modele_item.asp?id=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B978-0-444-54314-1.00003-3"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constor.eu/bitstream/10419/155517/1/cesifo1_wp6275.pdf" TargetMode="External"/><Relationship Id="rId20" Type="http://schemas.openxmlformats.org/officeDocument/2006/relationships/hyperlink" Target="https://bimstec.org/"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3386/w12516" TargetMode="External"/><Relationship Id="rId23" Type="http://schemas.openxmlformats.org/officeDocument/2006/relationships/hyperlink" Target="https://databank.worldbank.org/"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repub.eur.nl/pub/16826/Appendices.pdf"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inteco.2006.02.005" TargetMode="External"/><Relationship Id="rId22" Type="http://schemas.openxmlformats.org/officeDocument/2006/relationships/hyperlink" Target="https://www.commerce.gov.in/"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D85E1-8652-4E37-8E30-59AAC131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10</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2026-04-30T11:27:00Z</dcterms:modified>
</cp:coreProperties>
</file>