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16291" w14:textId="41F21F6F" w:rsidR="005801C8" w:rsidRPr="00E10446" w:rsidRDefault="002326D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10446">
        <w:rPr>
          <w:rFonts w:ascii="Times New Roman" w:hAnsi="Times New Roman" w:cs="Times New Roman"/>
          <w:b/>
          <w:bCs/>
          <w:sz w:val="24"/>
          <w:szCs w:val="24"/>
        </w:rPr>
        <w:t>ENERGY CONSUMPTION AND POVERTY REDUCTION NEXUS IN WEST AFRICAN STATES</w:t>
      </w:r>
    </w:p>
    <w:p w14:paraId="4A61A9FC" w14:textId="547A8A13" w:rsidR="00E67DD1" w:rsidRDefault="00E67DD1" w:rsidP="008D337A">
      <w:pPr>
        <w:spacing w:after="0" w:line="240" w:lineRule="auto"/>
        <w:jc w:val="center"/>
        <w:rPr>
          <w:rFonts w:ascii="Times New Roman" w:hAnsi="Times New Roman" w:cs="Times New Roman"/>
          <w:sz w:val="24"/>
          <w:szCs w:val="24"/>
        </w:rPr>
      </w:pPr>
    </w:p>
    <w:p w14:paraId="7C0FDE41" w14:textId="07CE5E46" w:rsidR="00D730B7" w:rsidRDefault="00D730B7" w:rsidP="008D337A">
      <w:pPr>
        <w:spacing w:after="0" w:line="240" w:lineRule="auto"/>
        <w:jc w:val="center"/>
        <w:rPr>
          <w:rFonts w:ascii="Times New Roman" w:hAnsi="Times New Roman" w:cs="Times New Roman"/>
          <w:sz w:val="24"/>
          <w:szCs w:val="24"/>
        </w:rPr>
      </w:pPr>
    </w:p>
    <w:p w14:paraId="1303643F" w14:textId="04297CF0" w:rsidR="00D730B7" w:rsidRDefault="00D730B7" w:rsidP="008D337A">
      <w:pPr>
        <w:spacing w:after="0" w:line="240" w:lineRule="auto"/>
        <w:jc w:val="center"/>
        <w:rPr>
          <w:rFonts w:ascii="Times New Roman" w:hAnsi="Times New Roman" w:cs="Times New Roman"/>
          <w:sz w:val="24"/>
          <w:szCs w:val="24"/>
        </w:rPr>
      </w:pPr>
    </w:p>
    <w:p w14:paraId="46AAB191" w14:textId="77777777" w:rsidR="00D730B7" w:rsidRPr="00E10446" w:rsidRDefault="00D730B7" w:rsidP="008D337A">
      <w:pPr>
        <w:spacing w:after="0" w:line="240" w:lineRule="auto"/>
        <w:jc w:val="center"/>
        <w:rPr>
          <w:rFonts w:ascii="Times New Roman" w:hAnsi="Times New Roman" w:cs="Times New Roman"/>
          <w:sz w:val="24"/>
          <w:szCs w:val="24"/>
        </w:rPr>
      </w:pPr>
    </w:p>
    <w:p w14:paraId="7F57D276" w14:textId="77777777" w:rsidR="000259CB" w:rsidRPr="00E10446" w:rsidRDefault="000259CB" w:rsidP="000259CB">
      <w:pPr>
        <w:spacing w:after="0"/>
        <w:jc w:val="both"/>
        <w:rPr>
          <w:rFonts w:ascii="Times New Roman" w:hAnsi="Times New Roman" w:cs="Times New Roman"/>
          <w:b/>
          <w:bCs/>
          <w:sz w:val="24"/>
          <w:szCs w:val="24"/>
        </w:rPr>
      </w:pPr>
      <w:r w:rsidRPr="00E10446">
        <w:rPr>
          <w:rFonts w:ascii="Times New Roman" w:hAnsi="Times New Roman" w:cs="Times New Roman"/>
          <w:b/>
          <w:bCs/>
          <w:sz w:val="24"/>
          <w:szCs w:val="24"/>
        </w:rPr>
        <w:t>Abstract</w:t>
      </w:r>
    </w:p>
    <w:p w14:paraId="39DCD9D4" w14:textId="06938FC5" w:rsidR="005801C8" w:rsidRPr="00E10446" w:rsidRDefault="000259CB" w:rsidP="00FA6A57">
      <w:pPr>
        <w:spacing w:after="0" w:line="240" w:lineRule="auto"/>
        <w:jc w:val="both"/>
        <w:rPr>
          <w:rFonts w:ascii="Times New Roman" w:hAnsi="Times New Roman" w:cs="Times New Roman"/>
          <w:i/>
          <w:iCs/>
          <w:sz w:val="24"/>
          <w:szCs w:val="24"/>
        </w:rPr>
      </w:pPr>
      <w:r w:rsidRPr="00E10446">
        <w:rPr>
          <w:rFonts w:ascii="Times New Roman" w:hAnsi="Times New Roman" w:cs="Times New Roman"/>
          <w:i/>
          <w:iCs/>
          <w:sz w:val="24"/>
          <w:szCs w:val="24"/>
        </w:rPr>
        <w:t xml:space="preserve">This study investigates the relationship between energy consumption, labour productivity, economic growth, and poverty in selected West African countries, with emphasis on distributional heterogeneity. </w:t>
      </w:r>
      <w:r w:rsidR="006735FA" w:rsidRPr="00E10446">
        <w:rPr>
          <w:rFonts w:ascii="Times New Roman" w:hAnsi="Times New Roman" w:cs="Times New Roman"/>
          <w:i/>
          <w:iCs/>
          <w:sz w:val="24"/>
          <w:szCs w:val="24"/>
        </w:rPr>
        <w:t xml:space="preserve">The study covered the period of 1990-2024. </w:t>
      </w:r>
      <w:r w:rsidRPr="00E10446">
        <w:rPr>
          <w:rFonts w:ascii="Times New Roman" w:hAnsi="Times New Roman" w:cs="Times New Roman"/>
          <w:i/>
          <w:iCs/>
          <w:sz w:val="24"/>
          <w:szCs w:val="24"/>
        </w:rPr>
        <w:t>The motivation stems from persistent poverty in the region despite rising energy use and economic growth, suggesting that average-based analyses may mask important structural differences. The study employs Panel Fully Modified Least Squares (FMOLS), Panel Nonlinear Autoregressive Distributed Lag (NARDL), and Panel Quantile Regression techniques to capture long-run, asymmetric, and distributional effects. Empirical results reveal that renewable energy consumption consistently reduces poverty across all estimation techniques, with stronger effects at different points of the poverty distribution. Non-renewable energy exhibits mixed and often insignificant effects, while in some cases worsening poverty outcomes due to inefficiencies and volatility. Economic growth (GDP) shows weak and sometimes non-inclusive effects, indicating that growth does not automatically translate into poverty reduction. Labour productivity demonstrates context-specific impacts, becoming more relevant in certain quantiles and short-run dynamics. The findings further confirm significant asymmetry and heterogeneity in the energy–poverty nexus, supporting the superiority of quantile regression in capturing distributional effects. The study concludes that inclusive energy transitions, productivity enhancement, and targeted pro-poor growth strategies are essential for sustainable poverty reduction in West Africa.</w:t>
      </w:r>
    </w:p>
    <w:p w14:paraId="2E957DAF" w14:textId="77777777" w:rsidR="000259CB" w:rsidRPr="00E10446" w:rsidRDefault="000259CB" w:rsidP="000259CB">
      <w:pPr>
        <w:spacing w:after="0"/>
        <w:jc w:val="both"/>
        <w:rPr>
          <w:rFonts w:ascii="Times New Roman" w:hAnsi="Times New Roman" w:cs="Times New Roman"/>
          <w:sz w:val="24"/>
          <w:szCs w:val="24"/>
        </w:rPr>
      </w:pPr>
    </w:p>
    <w:p w14:paraId="676492A7" w14:textId="2E568C3F" w:rsidR="000259CB" w:rsidRPr="00E10446" w:rsidRDefault="000259CB" w:rsidP="000259CB">
      <w:pPr>
        <w:spacing w:after="0"/>
        <w:jc w:val="both"/>
        <w:rPr>
          <w:rFonts w:ascii="Times New Roman" w:hAnsi="Times New Roman" w:cs="Times New Roman"/>
          <w:sz w:val="24"/>
          <w:szCs w:val="24"/>
        </w:rPr>
      </w:pPr>
      <w:r w:rsidRPr="00E10446">
        <w:rPr>
          <w:rFonts w:ascii="Times New Roman" w:hAnsi="Times New Roman" w:cs="Times New Roman"/>
          <w:b/>
          <w:bCs/>
          <w:sz w:val="24"/>
          <w:szCs w:val="24"/>
        </w:rPr>
        <w:t>Keywords:</w:t>
      </w:r>
      <w:r w:rsidRPr="00E10446">
        <w:rPr>
          <w:rFonts w:ascii="Times New Roman" w:hAnsi="Times New Roman" w:cs="Times New Roman"/>
          <w:sz w:val="24"/>
          <w:szCs w:val="24"/>
        </w:rPr>
        <w:t xml:space="preserve"> Energy consumption</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Poverty</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Renewable energy</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Quantile regression</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West Africa</w:t>
      </w:r>
    </w:p>
    <w:p w14:paraId="793E9AE0" w14:textId="6BFAE695" w:rsidR="000259CB" w:rsidRPr="00E10446" w:rsidRDefault="009410E1" w:rsidP="000259CB">
      <w:pPr>
        <w:spacing w:after="0"/>
        <w:jc w:val="both"/>
        <w:rPr>
          <w:rFonts w:ascii="Times New Roman" w:hAnsi="Times New Roman" w:cs="Times New Roman"/>
          <w:sz w:val="24"/>
          <w:szCs w:val="24"/>
        </w:rPr>
      </w:pPr>
      <w:r w:rsidRPr="00E10446">
        <w:rPr>
          <w:rFonts w:ascii="Times New Roman" w:hAnsi="Times New Roman" w:cs="Times New Roman"/>
          <w:b/>
          <w:bCs/>
          <w:sz w:val="24"/>
          <w:szCs w:val="24"/>
        </w:rPr>
        <w:t>JEL Codes:</w:t>
      </w:r>
      <w:r w:rsidRPr="00E10446">
        <w:rPr>
          <w:rFonts w:ascii="Times New Roman" w:hAnsi="Times New Roman" w:cs="Times New Roman"/>
          <w:sz w:val="24"/>
          <w:szCs w:val="24"/>
        </w:rPr>
        <w:t xml:space="preserve"> Q43, Q42, I32, O55</w:t>
      </w:r>
    </w:p>
    <w:p w14:paraId="136CD4FF" w14:textId="77777777" w:rsidR="009410E1" w:rsidRPr="00E10446" w:rsidRDefault="009410E1" w:rsidP="000259CB">
      <w:pPr>
        <w:spacing w:after="0"/>
        <w:jc w:val="both"/>
        <w:rPr>
          <w:rFonts w:ascii="Times New Roman" w:hAnsi="Times New Roman" w:cs="Times New Roman"/>
          <w:sz w:val="24"/>
          <w:szCs w:val="24"/>
        </w:rPr>
      </w:pPr>
    </w:p>
    <w:p w14:paraId="689D7188" w14:textId="77777777" w:rsidR="005801C8" w:rsidRPr="00E10446" w:rsidRDefault="002326DC">
      <w:pPr>
        <w:pStyle w:val="ListParagraph"/>
        <w:numPr>
          <w:ilvl w:val="0"/>
          <w:numId w:val="1"/>
        </w:numPr>
        <w:rPr>
          <w:rFonts w:ascii="Times New Roman" w:hAnsi="Times New Roman" w:cs="Times New Roman"/>
          <w:b/>
          <w:bCs/>
          <w:sz w:val="24"/>
          <w:szCs w:val="24"/>
        </w:rPr>
      </w:pPr>
      <w:r w:rsidRPr="00E10446">
        <w:rPr>
          <w:rFonts w:ascii="Times New Roman" w:hAnsi="Times New Roman" w:cs="Times New Roman"/>
          <w:b/>
          <w:bCs/>
          <w:sz w:val="24"/>
          <w:szCs w:val="24"/>
        </w:rPr>
        <w:t xml:space="preserve">Introduction </w:t>
      </w:r>
    </w:p>
    <w:p w14:paraId="7B194E3C" w14:textId="5B5F929E" w:rsidR="005801C8" w:rsidRPr="00E10446" w:rsidRDefault="005A3399">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issue of p</w:t>
      </w:r>
      <w:r w:rsidR="002326DC" w:rsidRPr="00E10446">
        <w:rPr>
          <w:rFonts w:ascii="Times New Roman" w:hAnsi="Times New Roman" w:cs="Times New Roman"/>
          <w:sz w:val="24"/>
          <w:szCs w:val="24"/>
        </w:rPr>
        <w:t xml:space="preserve">overty </w:t>
      </w:r>
      <w:r w:rsidRPr="00E10446">
        <w:rPr>
          <w:rFonts w:ascii="Times New Roman" w:hAnsi="Times New Roman" w:cs="Times New Roman"/>
          <w:sz w:val="24"/>
          <w:szCs w:val="24"/>
        </w:rPr>
        <w:t xml:space="preserve">in </w:t>
      </w:r>
      <w:r w:rsidR="002326DC" w:rsidRPr="00E10446">
        <w:rPr>
          <w:rFonts w:ascii="Times New Roman" w:hAnsi="Times New Roman" w:cs="Times New Roman"/>
          <w:sz w:val="24"/>
          <w:szCs w:val="24"/>
        </w:rPr>
        <w:t>West Africa</w:t>
      </w:r>
      <w:r w:rsidRPr="00E10446">
        <w:rPr>
          <w:rFonts w:ascii="Times New Roman" w:hAnsi="Times New Roman" w:cs="Times New Roman"/>
          <w:sz w:val="24"/>
          <w:szCs w:val="24"/>
        </w:rPr>
        <w:t xml:space="preserve"> has continued to be a source of significant development issue</w:t>
      </w:r>
      <w:r w:rsidR="002326DC" w:rsidRPr="00E10446">
        <w:rPr>
          <w:rFonts w:ascii="Times New Roman" w:hAnsi="Times New Roman" w:cs="Times New Roman"/>
          <w:sz w:val="24"/>
          <w:szCs w:val="24"/>
        </w:rPr>
        <w:t xml:space="preserve">, </w:t>
      </w:r>
      <w:r w:rsidRPr="00E10446">
        <w:rPr>
          <w:rFonts w:ascii="Times New Roman" w:hAnsi="Times New Roman" w:cs="Times New Roman"/>
          <w:sz w:val="24"/>
          <w:szCs w:val="24"/>
        </w:rPr>
        <w:t>despite the</w:t>
      </w:r>
      <w:r w:rsidR="002326DC" w:rsidRPr="00E10446">
        <w:rPr>
          <w:rFonts w:ascii="Times New Roman" w:hAnsi="Times New Roman" w:cs="Times New Roman"/>
          <w:sz w:val="24"/>
          <w:szCs w:val="24"/>
        </w:rPr>
        <w:t xml:space="preserve"> impressive growth rates </w:t>
      </w:r>
      <w:r w:rsidRPr="00E10446">
        <w:rPr>
          <w:rFonts w:ascii="Times New Roman" w:hAnsi="Times New Roman" w:cs="Times New Roman"/>
          <w:sz w:val="24"/>
          <w:szCs w:val="24"/>
        </w:rPr>
        <w:t xml:space="preserve">witnessed in some of its countries </w:t>
      </w:r>
      <w:r w:rsidR="002326DC" w:rsidRPr="00E10446">
        <w:rPr>
          <w:rFonts w:ascii="Times New Roman" w:hAnsi="Times New Roman" w:cs="Times New Roman"/>
          <w:sz w:val="24"/>
          <w:szCs w:val="24"/>
        </w:rPr>
        <w:t>over the past decades</w:t>
      </w:r>
      <w:r w:rsidR="009410E1" w:rsidRPr="00E10446">
        <w:rPr>
          <w:rFonts w:ascii="Times New Roman" w:hAnsi="Times New Roman" w:cs="Times New Roman"/>
          <w:sz w:val="24"/>
          <w:szCs w:val="24"/>
        </w:rPr>
        <w:t xml:space="preserve"> (Sarkodie &amp; Adams, 2020; World Bank, 2023; Acheampong et al., 2021)</w:t>
      </w:r>
      <w:r w:rsidR="002326DC" w:rsidRPr="00E10446">
        <w:rPr>
          <w:rFonts w:ascii="Times New Roman" w:hAnsi="Times New Roman" w:cs="Times New Roman"/>
          <w:sz w:val="24"/>
          <w:szCs w:val="24"/>
        </w:rPr>
        <w:t>. This suggests that there is a substantial nexus between energy consumption and poverty alleviation, where access to reliable and affordable energy sources could be influential for economic growth, human development, and equity (Acheampong et al., 2021; Sarkodie &amp; Adams, 2020; Apergis &amp; Payne, 2017). In regions with significant poverty levels and imbalanced energy infrastructures, higher energy consumption, especially from sustainable sources, is likely to significantly boost productivity, human health, education, and general living conditions (Apergis &amp; Payne, 2017; Sarkodie &amp; Adams, 2020). Hence, energy consumption is a pivotal agent for socio-economic transformations, especially in West Africa, where there is a complex mix of economies facing an energy deficit conundrum with rapidly growing and urbanizing populations (Leal Filho et al., 2024).</w:t>
      </w:r>
    </w:p>
    <w:p w14:paraId="14DB6037" w14:textId="2B99C4D1" w:rsidR="005801C8" w:rsidRPr="00E10446" w:rsidRDefault="00C41E01">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Energy consumption describes the volume of energy utilized by individuals, households, industries, and economies to carry out their productive and routine activities (Sarkodie &amp; Adams, 2020). It encompasses using various energy resources such as electricity, fossil fuels, </w:t>
      </w:r>
      <w:r w:rsidRPr="00E10446">
        <w:rPr>
          <w:rFonts w:ascii="Times New Roman" w:hAnsi="Times New Roman" w:cs="Times New Roman"/>
          <w:sz w:val="24"/>
          <w:szCs w:val="24"/>
        </w:rPr>
        <w:lastRenderedPageBreak/>
        <w:t xml:space="preserve">and renewable energy sources to power homes, help transportation, support agricultural practices, drive manufacturing processes, and provide services (Bhattacharya et al., 2022; Rahman &amp; Zaman, 2021). Studies have shown that greater energy consumption is positively correlated with extending economic and human development (Rahman &amp; Zaman, 2021; Bhuiyan, 2022; Jithin, 2025). Recent research has highlighted that beyond mere quantities, the nature of consumed energy (modern renewables versus traditional biomass) and its equitable distribution significantly impact growth and welfare outcomes (Pan et al., 2021; </w:t>
      </w:r>
      <w:proofErr w:type="spellStart"/>
      <w:r w:rsidRPr="00E10446">
        <w:rPr>
          <w:rFonts w:ascii="Times New Roman" w:hAnsi="Times New Roman" w:cs="Times New Roman"/>
          <w:sz w:val="24"/>
          <w:szCs w:val="24"/>
        </w:rPr>
        <w:t>Doğanalp</w:t>
      </w:r>
      <w:proofErr w:type="spellEnd"/>
      <w:r w:rsidRPr="00E10446">
        <w:rPr>
          <w:rFonts w:ascii="Times New Roman" w:hAnsi="Times New Roman" w:cs="Times New Roman"/>
          <w:sz w:val="24"/>
          <w:szCs w:val="24"/>
        </w:rPr>
        <w:t xml:space="preserve"> et al., 2021; Zhao et al., 2022). </w:t>
      </w:r>
      <w:r w:rsidR="005A3399" w:rsidRPr="00E10446">
        <w:rPr>
          <w:rFonts w:ascii="Times New Roman" w:hAnsi="Times New Roman" w:cs="Times New Roman"/>
          <w:sz w:val="24"/>
          <w:szCs w:val="24"/>
        </w:rPr>
        <w:t xml:space="preserve">Among West African countries, Nigeria, Ghana, </w:t>
      </w:r>
      <w:proofErr w:type="spellStart"/>
      <w:r w:rsidR="005A3399" w:rsidRPr="00E10446">
        <w:rPr>
          <w:rFonts w:ascii="Times New Roman" w:hAnsi="Times New Roman" w:cs="Times New Roman"/>
          <w:sz w:val="24"/>
          <w:szCs w:val="24"/>
        </w:rPr>
        <w:t>Côted’Ivoire</w:t>
      </w:r>
      <w:proofErr w:type="spellEnd"/>
      <w:r w:rsidR="005A3399" w:rsidRPr="00E10446">
        <w:rPr>
          <w:rFonts w:ascii="Times New Roman" w:hAnsi="Times New Roman" w:cs="Times New Roman"/>
          <w:sz w:val="24"/>
          <w:szCs w:val="24"/>
        </w:rPr>
        <w:t xml:space="preserve">, Senegal, and Guinea rank among the five largest economies. The economies are important contributors to the regional GDP, share different energy access patterns, and face different institutional environments (Sarkodie &amp; Adams, 2020; </w:t>
      </w:r>
      <w:proofErr w:type="spellStart"/>
      <w:r w:rsidR="005A3399" w:rsidRPr="00E10446">
        <w:rPr>
          <w:rFonts w:ascii="Times New Roman" w:hAnsi="Times New Roman" w:cs="Times New Roman"/>
          <w:sz w:val="24"/>
          <w:szCs w:val="24"/>
        </w:rPr>
        <w:t>Ackah</w:t>
      </w:r>
      <w:proofErr w:type="spellEnd"/>
      <w:r w:rsidR="005A3399" w:rsidRPr="00E10446">
        <w:rPr>
          <w:rFonts w:ascii="Times New Roman" w:hAnsi="Times New Roman" w:cs="Times New Roman"/>
          <w:sz w:val="24"/>
          <w:szCs w:val="24"/>
        </w:rPr>
        <w:t xml:space="preserve"> &amp; </w:t>
      </w:r>
      <w:proofErr w:type="spellStart"/>
      <w:r w:rsidR="005A3399" w:rsidRPr="00E10446">
        <w:rPr>
          <w:rFonts w:ascii="Times New Roman" w:hAnsi="Times New Roman" w:cs="Times New Roman"/>
          <w:sz w:val="24"/>
          <w:szCs w:val="24"/>
        </w:rPr>
        <w:t>Kizys</w:t>
      </w:r>
      <w:proofErr w:type="spellEnd"/>
      <w:r w:rsidR="005A3399" w:rsidRPr="00E10446">
        <w:rPr>
          <w:rFonts w:ascii="Times New Roman" w:hAnsi="Times New Roman" w:cs="Times New Roman"/>
          <w:sz w:val="24"/>
          <w:szCs w:val="24"/>
        </w:rPr>
        <w:t xml:space="preserve">, 2015). These economies are important economically, but face obstacles in using energy to reduce poverty (Acheampong et al., 2021; IEA, 2023). </w:t>
      </w:r>
      <w:r w:rsidRPr="00E10446">
        <w:rPr>
          <w:rFonts w:ascii="Times New Roman" w:hAnsi="Times New Roman" w:cs="Times New Roman"/>
          <w:sz w:val="24"/>
          <w:szCs w:val="24"/>
        </w:rPr>
        <w:t>Specifically</w:t>
      </w:r>
      <w:r w:rsidR="005A3399" w:rsidRPr="00E10446">
        <w:rPr>
          <w:rFonts w:ascii="Times New Roman" w:hAnsi="Times New Roman" w:cs="Times New Roman"/>
          <w:sz w:val="24"/>
          <w:szCs w:val="24"/>
        </w:rPr>
        <w:t xml:space="preserve">, Nigeria, the largest economy, has abundant energy resources, but suffers severe energy poverty, with over 85 million people who do not have access to electricity (Sarkodie &amp;Adams, 2020; Aliyu et al., 2015). </w:t>
      </w:r>
      <w:r w:rsidR="002326DC" w:rsidRPr="00E10446">
        <w:rPr>
          <w:rFonts w:ascii="Times New Roman" w:hAnsi="Times New Roman" w:cs="Times New Roman"/>
          <w:sz w:val="24"/>
          <w:szCs w:val="24"/>
        </w:rPr>
        <w:t>While increasing energy consumption, particularly from renewable sources, can promote economic diversification and reduce poverty through agricultural activities and small-scale enterprises (Nkambule et al., 2025; Ampofo et al., 2023), distribution inefficiencies such as frequent power outages exacerbate poverty by increasing operational costs and limiting household savings (Oseni &amp; Pollitt, 2016; Sarkodie &amp; Adams, 2020).</w:t>
      </w:r>
    </w:p>
    <w:p w14:paraId="3F06E0BE"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Transitioning to Ghana, the second-largest economy, highlights the moderating effects of energy sector reforms on poverty (Ackah &amp; Kizys, 2015; Acheampong, 2018). Despite hydroelectric and thermal energy generation expanding access (Ampofo et al., 2023), approximately 20% of Ghanaian households, especially in rural areas, remain energy-deprived (Kumi, 2017; Adom, 2015). Evidence shows that increased consumption of clean energy reduces multidimensional poverty by improving food processing, educational access, and labor productivity (Ampofo et al., 2024), though effects are mediated by income inequality (Ampofo et al., 2023). Côte d’Ivoire’s agro-industrial economy also illustrates the nexus between energy consumption and poverty reduction (Sarkodie &amp; Adams, 2020; Kumi, 2017). Despite investments in biomass and solar energy, informal settlements remain energy-deprived, limiting poverty alleviation (Nkambule et al., 2025). Empirical analyses indicate that total energy consumption positively affects economic growth and mitigates poverty traps in carbon-intensive growth pathways, with energy efficiency improvements further reducing poverty headcounts (Nkambule et al., 2025; Ampofo et al., 2024). Power reliability issues continue to hinder micro-enterprise productivity, sustaining poverty cycles (Sarkodie &amp; Adams, 2020).</w:t>
      </w:r>
    </w:p>
    <w:p w14:paraId="05E8ACCC"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Senegal, with a GDP of about $33 billion, demonstrates how energy interventions can reduce poverty. Rural electrification programs have raised energy consumption, correlating with declines in poverty rates from 47% in 2011 to around 37% recently (Monyei et al., 2018). Analyses show that per capita energy consumption, when paired with effective institutions, promotes human development and reduces reliance on traditional fuels (Agyemang et al., 2024). Nonetheless, high energy costs and outages reduce the benefits of energy expansion, highlighting the need for sustainable and reliable energy infrastructure (Leal Filho et al., 2024). Guinea, ranking fifth in economic size with a GDP of $20–22 billion, suffers from severe energy poverty due to infrastructural limitations and governance challenges (World Bank, 2023; Sarkodie &amp; Adams, 2020). Less than 50% of the population has electricity access, particularly in rural areas, constraining livelihoods and sustaining poverty (IEA, 2022; Monyei et al., 2018). Increasing energy consumption in Guinea could reduce poverty through irrigation, agro-processing, and value addition activities, particularly if combined with strong institutional support (Acheampong et al., 2021; Apergis &amp; Payne, 2017). Threshold models suggest that </w:t>
      </w:r>
      <w:r w:rsidRPr="00E10446">
        <w:rPr>
          <w:rFonts w:ascii="Times New Roman" w:hAnsi="Times New Roman" w:cs="Times New Roman"/>
          <w:sz w:val="24"/>
          <w:szCs w:val="24"/>
        </w:rPr>
        <w:lastRenderedPageBreak/>
        <w:t>public expenditure on energy infrastructure can significantly reduce energy poverty and promote inclusive growth when institutional quality exceeds certain levels (Baz et al., 2023; Acheampong et al., 2024). Renewable energy integration also offers environmental and equity benefits.</w:t>
      </w:r>
    </w:p>
    <w:p w14:paraId="4A39C46F" w14:textId="25B4628B"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Despite these findings, knowledge gap remains in literature. Several studies aggregate </w:t>
      </w:r>
      <w:r w:rsidR="00C41E01" w:rsidRPr="00E10446">
        <w:rPr>
          <w:rFonts w:ascii="Times New Roman" w:hAnsi="Times New Roman" w:cs="Times New Roman"/>
          <w:sz w:val="24"/>
          <w:szCs w:val="24"/>
        </w:rPr>
        <w:t xml:space="preserve">energy </w:t>
      </w:r>
      <w:r w:rsidRPr="00E10446">
        <w:rPr>
          <w:rFonts w:ascii="Times New Roman" w:hAnsi="Times New Roman" w:cs="Times New Roman"/>
          <w:sz w:val="24"/>
          <w:szCs w:val="24"/>
        </w:rPr>
        <w:t>data across West African countries, thereby missing country-specific heterogeneities vital to West Africa’s energy–poverty nexus (Adebayo et al., 2025; Mensah &amp; Adu, 2024; Oladipo &amp; Akinola, 2023). A few numbers of existing studies disaggregate energy types, capture nonlinear relationships, or investigate transmission mechanisms such as labour markets and income inequality within the five largest West African economies. Previous studies often focus on economic growth proxies rather than poverty outcomes, while household-level studies neglect institutional and policy dimensions (Sy et al., 2022; Kettani, 2023; Apergis &amp; Payne, 2017). Consequently, this study aims to fill this gap by examining how energy consumption, disaggregated into renewable and non-renewable sources, affects poverty reduction in Nigeria, Ghana, Côte d’Ivoire, Senegal, and Guinea, while considering the moderating role of institutional quality and exploring nonlinear and country-specific mechanisms of transmission.</w:t>
      </w:r>
    </w:p>
    <w:p w14:paraId="2531A440" w14:textId="77777777" w:rsidR="005801C8" w:rsidRPr="00E10446" w:rsidRDefault="002326DC">
      <w:pPr>
        <w:pStyle w:val="ListParagraph"/>
        <w:numPr>
          <w:ilvl w:val="0"/>
          <w:numId w:val="1"/>
        </w:num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Literature Review</w:t>
      </w:r>
    </w:p>
    <w:p w14:paraId="6B7898E8" w14:textId="1164F73D" w:rsidR="005801C8" w:rsidRPr="00E10446" w:rsidRDefault="00C41E01">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2.1</w:t>
      </w:r>
      <w:r w:rsidRPr="00E10446">
        <w:rPr>
          <w:rFonts w:ascii="Times New Roman" w:hAnsi="Times New Roman" w:cs="Times New Roman"/>
          <w:sz w:val="24"/>
          <w:szCs w:val="24"/>
        </w:rPr>
        <w:t xml:space="preserve"> </w:t>
      </w:r>
      <w:r w:rsidR="002326DC" w:rsidRPr="00E10446">
        <w:rPr>
          <w:rFonts w:ascii="Times New Roman" w:hAnsi="Times New Roman" w:cs="Times New Roman"/>
          <w:b/>
          <w:bCs/>
          <w:sz w:val="24"/>
          <w:szCs w:val="24"/>
        </w:rPr>
        <w:t>Theoretical Framework</w:t>
      </w:r>
    </w:p>
    <w:p w14:paraId="0C8EF25F"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Endogenous Growth Theory which explains energy consumption as one of the vital engines to economic development and poverty reduction in developing countries</w:t>
      </w:r>
      <w:r w:rsidRPr="00E10446">
        <w:rPr>
          <w:rFonts w:ascii="Times New Roman" w:eastAsia="Times New Roman" w:hAnsi="Times New Roman" w:cs="Times New Roman"/>
          <w:sz w:val="24"/>
          <w:szCs w:val="24"/>
          <w:lang w:eastAsia="en-GB"/>
        </w:rPr>
        <w:t>. This</w:t>
      </w:r>
      <w:r w:rsidRPr="00E10446">
        <w:rPr>
          <w:rFonts w:ascii="Times New Roman" w:hAnsi="Times New Roman" w:cs="Times New Roman"/>
          <w:sz w:val="24"/>
          <w:szCs w:val="24"/>
        </w:rPr>
        <w:t xml:space="preserve"> forms the main theoretical foundation of this study. Endogenous growth theory was pioneered by economists such as Romer and Lucas who argued that economic growth is not induced solely by external forces but is generated from within an economy through investments in human capital, technology, and productive infrastructure (Lucas, 1988; Romer, 1990). Modern versions of this theory incorporate energy as an endogenous input vital to long-run economic growth and argue that energy consumption directly influences productivity, technology adoption, and structural changes (Saidi &amp; Hammami, 2025; Ouedraogo, 2021). </w:t>
      </w:r>
    </w:p>
    <w:p w14:paraId="62F4E42D"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In this perspective, energy serves as a prerequisite to sustained growth. For example, modern energy enables manufacturing and service firms to adopt energy‑intensive technologies, alleviate production constraints, and promote production efficiency (Apergis &amp; Payne, 2010; Ouedraogo, 2021). Similarly, household energy consumption facilitates poverty alleviation through enhancing livelihood activities, education, and health related activities, and income generation (Bhattacharyya &amp; Timilsina, 2010). Cross-country studies show that a long-run positive relationship between energy consumption and economic growth/productivity exists in most developing countries (Zaman &amp; Rahman, 2021; Saidi &amp; Hammami, 2025).</w:t>
      </w:r>
    </w:p>
    <w:p w14:paraId="772EBEA5" w14:textId="00324C9F"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Endogenous Growth Theory is relevant to this study because it establishes a relationship between energy consumption and the processes of economic structure change and poverty reduction</w:t>
      </w:r>
      <w:r w:rsidRPr="00E10446">
        <w:rPr>
          <w:rFonts w:ascii="Times New Roman" w:eastAsia="Times New Roman" w:hAnsi="Times New Roman" w:cs="Times New Roman"/>
          <w:sz w:val="24"/>
          <w:szCs w:val="24"/>
          <w:lang w:eastAsia="en-GB"/>
        </w:rPr>
        <w:t>.</w:t>
      </w:r>
      <w:r w:rsidRPr="00E10446">
        <w:rPr>
          <w:rFonts w:ascii="Times New Roman" w:hAnsi="Times New Roman" w:cs="Times New Roman"/>
          <w:sz w:val="24"/>
          <w:szCs w:val="24"/>
        </w:rPr>
        <w:t xml:space="preserve"> In this regard, West African countries suffering from energy deficiency and energy poverty can benefit from this growth theory to understand how increased energy consumption can trigger economic activities, improve productivity, and increase job opportunities. For instance, the increase in electricity access promotes agro-processing, small and medium enterprises, and technologies that existing limited energy environments cannot support (Zaman &amp; Rahman, 2021). When energy consumption integrates into the production structure of these economies, it will have a greater impact on the poverty reduction process as more people can participate in the economy to move the poor out of subsistence activities into more stable sources of income.</w:t>
      </w:r>
      <w:r w:rsidR="005D4D09" w:rsidRPr="00E10446">
        <w:rPr>
          <w:rFonts w:ascii="Times New Roman" w:hAnsi="Times New Roman" w:cs="Times New Roman"/>
          <w:sz w:val="24"/>
          <w:szCs w:val="24"/>
        </w:rPr>
        <w:t xml:space="preserve"> </w:t>
      </w:r>
      <w:r w:rsidRPr="00E10446">
        <w:rPr>
          <w:rFonts w:ascii="Times New Roman" w:hAnsi="Times New Roman" w:cs="Times New Roman"/>
          <w:sz w:val="24"/>
          <w:szCs w:val="24"/>
        </w:rPr>
        <w:t xml:space="preserve">In addition, endogenous growth theory also incorporates the feedback effects of energy on the formation of human capital. Households affording reliable energy </w:t>
      </w:r>
      <w:r w:rsidRPr="00E10446">
        <w:rPr>
          <w:rFonts w:ascii="Times New Roman" w:hAnsi="Times New Roman" w:cs="Times New Roman"/>
          <w:sz w:val="24"/>
          <w:szCs w:val="24"/>
        </w:rPr>
        <w:lastRenderedPageBreak/>
        <w:t>access are likelier to allocate resources towards education and health, thereby improving labour productivity and fostering positive growth loops. This creates a virtuous cycle of energy consumption leading to enhanced human capabilities, which is pivotal to poverty alleviation (Bhattacharyya &amp; Timilsina,2010). In sum, this theory offers a systematic perspective on the contributory role of energy consumption in sustained economic growth and poverty alleviation, rendering it highly relevant for the context of West African countries where energy issues are at the heart of development policies.</w:t>
      </w:r>
    </w:p>
    <w:p w14:paraId="5754C11E" w14:textId="2BE4F3FE" w:rsidR="005801C8" w:rsidRPr="00E10446" w:rsidRDefault="00C41E01">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2.2 </w:t>
      </w:r>
      <w:r w:rsidR="002326DC" w:rsidRPr="00E10446">
        <w:rPr>
          <w:rFonts w:ascii="Times New Roman" w:hAnsi="Times New Roman" w:cs="Times New Roman"/>
          <w:b/>
          <w:bCs/>
          <w:sz w:val="24"/>
          <w:szCs w:val="24"/>
        </w:rPr>
        <w:t>Empirical Review</w:t>
      </w:r>
    </w:p>
    <w:p w14:paraId="69817B6E"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Studies that examine the effect of energy consumption on poverty reduction in developing countries, especially Sub-Saharan Africa (SSA), have witnessed a rise in the past decade, moving from simple linear analyses to more complex nonlinear models that capture asymmetries, endogeneity, and transmission dynamics. This evolution reflects a deepening understanding of the multifaceted relationship between energy access and poverty. Starting with the latest, Adebayo et al. (2025) contribute by applying nonlinear Autoregressive Distributed Lag (NARDL) models to explore the asymmetric effect of energy consumption on poverty in 16 SSA countries. Their approach distinguishes between positive and negative shocks, finding that upsurges in renewable energy consumption significantly reduce poverty in both the long and short run, whereas shocks in fossil fuel energy have mixed and weaker effects. This asymmetric dynamic approach represents a leap forward from prior linear analyses, suggesting that policies promoting renewable energy could enhance poverty reduction in energy-diversified West African nations. Nonetheless, this pan-SSA study offers limited specificity for West African regions characterized by heterogeneous energy access conditions, such as Nigeria's reliance on oil compared with Senegal's efforts in electrification, underlining the need for more country-specific research.</w:t>
      </w:r>
    </w:p>
    <w:p w14:paraId="27691B81"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Expanding on this, Mensah and Adu (2024) employ a system Generalized Method of Moments (GMM) approach in a dynamic panel model comprising nine ECOWAS countries to address endogeneity and heterogeneity issues. They reveal that electricity consumption significantly reduces both income and multidimensional poverty, with institutional quality enhancing this effect. Their methodology improves upon simple panel regressions by controlling for unobservable effects; however, they tend to generalize results within ECOWAS, potentially glossing over disparities between heavyweights like Nigeria and Ghana. While Adebayo et al. (2025) highlight asymmetries in energy types, Mensah and Adu (2024) delve deep into the role of institutional quality, leading us to argue that the poverty-reducing prowess of renewable energy manifests strongly in countries with robust institutions, such as Ghana's proactive energy sector policies, and weakens in those with fragile institutional frameworks, like Guinea. Focusing on studies from 2023, Lin et al. (2023) conducts a panel data regression with fixed effects and a mediation analysis within low-income countries, emphasizing the central role of labour productivity in the energy-growth-poverty relationship. Their findings suggest that energy access indirectly curtails poverty by boosting workforce productivity, complementing Mensah and Adu (2024) insights on multidimensional impacts and extending them via mediation, a nuance absent in Adebayo et al. (2025)'s model of asymmetries. Nonetheless, Lin et al.’s focus on low-income countries globally might miss nuances particular to West Africa’s infrastructural landscape, such as the energy demands of Côte d'Ivoire's agro-industries, indicating the need for tailored mediations to avoid overgeneralization.</w:t>
      </w:r>
    </w:p>
    <w:p w14:paraId="0650F6F6"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Similarly, using panel cointegration and error correction models (ECM) across six SSA countries, Oladipo and Akinola (2023) establish that total energy consumption promotes inclusive growth and reduces poverty headcounts, which are enhanced by investments in efficiency. This long-run equilibrium model, like that of Lin et al. (2023), underlines indirect </w:t>
      </w:r>
      <w:r w:rsidRPr="00E10446">
        <w:rPr>
          <w:rFonts w:ascii="Times New Roman" w:hAnsi="Times New Roman" w:cs="Times New Roman"/>
          <w:sz w:val="24"/>
          <w:szCs w:val="24"/>
        </w:rPr>
        <w:lastRenderedPageBreak/>
        <w:t>channels of growth, but unlike them, this study does not account for the composition of energy sources, a drawback given Adebayo et al.'s (2025) findings about asymmetry. While both these two 2023 studies elegantly model the dynamics of variables over time, Oladipo and Akinola’s limited explanatory power for West Africa derives partly from their failure to distinguish between renewable and non-renewable energy, since in the latter, as in Nigeria, oil and gas dominate and their usage can entrench, rather than alleviate, poverty cycles. Kettani (2023), employing multivariate regression and descriptive statistics on energy survey data in North and Sub-Saharan Africa (SSA) at the household level, found access to modern energy resources alleviates poverty by improving health and education outcomes. Contrasted with the macro-level panel analyses of the previous two studies, Kettani’s work offers more detailed and nuanced information, which clearly argues the case for grassroots-level policies. But, his cross-regional comparison is less targeted than Mensah and Adus (2024) emphasis on ECOWAS, as his results may obscure critical contextual features of West Africa. Thus, while household-level data humanizes the effects of energy, it diminishes the role of institutions in between, which were central to the arguments of earlier studies, such as those in fragile West African countries like Guinea.</w:t>
      </w:r>
    </w:p>
    <w:p w14:paraId="6B1EFFB3"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In earlier related work, Sy et al. (2022) performed simple cross-country panel regressions modeling energy consumption per capita as a determinant of the human development index in SSA and indirectly concluded that energy consumption may have poverty-reducing effects. Being a reduced-form or conditional correlation model, this simple assumption is open to criticism on causality grounds, addressed in their later works through GMM (Mensah and Adu 2024) and NARDL (Adebayo et al. 2025) models to account for bidirectionality. The findings of Sy et al. argue in favour of the energy-led hypothesis of development but with less nuance than these later studies, reflecting the progressive incorporation of endogeneity controls to support more definitive conclusions in the West African context.</w:t>
      </w:r>
    </w:p>
    <w:p w14:paraId="1F44690B"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Zaman and Rahman (2021) estimate panel fixed-effects and GMM models for a South Asian cross country data set and find that energy uses in the region have alleviated poverty indirectly through industrial output and human capital. Although they focus on a different region, their attention to these channels of transmission is similar to Lin et al. (2023). But, being a South Asian sample, their findings are less applicable to West Africa since energy use in agriculture is likely more important than industrial use in affecting poverty. On this basis, this paper provides an initial examination of the direct relationship between energy and poverty before the more recent paper that also focus on SSA. They support the premise that region-specific features should not be overlooked when considering the gap in knowledge for West Africa. Saidi and Hammami (2021) develop a panel cointegration model and estimate it with fully modified OLS (FMOLS) technique for a sample of developing countries. They find that electricity consumption has a long-run effect on economic growth, which is influenced by the quality of institutions. Like Zaman and Rahman (2021), the emphasis on growth limits the scope of the direct impact on poverty squared away in the more recent studies on the multidimensional poverty index (Mensah and Adu, 2024). In this sense, the argument of these earlier papers is taken up in the contemporary literature with a sharpened focus on poverty, rather than only growth proxies, with models that incorporate the range of relevant intermediate variables, particularly for the West African region.</w:t>
      </w:r>
    </w:p>
    <w:p w14:paraId="1E7E9DF2"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Continuing in this direction, Apergis and Payne (2017) examine the causal relationship between energy consumption and economic growth in developing countries using panel Granger causality and panel ECM models. Their results show a bidirectional relationship between energy consumption and economic growth and emphasize the need to invest in energy consumption infrastructure in order to foster economic growth. Although their study prefigures </w:t>
      </w:r>
      <w:r w:rsidRPr="00E10446">
        <w:rPr>
          <w:rFonts w:ascii="Times New Roman" w:hAnsi="Times New Roman" w:cs="Times New Roman"/>
          <w:sz w:val="24"/>
          <w:szCs w:val="24"/>
        </w:rPr>
        <w:lastRenderedPageBreak/>
        <w:t>the non-linear models in this Special Issue, their panel Granger causality (and OLS estimations of an ECM) does not consider the asymmetric causality findings of Adebayo et al. (2025). Plus, their focus on economic growth only resonates with Saidi and Hammami (2021), who again call for the adoption of novel modelling techniques that can incorporate poverty measures explicitly. Finally, a much relevant earlier study of Ouedraogo (2016) uses ECM to tease out the short-run and long-run impacts of energy consumption and economic growth on poverty alleviation in SSA countries, underlining the need for carefully crafted supportive policies to achieve poverty alleviation gains in the long run. The distinction of short- vs long-run is picked up in a number of later works in the ECM tradition (e.g., Oladipo &amp; Akinola, 2023), although none of these later ones consider asymmetry or mediation, so this is an important framing study albeit somewhat outdated. It does, but, emphasize the complementary policies needed, a theme of increasing importance reflected in several recent papers.</w:t>
      </w:r>
    </w:p>
    <w:p w14:paraId="7A7E034F"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Despite the contributions of previous studies, several important gaps remain, particularly knowledge gaps regarding the specific mechanisms through which energy consumption affects poverty in these countries. While recent studies (e.g., Adebayo et al., 2025) highlight the poverty-reduction potential of renewable energy, or the role of institutional quality in enhancing the energy–poverty pathway (Mensah &amp; Adu, 2024), few studies integrate energy type disaggregation (renewable versus fossil), nonlinear or asymmetric relationships, and the mechanisms of transmission, such as labour market participation or income inequality, within a focused West African context.  This study addresses these gaps by focusing on the impact of energy consumption on poverty alleviation in Nigeria, Ghana, Côte d'Ivoire, Senegal, and Guinea, and by employing disaggregated and potentially asymmetric approaches to capture heterogeneous effects, differences in sources of energy, and the nuanced moderators of energy consumption in these economies. Such tailored focus is critical to extract meaningful and country-specific policy lessons from the impact of energy consumption on poverty reduction in this part of the world where energy poverty remains a major barrier to inclusive development despite the size of their economies and endowment of resources.</w:t>
      </w:r>
    </w:p>
    <w:p w14:paraId="4F51E8F5" w14:textId="603802A3" w:rsidR="005801C8" w:rsidRPr="00E10446" w:rsidRDefault="00204D8E">
      <w:pPr>
        <w:pStyle w:val="ListParagraph"/>
        <w:numPr>
          <w:ilvl w:val="0"/>
          <w:numId w:val="1"/>
        </w:num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Material and Methods</w:t>
      </w:r>
    </w:p>
    <w:p w14:paraId="1462D134" w14:textId="0091C74A" w:rsidR="005801C8" w:rsidRPr="00E10446" w:rsidRDefault="004124B0">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3.1 </w:t>
      </w:r>
      <w:r w:rsidR="002326DC" w:rsidRPr="00E10446">
        <w:rPr>
          <w:rFonts w:ascii="Times New Roman" w:hAnsi="Times New Roman" w:cs="Times New Roman"/>
          <w:b/>
          <w:bCs/>
          <w:sz w:val="24"/>
          <w:szCs w:val="24"/>
        </w:rPr>
        <w:t>Research Design</w:t>
      </w:r>
    </w:p>
    <w:p w14:paraId="2E007555"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This research framework addresses the gaps in the literature by adopting advanced panel data methodologies, accounting for heterogeneity, cross-sectional dependence (CD), and potential asymmetries in energy-poverty dynamics. The model specifications for this study relate to previous empirical reviews such as Adebayo et al. (2025) application of nonlinear Autoregressive Distributed Lag (NARDL) models for asymmetric shocks, Mensah and Adu (2024) system Generalized Method of Moments (GMM) models to counter endogeneity, and Oladipo and Akinola (2023) panel cointegration and error correction models (ECM) to establish long-run equilibria. With the incorporation of these models alongside innovative quantile-based methods, this study aims to ensure robust and context-specific estimations for diversely endowed West African nations, ranging from Nigeria's oil-dependent economy, Ghana's initiatives towards hydroelectric power reforms, to Guinea's governance challenges influencing energy deficits.</w:t>
      </w:r>
    </w:p>
    <w:p w14:paraId="62A2159E" w14:textId="016E617D" w:rsidR="005801C8" w:rsidRPr="00E10446" w:rsidRDefault="004124B0">
      <w:pPr>
        <w:spacing w:line="240" w:lineRule="auto"/>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3.2 </w:t>
      </w:r>
      <w:r w:rsidR="002326DC" w:rsidRPr="00E10446">
        <w:rPr>
          <w:rStyle w:val="katex-mathml"/>
          <w:rFonts w:ascii="Times New Roman" w:hAnsi="Times New Roman" w:cs="Times New Roman"/>
          <w:b/>
          <w:bCs/>
          <w:sz w:val="24"/>
          <w:szCs w:val="24"/>
        </w:rPr>
        <w:t>Source of Data</w:t>
      </w:r>
    </w:p>
    <w:p w14:paraId="7F244322" w14:textId="4EBA951F" w:rsidR="005801C8" w:rsidRPr="00E10446" w:rsidRDefault="002326DC">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key variables used in this study are summarized in the following table along with the dependent variable, independent (main explanatory) variables, control variables, and source of data.</w:t>
      </w:r>
      <w:r w:rsidR="00BA1823" w:rsidRPr="00E10446">
        <w:rPr>
          <w:rStyle w:val="katex-mathml"/>
          <w:rFonts w:ascii="Times New Roman" w:hAnsi="Times New Roman" w:cs="Times New Roman"/>
          <w:sz w:val="24"/>
          <w:szCs w:val="24"/>
        </w:rPr>
        <w:t xml:space="preserve"> However, some missing observations for key variables were estimated using interpolation and short-term forecasting techniques to preserve panel balance and avoid efficiency losses. This approach is widely supported in empirical panel studies where limited data gaps exist, as </w:t>
      </w:r>
      <w:r w:rsidR="00BA1823" w:rsidRPr="00E10446">
        <w:rPr>
          <w:rStyle w:val="katex-mathml"/>
          <w:rFonts w:ascii="Times New Roman" w:hAnsi="Times New Roman" w:cs="Times New Roman"/>
          <w:sz w:val="24"/>
          <w:szCs w:val="24"/>
        </w:rPr>
        <w:lastRenderedPageBreak/>
        <w:t>it maintains consistency without significantly biasing estimates (</w:t>
      </w:r>
      <w:proofErr w:type="spellStart"/>
      <w:r w:rsidR="00BA1823" w:rsidRPr="00E10446">
        <w:rPr>
          <w:rStyle w:val="katex-mathml"/>
          <w:rFonts w:ascii="Times New Roman" w:hAnsi="Times New Roman" w:cs="Times New Roman"/>
          <w:sz w:val="24"/>
          <w:szCs w:val="24"/>
        </w:rPr>
        <w:t>Baltagi</w:t>
      </w:r>
      <w:proofErr w:type="spellEnd"/>
      <w:r w:rsidR="00BA1823" w:rsidRPr="00E10446">
        <w:rPr>
          <w:rStyle w:val="katex-mathml"/>
          <w:rFonts w:ascii="Times New Roman" w:hAnsi="Times New Roman" w:cs="Times New Roman"/>
          <w:sz w:val="24"/>
          <w:szCs w:val="24"/>
        </w:rPr>
        <w:t>, 2021; Little &amp; Rubin, 2019). Prior energy–poverty studies also adopt similar methods to address data limitations in developing regions, ensuring robust and reliable econometric outcomes (Acheampong et al., 2021).</w:t>
      </w:r>
    </w:p>
    <w:p w14:paraId="6F20C1F7" w14:textId="41C5C855" w:rsidR="00FD1D83" w:rsidRPr="00E10446" w:rsidRDefault="00FD1D83" w:rsidP="00FD1D83">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Table 1: Variables Description</w:t>
      </w:r>
    </w:p>
    <w:tbl>
      <w:tblPr>
        <w:tblStyle w:val="PlainTable21"/>
        <w:tblW w:w="9090" w:type="dxa"/>
        <w:jc w:val="center"/>
        <w:tblLook w:val="06A0" w:firstRow="1" w:lastRow="0" w:firstColumn="1" w:lastColumn="0" w:noHBand="1" w:noVBand="1"/>
      </w:tblPr>
      <w:tblGrid>
        <w:gridCol w:w="1534"/>
        <w:gridCol w:w="1422"/>
        <w:gridCol w:w="2795"/>
        <w:gridCol w:w="1844"/>
        <w:gridCol w:w="1495"/>
      </w:tblGrid>
      <w:tr w:rsidR="005801C8" w:rsidRPr="00E10446" w14:paraId="1B77D506" w14:textId="77777777" w:rsidTr="00FD1D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4" w:type="dxa"/>
          </w:tcPr>
          <w:p w14:paraId="2D306F68" w14:textId="77777777" w:rsidR="005801C8" w:rsidRPr="00E10446" w:rsidRDefault="002326DC">
            <w:pPr>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Variable Type</w:t>
            </w:r>
          </w:p>
        </w:tc>
        <w:tc>
          <w:tcPr>
            <w:tcW w:w="1422" w:type="dxa"/>
          </w:tcPr>
          <w:p w14:paraId="362EAC98"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Variable Name</w:t>
            </w:r>
          </w:p>
        </w:tc>
        <w:tc>
          <w:tcPr>
            <w:tcW w:w="2795" w:type="dxa"/>
          </w:tcPr>
          <w:p w14:paraId="37A00575"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Measure</w:t>
            </w:r>
          </w:p>
        </w:tc>
        <w:tc>
          <w:tcPr>
            <w:tcW w:w="1844" w:type="dxa"/>
          </w:tcPr>
          <w:p w14:paraId="10FE22DD"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Expected Sign/Outcome</w:t>
            </w:r>
          </w:p>
        </w:tc>
        <w:tc>
          <w:tcPr>
            <w:tcW w:w="1495" w:type="dxa"/>
          </w:tcPr>
          <w:p w14:paraId="008C2519"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Source</w:t>
            </w:r>
          </w:p>
        </w:tc>
      </w:tr>
      <w:tr w:rsidR="005801C8" w:rsidRPr="00E10446" w14:paraId="42A1F245"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5F340FB6" w14:textId="77777777" w:rsidR="005801C8" w:rsidRPr="00E10446" w:rsidRDefault="002326DC">
            <w:pPr>
              <w:jc w:val="right"/>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Dependent</w:t>
            </w:r>
          </w:p>
        </w:tc>
        <w:tc>
          <w:tcPr>
            <w:tcW w:w="1422" w:type="dxa"/>
          </w:tcPr>
          <w:p w14:paraId="6B4B97D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Poverty Reduction (POV)</w:t>
            </w:r>
          </w:p>
        </w:tc>
        <w:tc>
          <w:tcPr>
            <w:tcW w:w="2795" w:type="dxa"/>
          </w:tcPr>
          <w:p w14:paraId="4E0DDA3E"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Gini index</w:t>
            </w:r>
          </w:p>
        </w:tc>
        <w:tc>
          <w:tcPr>
            <w:tcW w:w="1844" w:type="dxa"/>
          </w:tcPr>
          <w:p w14:paraId="047A582A" w14:textId="77777777" w:rsidR="005801C8" w:rsidRPr="00E10446" w:rsidRDefault="005801C8">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p>
        </w:tc>
        <w:tc>
          <w:tcPr>
            <w:tcW w:w="1495" w:type="dxa"/>
          </w:tcPr>
          <w:p w14:paraId="6494FC5A"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World Bank Development Indicators (WDI) </w:t>
            </w:r>
          </w:p>
        </w:tc>
      </w:tr>
      <w:tr w:rsidR="005801C8" w:rsidRPr="00E10446" w14:paraId="7CC24D62"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59D81848"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Independent (Decomposed)</w:t>
            </w:r>
          </w:p>
        </w:tc>
        <w:tc>
          <w:tcPr>
            <w:tcW w:w="1422" w:type="dxa"/>
          </w:tcPr>
          <w:p w14:paraId="52286C7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Renewable Energy Consumption (RENC)</w:t>
            </w:r>
          </w:p>
        </w:tc>
        <w:tc>
          <w:tcPr>
            <w:tcW w:w="2795" w:type="dxa"/>
          </w:tcPr>
          <w:p w14:paraId="73D67AD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Share of renewable energy in total energy consumption (% of total) </w:t>
            </w:r>
          </w:p>
        </w:tc>
        <w:tc>
          <w:tcPr>
            <w:tcW w:w="1844" w:type="dxa"/>
          </w:tcPr>
          <w:p w14:paraId="06340B0A"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Negative </w:t>
            </w:r>
          </w:p>
        </w:tc>
        <w:tc>
          <w:tcPr>
            <w:tcW w:w="1495" w:type="dxa"/>
          </w:tcPr>
          <w:p w14:paraId="15982C44" w14:textId="77777777" w:rsidR="005801C8" w:rsidRPr="00E10446" w:rsidRDefault="005801C8">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p>
          <w:p w14:paraId="09E6F7EF" w14:textId="77777777" w:rsidR="005801C8" w:rsidRPr="00E10446" w:rsidRDefault="002326DC" w:rsidP="00793C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5DB9928A"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451FA655"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Independent (Decomposed)</w:t>
            </w:r>
          </w:p>
        </w:tc>
        <w:tc>
          <w:tcPr>
            <w:tcW w:w="1422" w:type="dxa"/>
          </w:tcPr>
          <w:p w14:paraId="6A3CDCEC"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Non-Renewable Energy Consumption (NRENC)</w:t>
            </w:r>
          </w:p>
        </w:tc>
        <w:tc>
          <w:tcPr>
            <w:tcW w:w="2795" w:type="dxa"/>
          </w:tcPr>
          <w:p w14:paraId="3BF445F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Residual non-renewable share or per capita use (fossil fuels dominant in region)</w:t>
            </w:r>
          </w:p>
        </w:tc>
        <w:tc>
          <w:tcPr>
            <w:tcW w:w="1844" w:type="dxa"/>
          </w:tcPr>
          <w:p w14:paraId="252CF4B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or Mixed/Weaker (fossil fuels may have inconsistent effects due to volatility/outages)</w:t>
            </w:r>
          </w:p>
        </w:tc>
        <w:tc>
          <w:tcPr>
            <w:tcW w:w="1495" w:type="dxa"/>
          </w:tcPr>
          <w:p w14:paraId="48B4DE1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0B74DA27"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2EE30106"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Mediator</w:t>
            </w:r>
          </w:p>
        </w:tc>
        <w:tc>
          <w:tcPr>
            <w:tcW w:w="1422" w:type="dxa"/>
          </w:tcPr>
          <w:p w14:paraId="55AB1D18"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Labour Productivity (LAP)</w:t>
            </w:r>
          </w:p>
        </w:tc>
        <w:tc>
          <w:tcPr>
            <w:tcW w:w="2795" w:type="dxa"/>
          </w:tcPr>
          <w:p w14:paraId="2087FA5C"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GDP per person employed (constant 2021 PPP $)</w:t>
            </w:r>
          </w:p>
        </w:tc>
        <w:tc>
          <w:tcPr>
            <w:tcW w:w="1844" w:type="dxa"/>
          </w:tcPr>
          <w:p w14:paraId="1B9C70B1"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(energy improves productivity, which in turn reduces poverty indirectly)</w:t>
            </w:r>
          </w:p>
        </w:tc>
        <w:tc>
          <w:tcPr>
            <w:tcW w:w="1495" w:type="dxa"/>
          </w:tcPr>
          <w:p w14:paraId="5B9C04E6"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618949F7"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1CE1C18B"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Control</w:t>
            </w:r>
          </w:p>
        </w:tc>
        <w:tc>
          <w:tcPr>
            <w:tcW w:w="1422" w:type="dxa"/>
          </w:tcPr>
          <w:p w14:paraId="1BCAADE4"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Economic Growth (GDP)</w:t>
            </w:r>
          </w:p>
        </w:tc>
        <w:tc>
          <w:tcPr>
            <w:tcW w:w="2795" w:type="dxa"/>
          </w:tcPr>
          <w:p w14:paraId="497DC6B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GDP per capita (current US$)</w:t>
            </w:r>
          </w:p>
        </w:tc>
        <w:tc>
          <w:tcPr>
            <w:tcW w:w="1844" w:type="dxa"/>
          </w:tcPr>
          <w:p w14:paraId="793E225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(higher growth reduces poverty)</w:t>
            </w:r>
          </w:p>
        </w:tc>
        <w:tc>
          <w:tcPr>
            <w:tcW w:w="1495" w:type="dxa"/>
          </w:tcPr>
          <w:p w14:paraId="5FB9449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bl>
    <w:p w14:paraId="6AE78542" w14:textId="6323B421" w:rsidR="005801C8" w:rsidRPr="00E10446" w:rsidRDefault="005801C8">
      <w:pPr>
        <w:spacing w:line="240" w:lineRule="auto"/>
        <w:jc w:val="both"/>
        <w:rPr>
          <w:rFonts w:ascii="Times New Roman" w:hAnsi="Times New Roman" w:cs="Times New Roman"/>
          <w:sz w:val="24"/>
          <w:szCs w:val="24"/>
        </w:rPr>
      </w:pPr>
    </w:p>
    <w:p w14:paraId="4EF030D5" w14:textId="20B1B301" w:rsidR="005801C8" w:rsidRPr="00E10446" w:rsidRDefault="004124B0">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3.3 </w:t>
      </w:r>
      <w:r w:rsidR="002326DC" w:rsidRPr="00E10446">
        <w:rPr>
          <w:rFonts w:ascii="Times New Roman" w:hAnsi="Times New Roman" w:cs="Times New Roman"/>
          <w:b/>
          <w:bCs/>
          <w:sz w:val="24"/>
          <w:szCs w:val="24"/>
        </w:rPr>
        <w:t>Mosel Specification</w:t>
      </w:r>
    </w:p>
    <w:p w14:paraId="6F8E3EF5"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To capture the direct and interaction effects of energy use on poverty alleviation while controlling for other factors that could contribute to omitted variable bias, the baseline model uses a panel data setting with control variables. Okwanya and Abah (2018), specifically, applied fully modified ordinary least squares (FMOLS) to examine the long-run relationships of energy consumption and poverty reduction for a panel of African countries. The baseline model thus takes the following form:</w:t>
      </w:r>
    </w:p>
    <w:p w14:paraId="3F122634" w14:textId="676896B8" w:rsidR="005801C8" w:rsidRPr="00E10446" w:rsidRDefault="002326DC">
      <w:pPr>
        <w:spacing w:after="0" w:line="240" w:lineRule="auto"/>
        <w:jc w:val="center"/>
        <w:rPr>
          <w:rFonts w:ascii="Times New Roman" w:eastAsia="Times New Roman" w:hAnsi="Times New Roman" w:cs="Times New Roman"/>
          <w:i/>
          <w:iCs/>
          <w:sz w:val="24"/>
          <w:szCs w:val="24"/>
          <w:lang w:eastAsia="en-GB"/>
        </w:rPr>
      </w:pPr>
      <w:proofErr w:type="spellStart"/>
      <w:proofErr w:type="gramStart"/>
      <w:r w:rsidRPr="00E10446">
        <w:rPr>
          <w:rFonts w:ascii="Times New Roman" w:eastAsia="Times New Roman" w:hAnsi="Times New Roman" w:cs="Times New Roman"/>
          <w:i/>
          <w:iCs/>
          <w:sz w:val="24"/>
          <w:szCs w:val="24"/>
          <w:lang w:eastAsia="en-GB"/>
        </w:rPr>
        <w:t>POV</w:t>
      </w:r>
      <w:r w:rsidRPr="00E10446">
        <w:rPr>
          <w:rFonts w:ascii="Times New Roman" w:eastAsia="Times New Roman" w:hAnsi="Times New Roman" w:cs="Times New Roman"/>
          <w:i/>
          <w:iCs/>
          <w:sz w:val="24"/>
          <w:szCs w:val="24"/>
          <w:vertAlign w:val="subscript"/>
          <w:lang w:eastAsia="en-GB"/>
        </w:rPr>
        <w:t>i,t</w:t>
      </w:r>
      <w:proofErr w:type="spellEnd"/>
      <w:proofErr w:type="gramEnd"/>
      <w:r w:rsidRPr="00E10446">
        <w:rPr>
          <w:rFonts w:ascii="Times New Roman" w:eastAsia="Times New Roman" w:hAnsi="Times New Roman" w:cs="Times New Roman"/>
          <w:i/>
          <w:iCs/>
          <w:sz w:val="24"/>
          <w:szCs w:val="24"/>
          <w:vertAlign w:val="subscript"/>
          <w:lang w:eastAsia="en-GB"/>
        </w:rPr>
        <w:t xml:space="preserve"> </w:t>
      </w:r>
      <w:r w:rsidRPr="00E10446">
        <w:rPr>
          <w:rFonts w:ascii="Times New Roman" w:eastAsia="Times New Roman" w:hAnsi="Times New Roman" w:cs="Times New Roman"/>
          <w:i/>
          <w:iCs/>
          <w:sz w:val="24"/>
          <w:szCs w:val="24"/>
          <w:lang w:eastAsia="en-GB"/>
        </w:rPr>
        <w:t>=β</w:t>
      </w:r>
      <w:r w:rsidRPr="00E10446">
        <w:rPr>
          <w:rFonts w:ascii="Times New Roman" w:eastAsia="Times New Roman" w:hAnsi="Times New Roman" w:cs="Times New Roman"/>
          <w:i/>
          <w:iCs/>
          <w:sz w:val="24"/>
          <w:szCs w:val="24"/>
          <w:vertAlign w:val="subscript"/>
          <w:lang w:eastAsia="en-GB"/>
        </w:rPr>
        <w:t>0</w:t>
      </w:r>
      <w:r w:rsidRPr="00E10446">
        <w:rPr>
          <w:rFonts w:ascii="Times New Roman" w:eastAsia="Times New Roman" w:hAnsi="Times New Roman" w:cs="Times New Roman"/>
          <w:i/>
          <w:iCs/>
          <w:sz w:val="24"/>
          <w:szCs w:val="24"/>
          <w:lang w:eastAsia="en-GB"/>
        </w:rPr>
        <w:t>+β</w:t>
      </w:r>
      <w:r w:rsidRPr="00E10446">
        <w:rPr>
          <w:rFonts w:ascii="Times New Roman" w:eastAsia="Times New Roman" w:hAnsi="Times New Roman" w:cs="Times New Roman"/>
          <w:i/>
          <w:iCs/>
          <w:sz w:val="24"/>
          <w:szCs w:val="24"/>
          <w:vertAlign w:val="subscript"/>
          <w:lang w:eastAsia="en-GB"/>
        </w:rPr>
        <w:t>1</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Pr="00E10446">
        <w:rPr>
          <w:rFonts w:ascii="Times New Roman" w:eastAsia="Times New Roman" w:hAnsi="Times New Roman" w:cs="Times New Roman"/>
          <w:i/>
          <w:iCs/>
          <w:sz w:val="24"/>
          <w:szCs w:val="24"/>
          <w:vertAlign w:val="subscript"/>
          <w:lang w:eastAsia="en-GB"/>
        </w:rPr>
        <w:t>2</w:t>
      </w:r>
      <w:r w:rsidRPr="00E10446">
        <w:rPr>
          <w:rFonts w:ascii="Times New Roman" w:eastAsia="Times New Roman" w:hAnsi="Times New Roman" w:cs="Times New Roman"/>
          <w:i/>
          <w:iCs/>
          <w:sz w:val="24"/>
          <w:szCs w:val="24"/>
          <w:lang w:eastAsia="en-GB"/>
        </w:rPr>
        <w:t>GDP</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Pr="00E10446">
        <w:rPr>
          <w:rFonts w:ascii="Times New Roman" w:eastAsia="Times New Roman" w:hAnsi="Times New Roman" w:cs="Times New Roman"/>
          <w:i/>
          <w:iCs/>
          <w:sz w:val="24"/>
          <w:szCs w:val="24"/>
          <w:vertAlign w:val="subscript"/>
          <w:lang w:eastAsia="en-GB"/>
        </w:rPr>
        <w:t>3</w:t>
      </w:r>
      <w:r w:rsidR="00BD17E0" w:rsidRPr="00E10446">
        <w:rPr>
          <w:rFonts w:ascii="Times New Roman" w:eastAsia="Times New Roman" w:hAnsi="Times New Roman" w:cs="Times New Roman"/>
          <w:i/>
          <w:iCs/>
          <w:sz w:val="24"/>
          <w:szCs w:val="24"/>
          <w:lang w:eastAsia="en-GB"/>
        </w:rPr>
        <w:t>LAP</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0027110D" w:rsidRPr="00E10446">
        <w:rPr>
          <w:rFonts w:ascii="Times New Roman" w:eastAsia="Times New Roman" w:hAnsi="Times New Roman" w:cs="Times New Roman"/>
          <w:i/>
          <w:iCs/>
          <w:sz w:val="24"/>
          <w:szCs w:val="24"/>
          <w:vertAlign w:val="subscript"/>
          <w:lang w:eastAsia="en-GB"/>
        </w:rPr>
        <w:t>4</w:t>
      </w:r>
      <w:r w:rsidRPr="00E10446">
        <w:rPr>
          <w:rFonts w:ascii="Times New Roman" w:eastAsia="Times New Roman" w:hAnsi="Times New Roman" w:cs="Times New Roman"/>
          <w:i/>
          <w:iCs/>
          <w:sz w:val="24"/>
          <w:szCs w:val="24"/>
          <w:lang w:eastAsia="en-GB"/>
        </w:rPr>
        <w:t>X</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+μ</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 xml:space="preserve"> </w:t>
      </w:r>
      <w:r w:rsidRPr="00E10446">
        <w:rPr>
          <w:rFonts w:ascii="Times New Roman" w:eastAsia="Times New Roman" w:hAnsi="Times New Roman" w:cs="Times New Roman"/>
          <w:i/>
          <w:iCs/>
          <w:sz w:val="24"/>
          <w:szCs w:val="24"/>
          <w:lang w:eastAsia="en-GB"/>
        </w:rPr>
        <w:tab/>
      </w:r>
      <w:proofErr w:type="spellStart"/>
      <w:r w:rsidRPr="00E10446">
        <w:rPr>
          <w:rFonts w:ascii="Times New Roman" w:eastAsia="Times New Roman" w:hAnsi="Times New Roman" w:cs="Times New Roman"/>
          <w:i/>
          <w:iCs/>
          <w:sz w:val="24"/>
          <w:szCs w:val="24"/>
          <w:lang w:eastAsia="en-GB"/>
        </w:rPr>
        <w:t>eq</w:t>
      </w:r>
      <w:proofErr w:type="spellEnd"/>
      <w:r w:rsidRPr="00E10446">
        <w:rPr>
          <w:rFonts w:ascii="Times New Roman" w:eastAsia="Times New Roman" w:hAnsi="Times New Roman" w:cs="Times New Roman"/>
          <w:i/>
          <w:iCs/>
          <w:sz w:val="24"/>
          <w:szCs w:val="24"/>
          <w:lang w:eastAsia="en-GB"/>
        </w:rPr>
        <w:t xml:space="preserve"> (1)</w:t>
      </w:r>
    </w:p>
    <w:p w14:paraId="4770C00E" w14:textId="793C9521" w:rsidR="005801C8" w:rsidRPr="00E10446" w:rsidRDefault="002326DC" w:rsidP="00BD17E0">
      <w:pPr>
        <w:pStyle w:val="break-words"/>
        <w:jc w:val="both"/>
      </w:pPr>
      <w:r w:rsidRPr="00E10446">
        <w:t xml:space="preserve">Where: </w:t>
      </w:r>
      <w:proofErr w:type="gramStart"/>
      <w:r w:rsidRPr="00E10446">
        <w:rPr>
          <w:rStyle w:val="mord"/>
        </w:rPr>
        <w:t>POV</w:t>
      </w:r>
      <w:r w:rsidRPr="00E10446">
        <w:rPr>
          <w:rStyle w:val="mord"/>
          <w:vertAlign w:val="subscript"/>
        </w:rPr>
        <w:t>i</w:t>
      </w:r>
      <w:r w:rsidRPr="00E10446">
        <w:rPr>
          <w:rStyle w:val="mpunct"/>
          <w:vertAlign w:val="subscript"/>
        </w:rPr>
        <w:t>,</w:t>
      </w:r>
      <w:r w:rsidRPr="00E10446">
        <w:rPr>
          <w:rStyle w:val="mord"/>
          <w:vertAlign w:val="subscript"/>
        </w:rPr>
        <w:t>t</w:t>
      </w:r>
      <w:r w:rsidRPr="00E10446">
        <w:rPr>
          <w:rStyle w:val="vlist-s"/>
          <w:vertAlign w:val="subscript"/>
        </w:rPr>
        <w:t>​</w:t>
      </w:r>
      <w:proofErr w:type="gramEnd"/>
      <w:r w:rsidRPr="00E10446">
        <w:rPr>
          <w:vertAlign w:val="subscript"/>
        </w:rPr>
        <w:t xml:space="preserve"> </w:t>
      </w:r>
      <w:r w:rsidRPr="00E10446">
        <w:t>represents poverty levels in country</w:t>
      </w:r>
      <w:r w:rsidRPr="00E10446">
        <w:rPr>
          <w:i/>
          <w:iCs/>
        </w:rPr>
        <w:t xml:space="preserve"> </w:t>
      </w:r>
      <w:r w:rsidRPr="00E10446">
        <w:rPr>
          <w:rStyle w:val="katex-mathml"/>
          <w:i/>
          <w:iCs/>
        </w:rPr>
        <w:t>i</w:t>
      </w:r>
      <w:r w:rsidRPr="00E10446">
        <w:rPr>
          <w:rStyle w:val="katex-mathml"/>
        </w:rPr>
        <w:t xml:space="preserve"> </w:t>
      </w:r>
      <w:r w:rsidRPr="00E10446">
        <w:t xml:space="preserve"> at time </w:t>
      </w:r>
      <w:r w:rsidRPr="00E10446">
        <w:rPr>
          <w:rStyle w:val="katex-mathml"/>
        </w:rPr>
        <w:t xml:space="preserve">t, </w:t>
      </w:r>
      <w:r w:rsidRPr="00E10446">
        <w:rPr>
          <w:rStyle w:val="mord"/>
        </w:rPr>
        <w:t>ENC</w:t>
      </w:r>
      <w:r w:rsidRPr="00E10446">
        <w:rPr>
          <w:rStyle w:val="mord"/>
          <w:vertAlign w:val="subscript"/>
        </w:rPr>
        <w:t>i</w:t>
      </w:r>
      <w:r w:rsidRPr="00E10446">
        <w:rPr>
          <w:rStyle w:val="mpunct"/>
          <w:vertAlign w:val="subscript"/>
        </w:rPr>
        <w:t>,</w:t>
      </w:r>
      <w:r w:rsidRPr="00E10446">
        <w:rPr>
          <w:rStyle w:val="mord"/>
          <w:vertAlign w:val="subscript"/>
        </w:rPr>
        <w:t>t</w:t>
      </w:r>
      <w:r w:rsidRPr="00E10446">
        <w:rPr>
          <w:rStyle w:val="vlist-s"/>
          <w:vertAlign w:val="subscript"/>
        </w:rPr>
        <w:t>​</w:t>
      </w:r>
      <w:r w:rsidRPr="00E10446">
        <w:rPr>
          <w:vertAlign w:val="subscript"/>
        </w:rPr>
        <w:t xml:space="preserve"> </w:t>
      </w:r>
      <w:r w:rsidRPr="00E10446">
        <w:t xml:space="preserve">is energy consumption, </w:t>
      </w:r>
      <w:proofErr w:type="spellStart"/>
      <w:r w:rsidR="0027110D" w:rsidRPr="00E10446">
        <w:rPr>
          <w:rStyle w:val="mord"/>
        </w:rPr>
        <w:t>LA</w:t>
      </w:r>
      <w:r w:rsidRPr="00E10446">
        <w:rPr>
          <w:rStyle w:val="mord"/>
        </w:rPr>
        <w:t>P</w:t>
      </w:r>
      <w:r w:rsidRPr="00E10446">
        <w:rPr>
          <w:rStyle w:val="mord"/>
          <w:vertAlign w:val="subscript"/>
        </w:rPr>
        <w:t>i</w:t>
      </w:r>
      <w:r w:rsidRPr="00E10446">
        <w:rPr>
          <w:rStyle w:val="mpunct"/>
          <w:vertAlign w:val="subscript"/>
        </w:rPr>
        <w:t>,</w:t>
      </w:r>
      <w:r w:rsidRPr="00E10446">
        <w:rPr>
          <w:rStyle w:val="mord"/>
          <w:vertAlign w:val="subscript"/>
        </w:rPr>
        <w:t>t</w:t>
      </w:r>
      <w:proofErr w:type="spellEnd"/>
      <w:r w:rsidRPr="00E10446">
        <w:rPr>
          <w:rStyle w:val="vlist-s"/>
          <w:vertAlign w:val="subscript"/>
        </w:rPr>
        <w:t>​</w:t>
      </w:r>
      <w:r w:rsidRPr="00E10446">
        <w:t xml:space="preserve"> is </w:t>
      </w:r>
      <w:r w:rsidR="0027110D" w:rsidRPr="00E10446">
        <w:t>labour productivity,</w:t>
      </w:r>
      <w:r w:rsidRPr="00E10446">
        <w:t xml:space="preserve"> </w:t>
      </w:r>
      <w:proofErr w:type="spellStart"/>
      <w:r w:rsidRPr="00E10446">
        <w:rPr>
          <w:rStyle w:val="mord"/>
        </w:rPr>
        <w:t>X</w:t>
      </w:r>
      <w:r w:rsidRPr="00E10446">
        <w:rPr>
          <w:rStyle w:val="mord"/>
          <w:vertAlign w:val="subscript"/>
        </w:rPr>
        <w:t>i</w:t>
      </w:r>
      <w:r w:rsidRPr="00E10446">
        <w:rPr>
          <w:rStyle w:val="mpunct"/>
          <w:vertAlign w:val="subscript"/>
        </w:rPr>
        <w:t>,</w:t>
      </w:r>
      <w:r w:rsidRPr="00E10446">
        <w:rPr>
          <w:rStyle w:val="mord"/>
          <w:vertAlign w:val="subscript"/>
        </w:rPr>
        <w:t>t</w:t>
      </w:r>
      <w:proofErr w:type="spellEnd"/>
      <w:r w:rsidRPr="00E10446">
        <w:rPr>
          <w:rStyle w:val="vlist-s"/>
          <w:vertAlign w:val="subscript"/>
        </w:rPr>
        <w:t>​</w:t>
      </w:r>
      <w:r w:rsidRPr="00E10446">
        <w:rPr>
          <w:vertAlign w:val="subscript"/>
        </w:rPr>
        <w:t xml:space="preserve"> </w:t>
      </w:r>
      <w:r w:rsidRPr="00E10446">
        <w:t xml:space="preserve">is a vector of controls (e.g., economic growth), </w:t>
      </w:r>
      <w:r w:rsidRPr="00E10446">
        <w:rPr>
          <w:rStyle w:val="mord"/>
        </w:rPr>
        <w:t>μ</w:t>
      </w:r>
      <w:r w:rsidRPr="00E10446">
        <w:rPr>
          <w:rStyle w:val="mord"/>
          <w:vertAlign w:val="subscript"/>
        </w:rPr>
        <w:t>i</w:t>
      </w:r>
      <w:r w:rsidRPr="00E10446">
        <w:rPr>
          <w:rStyle w:val="mpunct"/>
          <w:vertAlign w:val="subscript"/>
        </w:rPr>
        <w:t>,</w:t>
      </w:r>
      <w:r w:rsidRPr="00E10446">
        <w:rPr>
          <w:rStyle w:val="mord"/>
          <w:vertAlign w:val="subscript"/>
        </w:rPr>
        <w:t>t</w:t>
      </w:r>
      <w:r w:rsidRPr="00E10446">
        <w:rPr>
          <w:rStyle w:val="vlist-s"/>
        </w:rPr>
        <w:t>​</w:t>
      </w:r>
      <w:r w:rsidRPr="00E10446">
        <w:t xml:space="preserve"> is the error term.</w:t>
      </w:r>
      <w:r w:rsidR="00BD17E0" w:rsidRPr="00E10446">
        <w:t xml:space="preserve"> </w:t>
      </w:r>
      <w:r w:rsidRPr="00E10446">
        <w:t>This specification elucidates the long-run nexus by highlighting that higher energy consumption reduces poverty through improved productivity and access, but this effect is contingent on the moderating role of institutions, much like in Mensah and Adu (2024). Specifically, a 1% increase in energy consumption is projected to lower poverty by 0.3-0.5% in countries with strong institutions like Ghana, based on similar GMM estimations (Mensah &amp; Adu, 2024). In a recent study, Frnana and Kareem (2025) applied a comparable model in Central Africa and found that institutional quality, such as government effectiveness, amplified the role of technology in addressing energy-related poverty, with coefficients ranging from -</w:t>
      </w:r>
      <w:r w:rsidRPr="00E10446">
        <w:lastRenderedPageBreak/>
        <w:t>0.15 to -0.25 across quantiles. Likewise, Amer and Kareem (2025) in their ECOWAS region panel datasets observed an elasticity of poverty reduction with respect to economic growth ranging from 0.39 to 1.47, moderated by green finance. To capture asymmetries, this study proposes an extended NARDL specification for robustness that directly refers to Adebayo et al. (2025). Hence, the NARDL specification is presented below as equation 2:</w:t>
      </w:r>
    </w:p>
    <w:p w14:paraId="4B84A763" w14:textId="77777777" w:rsidR="005801C8" w:rsidRPr="00E10446" w:rsidRDefault="002326DC">
      <w:pPr>
        <w:spacing w:after="0" w:line="360" w:lineRule="auto"/>
        <w:jc w:val="both"/>
        <w:rPr>
          <w:rFonts w:ascii="Times New Roman" w:hAnsi="Times New Roman" w:cs="Times New Roman"/>
          <w:sz w:val="24"/>
          <w:szCs w:val="24"/>
        </w:rPr>
      </w:pPr>
      <m:oMathPara>
        <m:oMath>
          <m:r>
            <m:rPr>
              <m:sty m:val="p"/>
            </m:rPr>
            <w:rPr>
              <w:rStyle w:val="katex-mathml"/>
              <w:rFonts w:ascii="Cambria Math" w:hAnsi="Cambria Math"/>
            </w:rPr>
            <m:t>ΔPOVi,t</m:t>
          </m:r>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Style w:val="katex-mathml"/>
                  <w:rFonts w:ascii="Cambria Math" w:hAnsi="Cambria Math"/>
                </w:rPr>
                <m:t>ϕPOV</m:t>
              </m:r>
            </m:e>
            <m:sub>
              <m:r>
                <w:rPr>
                  <w:rFonts w:ascii="Cambria Math" w:hAnsi="Cambria Math" w:cs="Times New Roman"/>
                  <w:sz w:val="24"/>
                  <w:szCs w:val="24"/>
                </w:rPr>
                <m:t>i,t-1</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Style w:val="katex-mathml"/>
                  <w:rFonts w:ascii="Cambria Math" w:hAnsi="Cambria Math"/>
                </w:rPr>
                <m:t>θ</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ENC</m:t>
              </m:r>
            </m:e>
            <m:sub>
              <m:r>
                <w:rPr>
                  <w:rFonts w:ascii="Cambria Math" w:hAnsi="Cambria Math" w:cs="Times New Roman"/>
                  <w:sz w:val="24"/>
                  <w:szCs w:val="24"/>
                </w:rPr>
                <m:t>i,t-1</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b/>
                  <w:bCs/>
                  <w:i/>
                  <w:sz w:val="24"/>
                  <w:szCs w:val="24"/>
                </w:rPr>
              </m:ctrlPr>
            </m:sSupPr>
            <m:e>
              <m:r>
                <m:rPr>
                  <m:sty m:val="p"/>
                </m:rPr>
                <w:rPr>
                  <w:rStyle w:val="katex-mathml"/>
                  <w:rFonts w:ascii="Cambria Math" w:hAnsi="Cambria Math"/>
                </w:rPr>
                <m:t>θ</m:t>
              </m:r>
            </m:e>
            <m:sup>
              <m:r>
                <m:rPr>
                  <m:sty m:val="bi"/>
                </m:rP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ENC</m:t>
              </m:r>
            </m:e>
            <m:sub>
              <m:r>
                <w:rPr>
                  <w:rFonts w:ascii="Cambria Math" w:hAnsi="Cambria Math" w:cs="Times New Roman"/>
                  <w:sz w:val="24"/>
                  <w:szCs w:val="24"/>
                </w:rPr>
                <m:t>i,t-1</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m:rPr>
                      <m:sty m:val="p"/>
                    </m:rPr>
                    <w:rPr>
                      <w:rStyle w:val="katex-mathml"/>
                      <w:rFonts w:ascii="Cambria Math" w:hAnsi="Cambria Math"/>
                    </w:rPr>
                    <m:t>α</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i,t-j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m:rPr>
                      <m:sty m:val="p"/>
                    </m:rPr>
                    <w:rPr>
                      <w:rStyle w:val="katex-mathml"/>
                      <w:rFonts w:ascii="Cambria Math" w:hAnsi="Cambria Math"/>
                    </w:rPr>
                    <m:t>π</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m:t>
                  </m:r>
                </m:sup>
              </m:sSubSup>
              <m:r>
                <w:rPr>
                  <w:rFonts w:ascii="Cambria Math"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ENC</m:t>
                  </m:r>
                </m:e>
                <m:sub>
                  <m:r>
                    <w:rPr>
                      <w:rFonts w:ascii="Cambria Math" w:eastAsia="Times New Roman" w:hAnsi="Cambria Math" w:cs="Times New Roman"/>
                      <w:sz w:val="24"/>
                      <w:szCs w:val="24"/>
                    </w:rPr>
                    <m:t>i,t-j</m:t>
                  </m:r>
                </m:sub>
                <m:sup>
                  <m:r>
                    <w:rPr>
                      <w:rFonts w:ascii="Cambria Math" w:eastAsia="Times New Roman" w:hAnsi="Cambria Math" w:cs="Times New Roman"/>
                      <w:sz w:val="24"/>
                      <w:szCs w:val="24"/>
                    </w:rPr>
                    <m:t>+</m:t>
                  </m:r>
                </m:sup>
              </m:sSubSup>
              <m:r>
                <w:rPr>
                  <w:rFonts w:ascii="Cambria Math" w:hAnsi="Cambria Math" w:cs="Times New Roman"/>
                  <w:sz w:val="24"/>
                  <w:szCs w:val="24"/>
                </w:rPr>
                <m:t>+</m:t>
              </m:r>
              <m:sSubSup>
                <m:sSubSupPr>
                  <m:ctrlPr>
                    <w:rPr>
                      <w:rFonts w:ascii="Cambria Math" w:eastAsia="Times New Roman" w:hAnsi="Cambria Math" w:cs="Times New Roman"/>
                      <w:i/>
                      <w:sz w:val="24"/>
                      <w:szCs w:val="24"/>
                    </w:rPr>
                  </m:ctrlPr>
                </m:sSubSupPr>
                <m:e>
                  <m:r>
                    <m:rPr>
                      <m:sty m:val="p"/>
                    </m:rPr>
                    <w:rPr>
                      <w:rStyle w:val="katex-mathml"/>
                      <w:rFonts w:ascii="Cambria Math" w:hAnsi="Cambria Math"/>
                    </w:rPr>
                    <m:t>π</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hAnsi="Cambria Math" w:cs="Times New Roman"/>
                      <w:sz w:val="24"/>
                      <w:szCs w:val="24"/>
                    </w:rPr>
                    <m:t>∆</m:t>
                  </m:r>
                  <m:r>
                    <w:rPr>
                      <w:rFonts w:ascii="Cambria Math" w:eastAsia="Times New Roman" w:hAnsi="Cambria Math" w:cs="Times New Roman"/>
                      <w:sz w:val="24"/>
                      <w:szCs w:val="24"/>
                    </w:rPr>
                    <m:t>ENC</m:t>
                  </m:r>
                </m:e>
                <m:sub>
                  <m:r>
                    <w:rPr>
                      <w:rFonts w:ascii="Cambria Math" w:eastAsia="Times New Roman" w:hAnsi="Cambria Math" w:cs="Times New Roman"/>
                      <w:sz w:val="24"/>
                      <w:szCs w:val="24"/>
                    </w:rPr>
                    <m:t>i,t-j</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i,t</m:t>
              </m:r>
            </m:sub>
          </m:sSub>
        </m:oMath>
      </m:oMathPara>
    </w:p>
    <w:p w14:paraId="3B1653B0" w14:textId="77777777" w:rsidR="005801C8" w:rsidRPr="00E10446" w:rsidRDefault="002326DC">
      <w:pPr>
        <w:spacing w:line="240" w:lineRule="auto"/>
        <w:jc w:val="both"/>
        <w:rPr>
          <w:rStyle w:val="katex-mathml"/>
          <w:rFonts w:ascii="Times New Roman" w:hAnsi="Times New Roman" w:cs="Times New Roman"/>
          <w:sz w:val="24"/>
          <w:szCs w:val="24"/>
        </w:rPr>
      </w:pPr>
      <w:r w:rsidRPr="00E10446">
        <w:rPr>
          <w:rFonts w:ascii="Times New Roman" w:hAnsi="Times New Roman" w:cs="Times New Roman"/>
          <w:sz w:val="24"/>
          <w:szCs w:val="24"/>
        </w:rPr>
        <w:t>In equation 2 above, ENC</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and ENC</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are positive and negative decompositions of energy consumption, allowing for asymmetric short and long-run effects. This is on the premise that positive energy shocks (e.g., increments of renewables) may reduce poverty more than negative shocks (e.g., outages) with long-run multipliers of β</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 −θ</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/ϕ and β− = −θ</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/ϕ. Adebayo et al. (2025) showed that positive renewable shocks impact poverty indices across SSA by 0.4-0.6% in the short-run, validating the need for this extension in the context of West Africa's volatile energy sectors.</w:t>
      </w:r>
    </w:p>
    <w:p w14:paraId="62954ECB"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A mediation model to test indirect channels inspired by Lin et al. (2023) is as follows: </w:t>
      </w:r>
    </w:p>
    <w:p w14:paraId="14FCA302" w14:textId="77777777" w:rsidR="005801C8" w:rsidRPr="00E10446" w:rsidRDefault="002326DC">
      <w:pPr>
        <w:spacing w:after="0" w:line="240" w:lineRule="auto"/>
        <w:jc w:val="center"/>
        <w:rPr>
          <w:rFonts w:ascii="Times New Roman" w:eastAsia="Times New Roman" w:hAnsi="Times New Roman" w:cs="Times New Roman"/>
          <w:i/>
          <w:iCs/>
          <w:sz w:val="24"/>
          <w:szCs w:val="24"/>
          <w:lang w:eastAsia="en-GB"/>
        </w:rPr>
      </w:pPr>
      <w:proofErr w:type="gramStart"/>
      <w:r w:rsidRPr="00E10446">
        <w:rPr>
          <w:rFonts w:ascii="Times New Roman" w:eastAsia="Times New Roman" w:hAnsi="Times New Roman" w:cs="Times New Roman"/>
          <w:i/>
          <w:iCs/>
          <w:sz w:val="24"/>
          <w:szCs w:val="24"/>
          <w:lang w:eastAsia="en-GB"/>
        </w:rPr>
        <w:t>POV</w:t>
      </w:r>
      <w:r w:rsidRPr="00E10446">
        <w:rPr>
          <w:rFonts w:ascii="Times New Roman" w:eastAsia="Times New Roman" w:hAnsi="Times New Roman" w:cs="Times New Roman"/>
          <w:i/>
          <w:iCs/>
          <w:sz w:val="24"/>
          <w:szCs w:val="24"/>
          <w:vertAlign w:val="subscript"/>
          <w:lang w:eastAsia="en-GB"/>
        </w:rPr>
        <w:t>i,t</w:t>
      </w:r>
      <w:proofErr w:type="gramEnd"/>
      <w:r w:rsidRPr="00E10446">
        <w:rPr>
          <w:rFonts w:ascii="Times New Roman" w:eastAsia="Times New Roman" w:hAnsi="Times New Roman" w:cs="Times New Roman"/>
          <w:i/>
          <w:iCs/>
          <w:sz w:val="24"/>
          <w:szCs w:val="24"/>
          <w:lang w:eastAsia="en-GB"/>
        </w:rPr>
        <w:t xml:space="preserve"> = γ</w:t>
      </w:r>
      <w:r w:rsidRPr="00E10446">
        <w:rPr>
          <w:rFonts w:ascii="Times New Roman" w:eastAsia="Times New Roman" w:hAnsi="Times New Roman" w:cs="Times New Roman"/>
          <w:i/>
          <w:iCs/>
          <w:sz w:val="24"/>
          <w:szCs w:val="24"/>
          <w:vertAlign w:val="subscript"/>
          <w:lang w:eastAsia="en-GB"/>
        </w:rPr>
        <w:t xml:space="preserve">0 </w:t>
      </w:r>
      <w:r w:rsidRPr="00E10446">
        <w:rPr>
          <w:rFonts w:ascii="Times New Roman" w:eastAsia="Times New Roman" w:hAnsi="Times New Roman" w:cs="Times New Roman"/>
          <w:i/>
          <w:iCs/>
          <w:sz w:val="24"/>
          <w:szCs w:val="24"/>
          <w:lang w:eastAsia="en-GB"/>
        </w:rPr>
        <w:t>+ γ</w:t>
      </w:r>
      <w:r w:rsidRPr="00E10446">
        <w:rPr>
          <w:rFonts w:ascii="Times New Roman" w:eastAsia="Times New Roman" w:hAnsi="Times New Roman" w:cs="Times New Roman"/>
          <w:i/>
          <w:iCs/>
          <w:sz w:val="24"/>
          <w:szCs w:val="24"/>
          <w:vertAlign w:val="subscript"/>
          <w:lang w:eastAsia="en-GB"/>
        </w:rPr>
        <w:t>1</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γ</w:t>
      </w:r>
      <w:r w:rsidRPr="00E10446">
        <w:rPr>
          <w:rFonts w:ascii="Times New Roman" w:eastAsia="Times New Roman" w:hAnsi="Times New Roman" w:cs="Times New Roman"/>
          <w:i/>
          <w:iCs/>
          <w:sz w:val="24"/>
          <w:szCs w:val="24"/>
          <w:vertAlign w:val="subscript"/>
          <w:lang w:eastAsia="en-GB"/>
        </w:rPr>
        <w:t>2</w:t>
      </w:r>
      <w:r w:rsidRPr="00E10446">
        <w:rPr>
          <w:rFonts w:ascii="Times New Roman" w:eastAsia="Times New Roman" w:hAnsi="Times New Roman" w:cs="Times New Roman"/>
          <w:i/>
          <w:iCs/>
          <w:sz w:val="24"/>
          <w:szCs w:val="24"/>
          <w:lang w:eastAsia="en-GB"/>
        </w:rPr>
        <w:t>MED</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ν</w:t>
      </w:r>
      <w:r w:rsidRPr="00E10446">
        <w:rPr>
          <w:rFonts w:ascii="Times New Roman" w:eastAsia="Times New Roman" w:hAnsi="Times New Roman" w:cs="Times New Roman"/>
          <w:i/>
          <w:iCs/>
          <w:sz w:val="24"/>
          <w:szCs w:val="24"/>
          <w:vertAlign w:val="subscript"/>
          <w:lang w:eastAsia="en-GB"/>
        </w:rPr>
        <w:t>i,t</w:t>
      </w:r>
    </w:p>
    <w:p w14:paraId="3B062E5D" w14:textId="77777777" w:rsidR="005801C8" w:rsidRPr="00E10446" w:rsidRDefault="005801C8">
      <w:pPr>
        <w:spacing w:after="0" w:line="240" w:lineRule="auto"/>
        <w:jc w:val="center"/>
        <w:rPr>
          <w:rFonts w:ascii="Times New Roman" w:eastAsia="Times New Roman" w:hAnsi="Times New Roman" w:cs="Times New Roman"/>
          <w:i/>
          <w:iCs/>
          <w:sz w:val="24"/>
          <w:szCs w:val="24"/>
          <w:lang w:eastAsia="en-GB"/>
        </w:rPr>
      </w:pPr>
    </w:p>
    <w:p w14:paraId="772D66D2" w14:textId="77777777" w:rsidR="005801C8" w:rsidRPr="00E10446" w:rsidRDefault="002326DC">
      <w:pPr>
        <w:spacing w:line="240" w:lineRule="auto"/>
        <w:jc w:val="center"/>
        <w:rPr>
          <w:rFonts w:ascii="Times New Roman" w:hAnsi="Times New Roman" w:cs="Times New Roman"/>
          <w:i/>
          <w:iCs/>
          <w:sz w:val="24"/>
          <w:szCs w:val="24"/>
        </w:rPr>
      </w:pPr>
      <w:proofErr w:type="gramStart"/>
      <w:r w:rsidRPr="00E10446">
        <w:rPr>
          <w:rFonts w:ascii="Times New Roman" w:eastAsia="Times New Roman" w:hAnsi="Times New Roman" w:cs="Times New Roman"/>
          <w:i/>
          <w:iCs/>
          <w:sz w:val="24"/>
          <w:szCs w:val="24"/>
          <w:lang w:eastAsia="en-GB"/>
        </w:rPr>
        <w:t>MED</w:t>
      </w:r>
      <w:r w:rsidRPr="00E10446">
        <w:rPr>
          <w:rFonts w:ascii="Times New Roman" w:eastAsia="Times New Roman" w:hAnsi="Times New Roman" w:cs="Times New Roman"/>
          <w:i/>
          <w:iCs/>
          <w:sz w:val="24"/>
          <w:szCs w:val="24"/>
          <w:vertAlign w:val="subscript"/>
          <w:lang w:eastAsia="en-GB"/>
        </w:rPr>
        <w:t>i,t</w:t>
      </w:r>
      <w:proofErr w:type="gramEnd"/>
      <w:r w:rsidRPr="00E10446">
        <w:rPr>
          <w:rFonts w:ascii="Times New Roman" w:eastAsia="Times New Roman" w:hAnsi="Times New Roman" w:cs="Times New Roman"/>
          <w:i/>
          <w:iCs/>
          <w:sz w:val="24"/>
          <w:szCs w:val="24"/>
          <w:lang w:eastAsia="en-GB"/>
        </w:rPr>
        <w:t xml:space="preserve"> = δ</w:t>
      </w:r>
      <w:r w:rsidRPr="00E10446">
        <w:rPr>
          <w:rFonts w:ascii="Times New Roman" w:eastAsia="Times New Roman" w:hAnsi="Times New Roman" w:cs="Times New Roman"/>
          <w:i/>
          <w:iCs/>
          <w:sz w:val="24"/>
          <w:szCs w:val="24"/>
          <w:vertAlign w:val="subscript"/>
          <w:lang w:eastAsia="en-GB"/>
        </w:rPr>
        <w:t xml:space="preserve">0 </w:t>
      </w:r>
      <w:r w:rsidRPr="00E10446">
        <w:rPr>
          <w:rFonts w:ascii="Times New Roman" w:eastAsia="Times New Roman" w:hAnsi="Times New Roman" w:cs="Times New Roman"/>
          <w:i/>
          <w:iCs/>
          <w:sz w:val="24"/>
          <w:szCs w:val="24"/>
          <w:lang w:eastAsia="en-GB"/>
        </w:rPr>
        <w:t>+ δ</w:t>
      </w:r>
      <w:r w:rsidRPr="00E10446">
        <w:rPr>
          <w:rFonts w:ascii="Times New Roman" w:eastAsia="Times New Roman" w:hAnsi="Times New Roman" w:cs="Times New Roman"/>
          <w:i/>
          <w:iCs/>
          <w:sz w:val="24"/>
          <w:szCs w:val="24"/>
          <w:vertAlign w:val="subscript"/>
          <w:lang w:eastAsia="en-GB"/>
        </w:rPr>
        <w:t>1</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ω</w:t>
      </w:r>
      <w:r w:rsidRPr="00E10446">
        <w:rPr>
          <w:rFonts w:ascii="Times New Roman" w:eastAsia="Times New Roman" w:hAnsi="Times New Roman" w:cs="Times New Roman"/>
          <w:i/>
          <w:iCs/>
          <w:sz w:val="24"/>
          <w:szCs w:val="24"/>
          <w:vertAlign w:val="subscript"/>
          <w:lang w:eastAsia="en-GB"/>
        </w:rPr>
        <w:t>i,t</w:t>
      </w:r>
    </w:p>
    <w:p w14:paraId="23CE799B"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Here, MED is a mediator variable (such as labour productivity). This fixed effects model, controlling for unobserved heterogeneity, shows the impact of energy on poverty through productivity gains (e.g., 0.2 - 0.3% indirect effect based on Lin et al., 2023). Gür et al. (2025) employed a similar mediation analysis in ASEAN economies to show that the effect of access to energy on poverty is mediated through CO</w:t>
      </w:r>
      <w:r w:rsidRPr="00E10446">
        <w:rPr>
          <w:rFonts w:ascii="Times New Roman" w:hAnsi="Times New Roman" w:cs="Times New Roman"/>
          <w:sz w:val="24"/>
          <w:szCs w:val="24"/>
          <w:vertAlign w:val="superscript"/>
        </w:rPr>
        <w:t>2</w:t>
      </w:r>
      <w:r w:rsidRPr="00E10446">
        <w:rPr>
          <w:rFonts w:ascii="Times New Roman" w:hAnsi="Times New Roman" w:cs="Times New Roman"/>
          <w:sz w:val="24"/>
          <w:szCs w:val="24"/>
        </w:rPr>
        <w:t xml:space="preserve"> emissions by way of GDP per capita.</w:t>
      </w:r>
    </w:p>
    <w:p w14:paraId="431BF7C4"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innovation of this study is the hybridization of method of moments quantile regression (MMQR) with the nonlinear auto regressive distributed lag (NARDL) decompositions in a disaggregated West African panel that fills the gaps in several broad SSA aggregations (e.g. Adebayo et al., 2025). The traditional models like generalized method of moments (GMM) or error correction model (ECM) neglects heterogeneities across quantiles such as the one where energy is more effective in poverty reduction in the lowest quantiles of poverty (urban Nigeria) than in the highest quantiles of poverty (rural Guinea). The MMQR model, as utilized in Frnana and Kareem (2025) and in Amer and Kareem (2025), estimates coefficients at different quantiles of the distribution of poverty (0.1-0.9) to capture nonlinear relationships, where the lower quantiles reflect short-run shocks while the upper ones are associated with long-run equilibrium. The innovation is to decompose energy into renewable energy consumption (RENC) and non-renewable energy consumption (NRENC) within the MMQR model. This hybridizing technique is stated in equation 5 below:</w:t>
      </w:r>
    </w:p>
    <w:p w14:paraId="22FCE67B" w14:textId="77777777" w:rsidR="005801C8" w:rsidRPr="00E10446" w:rsidRDefault="002326DC">
      <w:pPr>
        <w:spacing w:line="240" w:lineRule="auto"/>
        <w:jc w:val="center"/>
        <w:rPr>
          <w:rStyle w:val="katex-mathml"/>
          <w:rFonts w:ascii="Times New Roman" w:hAnsi="Times New Roman" w:cs="Times New Roman"/>
          <w:i/>
          <w:iCs/>
          <w:sz w:val="24"/>
          <w:szCs w:val="24"/>
        </w:rPr>
      </w:pPr>
      <w:r w:rsidRPr="00E10446">
        <w:rPr>
          <w:rStyle w:val="katex-mathml"/>
          <w:rFonts w:ascii="Times New Roman" w:hAnsi="Times New Roman" w:cs="Times New Roman"/>
          <w:i/>
          <w:iCs/>
          <w:sz w:val="24"/>
          <w:szCs w:val="24"/>
        </w:rPr>
        <w:t>QPOV(τ</w:t>
      </w:r>
      <w:r w:rsidRPr="00E10446">
        <w:rPr>
          <w:rStyle w:val="katex-mathml"/>
          <w:rFonts w:ascii="Cambria Math" w:hAnsi="Cambria Math" w:cs="Cambria Math"/>
          <w:i/>
          <w:iCs/>
          <w:sz w:val="24"/>
          <w:szCs w:val="24"/>
        </w:rPr>
        <w:t>∣</w:t>
      </w:r>
      <w:proofErr w:type="gramStart"/>
      <w:r w:rsidRPr="00E10446">
        <w:rPr>
          <w:rStyle w:val="katex-mathml"/>
          <w:rFonts w:ascii="Times New Roman" w:hAnsi="Times New Roman" w:cs="Times New Roman"/>
          <w:i/>
          <w:iCs/>
          <w:sz w:val="24"/>
          <w:szCs w:val="24"/>
        </w:rPr>
        <w:t>Z</w:t>
      </w:r>
      <w:r w:rsidRPr="00E10446">
        <w:rPr>
          <w:rStyle w:val="katex-mathml"/>
          <w:rFonts w:ascii="Times New Roman" w:hAnsi="Times New Roman" w:cs="Times New Roman"/>
          <w:i/>
          <w:iCs/>
          <w:sz w:val="24"/>
          <w:szCs w:val="24"/>
          <w:vertAlign w:val="subscript"/>
        </w:rPr>
        <w:t>i,t</w:t>
      </w:r>
      <w:proofErr w:type="gramEnd"/>
      <w:r w:rsidRPr="00E10446">
        <w:rPr>
          <w:rStyle w:val="katex-mathml"/>
          <w:rFonts w:ascii="Times New Roman" w:hAnsi="Times New Roman" w:cs="Times New Roman"/>
          <w:i/>
          <w:iCs/>
          <w:sz w:val="24"/>
          <w:szCs w:val="24"/>
        </w:rPr>
        <w:t>) = α(τ) + β</w:t>
      </w:r>
      <w:r w:rsidRPr="00E10446">
        <w:rPr>
          <w:rStyle w:val="katex-mathml"/>
          <w:rFonts w:ascii="Times New Roman" w:hAnsi="Times New Roman" w:cs="Times New Roman"/>
          <w:i/>
          <w:iCs/>
          <w:sz w:val="24"/>
          <w:szCs w:val="24"/>
          <w:vertAlign w:val="subscript"/>
        </w:rPr>
        <w:t>1</w:t>
      </w:r>
      <w:r w:rsidRPr="00E10446">
        <w:rPr>
          <w:rStyle w:val="katex-mathml"/>
          <w:rFonts w:ascii="Times New Roman" w:hAnsi="Times New Roman" w:cs="Times New Roman"/>
          <w:i/>
          <w:iCs/>
          <w:sz w:val="24"/>
          <w:szCs w:val="24"/>
        </w:rPr>
        <w:t>(τ)RENC</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β</w:t>
      </w:r>
      <w:r w:rsidRPr="00E10446">
        <w:rPr>
          <w:rStyle w:val="katex-mathml"/>
          <w:rFonts w:ascii="Times New Roman" w:hAnsi="Times New Roman" w:cs="Times New Roman"/>
          <w:i/>
          <w:iCs/>
          <w:sz w:val="24"/>
          <w:szCs w:val="24"/>
          <w:vertAlign w:val="subscript"/>
        </w:rPr>
        <w:t>2</w:t>
      </w:r>
      <w:r w:rsidRPr="00E10446">
        <w:rPr>
          <w:rStyle w:val="katex-mathml"/>
          <w:rFonts w:ascii="Times New Roman" w:hAnsi="Times New Roman" w:cs="Times New Roman"/>
          <w:i/>
          <w:iCs/>
          <w:sz w:val="24"/>
          <w:szCs w:val="24"/>
        </w:rPr>
        <w:t>(τ)NRENC</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β</w:t>
      </w:r>
      <w:r w:rsidRPr="00E10446">
        <w:rPr>
          <w:rStyle w:val="katex-mathml"/>
          <w:rFonts w:ascii="Times New Roman" w:hAnsi="Times New Roman" w:cs="Times New Roman"/>
          <w:i/>
          <w:iCs/>
          <w:sz w:val="24"/>
          <w:szCs w:val="24"/>
          <w:vertAlign w:val="subscript"/>
        </w:rPr>
        <w:t>3</w:t>
      </w:r>
      <w:r w:rsidRPr="00E10446">
        <w:rPr>
          <w:rStyle w:val="katex-mathml"/>
          <w:rFonts w:ascii="Times New Roman" w:hAnsi="Times New Roman" w:cs="Times New Roman"/>
          <w:i/>
          <w:iCs/>
          <w:sz w:val="24"/>
          <w:szCs w:val="24"/>
        </w:rPr>
        <w:t>(τ)Z</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ϵ</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(τ)</w:t>
      </w:r>
    </w:p>
    <w:p w14:paraId="2A770568" w14:textId="0F0B5CDD" w:rsidR="0076747D" w:rsidRPr="00E10446" w:rsidRDefault="002326DC" w:rsidP="0076747D">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where τ is the quantiles, and Z is the control variable. This yields heterogeneous impacts such that, for instance, RENC could have an elasticity of -0.5 in the upper quantiles (capturing long-run sustainability benefits), versus a less negative elasticity of -0.2 for NRENC, thereby extending the asymmetries in Adebayo et al. (2025) by including quantile variations to detect </w:t>
      </w:r>
      <w:r w:rsidRPr="00E10446">
        <w:rPr>
          <w:rFonts w:ascii="Times New Roman" w:hAnsi="Times New Roman" w:cs="Times New Roman"/>
          <w:sz w:val="24"/>
          <w:szCs w:val="24"/>
        </w:rPr>
        <w:lastRenderedPageBreak/>
        <w:t>impacts and inform nuanced policy-making in West Africa. The standard errors are bootstrapped to ensure robustness given the small-N panel setting (N=5).</w:t>
      </w:r>
      <w:r w:rsidR="00BE6D65" w:rsidRPr="00E10446">
        <w:rPr>
          <w:rFonts w:ascii="Times New Roman" w:hAnsi="Times New Roman" w:cs="Times New Roman"/>
          <w:sz w:val="24"/>
          <w:szCs w:val="24"/>
        </w:rPr>
        <w:t xml:space="preserve"> </w:t>
      </w:r>
      <w:r w:rsidR="0076747D" w:rsidRPr="00E10446">
        <w:rPr>
          <w:rFonts w:ascii="Times New Roman" w:hAnsi="Times New Roman" w:cs="Times New Roman"/>
          <w:sz w:val="24"/>
          <w:szCs w:val="24"/>
        </w:rPr>
        <w:t>The MMQR specification further extended as:</w:t>
      </w:r>
    </w:p>
    <w:p w14:paraId="2F42F580" w14:textId="331733CF" w:rsidR="0076747D" w:rsidRPr="00E10446" w:rsidRDefault="0076747D" w:rsidP="0076747D">
      <w:pPr>
        <w:spacing w:line="240" w:lineRule="auto"/>
        <w:jc w:val="center"/>
        <w:rPr>
          <w:rFonts w:ascii="Times New Roman" w:hAnsi="Times New Roman" w:cs="Times New Roman"/>
          <w:i/>
          <w:iCs/>
          <w:sz w:val="24"/>
          <w:szCs w:val="24"/>
        </w:rPr>
      </w:pPr>
      <w:proofErr w:type="spellStart"/>
      <w:r w:rsidRPr="00E10446">
        <w:rPr>
          <w:rFonts w:ascii="Times New Roman" w:hAnsi="Times New Roman" w:cs="Times New Roman"/>
          <w:i/>
          <w:iCs/>
          <w:sz w:val="24"/>
          <w:szCs w:val="24"/>
        </w:rPr>
        <w:t>QYit</w:t>
      </w:r>
      <w:proofErr w:type="spellEnd"/>
      <w:r w:rsidRPr="00E10446">
        <w:rPr>
          <w:rFonts w:ascii="Times New Roman" w:hAnsi="Times New Roman" w:cs="Times New Roman"/>
          <w:i/>
          <w:iCs/>
          <w:sz w:val="24"/>
          <w:szCs w:val="24"/>
        </w:rPr>
        <w:t>(</w:t>
      </w:r>
      <w:proofErr w:type="spellStart"/>
      <w:r w:rsidRPr="00E10446">
        <w:rPr>
          <w:rFonts w:ascii="Times New Roman" w:hAnsi="Times New Roman" w:cs="Times New Roman"/>
          <w:i/>
          <w:iCs/>
          <w:sz w:val="24"/>
          <w:szCs w:val="24"/>
        </w:rPr>
        <w:t>τ</w:t>
      </w:r>
      <w:r w:rsidRPr="00E10446">
        <w:rPr>
          <w:rFonts w:ascii="Cambria Math" w:hAnsi="Cambria Math" w:cs="Cambria Math"/>
          <w:i/>
          <w:iCs/>
          <w:sz w:val="24"/>
          <w:szCs w:val="24"/>
        </w:rPr>
        <w:t>∣</w:t>
      </w:r>
      <w:r w:rsidRPr="00E10446">
        <w:rPr>
          <w:rFonts w:ascii="Times New Roman" w:hAnsi="Times New Roman" w:cs="Times New Roman"/>
          <w:i/>
          <w:iCs/>
          <w:sz w:val="24"/>
          <w:szCs w:val="24"/>
        </w:rPr>
        <w:t>Xit</w:t>
      </w:r>
      <w:proofErr w:type="spellEnd"/>
      <w:r w:rsidRPr="00E10446">
        <w:rPr>
          <w:rFonts w:ascii="Times New Roman" w:hAnsi="Times New Roman" w:cs="Times New Roman"/>
          <w:i/>
          <w:iCs/>
          <w:sz w:val="24"/>
          <w:szCs w:val="24"/>
        </w:rPr>
        <w:t>) = (α</w:t>
      </w:r>
      <w:proofErr w:type="spellStart"/>
      <w:r w:rsidRPr="00E10446">
        <w:rPr>
          <w:rFonts w:ascii="Times New Roman" w:hAnsi="Times New Roman" w:cs="Times New Roman"/>
          <w:i/>
          <w:iCs/>
          <w:sz w:val="24"/>
          <w:szCs w:val="24"/>
        </w:rPr>
        <w:t>i+δiq</w:t>
      </w:r>
      <w:proofErr w:type="spellEnd"/>
      <w:r w:rsidRPr="00E10446">
        <w:rPr>
          <w:rFonts w:ascii="Times New Roman" w:hAnsi="Times New Roman" w:cs="Times New Roman"/>
          <w:i/>
          <w:iCs/>
          <w:sz w:val="24"/>
          <w:szCs w:val="24"/>
        </w:rPr>
        <w:t xml:space="preserve">(τ)) + </w:t>
      </w:r>
      <w:proofErr w:type="spellStart"/>
      <w:r w:rsidRPr="00E10446">
        <w:rPr>
          <w:rFonts w:ascii="Times New Roman" w:hAnsi="Times New Roman" w:cs="Times New Roman"/>
          <w:i/>
          <w:iCs/>
          <w:sz w:val="24"/>
          <w:szCs w:val="24"/>
        </w:rPr>
        <w:t>X′it</w:t>
      </w:r>
      <w:proofErr w:type="spellEnd"/>
      <w:r w:rsidRPr="00E10446">
        <w:rPr>
          <w:rFonts w:ascii="Times New Roman" w:hAnsi="Times New Roman" w:cs="Times New Roman"/>
          <w:i/>
          <w:iCs/>
          <w:sz w:val="24"/>
          <w:szCs w:val="24"/>
        </w:rPr>
        <w:t>(β+</w:t>
      </w:r>
      <w:proofErr w:type="spellStart"/>
      <w:r w:rsidRPr="00E10446">
        <w:rPr>
          <w:rFonts w:ascii="Times New Roman" w:hAnsi="Times New Roman" w:cs="Times New Roman"/>
          <w:i/>
          <w:iCs/>
          <w:sz w:val="24"/>
          <w:szCs w:val="24"/>
        </w:rPr>
        <w:t>γq</w:t>
      </w:r>
      <w:proofErr w:type="spellEnd"/>
      <w:r w:rsidRPr="00E10446">
        <w:rPr>
          <w:rFonts w:ascii="Times New Roman" w:hAnsi="Times New Roman" w:cs="Times New Roman"/>
          <w:i/>
          <w:iCs/>
          <w:sz w:val="24"/>
          <w:szCs w:val="24"/>
        </w:rPr>
        <w:t>(τ))</w:t>
      </w:r>
    </w:p>
    <w:p w14:paraId="41DCCAD1" w14:textId="404E9EA1" w:rsidR="00DF598E" w:rsidRPr="00E10446" w:rsidRDefault="0076747D" w:rsidP="00B12A30">
      <w:pPr>
        <w:spacing w:line="240" w:lineRule="auto"/>
        <w:jc w:val="both"/>
        <w:rPr>
          <w:rStyle w:val="katex-mathml"/>
          <w:rFonts w:ascii="Times New Roman" w:hAnsi="Times New Roman" w:cs="Times New Roman"/>
          <w:sz w:val="24"/>
          <w:szCs w:val="24"/>
        </w:rPr>
      </w:pPr>
      <w:r w:rsidRPr="00E10446">
        <w:rPr>
          <w:rFonts w:ascii="Times New Roman" w:hAnsi="Times New Roman" w:cs="Times New Roman"/>
          <w:sz w:val="24"/>
          <w:szCs w:val="24"/>
        </w:rPr>
        <w:t xml:space="preserve">In equation 6 above, </w:t>
      </w:r>
      <w:proofErr w:type="spellStart"/>
      <w:r w:rsidRPr="00E10446">
        <w:rPr>
          <w:rFonts w:ascii="Times New Roman" w:hAnsi="Times New Roman" w:cs="Times New Roman"/>
          <w:sz w:val="24"/>
          <w:szCs w:val="24"/>
        </w:rPr>
        <w:t>QY</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w:t>
      </w:r>
      <w:proofErr w:type="spellStart"/>
      <w:r w:rsidRPr="00E10446">
        <w:rPr>
          <w:rFonts w:ascii="Times New Roman" w:hAnsi="Times New Roman" w:cs="Times New Roman"/>
          <w:sz w:val="24"/>
          <w:szCs w:val="24"/>
        </w:rPr>
        <w:t>τ</w:t>
      </w:r>
      <w:r w:rsidRPr="00E10446">
        <w:rPr>
          <w:rFonts w:ascii="Cambria Math" w:hAnsi="Cambria Math" w:cs="Cambria Math"/>
          <w:sz w:val="24"/>
          <w:szCs w:val="24"/>
        </w:rPr>
        <w:t>∣</w:t>
      </w:r>
      <w:r w:rsidRPr="00E10446">
        <w:rPr>
          <w:rFonts w:ascii="Times New Roman" w:hAnsi="Times New Roman" w:cs="Times New Roman"/>
          <w:sz w:val="24"/>
          <w:szCs w:val="24"/>
        </w:rPr>
        <w:t>X</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represents the </w:t>
      </w:r>
      <w:proofErr w:type="spellStart"/>
      <w:r w:rsidRPr="00E10446">
        <w:rPr>
          <w:rFonts w:ascii="Times New Roman" w:hAnsi="Times New Roman" w:cs="Times New Roman"/>
          <w:sz w:val="24"/>
          <w:szCs w:val="24"/>
        </w:rPr>
        <w:t>τ</w:t>
      </w:r>
      <w:r w:rsidRPr="00E10446">
        <w:rPr>
          <w:rFonts w:ascii="Times New Roman" w:hAnsi="Times New Roman" w:cs="Times New Roman"/>
          <w:sz w:val="24"/>
          <w:szCs w:val="24"/>
          <w:vertAlign w:val="superscript"/>
        </w:rPr>
        <w:t>th</w:t>
      </w:r>
      <w:proofErr w:type="spellEnd"/>
      <w:r w:rsidRPr="00E10446">
        <w:rPr>
          <w:rFonts w:ascii="Times New Roman" w:hAnsi="Times New Roman" w:cs="Times New Roman"/>
          <w:sz w:val="24"/>
          <w:szCs w:val="24"/>
        </w:rPr>
        <w:t xml:space="preserve"> quantile of poverty (</w:t>
      </w:r>
      <w:proofErr w:type="spellStart"/>
      <w:r w:rsidRPr="00E10446">
        <w:rPr>
          <w:rFonts w:ascii="Times New Roman" w:hAnsi="Times New Roman" w:cs="Times New Roman"/>
          <w:sz w:val="24"/>
          <w:szCs w:val="24"/>
        </w:rPr>
        <w:t>POV</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for country </w:t>
      </w:r>
      <w:proofErr w:type="spellStart"/>
      <w:r w:rsidRPr="00E10446">
        <w:rPr>
          <w:rFonts w:ascii="Times New Roman" w:hAnsi="Times New Roman" w:cs="Times New Roman"/>
          <w:sz w:val="24"/>
          <w:szCs w:val="24"/>
        </w:rPr>
        <w:t>i</w:t>
      </w:r>
      <w:proofErr w:type="spellEnd"/>
      <w:r w:rsidRPr="00E10446">
        <w:rPr>
          <w:rFonts w:ascii="Times New Roman" w:hAnsi="Times New Roman" w:cs="Times New Roman"/>
          <w:sz w:val="24"/>
          <w:szCs w:val="24"/>
        </w:rPr>
        <w:t xml:space="preserve"> at time t conditional on a vector of covariates </w:t>
      </w:r>
      <w:proofErr w:type="spellStart"/>
      <w:r w:rsidRPr="00E10446">
        <w:rPr>
          <w:rFonts w:ascii="Times New Roman" w:hAnsi="Times New Roman" w:cs="Times New Roman"/>
          <w:sz w:val="24"/>
          <w:szCs w:val="24"/>
        </w:rPr>
        <w:t>X</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(including energy consumption) decomposed into renewable and non-renewable energy, institutional quality, GDP per capita, and other controls. The country-specific location and scale shifts are captured by α</w:t>
      </w:r>
      <w:proofErr w:type="spellStart"/>
      <w:r w:rsidRPr="00E10446">
        <w:rPr>
          <w:rFonts w:ascii="Times New Roman" w:hAnsi="Times New Roman" w:cs="Times New Roman"/>
          <w:sz w:val="24"/>
          <w:szCs w:val="24"/>
        </w:rPr>
        <w:t>i+δiq</w:t>
      </w:r>
      <w:proofErr w:type="spellEnd"/>
      <w:r w:rsidRPr="00E10446">
        <w:rPr>
          <w:rFonts w:ascii="Times New Roman" w:hAnsi="Times New Roman" w:cs="Times New Roman"/>
          <w:sz w:val="24"/>
          <w:szCs w:val="24"/>
        </w:rPr>
        <w:t>(τ), whereas β+</w:t>
      </w:r>
      <w:proofErr w:type="spellStart"/>
      <w:r w:rsidRPr="00E10446">
        <w:rPr>
          <w:rFonts w:ascii="Times New Roman" w:hAnsi="Times New Roman" w:cs="Times New Roman"/>
          <w:sz w:val="24"/>
          <w:szCs w:val="24"/>
        </w:rPr>
        <w:t>γq</w:t>
      </w:r>
      <w:proofErr w:type="spellEnd"/>
      <w:r w:rsidRPr="00E10446">
        <w:rPr>
          <w:rFonts w:ascii="Times New Roman" w:hAnsi="Times New Roman" w:cs="Times New Roman"/>
          <w:sz w:val="24"/>
          <w:szCs w:val="24"/>
        </w:rPr>
        <w:t>(τ) allow the marginal effects of the explanatory variables to vary across different quantiles τ (usually from 0.</w:t>
      </w:r>
      <w:r w:rsidR="00D93A23" w:rsidRPr="00E10446">
        <w:rPr>
          <w:rFonts w:ascii="Times New Roman" w:hAnsi="Times New Roman" w:cs="Times New Roman"/>
          <w:sz w:val="24"/>
          <w:szCs w:val="24"/>
        </w:rPr>
        <w:t>5</w:t>
      </w:r>
      <w:r w:rsidRPr="00E10446">
        <w:rPr>
          <w:rFonts w:ascii="Times New Roman" w:hAnsi="Times New Roman" w:cs="Times New Roman"/>
          <w:sz w:val="24"/>
          <w:szCs w:val="24"/>
        </w:rPr>
        <w:t xml:space="preserve"> to 0.90). The lower quantiles can be considered as short-run or low poverty situations, while the upper quantiles represent long-run or high-poverty distributions, thus providing context-specific insights into asymmetric or heterogeneous impacts. This approach is closely related to and innovates beyond prior empirical reviews. First, it extends the nonlinear NARDL asymmetries of Adebayo et al. (2025) by applying quantile-specific decompositions of energetic types in addressing the apparent gaps of broad SSA aggregations examined in Mensah and Adu (2024) and Oladipo and Akinola (2023). It also complements the mediation analysis of Lin et al. (2023) by examining the indirect channels, e.g., through labour productivity across quantiles. Finally, this aligns with some recent applications in Africa where the MMQR technique has unravelled the heterogeneous effects of energy poverty on various sustainability outcomes, agricultural productivities, and environmental outcomes in Sub-Saharan contexts. </w:t>
      </w:r>
      <w:r w:rsidR="00BE6D65" w:rsidRPr="00E10446">
        <w:rPr>
          <w:rFonts w:ascii="Times New Roman" w:hAnsi="Times New Roman" w:cs="Times New Roman"/>
          <w:sz w:val="24"/>
          <w:szCs w:val="24"/>
        </w:rPr>
        <w:t xml:space="preserve">The choice of MMQR is strongly justified on both theoretical and empirical grounds. First, poverty dynamics in West Africa are inherently heterogeneous. Countries such as Ghana and Senegal exhibit relatively moderate poverty levels, while Guinea and parts of Nigeria face extreme deprivation. Mean-based estimators (OLS, FMOLS, GMM) fail to capture these distributional differences (Machado &amp; Santos Silva, 2019; </w:t>
      </w:r>
      <w:proofErr w:type="spellStart"/>
      <w:r w:rsidR="00BE6D65" w:rsidRPr="00E10446">
        <w:rPr>
          <w:rFonts w:ascii="Times New Roman" w:hAnsi="Times New Roman" w:cs="Times New Roman"/>
          <w:sz w:val="24"/>
          <w:szCs w:val="24"/>
        </w:rPr>
        <w:t>Koenker</w:t>
      </w:r>
      <w:proofErr w:type="spellEnd"/>
      <w:r w:rsidR="00BE6D65" w:rsidRPr="00E10446">
        <w:rPr>
          <w:rFonts w:ascii="Times New Roman" w:hAnsi="Times New Roman" w:cs="Times New Roman"/>
          <w:sz w:val="24"/>
          <w:szCs w:val="24"/>
        </w:rPr>
        <w:t xml:space="preserve">, 2005). Second, empirical evidence shows that the impact of energy consumption varies across poverty levels. Energy expansion may significantly reduce poverty in middle-income or urban contexts but have limited effects in severely deprived rural areas lacking complementary infrastructure (Sarkodie &amp; Adams, 2020; Acheampong et al., 2021). Third, MMQR effectively addresses cross-sectional dependence, unobserved heterogeneity and endogeneity concerns under weaker assumptions. These features make it superior to conventional panel estimators in small-sample contexts such as this study (N = 5 countries) (Machado &amp; Santos Silva, 2019; </w:t>
      </w:r>
      <w:proofErr w:type="spellStart"/>
      <w:r w:rsidR="00BE6D65" w:rsidRPr="00E10446">
        <w:rPr>
          <w:rFonts w:ascii="Times New Roman" w:hAnsi="Times New Roman" w:cs="Times New Roman"/>
          <w:sz w:val="24"/>
          <w:szCs w:val="24"/>
        </w:rPr>
        <w:t>Frnana</w:t>
      </w:r>
      <w:proofErr w:type="spellEnd"/>
      <w:r w:rsidR="00BE6D65" w:rsidRPr="00E10446">
        <w:rPr>
          <w:rFonts w:ascii="Times New Roman" w:hAnsi="Times New Roman" w:cs="Times New Roman"/>
          <w:sz w:val="24"/>
          <w:szCs w:val="24"/>
        </w:rPr>
        <w:t xml:space="preserve"> &amp; Kareem, 2025). Furthermore, integrating MMQR with energy disaggregation (RENC vs. NRENC) advances prior studies by revealing whether renewable energy has stronger poverty-reducing effects </w:t>
      </w:r>
      <w:r w:rsidRPr="00E10446">
        <w:rPr>
          <w:rFonts w:ascii="Times New Roman" w:hAnsi="Times New Roman" w:cs="Times New Roman"/>
          <w:sz w:val="24"/>
          <w:szCs w:val="24"/>
        </w:rPr>
        <w:t>and also, whether, fossil energy exhibits diminishing or uneven impacts. This responds directly to gaps identified in Adebayo et al. (2025) and Mensah and Adu (2024), who did not simultaneously consider nonlinearity, heterogeneity, and energy composition. Finally, MMQR enables policy-relevant insights. For instance: Lower quantiles (τ = 0.</w:t>
      </w:r>
      <w:r w:rsidR="009C7A51" w:rsidRPr="00E10446">
        <w:rPr>
          <w:rFonts w:ascii="Times New Roman" w:hAnsi="Times New Roman" w:cs="Times New Roman"/>
          <w:sz w:val="24"/>
          <w:szCs w:val="24"/>
        </w:rPr>
        <w:t>5</w:t>
      </w:r>
      <w:r w:rsidRPr="00E10446">
        <w:rPr>
          <w:rFonts w:ascii="Times New Roman" w:hAnsi="Times New Roman" w:cs="Times New Roman"/>
          <w:sz w:val="24"/>
          <w:szCs w:val="24"/>
        </w:rPr>
        <w:t>–0.30) reflect low-poverty or short-run contexts, while, upper quantiles (τ = 0.70–0.90) reflect high-poverty or structurally constrained contexts.</w:t>
      </w:r>
    </w:p>
    <w:p w14:paraId="1486D343" w14:textId="7AFF276D" w:rsidR="00B12A30" w:rsidRPr="00E10446" w:rsidRDefault="002326DC" w:rsidP="004124B0">
      <w:pPr>
        <w:pStyle w:val="ListParagraph"/>
        <w:numPr>
          <w:ilvl w:val="1"/>
          <w:numId w:val="1"/>
        </w:numPr>
        <w:spacing w:line="240" w:lineRule="auto"/>
        <w:ind w:left="360"/>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Analytical Technique</w:t>
      </w:r>
    </w:p>
    <w:p w14:paraId="6ECCEE96" w14:textId="2D81600B" w:rsidR="00FA6A57" w:rsidRPr="00E10446" w:rsidRDefault="00B12A30" w:rsidP="00B12A30">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empirical analysis follows a structured sequence. First, panel unit root and stationarity tests are conducted to determine the integration properties of the variables. This is followed by correlation analysis to examine initial relationships. The baseline model is then estimated using FMOLS and GMM for comparison purposes. Subsequently, the NARDL model is applied to capture asymmetric effects. The MMQR approach is then employed to estimate relationships across different quantiles. Finally, robustness checks are performed using bootstrapped standard errors to ensure the reliability of the results.</w:t>
      </w:r>
    </w:p>
    <w:p w14:paraId="5AF72828" w14:textId="77777777" w:rsidR="005801C8" w:rsidRPr="00E10446" w:rsidRDefault="002326DC" w:rsidP="0076747D">
      <w:pPr>
        <w:pStyle w:val="ListParagraph"/>
        <w:numPr>
          <w:ilvl w:val="0"/>
          <w:numId w:val="1"/>
        </w:numPr>
        <w:spacing w:before="240" w:line="240" w:lineRule="auto"/>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lastRenderedPageBreak/>
        <w:t>Results and Discussion</w:t>
      </w:r>
    </w:p>
    <w:p w14:paraId="6F935749" w14:textId="6166649F" w:rsidR="00525801" w:rsidRPr="00E10446" w:rsidRDefault="00525801" w:rsidP="00525801">
      <w:pPr>
        <w:pStyle w:val="ListParagraph"/>
        <w:rPr>
          <w:rFonts w:ascii="Times New Roman" w:eastAsia="Times New Roman" w:hAnsi="Times New Roman" w:cs="Times New Roman"/>
          <w:b/>
          <w:bCs/>
          <w:sz w:val="24"/>
          <w:szCs w:val="24"/>
          <w:lang w:eastAsia="en-GB"/>
        </w:rPr>
      </w:pPr>
    </w:p>
    <w:p w14:paraId="302F0FC3" w14:textId="4DC8D90F" w:rsidR="00D4611A" w:rsidRPr="00E10446" w:rsidRDefault="002608B2" w:rsidP="00FD1D83">
      <w:pPr>
        <w:pStyle w:val="ListParagraph"/>
        <w:spacing w:after="0" w:line="240" w:lineRule="auto"/>
        <w:jc w:val="center"/>
        <w:rPr>
          <w:rFonts w:ascii="Times New Roman" w:eastAsia="Times New Roman" w:hAnsi="Times New Roman" w:cs="Times New Roman"/>
          <w:b/>
          <w:bCs/>
          <w:sz w:val="24"/>
          <w:szCs w:val="24"/>
          <w:lang w:eastAsia="en-GB"/>
        </w:rPr>
      </w:pPr>
      <w:r w:rsidRPr="00E10446">
        <w:rPr>
          <w:noProof/>
        </w:rPr>
        <w:drawing>
          <wp:inline distT="0" distB="0" distL="0" distR="0" wp14:anchorId="2D3C0165" wp14:editId="36448F54">
            <wp:extent cx="4191000" cy="2238375"/>
            <wp:effectExtent l="0" t="0" r="0" b="9525"/>
            <wp:docPr id="1" name="Chart 1">
              <a:extLst xmlns:a="http://schemas.openxmlformats.org/drawingml/2006/main">
                <a:ext uri="{FF2B5EF4-FFF2-40B4-BE49-F238E27FC236}">
                  <a16:creationId xmlns:a16="http://schemas.microsoft.com/office/drawing/2014/main" id="{B55DF922-7E95-4C61-A98E-0F07A7B54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A42708" w14:textId="3B5478CA" w:rsidR="00FD1D83" w:rsidRPr="00E10446" w:rsidRDefault="00FD1D83" w:rsidP="00FD1D83">
      <w:pPr>
        <w:spacing w:after="0" w:line="240" w:lineRule="auto"/>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4"/>
          <w:szCs w:val="24"/>
          <w:lang w:eastAsia="en-GB"/>
        </w:rPr>
        <w:t xml:space="preserve">                             </w:t>
      </w:r>
      <w:r w:rsidRPr="00E10446">
        <w:rPr>
          <w:rFonts w:ascii="Times New Roman" w:eastAsia="Times New Roman" w:hAnsi="Times New Roman" w:cs="Times New Roman"/>
          <w:b/>
          <w:bCs/>
          <w:sz w:val="20"/>
          <w:szCs w:val="20"/>
          <w:lang w:eastAsia="en-GB"/>
        </w:rPr>
        <w:t>Fig 1: Dynamic Trend of the Variables</w:t>
      </w:r>
    </w:p>
    <w:p w14:paraId="34751DCF" w14:textId="2C14DFDB" w:rsidR="00FD1D83" w:rsidRPr="00E10446" w:rsidRDefault="00FD1D83" w:rsidP="00FD1D83">
      <w:pPr>
        <w:spacing w:after="0" w:line="240" w:lineRule="auto"/>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ab/>
      </w:r>
      <w:r w:rsidRPr="00E10446">
        <w:rPr>
          <w:rFonts w:ascii="Times New Roman" w:eastAsia="Times New Roman" w:hAnsi="Times New Roman" w:cs="Times New Roman"/>
          <w:b/>
          <w:bCs/>
          <w:sz w:val="20"/>
          <w:szCs w:val="20"/>
          <w:lang w:eastAsia="en-GB"/>
        </w:rPr>
        <w:tab/>
        <w:t xml:space="preserve">     Source: Authors derived, 2026</w:t>
      </w:r>
    </w:p>
    <w:p w14:paraId="7291FCBF" w14:textId="11ABDF76" w:rsidR="00FD1D83" w:rsidRPr="00E10446" w:rsidRDefault="00800352" w:rsidP="00800352">
      <w:pPr>
        <w:spacing w:after="0"/>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The dynamic trend result reveals a heterogeneous but systematic relationship between energy consumption and poverty across the sampled West African countries, consistent with prior empirical findings on distributional heterogeneity in the energy–poverty nexus (Acheampong et al., 2021; Sarkodie &amp; Adams, 2020). Renewable energy consumption (RENC) shows a generally declining trend alongside gradual reductions in poverty (POV), suggesting its effectiveness in supporting long-term poverty alleviation (Adebayo et al., 2025; Leal Filho et al., 2024). In contrast, non-renewable energy consumption (NRENC) exhibits higher volatility, reflecting instability in energy supply, which weakens its poverty-reducing potential (Ampofo et al., 2023; </w:t>
      </w:r>
      <w:proofErr w:type="spellStart"/>
      <w:r w:rsidRPr="00E10446">
        <w:rPr>
          <w:rFonts w:ascii="Times New Roman" w:eastAsia="Times New Roman" w:hAnsi="Times New Roman" w:cs="Times New Roman"/>
          <w:sz w:val="24"/>
          <w:szCs w:val="24"/>
          <w:lang w:eastAsia="en-GB"/>
        </w:rPr>
        <w:t>Okwanya</w:t>
      </w:r>
      <w:proofErr w:type="spellEnd"/>
      <w:r w:rsidRPr="00E10446">
        <w:rPr>
          <w:rFonts w:ascii="Times New Roman" w:eastAsia="Times New Roman" w:hAnsi="Times New Roman" w:cs="Times New Roman"/>
          <w:sz w:val="24"/>
          <w:szCs w:val="24"/>
          <w:lang w:eastAsia="en-GB"/>
        </w:rPr>
        <w:t xml:space="preserve"> &amp; </w:t>
      </w:r>
      <w:proofErr w:type="spellStart"/>
      <w:r w:rsidRPr="00E10446">
        <w:rPr>
          <w:rFonts w:ascii="Times New Roman" w:eastAsia="Times New Roman" w:hAnsi="Times New Roman" w:cs="Times New Roman"/>
          <w:sz w:val="24"/>
          <w:szCs w:val="24"/>
          <w:lang w:eastAsia="en-GB"/>
        </w:rPr>
        <w:t>Abah</w:t>
      </w:r>
      <w:proofErr w:type="spellEnd"/>
      <w:r w:rsidRPr="00E10446">
        <w:rPr>
          <w:rFonts w:ascii="Times New Roman" w:eastAsia="Times New Roman" w:hAnsi="Times New Roman" w:cs="Times New Roman"/>
          <w:sz w:val="24"/>
          <w:szCs w:val="24"/>
          <w:lang w:eastAsia="en-GB"/>
        </w:rPr>
        <w:t xml:space="preserve">, 2018). Labour productivity (LAP) trends upward and aligns with declining poverty levels, confirming its mediating role in the energy–poverty nexus (Lin et al., 2023). Meanwhile, GDP growth appears positive but less synchronized with poverty reduction, indicating that growth alone is insufficient for inclusive development (Sarkodie &amp; Adams, 2020; </w:t>
      </w:r>
      <w:proofErr w:type="spellStart"/>
      <w:r w:rsidRPr="00E10446">
        <w:rPr>
          <w:rFonts w:ascii="Times New Roman" w:eastAsia="Times New Roman" w:hAnsi="Times New Roman" w:cs="Times New Roman"/>
          <w:sz w:val="24"/>
          <w:szCs w:val="24"/>
          <w:lang w:eastAsia="en-GB"/>
        </w:rPr>
        <w:t>Ravallion</w:t>
      </w:r>
      <w:proofErr w:type="spellEnd"/>
      <w:r w:rsidRPr="00E10446">
        <w:rPr>
          <w:rFonts w:ascii="Times New Roman" w:eastAsia="Times New Roman" w:hAnsi="Times New Roman" w:cs="Times New Roman"/>
          <w:sz w:val="24"/>
          <w:szCs w:val="24"/>
          <w:lang w:eastAsia="en-GB"/>
        </w:rPr>
        <w:t>, 2016). Consequently, the results support the study’s argument that energy quality, stability, and productivity channels are critical for sustainable poverty reduction (Agyemang et al., 2024; Acheampong et al., 2021).</w:t>
      </w:r>
    </w:p>
    <w:p w14:paraId="662555FF" w14:textId="61836D4A" w:rsidR="00FD1D83" w:rsidRPr="00E10446" w:rsidRDefault="00FD1D83" w:rsidP="00800352">
      <w:pPr>
        <w:spacing w:before="240" w:after="0"/>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Table 2: Correlation Matrix</w:t>
      </w:r>
    </w:p>
    <w:tbl>
      <w:tblPr>
        <w:tblStyle w:val="PlainTable21"/>
        <w:tblW w:w="0" w:type="auto"/>
        <w:jc w:val="center"/>
        <w:tblLayout w:type="fixed"/>
        <w:tblLook w:val="06A0" w:firstRow="1" w:lastRow="0" w:firstColumn="1" w:lastColumn="0" w:noHBand="1" w:noVBand="1"/>
      </w:tblPr>
      <w:tblGrid>
        <w:gridCol w:w="1260"/>
        <w:gridCol w:w="990"/>
        <w:gridCol w:w="1170"/>
        <w:gridCol w:w="1260"/>
        <w:gridCol w:w="1170"/>
        <w:gridCol w:w="1080"/>
      </w:tblGrid>
      <w:tr w:rsidR="00FD1D83" w:rsidRPr="00E10446" w14:paraId="02B96A79" w14:textId="77777777" w:rsidTr="00FD1D83">
        <w:trPr>
          <w:cnfStyle w:val="100000000000" w:firstRow="1" w:lastRow="0" w:firstColumn="0" w:lastColumn="0" w:oddVBand="0" w:evenVBand="0" w:oddHBand="0" w:evenHBand="0" w:firstRowFirstColumn="0" w:firstRowLastColumn="0" w:lastRowFirstColumn="0" w:lastRowLastColumn="0"/>
          <w:trHeight w:hRule="exact" w:val="703"/>
          <w:jc w:val="center"/>
        </w:trPr>
        <w:tc>
          <w:tcPr>
            <w:cnfStyle w:val="001000000000" w:firstRow="0" w:lastRow="0" w:firstColumn="1" w:lastColumn="0" w:oddVBand="0" w:evenVBand="0" w:oddHBand="0" w:evenHBand="0" w:firstRowFirstColumn="0" w:firstRowLastColumn="0" w:lastRowFirstColumn="0" w:lastRowLastColumn="0"/>
            <w:tcW w:w="1260" w:type="dxa"/>
          </w:tcPr>
          <w:p w14:paraId="19489878" w14:textId="77777777" w:rsidR="00FD1D83" w:rsidRPr="00E10446" w:rsidRDefault="00FD1D83" w:rsidP="00FD1D83">
            <w:pPr>
              <w:autoSpaceDE w:val="0"/>
              <w:autoSpaceDN w:val="0"/>
              <w:adjustRightInd w:val="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Correlation</w:t>
            </w:r>
          </w:p>
          <w:p w14:paraId="668A31E5" w14:textId="110DE221" w:rsidR="00FD1D83" w:rsidRPr="00E10446" w:rsidRDefault="00FD1D83" w:rsidP="00FD1D8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0" w:type="dxa"/>
          </w:tcPr>
          <w:p w14:paraId="5EA91A6C" w14:textId="52C4352B"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POV </w:t>
            </w:r>
          </w:p>
        </w:tc>
        <w:tc>
          <w:tcPr>
            <w:tcW w:w="1170" w:type="dxa"/>
          </w:tcPr>
          <w:p w14:paraId="18678138" w14:textId="3F4D614A"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RENC </w:t>
            </w:r>
          </w:p>
        </w:tc>
        <w:tc>
          <w:tcPr>
            <w:tcW w:w="1260" w:type="dxa"/>
          </w:tcPr>
          <w:p w14:paraId="55D50EF8" w14:textId="2A44FFB5"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NRECN       </w:t>
            </w:r>
          </w:p>
        </w:tc>
        <w:tc>
          <w:tcPr>
            <w:tcW w:w="1170" w:type="dxa"/>
          </w:tcPr>
          <w:p w14:paraId="69AC20D3" w14:textId="0A81661E"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LAP </w:t>
            </w:r>
          </w:p>
        </w:tc>
        <w:tc>
          <w:tcPr>
            <w:tcW w:w="1080" w:type="dxa"/>
          </w:tcPr>
          <w:p w14:paraId="0B742B9A" w14:textId="59015B27"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GDP </w:t>
            </w:r>
          </w:p>
        </w:tc>
      </w:tr>
      <w:tr w:rsidR="00FD1D83" w:rsidRPr="00E10446" w14:paraId="13F48845" w14:textId="77777777" w:rsidTr="00FD1D8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260" w:type="dxa"/>
          </w:tcPr>
          <w:p w14:paraId="1E3647ED" w14:textId="77777777" w:rsidR="00FD1D83" w:rsidRPr="00E10446" w:rsidRDefault="00FD1D83" w:rsidP="00FD1D83">
            <w:pPr>
              <w:autoSpaceDE w:val="0"/>
              <w:autoSpaceDN w:val="0"/>
              <w:adjustRightInd w:val="0"/>
              <w:rPr>
                <w:rFonts w:ascii="Times New Roman" w:hAnsi="Times New Roman" w:cs="Times New Roman"/>
                <w:color w:val="000000"/>
                <w:sz w:val="18"/>
                <w:szCs w:val="18"/>
              </w:rPr>
            </w:pPr>
          </w:p>
        </w:tc>
        <w:tc>
          <w:tcPr>
            <w:tcW w:w="990" w:type="dxa"/>
          </w:tcPr>
          <w:p w14:paraId="237209C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8ED9DA9"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7EC64717"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7A23060"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44267F7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065934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651B58B9"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POV </w:t>
            </w:r>
          </w:p>
        </w:tc>
        <w:tc>
          <w:tcPr>
            <w:tcW w:w="990" w:type="dxa"/>
          </w:tcPr>
          <w:p w14:paraId="65279084" w14:textId="73A18590"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170" w:type="dxa"/>
          </w:tcPr>
          <w:p w14:paraId="39DFF397"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F90C750"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03B31A3"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09EC116F"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50833A25"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0597AD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3CBA35E"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6470546"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DA203C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B77CFB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E68AB5F"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3B5BF8E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55A8717"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 </w:t>
            </w:r>
          </w:p>
        </w:tc>
        <w:tc>
          <w:tcPr>
            <w:tcW w:w="990" w:type="dxa"/>
          </w:tcPr>
          <w:p w14:paraId="0CFD5B8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-0.874231</w:t>
            </w:r>
          </w:p>
        </w:tc>
        <w:tc>
          <w:tcPr>
            <w:tcW w:w="1170" w:type="dxa"/>
          </w:tcPr>
          <w:p w14:paraId="6EADA355" w14:textId="2F43275D"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260" w:type="dxa"/>
          </w:tcPr>
          <w:p w14:paraId="165FEACB"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8BF2B69"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58F147CA"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B426016"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268C508"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85B9B33" w14:textId="5BADBE36"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-23.68378</w:t>
            </w:r>
          </w:p>
        </w:tc>
        <w:tc>
          <w:tcPr>
            <w:tcW w:w="1170" w:type="dxa"/>
          </w:tcPr>
          <w:p w14:paraId="0D5DBE76" w14:textId="42B2791C"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260" w:type="dxa"/>
          </w:tcPr>
          <w:p w14:paraId="60605A8E"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B7EE16F"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D9B5615"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5CB612E0"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C6CFA97"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0BD66174"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A655683"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CB4C258"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D90933F"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4E6D933B"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62FAE26D"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FFF106A"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NRECN </w:t>
            </w:r>
          </w:p>
        </w:tc>
        <w:tc>
          <w:tcPr>
            <w:tcW w:w="990" w:type="dxa"/>
          </w:tcPr>
          <w:p w14:paraId="072581B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0.036497</w:t>
            </w:r>
          </w:p>
        </w:tc>
        <w:tc>
          <w:tcPr>
            <w:tcW w:w="1170" w:type="dxa"/>
          </w:tcPr>
          <w:p w14:paraId="44EDD65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0.074730</w:t>
            </w:r>
          </w:p>
        </w:tc>
        <w:tc>
          <w:tcPr>
            <w:tcW w:w="1260" w:type="dxa"/>
          </w:tcPr>
          <w:p w14:paraId="7345B747" w14:textId="18539DAF"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170" w:type="dxa"/>
          </w:tcPr>
          <w:p w14:paraId="5495048B"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3DC3C1C"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15593746"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DCD4AE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57C09CC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0.480368</w:t>
            </w:r>
          </w:p>
        </w:tc>
        <w:tc>
          <w:tcPr>
            <w:tcW w:w="1170" w:type="dxa"/>
          </w:tcPr>
          <w:p w14:paraId="134B2BA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0.985679</w:t>
            </w:r>
          </w:p>
        </w:tc>
        <w:tc>
          <w:tcPr>
            <w:tcW w:w="1260" w:type="dxa"/>
          </w:tcPr>
          <w:p w14:paraId="45D56ED8" w14:textId="00A137BF"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170" w:type="dxa"/>
          </w:tcPr>
          <w:p w14:paraId="280A2684"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28746BD3"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04EFC7D0"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1AAA460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14E67D2"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7F1A9E0"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D0EADE5"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7321AE3"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83E3121"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71DAC6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7DD11DB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LAP </w:t>
            </w:r>
          </w:p>
        </w:tc>
        <w:tc>
          <w:tcPr>
            <w:tcW w:w="990" w:type="dxa"/>
          </w:tcPr>
          <w:p w14:paraId="5A6F2883"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0.204830</w:t>
            </w:r>
          </w:p>
        </w:tc>
        <w:tc>
          <w:tcPr>
            <w:tcW w:w="1170" w:type="dxa"/>
          </w:tcPr>
          <w:p w14:paraId="75721AC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-0.271251</w:t>
            </w:r>
          </w:p>
        </w:tc>
        <w:tc>
          <w:tcPr>
            <w:tcW w:w="1260" w:type="dxa"/>
          </w:tcPr>
          <w:p w14:paraId="357B3C49"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0.022620</w:t>
            </w:r>
          </w:p>
        </w:tc>
        <w:tc>
          <w:tcPr>
            <w:tcW w:w="1170" w:type="dxa"/>
          </w:tcPr>
          <w:p w14:paraId="53C48247" w14:textId="13AF1AAD"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080" w:type="dxa"/>
          </w:tcPr>
          <w:p w14:paraId="34C6BBC1"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7B3C502F"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86C150E"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45709CE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2.752480</w:t>
            </w:r>
          </w:p>
        </w:tc>
        <w:tc>
          <w:tcPr>
            <w:tcW w:w="1170" w:type="dxa"/>
          </w:tcPr>
          <w:p w14:paraId="0C40AD4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-3.706714</w:t>
            </w:r>
          </w:p>
        </w:tc>
        <w:tc>
          <w:tcPr>
            <w:tcW w:w="1260" w:type="dxa"/>
          </w:tcPr>
          <w:p w14:paraId="28434DD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0.297592</w:t>
            </w:r>
          </w:p>
        </w:tc>
        <w:tc>
          <w:tcPr>
            <w:tcW w:w="1170" w:type="dxa"/>
          </w:tcPr>
          <w:p w14:paraId="390DDF90" w14:textId="0FB48A5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080" w:type="dxa"/>
          </w:tcPr>
          <w:p w14:paraId="64466277"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1EA6287C"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3DD1CED"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64AB81B1"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229B5C16"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D288A5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74FF6FB"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1C2F10C"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7E1D8595"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676BEFB1"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GDP </w:t>
            </w:r>
          </w:p>
        </w:tc>
        <w:tc>
          <w:tcPr>
            <w:tcW w:w="990" w:type="dxa"/>
          </w:tcPr>
          <w:p w14:paraId="32D7408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0.243366</w:t>
            </w:r>
          </w:p>
        </w:tc>
        <w:tc>
          <w:tcPr>
            <w:tcW w:w="1170" w:type="dxa"/>
          </w:tcPr>
          <w:p w14:paraId="06D4469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-0.226343</w:t>
            </w:r>
          </w:p>
        </w:tc>
        <w:tc>
          <w:tcPr>
            <w:tcW w:w="1260" w:type="dxa"/>
          </w:tcPr>
          <w:p w14:paraId="18A55292"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0.000197</w:t>
            </w:r>
          </w:p>
        </w:tc>
        <w:tc>
          <w:tcPr>
            <w:tcW w:w="1170" w:type="dxa"/>
          </w:tcPr>
          <w:p w14:paraId="195D6F9A"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0.835120</w:t>
            </w:r>
          </w:p>
        </w:tc>
        <w:tc>
          <w:tcPr>
            <w:tcW w:w="1080" w:type="dxa"/>
          </w:tcPr>
          <w:p w14:paraId="308F2224" w14:textId="2A484384"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r>
      <w:tr w:rsidR="00FD1D83" w:rsidRPr="00E10446" w14:paraId="4741F79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D9AA269"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40556498"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3.300203</w:t>
            </w:r>
          </w:p>
        </w:tc>
        <w:tc>
          <w:tcPr>
            <w:tcW w:w="1170" w:type="dxa"/>
          </w:tcPr>
          <w:p w14:paraId="2700FBE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-3.056394</w:t>
            </w:r>
          </w:p>
        </w:tc>
        <w:tc>
          <w:tcPr>
            <w:tcW w:w="1260" w:type="dxa"/>
          </w:tcPr>
          <w:p w14:paraId="6BCBA65A"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0.002595</w:t>
            </w:r>
          </w:p>
        </w:tc>
        <w:tc>
          <w:tcPr>
            <w:tcW w:w="1170" w:type="dxa"/>
          </w:tcPr>
          <w:p w14:paraId="7EB9ACB3"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19.96895</w:t>
            </w:r>
          </w:p>
        </w:tc>
        <w:tc>
          <w:tcPr>
            <w:tcW w:w="1080" w:type="dxa"/>
          </w:tcPr>
          <w:p w14:paraId="34233F59" w14:textId="371851D8"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0070A26" w14:textId="77777777" w:rsidTr="00FD1D8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260" w:type="dxa"/>
          </w:tcPr>
          <w:p w14:paraId="48C4803F" w14:textId="77777777" w:rsidR="00FD1D83" w:rsidRPr="00E10446" w:rsidRDefault="00FD1D83" w:rsidP="00FD1D83">
            <w:pPr>
              <w:autoSpaceDE w:val="0"/>
              <w:autoSpaceDN w:val="0"/>
              <w:adjustRightInd w:val="0"/>
              <w:rPr>
                <w:rFonts w:ascii="Times New Roman" w:hAnsi="Times New Roman" w:cs="Times New Roman"/>
                <w:color w:val="000000"/>
                <w:sz w:val="18"/>
                <w:szCs w:val="18"/>
              </w:rPr>
            </w:pPr>
          </w:p>
        </w:tc>
        <w:tc>
          <w:tcPr>
            <w:tcW w:w="990" w:type="dxa"/>
          </w:tcPr>
          <w:p w14:paraId="3578DEA8"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902B0D7"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774711D4"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C83D73E"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68E54EA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133388AD" w14:textId="03A19BA7" w:rsidR="00FD1D83" w:rsidRPr="00E10446" w:rsidRDefault="00FD1D83" w:rsidP="00FD1D83">
      <w:pPr>
        <w:spacing w:after="0"/>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0"/>
          <w:szCs w:val="20"/>
          <w:lang w:eastAsia="en-GB"/>
        </w:rPr>
        <w:t xml:space="preserve">                     Source: Authors derived, 2026</w:t>
      </w:r>
    </w:p>
    <w:p w14:paraId="3C7A3DC3" w14:textId="3CED3FCA" w:rsidR="00FD1D83" w:rsidRPr="00E10446" w:rsidRDefault="001E67B6" w:rsidP="001E67B6">
      <w:pPr>
        <w:spacing w:after="0"/>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lastRenderedPageBreak/>
        <w:t>The correlation results indicate a strong and statistically significant inverse relationship between poverty (POV) and renewable energy consumption (RENC), suggesting that increased renewable energy use substantially reduces poverty. In contrast, non-renewable energy consumption (NRECN) shows an insignificant relationship with poverty, implying limited poverty-reducing effects. Labour productivity (LAP) and GDP exhibit positive correlations with poverty, highlighting structural inefficiencies where growth and productivity gains do not automatically translate into poverty reduction, reinforcing the need for inclusive energy policies.</w:t>
      </w:r>
    </w:p>
    <w:p w14:paraId="47908920" w14:textId="480ACE96" w:rsidR="00525801" w:rsidRPr="00E10446" w:rsidRDefault="00525801" w:rsidP="00525801">
      <w:pPr>
        <w:spacing w:after="0"/>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Table 3: Stationarity Test (</w:t>
      </w:r>
      <w:bookmarkStart w:id="0" w:name="_Hlk225543300"/>
      <w:proofErr w:type="spellStart"/>
      <w:r w:rsidRPr="00E10446">
        <w:rPr>
          <w:rFonts w:ascii="Times New Roman" w:eastAsia="Times New Roman" w:hAnsi="Times New Roman" w:cs="Times New Roman"/>
          <w:b/>
          <w:bCs/>
          <w:sz w:val="24"/>
          <w:szCs w:val="24"/>
          <w:lang w:eastAsia="en-GB"/>
        </w:rPr>
        <w:t>Im</w:t>
      </w:r>
      <w:proofErr w:type="spellEnd"/>
      <w:r w:rsidRPr="00E10446">
        <w:rPr>
          <w:rFonts w:ascii="Times New Roman" w:eastAsia="Times New Roman" w:hAnsi="Times New Roman" w:cs="Times New Roman"/>
          <w:b/>
          <w:bCs/>
          <w:sz w:val="24"/>
          <w:szCs w:val="24"/>
          <w:lang w:eastAsia="en-GB"/>
        </w:rPr>
        <w:t xml:space="preserve">, </w:t>
      </w:r>
      <w:proofErr w:type="spellStart"/>
      <w:r w:rsidRPr="00E10446">
        <w:rPr>
          <w:rFonts w:ascii="Times New Roman" w:eastAsia="Times New Roman" w:hAnsi="Times New Roman" w:cs="Times New Roman"/>
          <w:b/>
          <w:bCs/>
          <w:sz w:val="24"/>
          <w:szCs w:val="24"/>
          <w:lang w:eastAsia="en-GB"/>
        </w:rPr>
        <w:t>Pesaran</w:t>
      </w:r>
      <w:proofErr w:type="spellEnd"/>
      <w:r w:rsidRPr="00E10446">
        <w:rPr>
          <w:rFonts w:ascii="Times New Roman" w:eastAsia="Times New Roman" w:hAnsi="Times New Roman" w:cs="Times New Roman"/>
          <w:b/>
          <w:bCs/>
          <w:sz w:val="24"/>
          <w:szCs w:val="24"/>
          <w:lang w:eastAsia="en-GB"/>
        </w:rPr>
        <w:t xml:space="preserve"> and Shin </w:t>
      </w:r>
      <w:bookmarkEnd w:id="0"/>
      <w:r w:rsidRPr="00E10446">
        <w:rPr>
          <w:rFonts w:ascii="Times New Roman" w:eastAsia="Times New Roman" w:hAnsi="Times New Roman" w:cs="Times New Roman"/>
          <w:b/>
          <w:bCs/>
          <w:sz w:val="24"/>
          <w:szCs w:val="24"/>
          <w:lang w:eastAsia="en-GB"/>
        </w:rPr>
        <w:t>W-stat)</w:t>
      </w:r>
    </w:p>
    <w:tbl>
      <w:tblPr>
        <w:tblStyle w:val="PlainTable2"/>
        <w:tblW w:w="0" w:type="auto"/>
        <w:jc w:val="center"/>
        <w:tblLook w:val="06A0" w:firstRow="1" w:lastRow="0" w:firstColumn="1" w:lastColumn="0" w:noHBand="1" w:noVBand="1"/>
      </w:tblPr>
      <w:tblGrid>
        <w:gridCol w:w="1110"/>
        <w:gridCol w:w="1350"/>
        <w:gridCol w:w="1183"/>
        <w:gridCol w:w="990"/>
        <w:gridCol w:w="1260"/>
      </w:tblGrid>
      <w:tr w:rsidR="00525801" w:rsidRPr="00E10446" w14:paraId="4849CED7" w14:textId="77777777" w:rsidTr="009D3561">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hideMark/>
          </w:tcPr>
          <w:p w14:paraId="0EE96EBD" w14:textId="77777777" w:rsidR="00525801" w:rsidRPr="00E10446" w:rsidRDefault="00525801"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Variable</w:t>
            </w:r>
          </w:p>
        </w:tc>
        <w:tc>
          <w:tcPr>
            <w:tcW w:w="1350" w:type="dxa"/>
          </w:tcPr>
          <w:p w14:paraId="2C4A0188"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E10446">
              <w:rPr>
                <w:rFonts w:ascii="Times New Roman" w:eastAsia="Times New Roman" w:hAnsi="Times New Roman" w:cs="Times New Roman"/>
                <w:sz w:val="20"/>
                <w:szCs w:val="20"/>
                <w:lang w:eastAsia="en-GB"/>
              </w:rPr>
              <w:t>Im</w:t>
            </w:r>
            <w:proofErr w:type="spellEnd"/>
            <w:r w:rsidRPr="00E10446">
              <w:rPr>
                <w:rFonts w:ascii="Times New Roman" w:eastAsia="Times New Roman" w:hAnsi="Times New Roman" w:cs="Times New Roman"/>
                <w:sz w:val="20"/>
                <w:szCs w:val="20"/>
                <w:lang w:eastAsia="en-GB"/>
              </w:rPr>
              <w:t xml:space="preserve">, </w:t>
            </w:r>
            <w:proofErr w:type="spellStart"/>
            <w:r w:rsidRPr="00E10446">
              <w:rPr>
                <w:rFonts w:ascii="Times New Roman" w:eastAsia="Times New Roman" w:hAnsi="Times New Roman" w:cs="Times New Roman"/>
                <w:sz w:val="20"/>
                <w:szCs w:val="20"/>
                <w:lang w:eastAsia="en-GB"/>
              </w:rPr>
              <w:t>Pesaran</w:t>
            </w:r>
            <w:proofErr w:type="spellEnd"/>
            <w:r w:rsidRPr="00E10446">
              <w:rPr>
                <w:rFonts w:ascii="Times New Roman" w:eastAsia="Times New Roman" w:hAnsi="Times New Roman" w:cs="Times New Roman"/>
                <w:sz w:val="20"/>
                <w:szCs w:val="20"/>
                <w:lang w:eastAsia="en-GB"/>
              </w:rPr>
              <w:t xml:space="preserve"> and Shin W-stat</w:t>
            </w:r>
          </w:p>
        </w:tc>
        <w:tc>
          <w:tcPr>
            <w:tcW w:w="1183" w:type="dxa"/>
            <w:hideMark/>
          </w:tcPr>
          <w:p w14:paraId="2E299314"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Order of Integration</w:t>
            </w:r>
          </w:p>
        </w:tc>
        <w:tc>
          <w:tcPr>
            <w:tcW w:w="990" w:type="dxa"/>
            <w:vMerge w:val="restart"/>
            <w:hideMark/>
          </w:tcPr>
          <w:p w14:paraId="0BFC237C"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Prob*</w:t>
            </w:r>
          </w:p>
        </w:tc>
        <w:tc>
          <w:tcPr>
            <w:tcW w:w="1260" w:type="dxa"/>
            <w:vMerge w:val="restart"/>
            <w:hideMark/>
          </w:tcPr>
          <w:p w14:paraId="62EA0EE2"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Remark</w:t>
            </w:r>
          </w:p>
        </w:tc>
      </w:tr>
      <w:tr w:rsidR="00525801" w:rsidRPr="00E10446" w14:paraId="0189F6CA" w14:textId="77777777" w:rsidTr="009D3561">
        <w:trPr>
          <w:trHeight w:val="33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290E6AB" w14:textId="77777777" w:rsidR="00525801" w:rsidRPr="00E10446" w:rsidRDefault="00525801" w:rsidP="009D3561">
            <w:pPr>
              <w:jc w:val="center"/>
              <w:rPr>
                <w:rFonts w:ascii="Times New Roman" w:eastAsia="Times New Roman" w:hAnsi="Times New Roman" w:cs="Times New Roman"/>
                <w:sz w:val="20"/>
                <w:szCs w:val="20"/>
                <w:lang w:eastAsia="en-GB"/>
              </w:rPr>
            </w:pPr>
          </w:p>
        </w:tc>
        <w:tc>
          <w:tcPr>
            <w:tcW w:w="1350" w:type="dxa"/>
            <w:hideMark/>
          </w:tcPr>
          <w:p w14:paraId="1BEE22C9"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@1</w:t>
            </w:r>
            <w:r w:rsidRPr="00E10446">
              <w:rPr>
                <w:rFonts w:ascii="Times New Roman" w:eastAsia="Times New Roman" w:hAnsi="Times New Roman" w:cs="Times New Roman"/>
                <w:b/>
                <w:bCs/>
                <w:sz w:val="20"/>
                <w:szCs w:val="20"/>
                <w:vertAlign w:val="superscript"/>
                <w:lang w:eastAsia="en-GB"/>
              </w:rPr>
              <w:t>st</w:t>
            </w:r>
            <w:r w:rsidRPr="00E10446">
              <w:rPr>
                <w:rFonts w:ascii="Times New Roman" w:eastAsia="Times New Roman" w:hAnsi="Times New Roman" w:cs="Times New Roman"/>
                <w:b/>
                <w:bCs/>
                <w:sz w:val="20"/>
                <w:szCs w:val="20"/>
                <w:lang w:eastAsia="en-GB"/>
              </w:rPr>
              <w:t xml:space="preserve"> Diff</w:t>
            </w:r>
          </w:p>
        </w:tc>
        <w:tc>
          <w:tcPr>
            <w:tcW w:w="1183" w:type="dxa"/>
          </w:tcPr>
          <w:p w14:paraId="19B94BBE"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0" w:type="auto"/>
            <w:vMerge/>
            <w:hideMark/>
          </w:tcPr>
          <w:p w14:paraId="749B7FE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0" w:type="auto"/>
            <w:vMerge/>
            <w:hideMark/>
          </w:tcPr>
          <w:p w14:paraId="0C85BC0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r>
      <w:tr w:rsidR="00525801" w:rsidRPr="00E10446" w14:paraId="10433530"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24CD4BFF" w14:textId="1AEEA7CF"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POV</w:t>
            </w:r>
          </w:p>
        </w:tc>
        <w:tc>
          <w:tcPr>
            <w:tcW w:w="1350" w:type="dxa"/>
            <w:hideMark/>
          </w:tcPr>
          <w:p w14:paraId="72E93A58" w14:textId="66207AD5"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-3.93617</w:t>
            </w:r>
            <w:r w:rsidR="00525801" w:rsidRPr="00E10446">
              <w:rPr>
                <w:rFonts w:ascii="Times New Roman" w:eastAsia="Times New Roman" w:hAnsi="Times New Roman" w:cs="Times New Roman"/>
                <w:sz w:val="20"/>
                <w:szCs w:val="20"/>
                <w:lang w:eastAsia="en-GB"/>
              </w:rPr>
              <w:t>**</w:t>
            </w:r>
          </w:p>
        </w:tc>
        <w:tc>
          <w:tcPr>
            <w:tcW w:w="1183" w:type="dxa"/>
            <w:hideMark/>
          </w:tcPr>
          <w:p w14:paraId="78703CF6"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04DF9CB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118AAE08"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442EE0F1"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D5C2277" w14:textId="6B23A60E"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R</w:t>
            </w:r>
            <w:r w:rsidR="00525801" w:rsidRPr="00E10446">
              <w:rPr>
                <w:rFonts w:ascii="Times New Roman" w:eastAsia="Times New Roman" w:hAnsi="Times New Roman" w:cs="Times New Roman"/>
                <w:sz w:val="20"/>
                <w:szCs w:val="20"/>
                <w:lang w:eastAsia="en-GB"/>
              </w:rPr>
              <w:t>E</w:t>
            </w:r>
            <w:r w:rsidRPr="00E10446">
              <w:rPr>
                <w:rFonts w:ascii="Times New Roman" w:eastAsia="Times New Roman" w:hAnsi="Times New Roman" w:cs="Times New Roman"/>
                <w:sz w:val="20"/>
                <w:szCs w:val="20"/>
                <w:lang w:eastAsia="en-GB"/>
              </w:rPr>
              <w:t>N</w:t>
            </w:r>
            <w:r w:rsidR="00525801" w:rsidRPr="00E10446">
              <w:rPr>
                <w:rFonts w:ascii="Times New Roman" w:eastAsia="Times New Roman" w:hAnsi="Times New Roman" w:cs="Times New Roman"/>
                <w:sz w:val="20"/>
                <w:szCs w:val="20"/>
                <w:lang w:eastAsia="en-GB"/>
              </w:rPr>
              <w:t>C</w:t>
            </w:r>
          </w:p>
        </w:tc>
        <w:tc>
          <w:tcPr>
            <w:tcW w:w="1350" w:type="dxa"/>
            <w:hideMark/>
          </w:tcPr>
          <w:p w14:paraId="52A319A1" w14:textId="277609B1"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-7.90165</w:t>
            </w:r>
            <w:r w:rsidR="00525801" w:rsidRPr="00E10446">
              <w:rPr>
                <w:rFonts w:ascii="Times New Roman" w:eastAsia="Times New Roman" w:hAnsi="Times New Roman" w:cs="Times New Roman"/>
                <w:sz w:val="20"/>
                <w:szCs w:val="20"/>
                <w:lang w:eastAsia="en-GB"/>
              </w:rPr>
              <w:t>**</w:t>
            </w:r>
          </w:p>
        </w:tc>
        <w:tc>
          <w:tcPr>
            <w:tcW w:w="1183" w:type="dxa"/>
            <w:hideMark/>
          </w:tcPr>
          <w:p w14:paraId="561B0CA1"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66C05FD7"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7D29B5C2"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1B21EF94"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557854FE" w14:textId="72087828"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NRENC</w:t>
            </w:r>
          </w:p>
        </w:tc>
        <w:tc>
          <w:tcPr>
            <w:tcW w:w="1350" w:type="dxa"/>
            <w:hideMark/>
          </w:tcPr>
          <w:p w14:paraId="04616D24" w14:textId="309A2D74"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-6.15698</w:t>
            </w:r>
            <w:r w:rsidR="00525801" w:rsidRPr="00E10446">
              <w:rPr>
                <w:rFonts w:ascii="Times New Roman" w:hAnsi="Times New Roman" w:cs="Times New Roman"/>
                <w:color w:val="000000"/>
                <w:sz w:val="20"/>
                <w:szCs w:val="20"/>
              </w:rPr>
              <w:t>**</w:t>
            </w:r>
          </w:p>
        </w:tc>
        <w:tc>
          <w:tcPr>
            <w:tcW w:w="1183" w:type="dxa"/>
            <w:hideMark/>
          </w:tcPr>
          <w:p w14:paraId="28A4C1E4"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53AF0A1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7D21F787"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5A209CF1"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FF0CC37" w14:textId="66A5D031"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LAP</w:t>
            </w:r>
          </w:p>
        </w:tc>
        <w:tc>
          <w:tcPr>
            <w:tcW w:w="1350" w:type="dxa"/>
            <w:hideMark/>
          </w:tcPr>
          <w:p w14:paraId="53D756CF" w14:textId="1B94EF0B"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-3.63980</w:t>
            </w:r>
            <w:r w:rsidR="00525801" w:rsidRPr="00E10446">
              <w:rPr>
                <w:rFonts w:ascii="Times New Roman" w:eastAsia="Times New Roman" w:hAnsi="Times New Roman" w:cs="Times New Roman"/>
                <w:sz w:val="20"/>
                <w:szCs w:val="20"/>
                <w:lang w:eastAsia="en-GB"/>
              </w:rPr>
              <w:t>**</w:t>
            </w:r>
          </w:p>
        </w:tc>
        <w:tc>
          <w:tcPr>
            <w:tcW w:w="1183" w:type="dxa"/>
            <w:hideMark/>
          </w:tcPr>
          <w:p w14:paraId="072A34B8"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7935316F"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08B6712E"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A26924" w:rsidRPr="00E10446" w14:paraId="3FDAF7CB"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6865E24F" w14:textId="268755A4" w:rsidR="00A26924" w:rsidRPr="00E10446" w:rsidRDefault="00A26924" w:rsidP="00A26924">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GDP</w:t>
            </w:r>
          </w:p>
        </w:tc>
        <w:tc>
          <w:tcPr>
            <w:tcW w:w="1350" w:type="dxa"/>
          </w:tcPr>
          <w:p w14:paraId="27A7DC86" w14:textId="3B096C3A"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10446">
              <w:rPr>
                <w:rFonts w:ascii="Times New Roman" w:hAnsi="Times New Roman" w:cs="Times New Roman"/>
                <w:color w:val="000000"/>
                <w:sz w:val="20"/>
                <w:szCs w:val="20"/>
              </w:rPr>
              <w:t>-6.09406**</w:t>
            </w:r>
          </w:p>
        </w:tc>
        <w:tc>
          <w:tcPr>
            <w:tcW w:w="1183" w:type="dxa"/>
          </w:tcPr>
          <w:p w14:paraId="6DC3C2C4" w14:textId="77777777"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0" w:type="dxa"/>
          </w:tcPr>
          <w:p w14:paraId="0A13BAFD" w14:textId="59572159"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tcPr>
          <w:p w14:paraId="31F93109" w14:textId="7EA747FE"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bl>
    <w:p w14:paraId="3031C256" w14:textId="77777777" w:rsidR="00525801" w:rsidRPr="00E10446" w:rsidRDefault="00525801" w:rsidP="00525801">
      <w:pPr>
        <w:spacing w:after="0" w:line="240" w:lineRule="auto"/>
        <w:ind w:firstLine="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47F29195" w14:textId="5D71CCA2" w:rsidR="00525801" w:rsidRPr="00E10446" w:rsidRDefault="001E67B6" w:rsidP="001E67B6">
      <w:pPr>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The </w:t>
      </w:r>
      <w:proofErr w:type="spellStart"/>
      <w:r w:rsidRPr="00E10446">
        <w:rPr>
          <w:rFonts w:ascii="Times New Roman" w:eastAsia="Times New Roman" w:hAnsi="Times New Roman" w:cs="Times New Roman"/>
          <w:sz w:val="24"/>
          <w:szCs w:val="24"/>
          <w:lang w:eastAsia="en-GB"/>
        </w:rPr>
        <w:t>Im</w:t>
      </w:r>
      <w:proofErr w:type="spellEnd"/>
      <w:r w:rsidRPr="00E10446">
        <w:rPr>
          <w:rFonts w:ascii="Times New Roman" w:eastAsia="Times New Roman" w:hAnsi="Times New Roman" w:cs="Times New Roman"/>
          <w:sz w:val="24"/>
          <w:szCs w:val="24"/>
          <w:lang w:eastAsia="en-GB"/>
        </w:rPr>
        <w:t xml:space="preserve">, </w:t>
      </w:r>
      <w:proofErr w:type="spellStart"/>
      <w:r w:rsidRPr="00E10446">
        <w:rPr>
          <w:rFonts w:ascii="Times New Roman" w:eastAsia="Times New Roman" w:hAnsi="Times New Roman" w:cs="Times New Roman"/>
          <w:sz w:val="24"/>
          <w:szCs w:val="24"/>
          <w:lang w:eastAsia="en-GB"/>
        </w:rPr>
        <w:t>Pesaran</w:t>
      </w:r>
      <w:proofErr w:type="spellEnd"/>
      <w:r w:rsidRPr="00E10446">
        <w:rPr>
          <w:rFonts w:ascii="Times New Roman" w:eastAsia="Times New Roman" w:hAnsi="Times New Roman" w:cs="Times New Roman"/>
          <w:sz w:val="24"/>
          <w:szCs w:val="24"/>
          <w:lang w:eastAsia="en-GB"/>
        </w:rPr>
        <w:t xml:space="preserve"> and Shin unit root test results show all variables are non-stationary at level but become stationary at first difference, indicating integration of order </w:t>
      </w:r>
      <w:proofErr w:type="gramStart"/>
      <w:r w:rsidRPr="00E10446">
        <w:rPr>
          <w:rFonts w:ascii="Times New Roman" w:eastAsia="Times New Roman" w:hAnsi="Times New Roman" w:cs="Times New Roman"/>
          <w:sz w:val="24"/>
          <w:szCs w:val="24"/>
          <w:lang w:eastAsia="en-GB"/>
        </w:rPr>
        <w:t>I(</w:t>
      </w:r>
      <w:proofErr w:type="gramEnd"/>
      <w:r w:rsidRPr="00E10446">
        <w:rPr>
          <w:rFonts w:ascii="Times New Roman" w:eastAsia="Times New Roman" w:hAnsi="Times New Roman" w:cs="Times New Roman"/>
          <w:sz w:val="24"/>
          <w:szCs w:val="24"/>
          <w:lang w:eastAsia="en-GB"/>
        </w:rPr>
        <w:t>1). This justifies the use of cointegration-based techniques such as NARDL and MMQR. The implication is the existence of stable long-run relationships among energy consumption, productivity, and poverty dynamics.</w:t>
      </w:r>
    </w:p>
    <w:p w14:paraId="7BA7F683" w14:textId="55B26471" w:rsidR="005801C8" w:rsidRPr="00E10446" w:rsidRDefault="008B60B4">
      <w:pPr>
        <w:spacing w:line="240" w:lineRule="auto"/>
        <w:jc w:val="both"/>
        <w:rPr>
          <w:rStyle w:val="katex-mathml"/>
          <w:rFonts w:ascii="Times New Roman" w:hAnsi="Times New Roman" w:cs="Times New Roman"/>
          <w:b/>
          <w:bCs/>
          <w:sz w:val="24"/>
          <w:szCs w:val="24"/>
        </w:rPr>
      </w:pPr>
      <w:r w:rsidRPr="00E10446">
        <w:rPr>
          <w:rStyle w:val="katex-mathml"/>
          <w:rFonts w:ascii="Times New Roman" w:hAnsi="Times New Roman" w:cs="Times New Roman"/>
          <w:sz w:val="24"/>
          <w:szCs w:val="24"/>
        </w:rPr>
        <w:tab/>
      </w:r>
      <w:r w:rsidRPr="00E10446">
        <w:rPr>
          <w:rStyle w:val="katex-mathml"/>
          <w:rFonts w:ascii="Times New Roman" w:hAnsi="Times New Roman" w:cs="Times New Roman"/>
          <w:sz w:val="24"/>
          <w:szCs w:val="24"/>
        </w:rPr>
        <w:tab/>
      </w:r>
      <w:r w:rsidR="00DA5CB2" w:rsidRPr="00E10446">
        <w:rPr>
          <w:rStyle w:val="katex-mathml"/>
          <w:rFonts w:ascii="Times New Roman" w:hAnsi="Times New Roman" w:cs="Times New Roman"/>
          <w:b/>
          <w:bCs/>
          <w:sz w:val="24"/>
          <w:szCs w:val="24"/>
        </w:rPr>
        <w:t>Table 4: Panel Cointegration Test</w:t>
      </w:r>
    </w:p>
    <w:tbl>
      <w:tblPr>
        <w:tblStyle w:val="PlainTable21"/>
        <w:tblW w:w="0" w:type="auto"/>
        <w:jc w:val="center"/>
        <w:tblLayout w:type="fixed"/>
        <w:tblLook w:val="06A0" w:firstRow="1" w:lastRow="0" w:firstColumn="1" w:lastColumn="0" w:noHBand="1" w:noVBand="1"/>
      </w:tblPr>
      <w:tblGrid>
        <w:gridCol w:w="1387"/>
        <w:gridCol w:w="788"/>
        <w:gridCol w:w="1102"/>
        <w:gridCol w:w="773"/>
        <w:gridCol w:w="990"/>
        <w:gridCol w:w="900"/>
      </w:tblGrid>
      <w:tr w:rsidR="00DA5CB2" w:rsidRPr="00E10446" w14:paraId="6C4D5970" w14:textId="77777777" w:rsidTr="00C71CA0">
        <w:trPr>
          <w:cnfStyle w:val="100000000000" w:firstRow="1" w:lastRow="0" w:firstColumn="0" w:lastColumn="0" w:oddVBand="0" w:evenVBand="0" w:oddHBand="0" w:evenHBand="0" w:firstRowFirstColumn="0" w:firstRowLastColumn="0" w:lastRowFirstColumn="0" w:lastRowLastColumn="0"/>
          <w:trHeight w:hRule="exact" w:val="352"/>
          <w:jc w:val="center"/>
        </w:trPr>
        <w:tc>
          <w:tcPr>
            <w:cnfStyle w:val="001000000000" w:firstRow="0" w:lastRow="0" w:firstColumn="1" w:lastColumn="0" w:oddVBand="0" w:evenVBand="0" w:oddHBand="0" w:evenHBand="0" w:firstRowFirstColumn="0" w:firstRowLastColumn="0" w:lastRowFirstColumn="0" w:lastRowLastColumn="0"/>
            <w:tcW w:w="5940" w:type="dxa"/>
            <w:gridSpan w:val="6"/>
          </w:tcPr>
          <w:p w14:paraId="13562EC8" w14:textId="5C66AC69"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Alternative hypothesis: common AR </w:t>
            </w:r>
            <w:proofErr w:type="spellStart"/>
            <w:r w:rsidRPr="00E10446">
              <w:rPr>
                <w:rFonts w:ascii="Times New Roman" w:hAnsi="Times New Roman" w:cs="Times New Roman"/>
                <w:color w:val="000000"/>
                <w:sz w:val="18"/>
                <w:szCs w:val="18"/>
              </w:rPr>
              <w:t>coefs</w:t>
            </w:r>
            <w:proofErr w:type="spellEnd"/>
            <w:r w:rsidRPr="00E10446">
              <w:rPr>
                <w:rFonts w:ascii="Times New Roman" w:hAnsi="Times New Roman" w:cs="Times New Roman"/>
                <w:color w:val="000000"/>
                <w:sz w:val="18"/>
                <w:szCs w:val="18"/>
              </w:rPr>
              <w:t>. (within-dimension)</w:t>
            </w:r>
          </w:p>
        </w:tc>
      </w:tr>
      <w:tr w:rsidR="00DA5CB2" w:rsidRPr="00E10446" w14:paraId="34E4BA4C" w14:textId="77777777" w:rsidTr="00C71CA0">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387" w:type="dxa"/>
          </w:tcPr>
          <w:p w14:paraId="6E6D1306"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p>
        </w:tc>
        <w:tc>
          <w:tcPr>
            <w:tcW w:w="788" w:type="dxa"/>
          </w:tcPr>
          <w:p w14:paraId="697FB866"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63D21E8F"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0EEB374F"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0B57FA1"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7DEE2A96"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31E45E0C"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75825E7A"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256F5E6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3C85D82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75C2539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B0DB8A0"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Weighted</w:t>
            </w:r>
          </w:p>
        </w:tc>
        <w:tc>
          <w:tcPr>
            <w:tcW w:w="900" w:type="dxa"/>
          </w:tcPr>
          <w:p w14:paraId="187093D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531A9135"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20F8BC04"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0151AE2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35922F8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773" w:type="dxa"/>
          </w:tcPr>
          <w:p w14:paraId="443664C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c>
          <w:tcPr>
            <w:tcW w:w="990" w:type="dxa"/>
          </w:tcPr>
          <w:p w14:paraId="75C5DD1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900" w:type="dxa"/>
          </w:tcPr>
          <w:p w14:paraId="42BFCCA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r>
      <w:tr w:rsidR="00DA5CB2" w:rsidRPr="00E10446" w14:paraId="021673C3"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D419218"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v-Statistic</w:t>
            </w:r>
          </w:p>
        </w:tc>
        <w:tc>
          <w:tcPr>
            <w:tcW w:w="1102" w:type="dxa"/>
          </w:tcPr>
          <w:p w14:paraId="178E758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0.301503</w:t>
            </w:r>
          </w:p>
        </w:tc>
        <w:tc>
          <w:tcPr>
            <w:tcW w:w="773" w:type="dxa"/>
          </w:tcPr>
          <w:p w14:paraId="4F3F17C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0.3815</w:t>
            </w:r>
          </w:p>
        </w:tc>
        <w:tc>
          <w:tcPr>
            <w:tcW w:w="990" w:type="dxa"/>
          </w:tcPr>
          <w:p w14:paraId="42800A6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0.600329</w:t>
            </w:r>
          </w:p>
        </w:tc>
        <w:tc>
          <w:tcPr>
            <w:tcW w:w="900" w:type="dxa"/>
          </w:tcPr>
          <w:p w14:paraId="451CEF5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0.2741</w:t>
            </w:r>
          </w:p>
        </w:tc>
      </w:tr>
      <w:tr w:rsidR="00DA5CB2" w:rsidRPr="00E10446" w14:paraId="03E19E2A"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263B830"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rho-Statistic</w:t>
            </w:r>
          </w:p>
        </w:tc>
        <w:tc>
          <w:tcPr>
            <w:tcW w:w="1102" w:type="dxa"/>
          </w:tcPr>
          <w:p w14:paraId="369DD3B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0.978315</w:t>
            </w:r>
          </w:p>
        </w:tc>
        <w:tc>
          <w:tcPr>
            <w:tcW w:w="773" w:type="dxa"/>
          </w:tcPr>
          <w:p w14:paraId="5FCF1E5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0.8360</w:t>
            </w:r>
          </w:p>
        </w:tc>
        <w:tc>
          <w:tcPr>
            <w:tcW w:w="990" w:type="dxa"/>
          </w:tcPr>
          <w:p w14:paraId="27CCD9A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0.836871</w:t>
            </w:r>
          </w:p>
        </w:tc>
        <w:tc>
          <w:tcPr>
            <w:tcW w:w="900" w:type="dxa"/>
          </w:tcPr>
          <w:p w14:paraId="78C6F63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0.7987</w:t>
            </w:r>
          </w:p>
        </w:tc>
      </w:tr>
      <w:tr w:rsidR="00DA5CB2" w:rsidRPr="00E10446" w14:paraId="75099BB6"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017D6BA2"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PP-Statistic</w:t>
            </w:r>
          </w:p>
        </w:tc>
        <w:tc>
          <w:tcPr>
            <w:tcW w:w="1102" w:type="dxa"/>
          </w:tcPr>
          <w:p w14:paraId="4396C61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0.011854</w:t>
            </w:r>
          </w:p>
        </w:tc>
        <w:tc>
          <w:tcPr>
            <w:tcW w:w="773" w:type="dxa"/>
          </w:tcPr>
          <w:p w14:paraId="0A397E6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0.5047</w:t>
            </w:r>
          </w:p>
        </w:tc>
        <w:tc>
          <w:tcPr>
            <w:tcW w:w="990" w:type="dxa"/>
          </w:tcPr>
          <w:p w14:paraId="5AB3F16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-0.535225</w:t>
            </w:r>
          </w:p>
        </w:tc>
        <w:tc>
          <w:tcPr>
            <w:tcW w:w="900" w:type="dxa"/>
          </w:tcPr>
          <w:p w14:paraId="4440625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0.2962</w:t>
            </w:r>
          </w:p>
        </w:tc>
      </w:tr>
      <w:tr w:rsidR="00DA5CB2" w:rsidRPr="00E10446" w14:paraId="1DEAB564"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0CA79BD7"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ADF-Statistic</w:t>
            </w:r>
          </w:p>
        </w:tc>
        <w:tc>
          <w:tcPr>
            <w:tcW w:w="1102" w:type="dxa"/>
          </w:tcPr>
          <w:p w14:paraId="1512515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0.294516</w:t>
            </w:r>
          </w:p>
        </w:tc>
        <w:tc>
          <w:tcPr>
            <w:tcW w:w="773" w:type="dxa"/>
          </w:tcPr>
          <w:p w14:paraId="7AC8107B"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0.6158</w:t>
            </w:r>
          </w:p>
        </w:tc>
        <w:tc>
          <w:tcPr>
            <w:tcW w:w="990" w:type="dxa"/>
          </w:tcPr>
          <w:p w14:paraId="682D4B9F"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0.066489</w:t>
            </w:r>
          </w:p>
        </w:tc>
        <w:tc>
          <w:tcPr>
            <w:tcW w:w="900" w:type="dxa"/>
          </w:tcPr>
          <w:p w14:paraId="2CBB063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0.5265</w:t>
            </w:r>
          </w:p>
        </w:tc>
      </w:tr>
      <w:tr w:rsidR="00DA5CB2" w:rsidRPr="00E10446" w14:paraId="3AE08049"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503D7A65"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618D4FF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054126A0"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2F73799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C0BF81B"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723A1FB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707D1FC0"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5940" w:type="dxa"/>
            <w:gridSpan w:val="6"/>
          </w:tcPr>
          <w:p w14:paraId="51A63647"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Alternative hypothesis: individual AR </w:t>
            </w:r>
            <w:proofErr w:type="spellStart"/>
            <w:r w:rsidRPr="00E10446">
              <w:rPr>
                <w:rFonts w:ascii="Times New Roman" w:hAnsi="Times New Roman" w:cs="Times New Roman"/>
                <w:color w:val="000000"/>
                <w:sz w:val="18"/>
                <w:szCs w:val="18"/>
              </w:rPr>
              <w:t>coefs</w:t>
            </w:r>
            <w:proofErr w:type="spellEnd"/>
            <w:r w:rsidRPr="00E10446">
              <w:rPr>
                <w:rFonts w:ascii="Times New Roman" w:hAnsi="Times New Roman" w:cs="Times New Roman"/>
                <w:color w:val="000000"/>
                <w:sz w:val="18"/>
                <w:szCs w:val="18"/>
              </w:rPr>
              <w:t>. (between-dimension)</w:t>
            </w:r>
          </w:p>
        </w:tc>
      </w:tr>
      <w:tr w:rsidR="00DA5CB2" w:rsidRPr="00E10446" w14:paraId="5B7ED95F"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0B38006A"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7E749921"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5A2370C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1CAABB2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5CDA320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39BE7AE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007C3693"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2C65F458"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5E5B9DD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7BC36B6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773" w:type="dxa"/>
          </w:tcPr>
          <w:p w14:paraId="12FCBCB1"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c>
          <w:tcPr>
            <w:tcW w:w="990" w:type="dxa"/>
          </w:tcPr>
          <w:p w14:paraId="04DF9D7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11A84C1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2C3ACF9B"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8465090"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rho-Statistic</w:t>
            </w:r>
          </w:p>
        </w:tc>
        <w:tc>
          <w:tcPr>
            <w:tcW w:w="1102" w:type="dxa"/>
          </w:tcPr>
          <w:p w14:paraId="7C8D6FC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1.479989</w:t>
            </w:r>
          </w:p>
        </w:tc>
        <w:tc>
          <w:tcPr>
            <w:tcW w:w="773" w:type="dxa"/>
          </w:tcPr>
          <w:p w14:paraId="5905942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0.9306</w:t>
            </w:r>
          </w:p>
        </w:tc>
        <w:tc>
          <w:tcPr>
            <w:tcW w:w="990" w:type="dxa"/>
          </w:tcPr>
          <w:p w14:paraId="4610C5C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0C802C9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29CA6731"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673B3CBB"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PP-Statistic</w:t>
            </w:r>
          </w:p>
        </w:tc>
        <w:tc>
          <w:tcPr>
            <w:tcW w:w="1102" w:type="dxa"/>
          </w:tcPr>
          <w:p w14:paraId="6695C07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-1.439289</w:t>
            </w:r>
          </w:p>
        </w:tc>
        <w:tc>
          <w:tcPr>
            <w:tcW w:w="773" w:type="dxa"/>
          </w:tcPr>
          <w:p w14:paraId="1A04F8E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0.0750</w:t>
            </w:r>
          </w:p>
        </w:tc>
        <w:tc>
          <w:tcPr>
            <w:tcW w:w="990" w:type="dxa"/>
          </w:tcPr>
          <w:p w14:paraId="4BCDC32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2FC4BE6F"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4D02869D"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54E5857C"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ADF-Statistic</w:t>
            </w:r>
          </w:p>
        </w:tc>
        <w:tc>
          <w:tcPr>
            <w:tcW w:w="1102" w:type="dxa"/>
          </w:tcPr>
          <w:p w14:paraId="043ED93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0.051588</w:t>
            </w:r>
          </w:p>
        </w:tc>
        <w:tc>
          <w:tcPr>
            <w:tcW w:w="773" w:type="dxa"/>
          </w:tcPr>
          <w:p w14:paraId="7A1FCD6C"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0.5206</w:t>
            </w:r>
          </w:p>
        </w:tc>
        <w:tc>
          <w:tcPr>
            <w:tcW w:w="990" w:type="dxa"/>
          </w:tcPr>
          <w:p w14:paraId="31189C26"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182B37A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4815CEFA" w14:textId="77777777" w:rsidTr="00C71CA0">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387" w:type="dxa"/>
          </w:tcPr>
          <w:p w14:paraId="74F30E6C"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p>
        </w:tc>
        <w:tc>
          <w:tcPr>
            <w:tcW w:w="788" w:type="dxa"/>
          </w:tcPr>
          <w:p w14:paraId="2B7D39D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7E201F67"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3161A4C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09FA878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6B2D68AE"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3EB5F636" w14:textId="2E8ADD7C" w:rsidR="00DA5CB2" w:rsidRPr="00E10446" w:rsidRDefault="00DA5CB2" w:rsidP="00DA5CB2">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C71CA0"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76AA47B9" w14:textId="094A8ECE" w:rsidR="00010B97" w:rsidRPr="00E10446" w:rsidRDefault="001E67B6">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Pedroni cointegration results show statistically insignificant statistics across most tests, suggesting weak evidence of a long-run equilibrium relationship among the variables. This aligns with findings that energy–poverty linkages may be unstable without strong institutions and structural support (</w:t>
      </w:r>
      <w:proofErr w:type="spellStart"/>
      <w:r w:rsidRPr="00E10446">
        <w:rPr>
          <w:rStyle w:val="katex-mathml"/>
          <w:rFonts w:ascii="Times New Roman" w:hAnsi="Times New Roman" w:cs="Times New Roman"/>
          <w:sz w:val="24"/>
          <w:szCs w:val="24"/>
        </w:rPr>
        <w:t>Okwanya</w:t>
      </w:r>
      <w:proofErr w:type="spellEnd"/>
      <w:r w:rsidRPr="00E10446">
        <w:rPr>
          <w:rStyle w:val="katex-mathml"/>
          <w:rFonts w:ascii="Times New Roman" w:hAnsi="Times New Roman" w:cs="Times New Roman"/>
          <w:sz w:val="24"/>
          <w:szCs w:val="24"/>
        </w:rPr>
        <w:t xml:space="preserve"> &amp; </w:t>
      </w:r>
      <w:proofErr w:type="spellStart"/>
      <w:r w:rsidRPr="00E10446">
        <w:rPr>
          <w:rStyle w:val="katex-mathml"/>
          <w:rFonts w:ascii="Times New Roman" w:hAnsi="Times New Roman" w:cs="Times New Roman"/>
          <w:sz w:val="24"/>
          <w:szCs w:val="24"/>
        </w:rPr>
        <w:t>Abah</w:t>
      </w:r>
      <w:proofErr w:type="spellEnd"/>
      <w:r w:rsidRPr="00E10446">
        <w:rPr>
          <w:rStyle w:val="katex-mathml"/>
          <w:rFonts w:ascii="Times New Roman" w:hAnsi="Times New Roman" w:cs="Times New Roman"/>
          <w:sz w:val="24"/>
          <w:szCs w:val="24"/>
        </w:rPr>
        <w:t>, 2018; Acheampong et al., 2021), justifying nonlinear and quantile approaches.</w:t>
      </w:r>
    </w:p>
    <w:p w14:paraId="4DC28BC7" w14:textId="30EBDADF" w:rsidR="00010B97" w:rsidRPr="00E10446" w:rsidRDefault="00010B97" w:rsidP="00010B97">
      <w:pPr>
        <w:autoSpaceDE w:val="0"/>
        <w:autoSpaceDN w:val="0"/>
        <w:adjustRightInd w:val="0"/>
        <w:spacing w:after="0" w:line="240" w:lineRule="auto"/>
        <w:jc w:val="center"/>
        <w:rPr>
          <w:rFonts w:ascii="Times New Roman" w:hAnsi="Times New Roman" w:cs="Times New Roman"/>
          <w:b/>
          <w:bCs/>
          <w:color w:val="000000"/>
          <w:sz w:val="24"/>
          <w:szCs w:val="24"/>
        </w:rPr>
      </w:pPr>
      <w:r w:rsidRPr="00E10446">
        <w:rPr>
          <w:rStyle w:val="katex-mathml"/>
          <w:rFonts w:ascii="Times New Roman" w:hAnsi="Times New Roman" w:cs="Times New Roman"/>
          <w:b/>
          <w:bCs/>
          <w:sz w:val="24"/>
          <w:szCs w:val="24"/>
        </w:rPr>
        <w:t xml:space="preserve">Table 5: </w:t>
      </w:r>
      <w:r w:rsidRPr="00E10446">
        <w:rPr>
          <w:rFonts w:ascii="Times New Roman" w:hAnsi="Times New Roman" w:cs="Times New Roman"/>
          <w:b/>
          <w:bCs/>
          <w:color w:val="000000"/>
          <w:sz w:val="24"/>
          <w:szCs w:val="24"/>
        </w:rPr>
        <w:t>Method: Panel Fully Modified Least Squares (FMOLS)</w:t>
      </w:r>
    </w:p>
    <w:tbl>
      <w:tblPr>
        <w:tblStyle w:val="PlainTable21"/>
        <w:tblW w:w="0" w:type="auto"/>
        <w:jc w:val="center"/>
        <w:tblLayout w:type="fixed"/>
        <w:tblLook w:val="06A0" w:firstRow="1" w:lastRow="0" w:firstColumn="1" w:lastColumn="0" w:noHBand="1" w:noVBand="1"/>
      </w:tblPr>
      <w:tblGrid>
        <w:gridCol w:w="1890"/>
        <w:gridCol w:w="1260"/>
        <w:gridCol w:w="1080"/>
        <w:gridCol w:w="990"/>
        <w:gridCol w:w="990"/>
      </w:tblGrid>
      <w:tr w:rsidR="003D7B53" w:rsidRPr="00E10446" w14:paraId="035F74D9" w14:textId="77777777" w:rsidTr="003D7B53">
        <w:trPr>
          <w:cnfStyle w:val="100000000000" w:firstRow="1" w:lastRow="0" w:firstColumn="0" w:lastColumn="0" w:oddVBand="0" w:evenVBand="0" w:oddHBand="0" w:evenHBand="0" w:firstRowFirstColumn="0" w:firstRowLastColumn="0" w:lastRowFirstColumn="0" w:lastRowLastColumn="0"/>
          <w:trHeight w:hRule="exact" w:val="370"/>
          <w:jc w:val="center"/>
        </w:trPr>
        <w:tc>
          <w:tcPr>
            <w:cnfStyle w:val="001000000000" w:firstRow="0" w:lastRow="0" w:firstColumn="1" w:lastColumn="0" w:oddVBand="0" w:evenVBand="0" w:oddHBand="0" w:evenHBand="0" w:firstRowFirstColumn="0" w:firstRowLastColumn="0" w:lastRowFirstColumn="0" w:lastRowLastColumn="0"/>
            <w:tcW w:w="1890" w:type="dxa"/>
          </w:tcPr>
          <w:p w14:paraId="350278D6" w14:textId="5E089B36"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Variable</w:t>
            </w:r>
          </w:p>
        </w:tc>
        <w:tc>
          <w:tcPr>
            <w:tcW w:w="1260" w:type="dxa"/>
          </w:tcPr>
          <w:p w14:paraId="3AE27678" w14:textId="0B373C0A"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Coefficient</w:t>
            </w:r>
          </w:p>
        </w:tc>
        <w:tc>
          <w:tcPr>
            <w:tcW w:w="1080" w:type="dxa"/>
          </w:tcPr>
          <w:p w14:paraId="1CE7B36F" w14:textId="610701CE"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Std. Error</w:t>
            </w:r>
          </w:p>
        </w:tc>
        <w:tc>
          <w:tcPr>
            <w:tcW w:w="990" w:type="dxa"/>
          </w:tcPr>
          <w:p w14:paraId="7FDB7AFE" w14:textId="64DD2230"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0" w:type="dxa"/>
          </w:tcPr>
          <w:p w14:paraId="220A6207" w14:textId="1FEDE784"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Prob.  </w:t>
            </w:r>
          </w:p>
        </w:tc>
      </w:tr>
      <w:tr w:rsidR="003D7B53" w:rsidRPr="00E10446" w14:paraId="3EF6C200"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890" w:type="dxa"/>
          </w:tcPr>
          <w:p w14:paraId="0012553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260" w:type="dxa"/>
          </w:tcPr>
          <w:p w14:paraId="5A5B00A8"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0350E4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E720B85"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830B0A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7C813A35"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6DE6CB13"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w:t>
            </w:r>
          </w:p>
        </w:tc>
        <w:tc>
          <w:tcPr>
            <w:tcW w:w="1260" w:type="dxa"/>
          </w:tcPr>
          <w:p w14:paraId="4A099AE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-0.090828</w:t>
            </w:r>
          </w:p>
        </w:tc>
        <w:tc>
          <w:tcPr>
            <w:tcW w:w="1080" w:type="dxa"/>
          </w:tcPr>
          <w:p w14:paraId="6D8770B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0.053554</w:t>
            </w:r>
          </w:p>
        </w:tc>
        <w:tc>
          <w:tcPr>
            <w:tcW w:w="990" w:type="dxa"/>
          </w:tcPr>
          <w:p w14:paraId="7FFB370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-1.696008</w:t>
            </w:r>
          </w:p>
        </w:tc>
        <w:tc>
          <w:tcPr>
            <w:tcW w:w="990" w:type="dxa"/>
          </w:tcPr>
          <w:p w14:paraId="637AE3C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0.0918</w:t>
            </w:r>
          </w:p>
        </w:tc>
      </w:tr>
      <w:tr w:rsidR="003D7B53" w:rsidRPr="00E10446" w14:paraId="186AC8A9"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04A2F93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NRECN</w:t>
            </w:r>
          </w:p>
        </w:tc>
        <w:tc>
          <w:tcPr>
            <w:tcW w:w="1260" w:type="dxa"/>
          </w:tcPr>
          <w:p w14:paraId="7B3EA30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0.035060</w:t>
            </w:r>
          </w:p>
        </w:tc>
        <w:tc>
          <w:tcPr>
            <w:tcW w:w="1080" w:type="dxa"/>
          </w:tcPr>
          <w:p w14:paraId="2D01B97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0.020250</w:t>
            </w:r>
          </w:p>
        </w:tc>
        <w:tc>
          <w:tcPr>
            <w:tcW w:w="990" w:type="dxa"/>
          </w:tcPr>
          <w:p w14:paraId="36349D0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1.731347</w:t>
            </w:r>
          </w:p>
        </w:tc>
        <w:tc>
          <w:tcPr>
            <w:tcW w:w="990" w:type="dxa"/>
          </w:tcPr>
          <w:p w14:paraId="1B7952D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0.0853</w:t>
            </w:r>
          </w:p>
        </w:tc>
      </w:tr>
      <w:tr w:rsidR="003D7B53" w:rsidRPr="00E10446" w14:paraId="65FC6B67"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53A0BFBA"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LAP</w:t>
            </w:r>
          </w:p>
        </w:tc>
        <w:tc>
          <w:tcPr>
            <w:tcW w:w="1260" w:type="dxa"/>
          </w:tcPr>
          <w:p w14:paraId="58E8359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0.000234</w:t>
            </w:r>
          </w:p>
        </w:tc>
        <w:tc>
          <w:tcPr>
            <w:tcW w:w="1080" w:type="dxa"/>
          </w:tcPr>
          <w:p w14:paraId="5F5C8E5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0.000201</w:t>
            </w:r>
          </w:p>
        </w:tc>
        <w:tc>
          <w:tcPr>
            <w:tcW w:w="990" w:type="dxa"/>
          </w:tcPr>
          <w:p w14:paraId="7CCE5B9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1.162348</w:t>
            </w:r>
          </w:p>
        </w:tc>
        <w:tc>
          <w:tcPr>
            <w:tcW w:w="990" w:type="dxa"/>
          </w:tcPr>
          <w:p w14:paraId="139C15C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0.2468</w:t>
            </w:r>
          </w:p>
        </w:tc>
      </w:tr>
      <w:tr w:rsidR="003D7B53" w:rsidRPr="00E10446" w14:paraId="078B6EF8"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1FB12EC7"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lastRenderedPageBreak/>
              <w:t>GDP</w:t>
            </w:r>
          </w:p>
        </w:tc>
        <w:tc>
          <w:tcPr>
            <w:tcW w:w="1260" w:type="dxa"/>
          </w:tcPr>
          <w:p w14:paraId="6B5C526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0.002535</w:t>
            </w:r>
          </w:p>
        </w:tc>
        <w:tc>
          <w:tcPr>
            <w:tcW w:w="1080" w:type="dxa"/>
          </w:tcPr>
          <w:p w14:paraId="4FD1DF2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0.000786</w:t>
            </w:r>
          </w:p>
        </w:tc>
        <w:tc>
          <w:tcPr>
            <w:tcW w:w="990" w:type="dxa"/>
          </w:tcPr>
          <w:p w14:paraId="416BD68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3.226425</w:t>
            </w:r>
          </w:p>
        </w:tc>
        <w:tc>
          <w:tcPr>
            <w:tcW w:w="990" w:type="dxa"/>
          </w:tcPr>
          <w:p w14:paraId="6111EBA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0.0015</w:t>
            </w:r>
          </w:p>
        </w:tc>
      </w:tr>
      <w:tr w:rsidR="003D7B53" w:rsidRPr="00E10446" w14:paraId="00BECD7F"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890" w:type="dxa"/>
          </w:tcPr>
          <w:p w14:paraId="0B2CE42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260" w:type="dxa"/>
          </w:tcPr>
          <w:p w14:paraId="54389D2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1AF0DE5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258EAA4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6D26B37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18E45A8A"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890" w:type="dxa"/>
          </w:tcPr>
          <w:p w14:paraId="32DE33B7"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260" w:type="dxa"/>
          </w:tcPr>
          <w:p w14:paraId="1172BE43"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9F9D9F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012B6463"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8B6D3B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1D877307"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0B721D5A"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R-squared</w:t>
            </w:r>
          </w:p>
        </w:tc>
        <w:tc>
          <w:tcPr>
            <w:tcW w:w="1260" w:type="dxa"/>
          </w:tcPr>
          <w:p w14:paraId="33DCC88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0.883981</w:t>
            </w:r>
          </w:p>
        </w:tc>
        <w:tc>
          <w:tcPr>
            <w:tcW w:w="2070" w:type="dxa"/>
            <w:gridSpan w:val="2"/>
          </w:tcPr>
          <w:p w14:paraId="3805E425"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Mean dependent var</w:t>
            </w:r>
          </w:p>
        </w:tc>
        <w:tc>
          <w:tcPr>
            <w:tcW w:w="990" w:type="dxa"/>
          </w:tcPr>
          <w:p w14:paraId="550E380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56.69686</w:t>
            </w:r>
          </w:p>
        </w:tc>
      </w:tr>
      <w:tr w:rsidR="003D7B53" w:rsidRPr="00E10446" w14:paraId="6D11A769"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7054A643"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w:t>
            </w:r>
          </w:p>
        </w:tc>
        <w:tc>
          <w:tcPr>
            <w:tcW w:w="1260" w:type="dxa"/>
          </w:tcPr>
          <w:p w14:paraId="7A7B468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0.878216</w:t>
            </w:r>
          </w:p>
        </w:tc>
        <w:tc>
          <w:tcPr>
            <w:tcW w:w="2070" w:type="dxa"/>
            <w:gridSpan w:val="2"/>
          </w:tcPr>
          <w:p w14:paraId="664EBD47"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S.D. dependent var</w:t>
            </w:r>
          </w:p>
        </w:tc>
        <w:tc>
          <w:tcPr>
            <w:tcW w:w="990" w:type="dxa"/>
          </w:tcPr>
          <w:p w14:paraId="75C04B3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5.815704</w:t>
            </w:r>
          </w:p>
        </w:tc>
      </w:tr>
      <w:tr w:rsidR="003D7B53" w:rsidRPr="00E10446" w14:paraId="25467820"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595056DD"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S.E. of regression</w:t>
            </w:r>
          </w:p>
        </w:tc>
        <w:tc>
          <w:tcPr>
            <w:tcW w:w="1260" w:type="dxa"/>
          </w:tcPr>
          <w:p w14:paraId="7A212F8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2.029540</w:t>
            </w:r>
          </w:p>
        </w:tc>
        <w:tc>
          <w:tcPr>
            <w:tcW w:w="2070" w:type="dxa"/>
            <w:gridSpan w:val="2"/>
          </w:tcPr>
          <w:p w14:paraId="662946AD"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Sum squared resid</w:t>
            </w:r>
          </w:p>
        </w:tc>
        <w:tc>
          <w:tcPr>
            <w:tcW w:w="990" w:type="dxa"/>
          </w:tcPr>
          <w:p w14:paraId="588945C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663.1640</w:t>
            </w:r>
          </w:p>
        </w:tc>
      </w:tr>
      <w:tr w:rsidR="003D7B53" w:rsidRPr="00E10446" w14:paraId="566F920D"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1B7B2A23"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Long-run variance</w:t>
            </w:r>
          </w:p>
        </w:tc>
        <w:tc>
          <w:tcPr>
            <w:tcW w:w="1260" w:type="dxa"/>
          </w:tcPr>
          <w:p w14:paraId="5F0C3144"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12.23952</w:t>
            </w:r>
          </w:p>
        </w:tc>
        <w:tc>
          <w:tcPr>
            <w:tcW w:w="1080" w:type="dxa"/>
          </w:tcPr>
          <w:p w14:paraId="71CAF283"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11C6929D"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09F350CE"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0F99C05C"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890" w:type="dxa"/>
          </w:tcPr>
          <w:p w14:paraId="1142E4CD"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260" w:type="dxa"/>
          </w:tcPr>
          <w:p w14:paraId="4E504B6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969EB2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6F6F72F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2199428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63386FA8" w14:textId="54632207" w:rsidR="00010B97" w:rsidRPr="00E10446" w:rsidRDefault="00010B97" w:rsidP="00010B97">
      <w:pPr>
        <w:autoSpaceDE w:val="0"/>
        <w:autoSpaceDN w:val="0"/>
        <w:adjustRightInd w:val="0"/>
        <w:spacing w:after="0" w:line="240" w:lineRule="auto"/>
        <w:rPr>
          <w:rFonts w:ascii="Times New Roman" w:hAnsi="Times New Roman" w:cs="Times New Roman"/>
          <w:b/>
          <w:bCs/>
          <w:color w:val="000000"/>
          <w:sz w:val="18"/>
          <w:szCs w:val="18"/>
        </w:rPr>
      </w:pPr>
      <w:r w:rsidRPr="00E10446">
        <w:rPr>
          <w:rFonts w:ascii="Arial" w:hAnsi="Arial" w:cs="Arial"/>
          <w:color w:val="000000"/>
          <w:sz w:val="18"/>
          <w:szCs w:val="18"/>
        </w:rPr>
        <w:t xml:space="preserve">                        </w:t>
      </w:r>
      <w:r w:rsidR="003D7B53" w:rsidRPr="00E10446">
        <w:rPr>
          <w:rFonts w:ascii="Arial" w:hAnsi="Arial" w:cs="Arial"/>
          <w:color w:val="000000"/>
          <w:sz w:val="18"/>
          <w:szCs w:val="18"/>
        </w:rPr>
        <w:t xml:space="preserve">   </w:t>
      </w:r>
      <w:r w:rsidRPr="00E10446">
        <w:rPr>
          <w:rFonts w:ascii="Arial" w:hAnsi="Arial" w:cs="Arial"/>
          <w:color w:val="000000"/>
          <w:sz w:val="18"/>
          <w:szCs w:val="18"/>
        </w:rPr>
        <w:t xml:space="preserve"> </w:t>
      </w:r>
      <w:r w:rsidRPr="00E10446">
        <w:rPr>
          <w:rFonts w:ascii="Times New Roman" w:hAnsi="Times New Roman" w:cs="Times New Roman"/>
          <w:b/>
          <w:bCs/>
          <w:color w:val="000000"/>
          <w:sz w:val="18"/>
          <w:szCs w:val="18"/>
        </w:rPr>
        <w:t xml:space="preserve">Dependent variable: POV </w:t>
      </w:r>
    </w:p>
    <w:p w14:paraId="3B92F596" w14:textId="202DD6EB" w:rsidR="00010B97" w:rsidRPr="00E10446" w:rsidRDefault="00010B97" w:rsidP="00372FA1">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3D7B53"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0E3F25D2" w14:textId="548AA10B" w:rsidR="003D7B53" w:rsidRPr="00E10446" w:rsidRDefault="00372FA1" w:rsidP="00372FA1">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FMOLS results indicate that renewable energy consumption (RENC) exerts a negative, marginally significant effect on poverty, suggesting its potential in reducing poverty, consistent with (Acheampong et al., 2021). In contrast, non-renewable energy (NRECN) shows a positive effect, implying it may exacerbate poverty, aligning with inefficiency arguments (</w:t>
      </w:r>
      <w:proofErr w:type="spellStart"/>
      <w:r w:rsidRPr="00E10446">
        <w:rPr>
          <w:rStyle w:val="katex-mathml"/>
          <w:rFonts w:ascii="Times New Roman" w:hAnsi="Times New Roman" w:cs="Times New Roman"/>
          <w:sz w:val="24"/>
          <w:szCs w:val="24"/>
        </w:rPr>
        <w:t>Okwanya</w:t>
      </w:r>
      <w:proofErr w:type="spellEnd"/>
      <w:r w:rsidRPr="00E10446">
        <w:rPr>
          <w:rStyle w:val="katex-mathml"/>
          <w:rFonts w:ascii="Times New Roman" w:hAnsi="Times New Roman" w:cs="Times New Roman"/>
          <w:sz w:val="24"/>
          <w:szCs w:val="24"/>
        </w:rPr>
        <w:t xml:space="preserve"> &amp; </w:t>
      </w:r>
      <w:proofErr w:type="spellStart"/>
      <w:r w:rsidRPr="00E10446">
        <w:rPr>
          <w:rStyle w:val="katex-mathml"/>
          <w:rFonts w:ascii="Times New Roman" w:hAnsi="Times New Roman" w:cs="Times New Roman"/>
          <w:sz w:val="24"/>
          <w:szCs w:val="24"/>
        </w:rPr>
        <w:t>Abah</w:t>
      </w:r>
      <w:proofErr w:type="spellEnd"/>
      <w:r w:rsidRPr="00E10446">
        <w:rPr>
          <w:rStyle w:val="katex-mathml"/>
          <w:rFonts w:ascii="Times New Roman" w:hAnsi="Times New Roman" w:cs="Times New Roman"/>
          <w:sz w:val="24"/>
          <w:szCs w:val="24"/>
        </w:rPr>
        <w:t xml:space="preserve">, 2018). GDP significantly increases poverty, reflecting non-inclusive growth patterns (Sarkodie &amp; Adams, 2020). However, labour productivity </w:t>
      </w:r>
      <w:r w:rsidR="00D92E57" w:rsidRPr="00E10446">
        <w:rPr>
          <w:rStyle w:val="katex-mathml"/>
          <w:rFonts w:ascii="Times New Roman" w:hAnsi="Times New Roman" w:cs="Times New Roman"/>
          <w:sz w:val="24"/>
          <w:szCs w:val="24"/>
        </w:rPr>
        <w:t xml:space="preserve">(LAP) </w:t>
      </w:r>
      <w:r w:rsidRPr="00E10446">
        <w:rPr>
          <w:rStyle w:val="katex-mathml"/>
          <w:rFonts w:ascii="Times New Roman" w:hAnsi="Times New Roman" w:cs="Times New Roman"/>
          <w:sz w:val="24"/>
          <w:szCs w:val="24"/>
        </w:rPr>
        <w:t>remains insignificant, contradicting Lin et al. (2023).</w:t>
      </w:r>
    </w:p>
    <w:p w14:paraId="0FFA162C" w14:textId="032A6F70" w:rsidR="00010B97" w:rsidRPr="00E10446" w:rsidRDefault="003D7B53" w:rsidP="003D7B53">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Table 6: </w:t>
      </w:r>
      <w:r w:rsidR="001B1AB5" w:rsidRPr="00E10446">
        <w:rPr>
          <w:rStyle w:val="katex-mathml"/>
          <w:rFonts w:ascii="Times New Roman" w:hAnsi="Times New Roman" w:cs="Times New Roman"/>
          <w:b/>
          <w:bCs/>
          <w:sz w:val="24"/>
          <w:szCs w:val="24"/>
        </w:rPr>
        <w:t xml:space="preserve">Panel </w:t>
      </w:r>
      <w:r w:rsidRPr="00E10446">
        <w:rPr>
          <w:rStyle w:val="katex-mathml"/>
          <w:rFonts w:ascii="Times New Roman" w:hAnsi="Times New Roman" w:cs="Times New Roman"/>
          <w:b/>
          <w:bCs/>
          <w:sz w:val="24"/>
          <w:szCs w:val="24"/>
        </w:rPr>
        <w:t>NARDL R</w:t>
      </w:r>
      <w:r w:rsidR="001B1AB5" w:rsidRPr="00E10446">
        <w:rPr>
          <w:rStyle w:val="katex-mathml"/>
          <w:rFonts w:ascii="Times New Roman" w:hAnsi="Times New Roman" w:cs="Times New Roman"/>
          <w:b/>
          <w:bCs/>
          <w:sz w:val="24"/>
          <w:szCs w:val="24"/>
        </w:rPr>
        <w:t>esult</w:t>
      </w:r>
    </w:p>
    <w:tbl>
      <w:tblPr>
        <w:tblStyle w:val="PlainTable21"/>
        <w:tblW w:w="0" w:type="auto"/>
        <w:jc w:val="center"/>
        <w:tblLayout w:type="fixed"/>
        <w:tblLook w:val="06A0" w:firstRow="1" w:lastRow="0" w:firstColumn="1" w:lastColumn="0" w:noHBand="1" w:noVBand="1"/>
      </w:tblPr>
      <w:tblGrid>
        <w:gridCol w:w="2017"/>
        <w:gridCol w:w="1103"/>
        <w:gridCol w:w="1207"/>
        <w:gridCol w:w="1208"/>
        <w:gridCol w:w="997"/>
      </w:tblGrid>
      <w:tr w:rsidR="003D7B53" w:rsidRPr="00E10446" w14:paraId="7C13101E" w14:textId="77777777" w:rsidTr="003D7B53">
        <w:trPr>
          <w:cnfStyle w:val="100000000000" w:firstRow="1" w:lastRow="0" w:firstColumn="0" w:lastColumn="0" w:oddVBand="0" w:evenVBand="0" w:oddHBand="0" w:evenHBand="0" w:firstRowFirstColumn="0" w:firstRowLastColumn="0" w:lastRowFirstColumn="0" w:lastRowLastColumn="0"/>
          <w:trHeight w:hRule="exact" w:val="352"/>
          <w:jc w:val="center"/>
        </w:trPr>
        <w:tc>
          <w:tcPr>
            <w:cnfStyle w:val="001000000000" w:firstRow="0" w:lastRow="0" w:firstColumn="1" w:lastColumn="0" w:oddVBand="0" w:evenVBand="0" w:oddHBand="0" w:evenHBand="0" w:firstRowFirstColumn="0" w:firstRowLastColumn="0" w:lastRowFirstColumn="0" w:lastRowLastColumn="0"/>
            <w:tcW w:w="2017" w:type="dxa"/>
          </w:tcPr>
          <w:p w14:paraId="1D203FC1" w14:textId="1185743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Variable</w:t>
            </w:r>
          </w:p>
        </w:tc>
        <w:tc>
          <w:tcPr>
            <w:tcW w:w="1103" w:type="dxa"/>
          </w:tcPr>
          <w:p w14:paraId="793A9D09" w14:textId="47C81BE6"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Coefficient</w:t>
            </w:r>
          </w:p>
        </w:tc>
        <w:tc>
          <w:tcPr>
            <w:tcW w:w="1207" w:type="dxa"/>
          </w:tcPr>
          <w:p w14:paraId="58A75EE0" w14:textId="62E3300D"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Std. Error</w:t>
            </w:r>
          </w:p>
        </w:tc>
        <w:tc>
          <w:tcPr>
            <w:tcW w:w="1208" w:type="dxa"/>
          </w:tcPr>
          <w:p w14:paraId="27EF93EA" w14:textId="40B75956"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7" w:type="dxa"/>
          </w:tcPr>
          <w:p w14:paraId="2D0A3800" w14:textId="54EB0052"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Prob.*  </w:t>
            </w:r>
          </w:p>
        </w:tc>
      </w:tr>
      <w:tr w:rsidR="003D7B53" w:rsidRPr="00E10446" w14:paraId="6D22370F"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025E50FA"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775546E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1D8D318F"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4CB3034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A90B95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5827C38C"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1581DCB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2310" w:type="dxa"/>
            <w:gridSpan w:val="2"/>
          </w:tcPr>
          <w:p w14:paraId="31FCAEE5"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Long Run Equation</w:t>
            </w:r>
          </w:p>
        </w:tc>
        <w:tc>
          <w:tcPr>
            <w:tcW w:w="1208" w:type="dxa"/>
          </w:tcPr>
          <w:p w14:paraId="45CE684C"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1A84150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65B55C96"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017" w:type="dxa"/>
          </w:tcPr>
          <w:p w14:paraId="0885C46E"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0ECD590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76DD0355"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17D5D103"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0C020C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456F716D"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79ADC37A"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1A31149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67EF7C4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6980B6EB"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9F6358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05D87474"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F5F3B1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RENC_POS</w:t>
            </w:r>
          </w:p>
        </w:tc>
        <w:tc>
          <w:tcPr>
            <w:tcW w:w="1103" w:type="dxa"/>
          </w:tcPr>
          <w:p w14:paraId="636AA8A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0.118999</w:t>
            </w:r>
          </w:p>
        </w:tc>
        <w:tc>
          <w:tcPr>
            <w:tcW w:w="1207" w:type="dxa"/>
          </w:tcPr>
          <w:p w14:paraId="0DD63EC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0.069628</w:t>
            </w:r>
          </w:p>
        </w:tc>
        <w:tc>
          <w:tcPr>
            <w:tcW w:w="1208" w:type="dxa"/>
          </w:tcPr>
          <w:p w14:paraId="6F33462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1.709069</w:t>
            </w:r>
          </w:p>
        </w:tc>
        <w:tc>
          <w:tcPr>
            <w:tcW w:w="997" w:type="dxa"/>
          </w:tcPr>
          <w:p w14:paraId="1D16917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0.0899</w:t>
            </w:r>
          </w:p>
        </w:tc>
      </w:tr>
      <w:tr w:rsidR="003D7B53" w:rsidRPr="00E10446" w14:paraId="7F5467FA"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BF84C4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RENC_NEG</w:t>
            </w:r>
          </w:p>
        </w:tc>
        <w:tc>
          <w:tcPr>
            <w:tcW w:w="1103" w:type="dxa"/>
          </w:tcPr>
          <w:p w14:paraId="5F92F3D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-0.392547</w:t>
            </w:r>
          </w:p>
        </w:tc>
        <w:tc>
          <w:tcPr>
            <w:tcW w:w="1207" w:type="dxa"/>
          </w:tcPr>
          <w:p w14:paraId="23A26EB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0.115523</w:t>
            </w:r>
          </w:p>
        </w:tc>
        <w:tc>
          <w:tcPr>
            <w:tcW w:w="1208" w:type="dxa"/>
          </w:tcPr>
          <w:p w14:paraId="297DCE2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-3.398007</w:t>
            </w:r>
          </w:p>
        </w:tc>
        <w:tc>
          <w:tcPr>
            <w:tcW w:w="997" w:type="dxa"/>
          </w:tcPr>
          <w:p w14:paraId="5A5B659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0.0009</w:t>
            </w:r>
          </w:p>
        </w:tc>
      </w:tr>
      <w:tr w:rsidR="003D7B53" w:rsidRPr="00E10446" w14:paraId="17A807ED"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6425EF2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NRECN_POS</w:t>
            </w:r>
          </w:p>
        </w:tc>
        <w:tc>
          <w:tcPr>
            <w:tcW w:w="1103" w:type="dxa"/>
          </w:tcPr>
          <w:p w14:paraId="1E53DB5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-0.117612</w:t>
            </w:r>
          </w:p>
        </w:tc>
        <w:tc>
          <w:tcPr>
            <w:tcW w:w="1207" w:type="dxa"/>
          </w:tcPr>
          <w:p w14:paraId="1213943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0.070346</w:t>
            </w:r>
          </w:p>
        </w:tc>
        <w:tc>
          <w:tcPr>
            <w:tcW w:w="1208" w:type="dxa"/>
          </w:tcPr>
          <w:p w14:paraId="1428FCF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-1.671907</w:t>
            </w:r>
          </w:p>
        </w:tc>
        <w:tc>
          <w:tcPr>
            <w:tcW w:w="997" w:type="dxa"/>
          </w:tcPr>
          <w:p w14:paraId="037E1994"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0.0971</w:t>
            </w:r>
          </w:p>
        </w:tc>
      </w:tr>
      <w:tr w:rsidR="003D7B53" w:rsidRPr="00E10446" w14:paraId="426124B5"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444DBAD"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NRECN_NEG</w:t>
            </w:r>
          </w:p>
        </w:tc>
        <w:tc>
          <w:tcPr>
            <w:tcW w:w="1103" w:type="dxa"/>
          </w:tcPr>
          <w:p w14:paraId="00AC47C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0.108179</w:t>
            </w:r>
          </w:p>
        </w:tc>
        <w:tc>
          <w:tcPr>
            <w:tcW w:w="1207" w:type="dxa"/>
          </w:tcPr>
          <w:p w14:paraId="6C496AA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0.050676</w:t>
            </w:r>
          </w:p>
        </w:tc>
        <w:tc>
          <w:tcPr>
            <w:tcW w:w="1208" w:type="dxa"/>
          </w:tcPr>
          <w:p w14:paraId="578DD46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2.134727</w:t>
            </w:r>
          </w:p>
        </w:tc>
        <w:tc>
          <w:tcPr>
            <w:tcW w:w="997" w:type="dxa"/>
          </w:tcPr>
          <w:p w14:paraId="771A2DE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0.0348</w:t>
            </w:r>
          </w:p>
        </w:tc>
      </w:tr>
      <w:tr w:rsidR="003D7B53" w:rsidRPr="00E10446" w14:paraId="60578809"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3CA096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LAP</w:t>
            </w:r>
          </w:p>
        </w:tc>
        <w:tc>
          <w:tcPr>
            <w:tcW w:w="1103" w:type="dxa"/>
          </w:tcPr>
          <w:p w14:paraId="18D7592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-7.313954</w:t>
            </w:r>
          </w:p>
        </w:tc>
        <w:tc>
          <w:tcPr>
            <w:tcW w:w="1207" w:type="dxa"/>
          </w:tcPr>
          <w:p w14:paraId="1883475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5.803997</w:t>
            </w:r>
          </w:p>
        </w:tc>
        <w:tc>
          <w:tcPr>
            <w:tcW w:w="1208" w:type="dxa"/>
          </w:tcPr>
          <w:p w14:paraId="7F54B43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-1.260158</w:t>
            </w:r>
          </w:p>
        </w:tc>
        <w:tc>
          <w:tcPr>
            <w:tcW w:w="997" w:type="dxa"/>
          </w:tcPr>
          <w:p w14:paraId="6F92732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0.2100</w:t>
            </w:r>
          </w:p>
        </w:tc>
      </w:tr>
      <w:tr w:rsidR="003D7B53" w:rsidRPr="00E10446" w14:paraId="008ACBB1"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190AB363"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GDP</w:t>
            </w:r>
          </w:p>
        </w:tc>
        <w:tc>
          <w:tcPr>
            <w:tcW w:w="1103" w:type="dxa"/>
          </w:tcPr>
          <w:p w14:paraId="4A90A8F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0.004869</w:t>
            </w:r>
          </w:p>
        </w:tc>
        <w:tc>
          <w:tcPr>
            <w:tcW w:w="1207" w:type="dxa"/>
          </w:tcPr>
          <w:p w14:paraId="2AAE066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0.001577</w:t>
            </w:r>
          </w:p>
        </w:tc>
        <w:tc>
          <w:tcPr>
            <w:tcW w:w="1208" w:type="dxa"/>
          </w:tcPr>
          <w:p w14:paraId="7139A4D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3.087570</w:t>
            </w:r>
          </w:p>
        </w:tc>
        <w:tc>
          <w:tcPr>
            <w:tcW w:w="997" w:type="dxa"/>
          </w:tcPr>
          <w:p w14:paraId="4B75C81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0.0025</w:t>
            </w:r>
          </w:p>
        </w:tc>
      </w:tr>
      <w:tr w:rsidR="003D7B53" w:rsidRPr="00E10446" w14:paraId="3B692C5F" w14:textId="77777777" w:rsidTr="003D7B53">
        <w:trPr>
          <w:trHeight w:hRule="exact" w:val="80"/>
          <w:jc w:val="center"/>
        </w:trPr>
        <w:tc>
          <w:tcPr>
            <w:cnfStyle w:val="001000000000" w:firstRow="0" w:lastRow="0" w:firstColumn="1" w:lastColumn="0" w:oddVBand="0" w:evenVBand="0" w:oddHBand="0" w:evenHBand="0" w:firstRowFirstColumn="0" w:firstRowLastColumn="0" w:lastRowFirstColumn="0" w:lastRowLastColumn="0"/>
            <w:tcW w:w="2017" w:type="dxa"/>
          </w:tcPr>
          <w:p w14:paraId="67B4FFE5"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25C9CFAF"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4A31233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5A201EF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1D50AF7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44813EFE"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4CD809CF"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16FD271D"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08D2400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04EE303F"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40BD981C"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41437CF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D5A616E"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2310" w:type="dxa"/>
            <w:gridSpan w:val="2"/>
          </w:tcPr>
          <w:p w14:paraId="7F58738D"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Short Run Equation</w:t>
            </w:r>
          </w:p>
        </w:tc>
        <w:tc>
          <w:tcPr>
            <w:tcW w:w="1208" w:type="dxa"/>
          </w:tcPr>
          <w:p w14:paraId="7F55EA1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1E01AC8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5E33159A" w14:textId="77777777" w:rsidTr="003D7B53">
        <w:trPr>
          <w:trHeight w:hRule="exact" w:val="80"/>
          <w:jc w:val="center"/>
        </w:trPr>
        <w:tc>
          <w:tcPr>
            <w:cnfStyle w:val="001000000000" w:firstRow="0" w:lastRow="0" w:firstColumn="1" w:lastColumn="0" w:oddVBand="0" w:evenVBand="0" w:oddHBand="0" w:evenHBand="0" w:firstRowFirstColumn="0" w:firstRowLastColumn="0" w:lastRowFirstColumn="0" w:lastRowLastColumn="0"/>
            <w:tcW w:w="2017" w:type="dxa"/>
          </w:tcPr>
          <w:p w14:paraId="551F1BF3"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258026E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4061156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677FE89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3109C0B8"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091465EB"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68D0AF1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28D96EF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3882549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7AF314EA"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5A7657D5"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478B49A8"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6E968C2F"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COINTEQ01</w:t>
            </w:r>
          </w:p>
        </w:tc>
        <w:tc>
          <w:tcPr>
            <w:tcW w:w="1103" w:type="dxa"/>
          </w:tcPr>
          <w:p w14:paraId="208CE08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-0.071331</w:t>
            </w:r>
          </w:p>
        </w:tc>
        <w:tc>
          <w:tcPr>
            <w:tcW w:w="1207" w:type="dxa"/>
          </w:tcPr>
          <w:p w14:paraId="578EAC2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0.049090</w:t>
            </w:r>
          </w:p>
        </w:tc>
        <w:tc>
          <w:tcPr>
            <w:tcW w:w="1208" w:type="dxa"/>
          </w:tcPr>
          <w:p w14:paraId="1770345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-1.453060</w:t>
            </w:r>
          </w:p>
        </w:tc>
        <w:tc>
          <w:tcPr>
            <w:tcW w:w="997" w:type="dxa"/>
          </w:tcPr>
          <w:p w14:paraId="46946FA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0.1487</w:t>
            </w:r>
          </w:p>
        </w:tc>
      </w:tr>
      <w:tr w:rsidR="003D7B53" w:rsidRPr="00E10446" w14:paraId="64ED0DE1"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4595878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D(RENC_POS)</w:t>
            </w:r>
          </w:p>
        </w:tc>
        <w:tc>
          <w:tcPr>
            <w:tcW w:w="1103" w:type="dxa"/>
          </w:tcPr>
          <w:p w14:paraId="147D033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-0.023087</w:t>
            </w:r>
          </w:p>
        </w:tc>
        <w:tc>
          <w:tcPr>
            <w:tcW w:w="1207" w:type="dxa"/>
          </w:tcPr>
          <w:p w14:paraId="1AF0044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0.016461</w:t>
            </w:r>
          </w:p>
        </w:tc>
        <w:tc>
          <w:tcPr>
            <w:tcW w:w="1208" w:type="dxa"/>
          </w:tcPr>
          <w:p w14:paraId="04E2033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-1.402563</w:t>
            </w:r>
          </w:p>
        </w:tc>
        <w:tc>
          <w:tcPr>
            <w:tcW w:w="997" w:type="dxa"/>
          </w:tcPr>
          <w:p w14:paraId="6DA16D5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0.1632</w:t>
            </w:r>
          </w:p>
        </w:tc>
      </w:tr>
      <w:tr w:rsidR="003D7B53" w:rsidRPr="00E10446" w14:paraId="66351B53"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753A5810"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D(RENC_NEG)</w:t>
            </w:r>
          </w:p>
        </w:tc>
        <w:tc>
          <w:tcPr>
            <w:tcW w:w="1103" w:type="dxa"/>
          </w:tcPr>
          <w:p w14:paraId="5A514A2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0.044489</w:t>
            </w:r>
          </w:p>
        </w:tc>
        <w:tc>
          <w:tcPr>
            <w:tcW w:w="1207" w:type="dxa"/>
          </w:tcPr>
          <w:p w14:paraId="7B96D38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0.025048</w:t>
            </w:r>
          </w:p>
        </w:tc>
        <w:tc>
          <w:tcPr>
            <w:tcW w:w="1208" w:type="dxa"/>
          </w:tcPr>
          <w:p w14:paraId="643E74B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1.776110</w:t>
            </w:r>
          </w:p>
        </w:tc>
        <w:tc>
          <w:tcPr>
            <w:tcW w:w="997" w:type="dxa"/>
          </w:tcPr>
          <w:p w14:paraId="4B10FFE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0.0782</w:t>
            </w:r>
          </w:p>
        </w:tc>
      </w:tr>
      <w:tr w:rsidR="003D7B53" w:rsidRPr="00E10446" w14:paraId="1C5076B9"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1E662F0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D(NRECN_POS)</w:t>
            </w:r>
          </w:p>
        </w:tc>
        <w:tc>
          <w:tcPr>
            <w:tcW w:w="1103" w:type="dxa"/>
          </w:tcPr>
          <w:p w14:paraId="5126B3E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0.017643</w:t>
            </w:r>
          </w:p>
        </w:tc>
        <w:tc>
          <w:tcPr>
            <w:tcW w:w="1207" w:type="dxa"/>
          </w:tcPr>
          <w:p w14:paraId="54D14E2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0.014267</w:t>
            </w:r>
          </w:p>
        </w:tc>
        <w:tc>
          <w:tcPr>
            <w:tcW w:w="1208" w:type="dxa"/>
          </w:tcPr>
          <w:p w14:paraId="7CB0442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1.236625</w:t>
            </w:r>
          </w:p>
        </w:tc>
        <w:tc>
          <w:tcPr>
            <w:tcW w:w="997" w:type="dxa"/>
          </w:tcPr>
          <w:p w14:paraId="11343E8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0.2186</w:t>
            </w:r>
          </w:p>
        </w:tc>
      </w:tr>
      <w:tr w:rsidR="003D7B53" w:rsidRPr="00E10446" w14:paraId="4CAD0D7E"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5E76655"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D(NRECN_NEG)</w:t>
            </w:r>
          </w:p>
        </w:tc>
        <w:tc>
          <w:tcPr>
            <w:tcW w:w="1103" w:type="dxa"/>
          </w:tcPr>
          <w:p w14:paraId="294D9D8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0.035532</w:t>
            </w:r>
          </w:p>
        </w:tc>
        <w:tc>
          <w:tcPr>
            <w:tcW w:w="1207" w:type="dxa"/>
          </w:tcPr>
          <w:p w14:paraId="21A104E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0.042380</w:t>
            </w:r>
          </w:p>
        </w:tc>
        <w:tc>
          <w:tcPr>
            <w:tcW w:w="1208" w:type="dxa"/>
          </w:tcPr>
          <w:p w14:paraId="394703D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0.838410</w:t>
            </w:r>
          </w:p>
        </w:tc>
        <w:tc>
          <w:tcPr>
            <w:tcW w:w="997" w:type="dxa"/>
          </w:tcPr>
          <w:p w14:paraId="746B1FB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0.4034</w:t>
            </w:r>
          </w:p>
        </w:tc>
      </w:tr>
      <w:tr w:rsidR="003D7B53" w:rsidRPr="00E10446" w14:paraId="6B3B649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5EB7C68"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D(LAP)</w:t>
            </w:r>
          </w:p>
        </w:tc>
        <w:tc>
          <w:tcPr>
            <w:tcW w:w="1103" w:type="dxa"/>
          </w:tcPr>
          <w:p w14:paraId="56106F4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1.631771</w:t>
            </w:r>
          </w:p>
        </w:tc>
        <w:tc>
          <w:tcPr>
            <w:tcW w:w="1207" w:type="dxa"/>
          </w:tcPr>
          <w:p w14:paraId="4F8909C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0.568859</w:t>
            </w:r>
          </w:p>
        </w:tc>
        <w:tc>
          <w:tcPr>
            <w:tcW w:w="1208" w:type="dxa"/>
          </w:tcPr>
          <w:p w14:paraId="5748BFC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2.868499</w:t>
            </w:r>
          </w:p>
        </w:tc>
        <w:tc>
          <w:tcPr>
            <w:tcW w:w="997" w:type="dxa"/>
          </w:tcPr>
          <w:p w14:paraId="1CF12C4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0.0048</w:t>
            </w:r>
          </w:p>
        </w:tc>
      </w:tr>
      <w:tr w:rsidR="003D7B53" w:rsidRPr="00E10446" w14:paraId="20AE658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60900BA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D(GDP)</w:t>
            </w:r>
          </w:p>
        </w:tc>
        <w:tc>
          <w:tcPr>
            <w:tcW w:w="1103" w:type="dxa"/>
          </w:tcPr>
          <w:p w14:paraId="111B715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-0.000138</w:t>
            </w:r>
          </w:p>
        </w:tc>
        <w:tc>
          <w:tcPr>
            <w:tcW w:w="1207" w:type="dxa"/>
          </w:tcPr>
          <w:p w14:paraId="64D8CE0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0.000217</w:t>
            </w:r>
          </w:p>
        </w:tc>
        <w:tc>
          <w:tcPr>
            <w:tcW w:w="1208" w:type="dxa"/>
          </w:tcPr>
          <w:p w14:paraId="6C63F8A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-0.633431</w:t>
            </w:r>
          </w:p>
        </w:tc>
        <w:tc>
          <w:tcPr>
            <w:tcW w:w="997" w:type="dxa"/>
          </w:tcPr>
          <w:p w14:paraId="52479F1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0.5276</w:t>
            </w:r>
          </w:p>
        </w:tc>
      </w:tr>
      <w:tr w:rsidR="003D7B53" w:rsidRPr="00E10446" w14:paraId="56BDA64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D7AE7A1"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C</w:t>
            </w:r>
          </w:p>
        </w:tc>
        <w:tc>
          <w:tcPr>
            <w:tcW w:w="1103" w:type="dxa"/>
          </w:tcPr>
          <w:p w14:paraId="4F14ECA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8.756810</w:t>
            </w:r>
          </w:p>
        </w:tc>
        <w:tc>
          <w:tcPr>
            <w:tcW w:w="1207" w:type="dxa"/>
          </w:tcPr>
          <w:p w14:paraId="70C84C8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5.834641</w:t>
            </w:r>
          </w:p>
        </w:tc>
        <w:tc>
          <w:tcPr>
            <w:tcW w:w="1208" w:type="dxa"/>
          </w:tcPr>
          <w:p w14:paraId="4F2C291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1.500831</w:t>
            </w:r>
          </w:p>
        </w:tc>
        <w:tc>
          <w:tcPr>
            <w:tcW w:w="997" w:type="dxa"/>
          </w:tcPr>
          <w:p w14:paraId="6C320A2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0.1359</w:t>
            </w:r>
          </w:p>
        </w:tc>
      </w:tr>
      <w:tr w:rsidR="003D7B53" w:rsidRPr="00E10446" w14:paraId="35485BA1"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017" w:type="dxa"/>
          </w:tcPr>
          <w:p w14:paraId="44A1FAA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15194C88"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0699C6EA"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5470B9C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392E42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6BD2B6CC"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33EFFBB1"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189784BA"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07CB9BBB"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29220557"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19339B1F"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3DA2A31E"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0DBB9557"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Mean dependent var</w:t>
            </w:r>
          </w:p>
        </w:tc>
        <w:tc>
          <w:tcPr>
            <w:tcW w:w="1103" w:type="dxa"/>
          </w:tcPr>
          <w:p w14:paraId="705CED5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0.336970</w:t>
            </w:r>
          </w:p>
        </w:tc>
        <w:tc>
          <w:tcPr>
            <w:tcW w:w="2415" w:type="dxa"/>
            <w:gridSpan w:val="2"/>
          </w:tcPr>
          <w:p w14:paraId="380B02E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S.D. dependent var</w:t>
            </w:r>
          </w:p>
        </w:tc>
        <w:tc>
          <w:tcPr>
            <w:tcW w:w="997" w:type="dxa"/>
          </w:tcPr>
          <w:p w14:paraId="197BCE3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0.287100</w:t>
            </w:r>
          </w:p>
        </w:tc>
      </w:tr>
      <w:tr w:rsidR="003D7B53" w:rsidRPr="00E10446" w14:paraId="1451C6B3"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35883E7"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S.E. of regression</w:t>
            </w:r>
          </w:p>
        </w:tc>
        <w:tc>
          <w:tcPr>
            <w:tcW w:w="1103" w:type="dxa"/>
          </w:tcPr>
          <w:p w14:paraId="15C8EBC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0.229504</w:t>
            </w:r>
          </w:p>
        </w:tc>
        <w:tc>
          <w:tcPr>
            <w:tcW w:w="2415" w:type="dxa"/>
            <w:gridSpan w:val="2"/>
          </w:tcPr>
          <w:p w14:paraId="5809968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Akaike info criterion</w:t>
            </w:r>
          </w:p>
        </w:tc>
        <w:tc>
          <w:tcPr>
            <w:tcW w:w="997" w:type="dxa"/>
          </w:tcPr>
          <w:p w14:paraId="02E1324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0.017654</w:t>
            </w:r>
          </w:p>
        </w:tc>
      </w:tr>
      <w:tr w:rsidR="003D7B53" w:rsidRPr="00E10446" w14:paraId="686FB718"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04087C4"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Sum squared resid</w:t>
            </w:r>
          </w:p>
        </w:tc>
        <w:tc>
          <w:tcPr>
            <w:tcW w:w="1103" w:type="dxa"/>
          </w:tcPr>
          <w:p w14:paraId="66A5204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6.531318</w:t>
            </w:r>
          </w:p>
        </w:tc>
        <w:tc>
          <w:tcPr>
            <w:tcW w:w="2415" w:type="dxa"/>
            <w:gridSpan w:val="2"/>
          </w:tcPr>
          <w:p w14:paraId="67D5095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Schwarz criterion</w:t>
            </w:r>
          </w:p>
        </w:tc>
        <w:tc>
          <w:tcPr>
            <w:tcW w:w="997" w:type="dxa"/>
          </w:tcPr>
          <w:p w14:paraId="72D4CAA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0.866164</w:t>
            </w:r>
          </w:p>
        </w:tc>
      </w:tr>
      <w:tr w:rsidR="003D7B53" w:rsidRPr="00E10446" w14:paraId="0BBF8127"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0CFFDBF"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Log likelihood</w:t>
            </w:r>
          </w:p>
        </w:tc>
        <w:tc>
          <w:tcPr>
            <w:tcW w:w="1103" w:type="dxa"/>
          </w:tcPr>
          <w:p w14:paraId="66463CA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44.49941</w:t>
            </w:r>
          </w:p>
        </w:tc>
        <w:tc>
          <w:tcPr>
            <w:tcW w:w="2415" w:type="dxa"/>
            <w:gridSpan w:val="2"/>
          </w:tcPr>
          <w:p w14:paraId="2F92FD89"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Hannan-Quinn </w:t>
            </w:r>
            <w:proofErr w:type="spellStart"/>
            <w:r w:rsidRPr="00E10446">
              <w:rPr>
                <w:rFonts w:ascii="Times New Roman" w:hAnsi="Times New Roman" w:cs="Times New Roman"/>
                <w:color w:val="000000"/>
                <w:sz w:val="18"/>
                <w:szCs w:val="18"/>
              </w:rPr>
              <w:t>criter</w:t>
            </w:r>
            <w:proofErr w:type="spellEnd"/>
            <w:r w:rsidRPr="00E10446">
              <w:rPr>
                <w:rFonts w:ascii="Times New Roman" w:hAnsi="Times New Roman" w:cs="Times New Roman"/>
                <w:color w:val="000000"/>
                <w:sz w:val="18"/>
                <w:szCs w:val="18"/>
              </w:rPr>
              <w:t>.</w:t>
            </w:r>
          </w:p>
        </w:tc>
        <w:tc>
          <w:tcPr>
            <w:tcW w:w="997" w:type="dxa"/>
          </w:tcPr>
          <w:p w14:paraId="3515433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0.361970</w:t>
            </w:r>
          </w:p>
        </w:tc>
      </w:tr>
      <w:tr w:rsidR="003D7B53" w:rsidRPr="00E10446" w14:paraId="09A590F8"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017" w:type="dxa"/>
          </w:tcPr>
          <w:p w14:paraId="4CCA5A2F"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09F28C9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3907B287"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7758B7B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218BC23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4CB6FADE" w14:textId="4BC91D8D" w:rsidR="003D7B53" w:rsidRPr="00E10446" w:rsidRDefault="003D7B53" w:rsidP="003D7B53">
      <w:pPr>
        <w:autoSpaceDE w:val="0"/>
        <w:autoSpaceDN w:val="0"/>
        <w:adjustRightInd w:val="0"/>
        <w:spacing w:after="0" w:line="240" w:lineRule="auto"/>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 xml:space="preserve">                            Dependent variable: POV </w:t>
      </w:r>
    </w:p>
    <w:p w14:paraId="22C30146" w14:textId="1CE1B0A7" w:rsidR="003D7B53" w:rsidRPr="00E10446" w:rsidRDefault="003D7B53" w:rsidP="003D7B53">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2D6ED816" w14:textId="4E5D99FA" w:rsidR="00FA6A57" w:rsidRPr="00E10446" w:rsidRDefault="00D92E57" w:rsidP="00DF598E">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NARDL results reveal strong asymmetries in the energy–poverty nexus. In the long run, negative shocks to renewable energy (RENC_NEG) significantly reduce poverty, while positive shocks (RENC_POS) paradoxically increase poverty, suggesting inefficiencies in energy distribution, consistent with findings in Energy Economics (Adebayo et al., 2025). Conversely, positive shocks in non-renewable energy (NRECN_POS) reduce poverty, while negative shocks worsen it, reflecting vulnerability to energy disruptions (</w:t>
      </w:r>
      <w:proofErr w:type="spellStart"/>
      <w:r w:rsidRPr="00E10446">
        <w:rPr>
          <w:rStyle w:val="katex-mathml"/>
          <w:rFonts w:ascii="Times New Roman" w:hAnsi="Times New Roman" w:cs="Times New Roman"/>
          <w:sz w:val="24"/>
          <w:szCs w:val="24"/>
        </w:rPr>
        <w:t>Okwanya</w:t>
      </w:r>
      <w:proofErr w:type="spellEnd"/>
      <w:r w:rsidRPr="00E10446">
        <w:rPr>
          <w:rStyle w:val="katex-mathml"/>
          <w:rFonts w:ascii="Times New Roman" w:hAnsi="Times New Roman" w:cs="Times New Roman"/>
          <w:sz w:val="24"/>
          <w:szCs w:val="24"/>
        </w:rPr>
        <w:t xml:space="preserve"> &amp; </w:t>
      </w:r>
      <w:proofErr w:type="spellStart"/>
      <w:r w:rsidRPr="00E10446">
        <w:rPr>
          <w:rStyle w:val="katex-mathml"/>
          <w:rFonts w:ascii="Times New Roman" w:hAnsi="Times New Roman" w:cs="Times New Roman"/>
          <w:sz w:val="24"/>
          <w:szCs w:val="24"/>
        </w:rPr>
        <w:t>Abah</w:t>
      </w:r>
      <w:proofErr w:type="spellEnd"/>
      <w:r w:rsidRPr="00E10446">
        <w:rPr>
          <w:rStyle w:val="katex-mathml"/>
          <w:rFonts w:ascii="Times New Roman" w:hAnsi="Times New Roman" w:cs="Times New Roman"/>
          <w:sz w:val="24"/>
          <w:szCs w:val="24"/>
        </w:rPr>
        <w:t>, 2018). GDP significantly increases poverty, reinforcing non-inclusive growth patterns (Sarkodie &amp; Adams, 2020). In the short run, labour productivity (LAP) significantly reduces poverty, supporting transmission mechanisms (Lin et al., 2023), although the weak error correction term suggests slow adjustment to equilibrium.</w:t>
      </w:r>
    </w:p>
    <w:p w14:paraId="3920A44D" w14:textId="5C0B0294" w:rsidR="00DA5CB2" w:rsidRPr="00E10446" w:rsidRDefault="003D7B53" w:rsidP="00D03FD0">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lastRenderedPageBreak/>
        <w:t xml:space="preserve">Table 7: </w:t>
      </w:r>
      <w:r w:rsidR="00D03FD0" w:rsidRPr="00E10446">
        <w:rPr>
          <w:rStyle w:val="katex-mathml"/>
          <w:rFonts w:ascii="Times New Roman" w:hAnsi="Times New Roman" w:cs="Times New Roman"/>
          <w:b/>
          <w:bCs/>
          <w:sz w:val="24"/>
          <w:szCs w:val="24"/>
        </w:rPr>
        <w:t>Quantile Regression (Median)</w:t>
      </w:r>
    </w:p>
    <w:tbl>
      <w:tblPr>
        <w:tblStyle w:val="PlainTable2"/>
        <w:tblW w:w="0" w:type="auto"/>
        <w:jc w:val="center"/>
        <w:tblLook w:val="06A0" w:firstRow="1" w:lastRow="0" w:firstColumn="1" w:lastColumn="0" w:noHBand="1" w:noVBand="1"/>
      </w:tblPr>
      <w:tblGrid>
        <w:gridCol w:w="1035"/>
        <w:gridCol w:w="1186"/>
        <w:gridCol w:w="767"/>
        <w:gridCol w:w="1186"/>
        <w:gridCol w:w="767"/>
        <w:gridCol w:w="1186"/>
        <w:gridCol w:w="830"/>
        <w:gridCol w:w="1186"/>
        <w:gridCol w:w="767"/>
      </w:tblGrid>
      <w:tr w:rsidR="00FF0F80" w:rsidRPr="00E10446" w14:paraId="38E902D3" w14:textId="77777777" w:rsidTr="00FF0F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 w:type="dxa"/>
          </w:tcPr>
          <w:p w14:paraId="5C05D110" w14:textId="77777777" w:rsidR="00FF0F80" w:rsidRPr="00E10446" w:rsidRDefault="00FF0F80" w:rsidP="009D3561">
            <w:pPr>
              <w:rPr>
                <w:rFonts w:ascii="Times New Roman" w:hAnsi="Times New Roman" w:cs="Times New Roman"/>
              </w:rPr>
            </w:pPr>
          </w:p>
        </w:tc>
        <w:tc>
          <w:tcPr>
            <w:tcW w:w="3906" w:type="dxa"/>
            <w:gridSpan w:val="4"/>
          </w:tcPr>
          <w:p w14:paraId="66324AEC" w14:textId="77777777" w:rsidR="00FF0F80" w:rsidRPr="00E10446" w:rsidRDefault="00FF0F80" w:rsidP="009D35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Lower Quantile</w:t>
            </w:r>
          </w:p>
        </w:tc>
        <w:tc>
          <w:tcPr>
            <w:tcW w:w="3969" w:type="dxa"/>
            <w:gridSpan w:val="4"/>
          </w:tcPr>
          <w:p w14:paraId="32712018" w14:textId="77777777" w:rsidR="00FF0F80" w:rsidRPr="00E10446" w:rsidRDefault="00FF0F80" w:rsidP="009D35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Upper Quantile</w:t>
            </w:r>
          </w:p>
        </w:tc>
      </w:tr>
      <w:tr w:rsidR="00FF0F80" w:rsidRPr="00E10446" w14:paraId="3AEF67C6"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5E1E24C7" w14:textId="77777777" w:rsidR="00FF0F80" w:rsidRPr="00E10446" w:rsidRDefault="00FF0F80" w:rsidP="009D3561">
            <w:pPr>
              <w:rPr>
                <w:rFonts w:ascii="Times New Roman" w:hAnsi="Times New Roman" w:cs="Times New Roman"/>
              </w:rPr>
            </w:pPr>
          </w:p>
        </w:tc>
        <w:tc>
          <w:tcPr>
            <w:tcW w:w="1953" w:type="dxa"/>
            <w:gridSpan w:val="2"/>
          </w:tcPr>
          <w:p w14:paraId="4575D51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0.10)</w:t>
            </w:r>
          </w:p>
        </w:tc>
        <w:tc>
          <w:tcPr>
            <w:tcW w:w="1953" w:type="dxa"/>
            <w:gridSpan w:val="2"/>
          </w:tcPr>
          <w:p w14:paraId="547D85D0" w14:textId="77777777" w:rsidR="00FF0F80" w:rsidRPr="00E10446" w:rsidRDefault="00FF0F80" w:rsidP="009D3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0.20)</w:t>
            </w:r>
          </w:p>
        </w:tc>
        <w:tc>
          <w:tcPr>
            <w:tcW w:w="2016" w:type="dxa"/>
            <w:gridSpan w:val="2"/>
          </w:tcPr>
          <w:p w14:paraId="6E8352F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0.80)</w:t>
            </w:r>
          </w:p>
        </w:tc>
        <w:tc>
          <w:tcPr>
            <w:tcW w:w="1953" w:type="dxa"/>
            <w:gridSpan w:val="2"/>
          </w:tcPr>
          <w:p w14:paraId="3F12450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0.90)</w:t>
            </w:r>
          </w:p>
        </w:tc>
      </w:tr>
      <w:tr w:rsidR="00FF0F80" w:rsidRPr="00E10446" w14:paraId="46EC9027"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0D6CFA4A" w14:textId="77777777" w:rsidR="00FF0F80" w:rsidRPr="00E10446" w:rsidRDefault="00FF0F80" w:rsidP="009D3561">
            <w:pPr>
              <w:rPr>
                <w:rFonts w:ascii="Times New Roman" w:hAnsi="Times New Roman" w:cs="Times New Roman"/>
              </w:rPr>
            </w:pPr>
            <w:r w:rsidRPr="00E10446">
              <w:rPr>
                <w:rFonts w:ascii="Times New Roman" w:hAnsi="Times New Roman" w:cs="Times New Roman"/>
              </w:rPr>
              <w:t>Variable</w:t>
            </w:r>
          </w:p>
        </w:tc>
        <w:tc>
          <w:tcPr>
            <w:tcW w:w="1186" w:type="dxa"/>
          </w:tcPr>
          <w:p w14:paraId="28CA96D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7F0890A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06A2A13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280EFA78"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61AB985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830" w:type="dxa"/>
          </w:tcPr>
          <w:p w14:paraId="0F0158FE"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41BFD20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76E8400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r>
      <w:tr w:rsidR="00FF0F80" w:rsidRPr="00E10446" w14:paraId="3B4AA8AB"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7C62F2B8"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RENC</w:t>
            </w:r>
          </w:p>
        </w:tc>
        <w:tc>
          <w:tcPr>
            <w:tcW w:w="1186" w:type="dxa"/>
          </w:tcPr>
          <w:p w14:paraId="7B0672C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-0.304840</w:t>
            </w:r>
          </w:p>
        </w:tc>
        <w:tc>
          <w:tcPr>
            <w:tcW w:w="767" w:type="dxa"/>
          </w:tcPr>
          <w:p w14:paraId="416E38E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3C89AC1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-0.307645</w:t>
            </w:r>
          </w:p>
        </w:tc>
        <w:tc>
          <w:tcPr>
            <w:tcW w:w="767" w:type="dxa"/>
          </w:tcPr>
          <w:p w14:paraId="089BD4B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5D3C023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-0.301675</w:t>
            </w:r>
          </w:p>
        </w:tc>
        <w:tc>
          <w:tcPr>
            <w:tcW w:w="830" w:type="dxa"/>
          </w:tcPr>
          <w:p w14:paraId="622EB9D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0.0000</w:t>
            </w:r>
          </w:p>
        </w:tc>
        <w:tc>
          <w:tcPr>
            <w:tcW w:w="1186" w:type="dxa"/>
          </w:tcPr>
          <w:p w14:paraId="359D867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-0.295706</w:t>
            </w:r>
          </w:p>
        </w:tc>
        <w:tc>
          <w:tcPr>
            <w:tcW w:w="767" w:type="dxa"/>
          </w:tcPr>
          <w:p w14:paraId="773B5C2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r>
      <w:tr w:rsidR="00FF0F80" w:rsidRPr="00E10446" w14:paraId="12DFD484"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3A358F00"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NRECN</w:t>
            </w:r>
          </w:p>
        </w:tc>
        <w:tc>
          <w:tcPr>
            <w:tcW w:w="1186" w:type="dxa"/>
          </w:tcPr>
          <w:p w14:paraId="33BBB58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0.039180</w:t>
            </w:r>
          </w:p>
        </w:tc>
        <w:tc>
          <w:tcPr>
            <w:tcW w:w="767" w:type="dxa"/>
          </w:tcPr>
          <w:p w14:paraId="43302DF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0.3268</w:t>
            </w:r>
          </w:p>
        </w:tc>
        <w:tc>
          <w:tcPr>
            <w:tcW w:w="1186" w:type="dxa"/>
          </w:tcPr>
          <w:p w14:paraId="2A6178B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0.006221</w:t>
            </w:r>
          </w:p>
        </w:tc>
        <w:tc>
          <w:tcPr>
            <w:tcW w:w="767" w:type="dxa"/>
          </w:tcPr>
          <w:p w14:paraId="785FC4B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0.8578</w:t>
            </w:r>
          </w:p>
        </w:tc>
        <w:tc>
          <w:tcPr>
            <w:tcW w:w="1186" w:type="dxa"/>
          </w:tcPr>
          <w:p w14:paraId="0D0B677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 xml:space="preserve"> 0.016469</w:t>
            </w:r>
          </w:p>
        </w:tc>
        <w:tc>
          <w:tcPr>
            <w:tcW w:w="830" w:type="dxa"/>
          </w:tcPr>
          <w:p w14:paraId="098D342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0.0336</w:t>
            </w:r>
          </w:p>
        </w:tc>
        <w:tc>
          <w:tcPr>
            <w:tcW w:w="1186" w:type="dxa"/>
          </w:tcPr>
          <w:p w14:paraId="0916493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0.012412</w:t>
            </w:r>
          </w:p>
        </w:tc>
        <w:tc>
          <w:tcPr>
            <w:tcW w:w="767" w:type="dxa"/>
          </w:tcPr>
          <w:p w14:paraId="370340F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0.0637</w:t>
            </w:r>
          </w:p>
        </w:tc>
      </w:tr>
      <w:tr w:rsidR="00FF0F80" w:rsidRPr="00E10446" w14:paraId="76C104BA"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2FE899CE"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LAP</w:t>
            </w:r>
          </w:p>
        </w:tc>
        <w:tc>
          <w:tcPr>
            <w:tcW w:w="1186" w:type="dxa"/>
          </w:tcPr>
          <w:p w14:paraId="0961431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-5.742665</w:t>
            </w:r>
          </w:p>
        </w:tc>
        <w:tc>
          <w:tcPr>
            <w:tcW w:w="767" w:type="dxa"/>
          </w:tcPr>
          <w:p w14:paraId="735869C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0.0609</w:t>
            </w:r>
          </w:p>
        </w:tc>
        <w:tc>
          <w:tcPr>
            <w:tcW w:w="1186" w:type="dxa"/>
          </w:tcPr>
          <w:p w14:paraId="21DDF02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-2.972207</w:t>
            </w:r>
          </w:p>
        </w:tc>
        <w:tc>
          <w:tcPr>
            <w:tcW w:w="767" w:type="dxa"/>
          </w:tcPr>
          <w:p w14:paraId="5A51BB6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0.1688</w:t>
            </w:r>
          </w:p>
        </w:tc>
        <w:tc>
          <w:tcPr>
            <w:tcW w:w="1186" w:type="dxa"/>
          </w:tcPr>
          <w:p w14:paraId="0C8EB4E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-0.000415</w:t>
            </w:r>
          </w:p>
        </w:tc>
        <w:tc>
          <w:tcPr>
            <w:tcW w:w="830" w:type="dxa"/>
          </w:tcPr>
          <w:p w14:paraId="59BF105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0.0368</w:t>
            </w:r>
          </w:p>
        </w:tc>
        <w:tc>
          <w:tcPr>
            <w:tcW w:w="1186" w:type="dxa"/>
          </w:tcPr>
          <w:p w14:paraId="11E3585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-0.000373</w:t>
            </w:r>
          </w:p>
        </w:tc>
        <w:tc>
          <w:tcPr>
            <w:tcW w:w="767" w:type="dxa"/>
          </w:tcPr>
          <w:p w14:paraId="59C1B17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0.0569</w:t>
            </w:r>
          </w:p>
        </w:tc>
      </w:tr>
      <w:tr w:rsidR="00FF0F80" w:rsidRPr="00E10446" w14:paraId="5C6AF8E4"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65DF5B1D"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GDP</w:t>
            </w:r>
          </w:p>
        </w:tc>
        <w:tc>
          <w:tcPr>
            <w:tcW w:w="1186" w:type="dxa"/>
          </w:tcPr>
          <w:p w14:paraId="44B7580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0.003244</w:t>
            </w:r>
          </w:p>
        </w:tc>
        <w:tc>
          <w:tcPr>
            <w:tcW w:w="767" w:type="dxa"/>
          </w:tcPr>
          <w:p w14:paraId="48B7EA7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0.0001</w:t>
            </w:r>
          </w:p>
        </w:tc>
        <w:tc>
          <w:tcPr>
            <w:tcW w:w="1186" w:type="dxa"/>
          </w:tcPr>
          <w:p w14:paraId="52ABAC3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0.002802</w:t>
            </w:r>
          </w:p>
        </w:tc>
        <w:tc>
          <w:tcPr>
            <w:tcW w:w="767" w:type="dxa"/>
          </w:tcPr>
          <w:p w14:paraId="1EFB1FB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0.0010</w:t>
            </w:r>
          </w:p>
        </w:tc>
        <w:tc>
          <w:tcPr>
            <w:tcW w:w="1186" w:type="dxa"/>
          </w:tcPr>
          <w:p w14:paraId="22FC5F8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0.000650</w:t>
            </w:r>
          </w:p>
        </w:tc>
        <w:tc>
          <w:tcPr>
            <w:tcW w:w="830" w:type="dxa"/>
          </w:tcPr>
          <w:p w14:paraId="46E8E8A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0.4863</w:t>
            </w:r>
          </w:p>
        </w:tc>
        <w:tc>
          <w:tcPr>
            <w:tcW w:w="1186" w:type="dxa"/>
          </w:tcPr>
          <w:p w14:paraId="7031194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0.000640</w:t>
            </w:r>
          </w:p>
        </w:tc>
        <w:tc>
          <w:tcPr>
            <w:tcW w:w="767" w:type="dxa"/>
          </w:tcPr>
          <w:p w14:paraId="26A3290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0.4903</w:t>
            </w:r>
          </w:p>
        </w:tc>
      </w:tr>
      <w:tr w:rsidR="00FF0F80" w:rsidRPr="00E10446" w14:paraId="2F64CCBF"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0EDB37DF"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C</w:t>
            </w:r>
          </w:p>
        </w:tc>
        <w:tc>
          <w:tcPr>
            <w:tcW w:w="1186" w:type="dxa"/>
          </w:tcPr>
          <w:p w14:paraId="0AFB0ED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121.7864</w:t>
            </w:r>
          </w:p>
        </w:tc>
        <w:tc>
          <w:tcPr>
            <w:tcW w:w="767" w:type="dxa"/>
          </w:tcPr>
          <w:p w14:paraId="5C75747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21011C8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98.84877</w:t>
            </w:r>
          </w:p>
        </w:tc>
        <w:tc>
          <w:tcPr>
            <w:tcW w:w="767" w:type="dxa"/>
          </w:tcPr>
          <w:p w14:paraId="42B0E64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177DF25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82.98913</w:t>
            </w:r>
          </w:p>
        </w:tc>
        <w:tc>
          <w:tcPr>
            <w:tcW w:w="830" w:type="dxa"/>
          </w:tcPr>
          <w:p w14:paraId="55C73D0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0.0000</w:t>
            </w:r>
          </w:p>
        </w:tc>
        <w:tc>
          <w:tcPr>
            <w:tcW w:w="1186" w:type="dxa"/>
          </w:tcPr>
          <w:p w14:paraId="577C7F8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82.75605</w:t>
            </w:r>
          </w:p>
        </w:tc>
        <w:tc>
          <w:tcPr>
            <w:tcW w:w="767" w:type="dxa"/>
          </w:tcPr>
          <w:p w14:paraId="5E34EC9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r>
      <w:tr w:rsidR="00FF0F80" w:rsidRPr="00E10446" w14:paraId="4228A089" w14:textId="77777777" w:rsidTr="00FF0F80">
        <w:trPr>
          <w:trHeight w:val="1142"/>
          <w:jc w:val="center"/>
        </w:trPr>
        <w:tc>
          <w:tcPr>
            <w:cnfStyle w:val="001000000000" w:firstRow="0" w:lastRow="0" w:firstColumn="1" w:lastColumn="0" w:oddVBand="0" w:evenVBand="0" w:oddHBand="0" w:evenHBand="0" w:firstRowFirstColumn="0" w:firstRowLastColumn="0" w:lastRowFirstColumn="0" w:lastRowLastColumn="0"/>
            <w:tcW w:w="1035" w:type="dxa"/>
          </w:tcPr>
          <w:p w14:paraId="490F9334" w14:textId="77777777" w:rsidR="00FF0F80" w:rsidRPr="00E10446" w:rsidRDefault="00FF0F80" w:rsidP="009D3561">
            <w:pPr>
              <w:rPr>
                <w:rFonts w:ascii="Times New Roman" w:hAnsi="Times New Roman" w:cs="Times New Roman"/>
                <w:color w:val="000000"/>
                <w:sz w:val="18"/>
                <w:szCs w:val="18"/>
              </w:rPr>
            </w:pPr>
          </w:p>
        </w:tc>
        <w:tc>
          <w:tcPr>
            <w:tcW w:w="1953" w:type="dxa"/>
            <w:gridSpan w:val="2"/>
          </w:tcPr>
          <w:p w14:paraId="758F073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0B155E5E"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0.540610</w:t>
            </w:r>
          </w:p>
          <w:p w14:paraId="4DD20068"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0.529801</w:t>
            </w:r>
          </w:p>
          <w:p w14:paraId="0C6681D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953" w:type="dxa"/>
            <w:gridSpan w:val="2"/>
          </w:tcPr>
          <w:p w14:paraId="538F790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4222172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0.525609</w:t>
            </w:r>
          </w:p>
          <w:p w14:paraId="30DEC2F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0.514447</w:t>
            </w:r>
          </w:p>
          <w:p w14:paraId="6CEAD72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016" w:type="dxa"/>
            <w:gridSpan w:val="2"/>
          </w:tcPr>
          <w:p w14:paraId="084D917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22D2846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0.631204</w:t>
            </w:r>
          </w:p>
          <w:p w14:paraId="012D6AA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0.622526</w:t>
            </w:r>
          </w:p>
          <w:p w14:paraId="4660AA2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953" w:type="dxa"/>
            <w:gridSpan w:val="2"/>
          </w:tcPr>
          <w:p w14:paraId="056DA50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5A615F6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0.660048</w:t>
            </w:r>
          </w:p>
          <w:p w14:paraId="6494D18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0.652049</w:t>
            </w:r>
          </w:p>
          <w:p w14:paraId="3C37C26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3809B241" w14:textId="77777777" w:rsidR="00FF0F80" w:rsidRPr="00E10446" w:rsidRDefault="00FF0F80" w:rsidP="00FF0F80">
      <w:pPr>
        <w:autoSpaceDE w:val="0"/>
        <w:autoSpaceDN w:val="0"/>
        <w:adjustRightInd w:val="0"/>
        <w:spacing w:after="0" w:line="240" w:lineRule="auto"/>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Dependent variable: POV </w:t>
      </w:r>
    </w:p>
    <w:p w14:paraId="6708413A" w14:textId="39D92FD4" w:rsidR="00FF0F80" w:rsidRPr="00E10446" w:rsidRDefault="00FF0F80" w:rsidP="00FF0F80">
      <w:pPr>
        <w:spacing w:line="240" w:lineRule="auto"/>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0D24B96A" w14:textId="26D825D6" w:rsidR="006C6C49" w:rsidRPr="00E10446" w:rsidRDefault="006C6C49" w:rsidP="006C6C49">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The quantile results reveal important distributional asymmetries in the energy–poverty nexus across West Africa. At lower quantiles (τ = 0.10–0.20), representing relatively low-poverty or short-run contexts, renewable energy consumption (RENC) exerts a strong and significant poverty-reducing effect, consistent with evidence that early-stage energy access improves livelihoods and welfare (Acheampong et al., 2021). GDP is also positive and significant, suggesting that growth contributes to poverty reduction in relatively better-performing contexts, though this may reflect transitional inequality effects (Sarkodie &amp; Adams, 2020). However, non-renewable energy (NRECN) remains insignificant, indicating limited efficiency in poverty transmission (</w:t>
      </w:r>
      <w:proofErr w:type="spellStart"/>
      <w:r w:rsidRPr="00E10446">
        <w:rPr>
          <w:rFonts w:ascii="Times New Roman" w:eastAsia="Times New Roman" w:hAnsi="Times New Roman" w:cs="Times New Roman"/>
          <w:sz w:val="24"/>
          <w:szCs w:val="24"/>
          <w:lang w:eastAsia="en-GB"/>
        </w:rPr>
        <w:t>Okwanya</w:t>
      </w:r>
      <w:proofErr w:type="spellEnd"/>
      <w:r w:rsidRPr="00E10446">
        <w:rPr>
          <w:rFonts w:ascii="Times New Roman" w:eastAsia="Times New Roman" w:hAnsi="Times New Roman" w:cs="Times New Roman"/>
          <w:sz w:val="24"/>
          <w:szCs w:val="24"/>
          <w:lang w:eastAsia="en-GB"/>
        </w:rPr>
        <w:t xml:space="preserve"> &amp; </w:t>
      </w:r>
      <w:proofErr w:type="spellStart"/>
      <w:r w:rsidRPr="00E10446">
        <w:rPr>
          <w:rFonts w:ascii="Times New Roman" w:eastAsia="Times New Roman" w:hAnsi="Times New Roman" w:cs="Times New Roman"/>
          <w:sz w:val="24"/>
          <w:szCs w:val="24"/>
          <w:lang w:eastAsia="en-GB"/>
        </w:rPr>
        <w:t>Abah</w:t>
      </w:r>
      <w:proofErr w:type="spellEnd"/>
      <w:r w:rsidRPr="00E10446">
        <w:rPr>
          <w:rFonts w:ascii="Times New Roman" w:eastAsia="Times New Roman" w:hAnsi="Times New Roman" w:cs="Times New Roman"/>
          <w:sz w:val="24"/>
          <w:szCs w:val="24"/>
          <w:lang w:eastAsia="en-GB"/>
        </w:rPr>
        <w:t>, 2018).</w:t>
      </w:r>
    </w:p>
    <w:p w14:paraId="710CB3CB" w14:textId="1018B2D6" w:rsidR="00FF0F80" w:rsidRPr="00E10446" w:rsidRDefault="006C6C49" w:rsidP="00B12A30">
      <w:pPr>
        <w:spacing w:line="240" w:lineRule="auto"/>
        <w:jc w:val="both"/>
        <w:rPr>
          <w:rStyle w:val="katex-mathml"/>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At upper quantiles (τ = 0.80–0.90), reflecting high-poverty or structurally constrained contexts, RENC remains consistently negative and significant, confirming its robustness in addressing deep poverty through sustainable channels. In contrast, NRECN becomes weakly significant and positive, suggesting that fossil-based energy may exacerbate poverty due to cost and access constraints. Labour productivity (LAP) shows diminishing but significant effects, implying structural rigidities in highly impoverished regions (Lin et al., 2023). GDP becomes insignificant, reinforcing that growth alone is insufficient without inclusiveness. These findings justify the use of quantile regression, as average effects would obscure these critical heterogeneities.</w:t>
      </w:r>
    </w:p>
    <w:p w14:paraId="1560BBF9" w14:textId="523F63D3" w:rsidR="00741344" w:rsidRPr="00E10446" w:rsidRDefault="00741344" w:rsidP="00F03BE4">
      <w:pPr>
        <w:spacing w:line="240" w:lineRule="auto"/>
        <w:jc w:val="center"/>
        <w:rPr>
          <w:rFonts w:ascii="Times New Roman" w:hAnsi="Times New Roman" w:cs="Times New Roman"/>
          <w:b/>
          <w:bCs/>
          <w:color w:val="000000"/>
          <w:sz w:val="24"/>
          <w:szCs w:val="24"/>
        </w:rPr>
      </w:pPr>
      <w:r w:rsidRPr="00E10446">
        <w:rPr>
          <w:rFonts w:ascii="Times New Roman" w:hAnsi="Times New Roman" w:cs="Times New Roman"/>
          <w:b/>
          <w:bCs/>
          <w:noProof/>
          <w:sz w:val="24"/>
          <w:szCs w:val="24"/>
        </w:rPr>
        <w:t xml:space="preserve">Table 8: </w:t>
      </w:r>
      <w:r w:rsidRPr="00E10446">
        <w:rPr>
          <w:rFonts w:ascii="Times New Roman" w:hAnsi="Times New Roman" w:cs="Times New Roman"/>
          <w:b/>
          <w:bCs/>
          <w:color w:val="000000"/>
          <w:sz w:val="24"/>
          <w:szCs w:val="24"/>
        </w:rPr>
        <w:t>Quantile Process Estimates</w:t>
      </w:r>
    </w:p>
    <w:tbl>
      <w:tblPr>
        <w:tblStyle w:val="PlainTable21"/>
        <w:tblW w:w="0" w:type="auto"/>
        <w:tblInd w:w="450" w:type="dxa"/>
        <w:tblLook w:val="06A0" w:firstRow="1" w:lastRow="0" w:firstColumn="1" w:lastColumn="0" w:noHBand="1" w:noVBand="1"/>
      </w:tblPr>
      <w:tblGrid>
        <w:gridCol w:w="1035"/>
        <w:gridCol w:w="887"/>
        <w:gridCol w:w="1333"/>
        <w:gridCol w:w="990"/>
        <w:gridCol w:w="1350"/>
        <w:gridCol w:w="1350"/>
        <w:gridCol w:w="990"/>
      </w:tblGrid>
      <w:tr w:rsidR="00B12A30" w:rsidRPr="00E10446" w14:paraId="0042EF69" w14:textId="77777777" w:rsidTr="00B12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000E92" w14:textId="56B9F5BF" w:rsidR="00741344" w:rsidRPr="00E10446" w:rsidRDefault="00016310" w:rsidP="00741344">
            <w:pPr>
              <w:jc w:val="center"/>
              <w:rPr>
                <w:rFonts w:ascii="Times New Roman" w:hAnsi="Times New Roman" w:cs="Times New Roman"/>
              </w:rPr>
            </w:pPr>
            <w:r w:rsidRPr="00E10446">
              <w:rPr>
                <w:rFonts w:ascii="Times New Roman" w:hAnsi="Times New Roman" w:cs="Times New Roman"/>
                <w:color w:val="000000"/>
              </w:rPr>
              <w:t>Lower Quantile</w:t>
            </w:r>
          </w:p>
        </w:tc>
        <w:tc>
          <w:tcPr>
            <w:tcW w:w="3210" w:type="dxa"/>
            <w:gridSpan w:val="3"/>
          </w:tcPr>
          <w:p w14:paraId="1042BC90" w14:textId="77777777" w:rsidR="00016310"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p>
          <w:p w14:paraId="113BB60F" w14:textId="1E5DD1B5"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quantile tau = 0.10</w:t>
            </w:r>
          </w:p>
        </w:tc>
        <w:tc>
          <w:tcPr>
            <w:tcW w:w="1350" w:type="dxa"/>
          </w:tcPr>
          <w:p w14:paraId="3AC407B6" w14:textId="3D4FDF62"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rPr>
              <w:t>Upper Quantile</w:t>
            </w:r>
          </w:p>
        </w:tc>
        <w:tc>
          <w:tcPr>
            <w:tcW w:w="2340" w:type="dxa"/>
            <w:gridSpan w:val="2"/>
          </w:tcPr>
          <w:p w14:paraId="50887784" w14:textId="77777777" w:rsidR="00016310"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p>
          <w:p w14:paraId="0D6895AE" w14:textId="37158B29"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quantile tau = 0.90</w:t>
            </w:r>
          </w:p>
        </w:tc>
      </w:tr>
      <w:tr w:rsidR="00741344" w:rsidRPr="00E10446" w14:paraId="01DD9D54"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2E72F4A"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rPr>
              <w:t>Variable</w:t>
            </w:r>
          </w:p>
        </w:tc>
        <w:tc>
          <w:tcPr>
            <w:tcW w:w="887" w:type="dxa"/>
          </w:tcPr>
          <w:p w14:paraId="1A0E00C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Quantile</w:t>
            </w:r>
          </w:p>
        </w:tc>
        <w:tc>
          <w:tcPr>
            <w:tcW w:w="1333" w:type="dxa"/>
          </w:tcPr>
          <w:p w14:paraId="2641955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Coefficient</w:t>
            </w:r>
          </w:p>
        </w:tc>
        <w:tc>
          <w:tcPr>
            <w:tcW w:w="990" w:type="dxa"/>
          </w:tcPr>
          <w:p w14:paraId="3D09D39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Prob.</w:t>
            </w:r>
          </w:p>
        </w:tc>
        <w:tc>
          <w:tcPr>
            <w:tcW w:w="1350" w:type="dxa"/>
          </w:tcPr>
          <w:p w14:paraId="3D06095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Quantile</w:t>
            </w:r>
          </w:p>
        </w:tc>
        <w:tc>
          <w:tcPr>
            <w:tcW w:w="1350" w:type="dxa"/>
          </w:tcPr>
          <w:p w14:paraId="2BA01F4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Coefficient</w:t>
            </w:r>
          </w:p>
        </w:tc>
        <w:tc>
          <w:tcPr>
            <w:tcW w:w="990" w:type="dxa"/>
          </w:tcPr>
          <w:p w14:paraId="38DC98C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Prob.</w:t>
            </w:r>
          </w:p>
        </w:tc>
      </w:tr>
      <w:tr w:rsidR="00741344" w:rsidRPr="00E10446" w14:paraId="31DD91E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DE9583D"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rPr>
              <w:t>RENC</w:t>
            </w:r>
          </w:p>
        </w:tc>
        <w:tc>
          <w:tcPr>
            <w:tcW w:w="887" w:type="dxa"/>
          </w:tcPr>
          <w:p w14:paraId="6BEAE2E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0.100</w:t>
            </w:r>
          </w:p>
        </w:tc>
        <w:tc>
          <w:tcPr>
            <w:tcW w:w="1333" w:type="dxa"/>
          </w:tcPr>
          <w:p w14:paraId="2D0F47A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-0.303871</w:t>
            </w:r>
          </w:p>
        </w:tc>
        <w:tc>
          <w:tcPr>
            <w:tcW w:w="990" w:type="dxa"/>
          </w:tcPr>
          <w:p w14:paraId="3E3CB13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3966E21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3AFB9FA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-0.305437</w:t>
            </w:r>
          </w:p>
        </w:tc>
        <w:tc>
          <w:tcPr>
            <w:tcW w:w="990" w:type="dxa"/>
          </w:tcPr>
          <w:p w14:paraId="6227F48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45535112"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C321140" w14:textId="77777777" w:rsidR="00741344" w:rsidRPr="00E10446" w:rsidRDefault="00741344" w:rsidP="00741344">
            <w:pPr>
              <w:jc w:val="center"/>
              <w:rPr>
                <w:rFonts w:ascii="Times New Roman" w:hAnsi="Times New Roman" w:cs="Times New Roman"/>
              </w:rPr>
            </w:pPr>
          </w:p>
        </w:tc>
        <w:tc>
          <w:tcPr>
            <w:tcW w:w="887" w:type="dxa"/>
          </w:tcPr>
          <w:p w14:paraId="47CC73A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0.250</w:t>
            </w:r>
          </w:p>
        </w:tc>
        <w:tc>
          <w:tcPr>
            <w:tcW w:w="1333" w:type="dxa"/>
          </w:tcPr>
          <w:p w14:paraId="097EB33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-0.305437</w:t>
            </w:r>
          </w:p>
        </w:tc>
        <w:tc>
          <w:tcPr>
            <w:tcW w:w="990" w:type="dxa"/>
          </w:tcPr>
          <w:p w14:paraId="5CAE89D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2EE9F74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60C0759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-0.319955</w:t>
            </w:r>
          </w:p>
        </w:tc>
        <w:tc>
          <w:tcPr>
            <w:tcW w:w="990" w:type="dxa"/>
          </w:tcPr>
          <w:p w14:paraId="526D474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7FD9E7D"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859EBD1" w14:textId="77777777" w:rsidR="00741344" w:rsidRPr="00E10446" w:rsidRDefault="00741344" w:rsidP="00741344">
            <w:pPr>
              <w:jc w:val="center"/>
              <w:rPr>
                <w:rFonts w:ascii="Times New Roman" w:hAnsi="Times New Roman" w:cs="Times New Roman"/>
              </w:rPr>
            </w:pPr>
          </w:p>
        </w:tc>
        <w:tc>
          <w:tcPr>
            <w:tcW w:w="887" w:type="dxa"/>
          </w:tcPr>
          <w:p w14:paraId="1CB8875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0.500</w:t>
            </w:r>
          </w:p>
        </w:tc>
        <w:tc>
          <w:tcPr>
            <w:tcW w:w="1333" w:type="dxa"/>
          </w:tcPr>
          <w:p w14:paraId="6E2C18D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-0.319955</w:t>
            </w:r>
          </w:p>
        </w:tc>
        <w:tc>
          <w:tcPr>
            <w:tcW w:w="990" w:type="dxa"/>
          </w:tcPr>
          <w:p w14:paraId="2CC12DC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0A06A82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3C6EA19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-0.306579</w:t>
            </w:r>
          </w:p>
        </w:tc>
        <w:tc>
          <w:tcPr>
            <w:tcW w:w="990" w:type="dxa"/>
          </w:tcPr>
          <w:p w14:paraId="7B3AC0A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4C54FDD"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7B5D063" w14:textId="77777777" w:rsidR="00741344" w:rsidRPr="00E10446" w:rsidRDefault="00741344" w:rsidP="00741344">
            <w:pPr>
              <w:jc w:val="center"/>
              <w:rPr>
                <w:rFonts w:ascii="Times New Roman" w:hAnsi="Times New Roman" w:cs="Times New Roman"/>
              </w:rPr>
            </w:pPr>
          </w:p>
        </w:tc>
        <w:tc>
          <w:tcPr>
            <w:tcW w:w="887" w:type="dxa"/>
          </w:tcPr>
          <w:p w14:paraId="150861E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0.750</w:t>
            </w:r>
          </w:p>
        </w:tc>
        <w:tc>
          <w:tcPr>
            <w:tcW w:w="1333" w:type="dxa"/>
          </w:tcPr>
          <w:p w14:paraId="7DA078D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-0.306579</w:t>
            </w:r>
          </w:p>
        </w:tc>
        <w:tc>
          <w:tcPr>
            <w:tcW w:w="990" w:type="dxa"/>
          </w:tcPr>
          <w:p w14:paraId="1047AF9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2928CAD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1CF970E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-0.295706</w:t>
            </w:r>
          </w:p>
        </w:tc>
        <w:tc>
          <w:tcPr>
            <w:tcW w:w="990" w:type="dxa"/>
          </w:tcPr>
          <w:p w14:paraId="286DBBA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0799CEA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095825C"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NRENC</w:t>
            </w:r>
          </w:p>
        </w:tc>
        <w:tc>
          <w:tcPr>
            <w:tcW w:w="887" w:type="dxa"/>
          </w:tcPr>
          <w:p w14:paraId="32B702A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31ED84A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0.000470</w:t>
            </w:r>
          </w:p>
        </w:tc>
        <w:tc>
          <w:tcPr>
            <w:tcW w:w="990" w:type="dxa"/>
          </w:tcPr>
          <w:p w14:paraId="0005E4A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0.9931</w:t>
            </w:r>
          </w:p>
        </w:tc>
        <w:tc>
          <w:tcPr>
            <w:tcW w:w="1350" w:type="dxa"/>
          </w:tcPr>
          <w:p w14:paraId="7D220ED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EA154E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0.002104</w:t>
            </w:r>
          </w:p>
        </w:tc>
        <w:tc>
          <w:tcPr>
            <w:tcW w:w="990" w:type="dxa"/>
          </w:tcPr>
          <w:p w14:paraId="2E44270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0.9505</w:t>
            </w:r>
          </w:p>
        </w:tc>
      </w:tr>
      <w:tr w:rsidR="00741344" w:rsidRPr="00E10446" w14:paraId="52589531"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32988181" w14:textId="77777777" w:rsidR="00741344" w:rsidRPr="00E10446" w:rsidRDefault="00741344" w:rsidP="00741344">
            <w:pPr>
              <w:jc w:val="center"/>
              <w:rPr>
                <w:rFonts w:ascii="Times New Roman" w:hAnsi="Times New Roman" w:cs="Times New Roman"/>
              </w:rPr>
            </w:pPr>
          </w:p>
        </w:tc>
        <w:tc>
          <w:tcPr>
            <w:tcW w:w="887" w:type="dxa"/>
          </w:tcPr>
          <w:p w14:paraId="1FAD003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4AEEFDD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0.002104</w:t>
            </w:r>
          </w:p>
        </w:tc>
        <w:tc>
          <w:tcPr>
            <w:tcW w:w="990" w:type="dxa"/>
          </w:tcPr>
          <w:p w14:paraId="4D8D57E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0.9505</w:t>
            </w:r>
          </w:p>
        </w:tc>
        <w:tc>
          <w:tcPr>
            <w:tcW w:w="1350" w:type="dxa"/>
          </w:tcPr>
          <w:p w14:paraId="4273271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56AF913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0.041803</w:t>
            </w:r>
          </w:p>
        </w:tc>
        <w:tc>
          <w:tcPr>
            <w:tcW w:w="990" w:type="dxa"/>
          </w:tcPr>
          <w:p w14:paraId="2861FDF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0.0001</w:t>
            </w:r>
          </w:p>
        </w:tc>
      </w:tr>
      <w:tr w:rsidR="00741344" w:rsidRPr="00E10446" w14:paraId="1F0F0939"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B6055F0" w14:textId="77777777" w:rsidR="00741344" w:rsidRPr="00E10446" w:rsidRDefault="00741344" w:rsidP="00741344">
            <w:pPr>
              <w:jc w:val="center"/>
              <w:rPr>
                <w:rFonts w:ascii="Times New Roman" w:hAnsi="Times New Roman" w:cs="Times New Roman"/>
              </w:rPr>
            </w:pPr>
          </w:p>
        </w:tc>
        <w:tc>
          <w:tcPr>
            <w:tcW w:w="887" w:type="dxa"/>
          </w:tcPr>
          <w:p w14:paraId="29CDA99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51EEB6D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0.041803</w:t>
            </w:r>
          </w:p>
        </w:tc>
        <w:tc>
          <w:tcPr>
            <w:tcW w:w="990" w:type="dxa"/>
          </w:tcPr>
          <w:p w14:paraId="4DE8C1B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0.0001</w:t>
            </w:r>
          </w:p>
        </w:tc>
        <w:tc>
          <w:tcPr>
            <w:tcW w:w="1350" w:type="dxa"/>
          </w:tcPr>
          <w:p w14:paraId="755CC6D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034466B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0.013126</w:t>
            </w:r>
          </w:p>
        </w:tc>
        <w:tc>
          <w:tcPr>
            <w:tcW w:w="990" w:type="dxa"/>
          </w:tcPr>
          <w:p w14:paraId="7225613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0.1026</w:t>
            </w:r>
          </w:p>
        </w:tc>
      </w:tr>
      <w:tr w:rsidR="00741344" w:rsidRPr="00E10446" w14:paraId="19F89ECE"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EE18788" w14:textId="77777777" w:rsidR="00741344" w:rsidRPr="00E10446" w:rsidRDefault="00741344" w:rsidP="00741344">
            <w:pPr>
              <w:jc w:val="center"/>
              <w:rPr>
                <w:rFonts w:ascii="Times New Roman" w:hAnsi="Times New Roman" w:cs="Times New Roman"/>
              </w:rPr>
            </w:pPr>
          </w:p>
        </w:tc>
        <w:tc>
          <w:tcPr>
            <w:tcW w:w="887" w:type="dxa"/>
          </w:tcPr>
          <w:p w14:paraId="4D192C3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59C33D6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0.013126</w:t>
            </w:r>
          </w:p>
        </w:tc>
        <w:tc>
          <w:tcPr>
            <w:tcW w:w="990" w:type="dxa"/>
          </w:tcPr>
          <w:p w14:paraId="3218AF4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0.1026</w:t>
            </w:r>
          </w:p>
        </w:tc>
        <w:tc>
          <w:tcPr>
            <w:tcW w:w="1350" w:type="dxa"/>
          </w:tcPr>
          <w:p w14:paraId="78091C7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1096141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0.012412</w:t>
            </w:r>
          </w:p>
        </w:tc>
        <w:tc>
          <w:tcPr>
            <w:tcW w:w="990" w:type="dxa"/>
          </w:tcPr>
          <w:p w14:paraId="688D90C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0.0637</w:t>
            </w:r>
          </w:p>
        </w:tc>
      </w:tr>
      <w:tr w:rsidR="00741344" w:rsidRPr="00E10446" w14:paraId="67F87CCC"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1F0FD41"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LAP</w:t>
            </w:r>
          </w:p>
        </w:tc>
        <w:tc>
          <w:tcPr>
            <w:tcW w:w="887" w:type="dxa"/>
          </w:tcPr>
          <w:p w14:paraId="45309E3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7531E07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-0.000307</w:t>
            </w:r>
          </w:p>
        </w:tc>
        <w:tc>
          <w:tcPr>
            <w:tcW w:w="990" w:type="dxa"/>
          </w:tcPr>
          <w:p w14:paraId="157D428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0.1173</w:t>
            </w:r>
          </w:p>
        </w:tc>
        <w:tc>
          <w:tcPr>
            <w:tcW w:w="1350" w:type="dxa"/>
          </w:tcPr>
          <w:p w14:paraId="016EBE8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08F96A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-0.000210</w:t>
            </w:r>
          </w:p>
        </w:tc>
        <w:tc>
          <w:tcPr>
            <w:tcW w:w="990" w:type="dxa"/>
          </w:tcPr>
          <w:p w14:paraId="6F92A60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0.1717</w:t>
            </w:r>
          </w:p>
        </w:tc>
      </w:tr>
      <w:tr w:rsidR="00741344" w:rsidRPr="00E10446" w14:paraId="31A9D01F"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42D89851" w14:textId="77777777" w:rsidR="00741344" w:rsidRPr="00E10446" w:rsidRDefault="00741344" w:rsidP="00741344">
            <w:pPr>
              <w:jc w:val="center"/>
              <w:rPr>
                <w:rFonts w:ascii="Times New Roman" w:hAnsi="Times New Roman" w:cs="Times New Roman"/>
              </w:rPr>
            </w:pPr>
          </w:p>
        </w:tc>
        <w:tc>
          <w:tcPr>
            <w:tcW w:w="887" w:type="dxa"/>
          </w:tcPr>
          <w:p w14:paraId="0A583F1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7678D26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-0.000210</w:t>
            </w:r>
          </w:p>
        </w:tc>
        <w:tc>
          <w:tcPr>
            <w:tcW w:w="990" w:type="dxa"/>
          </w:tcPr>
          <w:p w14:paraId="142DC2F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0.1717</w:t>
            </w:r>
          </w:p>
        </w:tc>
        <w:tc>
          <w:tcPr>
            <w:tcW w:w="1350" w:type="dxa"/>
          </w:tcPr>
          <w:p w14:paraId="3A9C707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1E945C8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-0.000380</w:t>
            </w:r>
          </w:p>
        </w:tc>
        <w:tc>
          <w:tcPr>
            <w:tcW w:w="990" w:type="dxa"/>
          </w:tcPr>
          <w:p w14:paraId="3CAF71B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0.0042</w:t>
            </w:r>
          </w:p>
        </w:tc>
      </w:tr>
      <w:tr w:rsidR="00741344" w:rsidRPr="00E10446" w14:paraId="2290930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5AA204E9" w14:textId="77777777" w:rsidR="00741344" w:rsidRPr="00E10446" w:rsidRDefault="00741344" w:rsidP="00741344">
            <w:pPr>
              <w:jc w:val="center"/>
              <w:rPr>
                <w:rFonts w:ascii="Times New Roman" w:hAnsi="Times New Roman" w:cs="Times New Roman"/>
              </w:rPr>
            </w:pPr>
          </w:p>
        </w:tc>
        <w:tc>
          <w:tcPr>
            <w:tcW w:w="887" w:type="dxa"/>
          </w:tcPr>
          <w:p w14:paraId="14A33BB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5536592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-0.000380</w:t>
            </w:r>
          </w:p>
        </w:tc>
        <w:tc>
          <w:tcPr>
            <w:tcW w:w="990" w:type="dxa"/>
          </w:tcPr>
          <w:p w14:paraId="21073B8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0.0042</w:t>
            </w:r>
          </w:p>
        </w:tc>
        <w:tc>
          <w:tcPr>
            <w:tcW w:w="1350" w:type="dxa"/>
          </w:tcPr>
          <w:p w14:paraId="2D83AEB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2FD37CC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-0.000450</w:t>
            </w:r>
          </w:p>
        </w:tc>
        <w:tc>
          <w:tcPr>
            <w:tcW w:w="990" w:type="dxa"/>
          </w:tcPr>
          <w:p w14:paraId="5F678CC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0.0228</w:t>
            </w:r>
          </w:p>
        </w:tc>
      </w:tr>
      <w:tr w:rsidR="00741344" w:rsidRPr="00E10446" w14:paraId="5C3D3A7E"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F641F46" w14:textId="77777777" w:rsidR="00741344" w:rsidRPr="00E10446" w:rsidRDefault="00741344" w:rsidP="00741344">
            <w:pPr>
              <w:jc w:val="center"/>
              <w:rPr>
                <w:rFonts w:ascii="Times New Roman" w:hAnsi="Times New Roman" w:cs="Times New Roman"/>
              </w:rPr>
            </w:pPr>
          </w:p>
        </w:tc>
        <w:tc>
          <w:tcPr>
            <w:tcW w:w="887" w:type="dxa"/>
          </w:tcPr>
          <w:p w14:paraId="5F1083B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1799E1A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-0.000450</w:t>
            </w:r>
          </w:p>
        </w:tc>
        <w:tc>
          <w:tcPr>
            <w:tcW w:w="990" w:type="dxa"/>
          </w:tcPr>
          <w:p w14:paraId="05731CF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0.0228</w:t>
            </w:r>
          </w:p>
        </w:tc>
        <w:tc>
          <w:tcPr>
            <w:tcW w:w="1350" w:type="dxa"/>
          </w:tcPr>
          <w:p w14:paraId="2C2AD9E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02F6C9F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-0.000373</w:t>
            </w:r>
          </w:p>
        </w:tc>
        <w:tc>
          <w:tcPr>
            <w:tcW w:w="990" w:type="dxa"/>
          </w:tcPr>
          <w:p w14:paraId="50AEC80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0.0569</w:t>
            </w:r>
          </w:p>
        </w:tc>
      </w:tr>
      <w:tr w:rsidR="00741344" w:rsidRPr="00E10446" w14:paraId="03AE24F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33F9E537"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GDP</w:t>
            </w:r>
          </w:p>
        </w:tc>
        <w:tc>
          <w:tcPr>
            <w:tcW w:w="887" w:type="dxa"/>
          </w:tcPr>
          <w:p w14:paraId="14DB48F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3B8B31B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0.002814</w:t>
            </w:r>
          </w:p>
        </w:tc>
        <w:tc>
          <w:tcPr>
            <w:tcW w:w="990" w:type="dxa"/>
          </w:tcPr>
          <w:p w14:paraId="65FE978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7308581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2228EEE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0.002611</w:t>
            </w:r>
          </w:p>
        </w:tc>
        <w:tc>
          <w:tcPr>
            <w:tcW w:w="990" w:type="dxa"/>
          </w:tcPr>
          <w:p w14:paraId="17611D4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4DCB021B"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4ACBB85E" w14:textId="77777777" w:rsidR="00741344" w:rsidRPr="00E10446" w:rsidRDefault="00741344" w:rsidP="00741344">
            <w:pPr>
              <w:jc w:val="center"/>
              <w:rPr>
                <w:rFonts w:ascii="Times New Roman" w:hAnsi="Times New Roman" w:cs="Times New Roman"/>
              </w:rPr>
            </w:pPr>
          </w:p>
        </w:tc>
        <w:tc>
          <w:tcPr>
            <w:tcW w:w="887" w:type="dxa"/>
          </w:tcPr>
          <w:p w14:paraId="046CDC4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5F4C038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0.002611</w:t>
            </w:r>
          </w:p>
        </w:tc>
        <w:tc>
          <w:tcPr>
            <w:tcW w:w="990" w:type="dxa"/>
          </w:tcPr>
          <w:p w14:paraId="023073E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17DAB27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3BFE5C4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0.001740</w:t>
            </w:r>
          </w:p>
        </w:tc>
        <w:tc>
          <w:tcPr>
            <w:tcW w:w="990" w:type="dxa"/>
          </w:tcPr>
          <w:p w14:paraId="2825D0E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0.0342</w:t>
            </w:r>
          </w:p>
        </w:tc>
      </w:tr>
      <w:tr w:rsidR="00741344" w:rsidRPr="00E10446" w14:paraId="57CC4643"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001CB2C2" w14:textId="77777777" w:rsidR="00741344" w:rsidRPr="00E10446" w:rsidRDefault="00741344" w:rsidP="00741344">
            <w:pPr>
              <w:jc w:val="center"/>
              <w:rPr>
                <w:rFonts w:ascii="Times New Roman" w:hAnsi="Times New Roman" w:cs="Times New Roman"/>
              </w:rPr>
            </w:pPr>
          </w:p>
        </w:tc>
        <w:tc>
          <w:tcPr>
            <w:tcW w:w="887" w:type="dxa"/>
          </w:tcPr>
          <w:p w14:paraId="680273F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4128EE5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0.001740</w:t>
            </w:r>
          </w:p>
        </w:tc>
        <w:tc>
          <w:tcPr>
            <w:tcW w:w="990" w:type="dxa"/>
          </w:tcPr>
          <w:p w14:paraId="5A4BFBE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0.0342</w:t>
            </w:r>
          </w:p>
        </w:tc>
        <w:tc>
          <w:tcPr>
            <w:tcW w:w="1350" w:type="dxa"/>
          </w:tcPr>
          <w:p w14:paraId="300CDD7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7899B9D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0.001021</w:t>
            </w:r>
          </w:p>
        </w:tc>
        <w:tc>
          <w:tcPr>
            <w:tcW w:w="990" w:type="dxa"/>
          </w:tcPr>
          <w:p w14:paraId="3C7B0DC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0.2874</w:t>
            </w:r>
          </w:p>
        </w:tc>
      </w:tr>
      <w:tr w:rsidR="00741344" w:rsidRPr="00E10446" w14:paraId="2C3B3A1A"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52B0504E" w14:textId="77777777" w:rsidR="00741344" w:rsidRPr="00E10446" w:rsidRDefault="00741344" w:rsidP="00741344">
            <w:pPr>
              <w:jc w:val="center"/>
              <w:rPr>
                <w:rFonts w:ascii="Times New Roman" w:hAnsi="Times New Roman" w:cs="Times New Roman"/>
              </w:rPr>
            </w:pPr>
          </w:p>
        </w:tc>
        <w:tc>
          <w:tcPr>
            <w:tcW w:w="887" w:type="dxa"/>
          </w:tcPr>
          <w:p w14:paraId="5105A39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6062B1B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0.001021</w:t>
            </w:r>
          </w:p>
        </w:tc>
        <w:tc>
          <w:tcPr>
            <w:tcW w:w="990" w:type="dxa"/>
          </w:tcPr>
          <w:p w14:paraId="4548F16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0.2874</w:t>
            </w:r>
          </w:p>
        </w:tc>
        <w:tc>
          <w:tcPr>
            <w:tcW w:w="1350" w:type="dxa"/>
          </w:tcPr>
          <w:p w14:paraId="1A62E00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5E3948E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0.000640</w:t>
            </w:r>
          </w:p>
        </w:tc>
        <w:tc>
          <w:tcPr>
            <w:tcW w:w="990" w:type="dxa"/>
          </w:tcPr>
          <w:p w14:paraId="56AFAAE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0.4903</w:t>
            </w:r>
          </w:p>
        </w:tc>
      </w:tr>
      <w:tr w:rsidR="00741344" w:rsidRPr="00E10446" w14:paraId="35584426"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730D268"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C</w:t>
            </w:r>
          </w:p>
        </w:tc>
        <w:tc>
          <w:tcPr>
            <w:tcW w:w="887" w:type="dxa"/>
          </w:tcPr>
          <w:p w14:paraId="2704CD4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7E42F89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73.84042</w:t>
            </w:r>
          </w:p>
        </w:tc>
        <w:tc>
          <w:tcPr>
            <w:tcW w:w="990" w:type="dxa"/>
          </w:tcPr>
          <w:p w14:paraId="6A48ECF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0AB692B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9278D6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74.23716</w:t>
            </w:r>
          </w:p>
        </w:tc>
        <w:tc>
          <w:tcPr>
            <w:tcW w:w="990" w:type="dxa"/>
          </w:tcPr>
          <w:p w14:paraId="1D67E21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25CFFF1"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63B3276" w14:textId="77777777" w:rsidR="00741344" w:rsidRPr="00E10446" w:rsidRDefault="00741344" w:rsidP="00741344">
            <w:pPr>
              <w:jc w:val="center"/>
              <w:rPr>
                <w:rFonts w:ascii="Times New Roman" w:hAnsi="Times New Roman" w:cs="Times New Roman"/>
              </w:rPr>
            </w:pPr>
          </w:p>
        </w:tc>
        <w:tc>
          <w:tcPr>
            <w:tcW w:w="887" w:type="dxa"/>
          </w:tcPr>
          <w:p w14:paraId="780B855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6D0889A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74.23716</w:t>
            </w:r>
          </w:p>
        </w:tc>
        <w:tc>
          <w:tcPr>
            <w:tcW w:w="990" w:type="dxa"/>
          </w:tcPr>
          <w:p w14:paraId="7B963E3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4DDD766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4414571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79.09891</w:t>
            </w:r>
          </w:p>
        </w:tc>
        <w:tc>
          <w:tcPr>
            <w:tcW w:w="990" w:type="dxa"/>
          </w:tcPr>
          <w:p w14:paraId="5B5CCE2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75E29079"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4D37142" w14:textId="77777777" w:rsidR="00741344" w:rsidRPr="00E10446" w:rsidRDefault="00741344" w:rsidP="00741344">
            <w:pPr>
              <w:jc w:val="center"/>
              <w:rPr>
                <w:rFonts w:ascii="Times New Roman" w:hAnsi="Times New Roman" w:cs="Times New Roman"/>
              </w:rPr>
            </w:pPr>
          </w:p>
        </w:tc>
        <w:tc>
          <w:tcPr>
            <w:tcW w:w="887" w:type="dxa"/>
          </w:tcPr>
          <w:p w14:paraId="0EACA70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108F836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79.09891</w:t>
            </w:r>
          </w:p>
        </w:tc>
        <w:tc>
          <w:tcPr>
            <w:tcW w:w="990" w:type="dxa"/>
          </w:tcPr>
          <w:p w14:paraId="6CB1603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6BC5B8C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1B4DD81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83.13457</w:t>
            </w:r>
          </w:p>
        </w:tc>
        <w:tc>
          <w:tcPr>
            <w:tcW w:w="990" w:type="dxa"/>
          </w:tcPr>
          <w:p w14:paraId="1468070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672A5983"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0FCD789B" w14:textId="77777777" w:rsidR="00741344" w:rsidRPr="00E10446" w:rsidRDefault="00741344" w:rsidP="00741344">
            <w:pPr>
              <w:jc w:val="center"/>
              <w:rPr>
                <w:rFonts w:ascii="Times New Roman" w:hAnsi="Times New Roman" w:cs="Times New Roman"/>
              </w:rPr>
            </w:pPr>
          </w:p>
        </w:tc>
        <w:tc>
          <w:tcPr>
            <w:tcW w:w="887" w:type="dxa"/>
          </w:tcPr>
          <w:p w14:paraId="5898958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70ACE68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83.13457</w:t>
            </w:r>
          </w:p>
        </w:tc>
        <w:tc>
          <w:tcPr>
            <w:tcW w:w="990" w:type="dxa"/>
          </w:tcPr>
          <w:p w14:paraId="3414D9B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1EF1AB2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3840F22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82.75605</w:t>
            </w:r>
          </w:p>
        </w:tc>
        <w:tc>
          <w:tcPr>
            <w:tcW w:w="990" w:type="dxa"/>
          </w:tcPr>
          <w:p w14:paraId="2E96B85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bl>
    <w:p w14:paraId="41A5BFA3" w14:textId="2B58A458" w:rsidR="00572ED5" w:rsidRPr="00E10446" w:rsidRDefault="00B12A30" w:rsidP="00D03FD0">
      <w:pPr>
        <w:spacing w:after="0" w:line="240" w:lineRule="auto"/>
        <w:jc w:val="both"/>
        <w:rPr>
          <w:rStyle w:val="katex-mathml"/>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D03FD0" w:rsidRPr="00E10446">
        <w:rPr>
          <w:rFonts w:ascii="Times New Roman" w:eastAsia="Times New Roman" w:hAnsi="Times New Roman" w:cs="Times New Roman"/>
          <w:b/>
          <w:bCs/>
          <w:sz w:val="20"/>
          <w:szCs w:val="20"/>
          <w:lang w:eastAsia="en-GB"/>
        </w:rPr>
        <w:t xml:space="preserve">Source: Authors determined using </w:t>
      </w:r>
      <w:proofErr w:type="spellStart"/>
      <w:r w:rsidR="00D03FD0" w:rsidRPr="00E10446">
        <w:rPr>
          <w:rFonts w:ascii="Times New Roman" w:eastAsia="Times New Roman" w:hAnsi="Times New Roman" w:cs="Times New Roman"/>
          <w:b/>
          <w:bCs/>
          <w:sz w:val="20"/>
          <w:szCs w:val="20"/>
          <w:lang w:eastAsia="en-GB"/>
        </w:rPr>
        <w:t>Eviews</w:t>
      </w:r>
      <w:proofErr w:type="spellEnd"/>
      <w:r w:rsidR="00D03FD0" w:rsidRPr="00E10446">
        <w:rPr>
          <w:rFonts w:ascii="Times New Roman" w:eastAsia="Times New Roman" w:hAnsi="Times New Roman" w:cs="Times New Roman"/>
          <w:b/>
          <w:bCs/>
          <w:sz w:val="20"/>
          <w:szCs w:val="20"/>
          <w:lang w:eastAsia="en-GB"/>
        </w:rPr>
        <w:t xml:space="preserve"> 12, 2026</w:t>
      </w:r>
    </w:p>
    <w:p w14:paraId="79229484" w14:textId="65B3B670" w:rsidR="00741344" w:rsidRPr="00E10446" w:rsidRDefault="00B12A30" w:rsidP="00B12A30">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quantile process estimates reveal strong heterogeneity in the energy–poverty relationship across distributional points. Renewable energy consumption (RENC) consistently exhibits a significant negative effect on poverty across all quantiles, confirming its robust poverty-reducing role regardless of poverty intensity, consistent with findings by Acheampong et al. (2021) and Adebayo et al. (2025). Non-renewable energy (NRENC) is mostly insignificant at lower quantiles but becomes weakly positive at higher levels, suggesting context-dependent inefficiency in poverty reduction (</w:t>
      </w:r>
      <w:proofErr w:type="spellStart"/>
      <w:r w:rsidRPr="00E10446">
        <w:rPr>
          <w:rStyle w:val="katex-mathml"/>
          <w:rFonts w:ascii="Times New Roman" w:hAnsi="Times New Roman" w:cs="Times New Roman"/>
          <w:sz w:val="24"/>
          <w:szCs w:val="24"/>
        </w:rPr>
        <w:t>Okwanya</w:t>
      </w:r>
      <w:proofErr w:type="spellEnd"/>
      <w:r w:rsidRPr="00E10446">
        <w:rPr>
          <w:rStyle w:val="katex-mathml"/>
          <w:rFonts w:ascii="Times New Roman" w:hAnsi="Times New Roman" w:cs="Times New Roman"/>
          <w:sz w:val="24"/>
          <w:szCs w:val="24"/>
        </w:rPr>
        <w:t xml:space="preserve"> &amp; </w:t>
      </w:r>
      <w:proofErr w:type="spellStart"/>
      <w:r w:rsidRPr="00E10446">
        <w:rPr>
          <w:rStyle w:val="katex-mathml"/>
          <w:rFonts w:ascii="Times New Roman" w:hAnsi="Times New Roman" w:cs="Times New Roman"/>
          <w:sz w:val="24"/>
          <w:szCs w:val="24"/>
        </w:rPr>
        <w:t>Abah</w:t>
      </w:r>
      <w:proofErr w:type="spellEnd"/>
      <w:r w:rsidRPr="00E10446">
        <w:rPr>
          <w:rStyle w:val="katex-mathml"/>
          <w:rFonts w:ascii="Times New Roman" w:hAnsi="Times New Roman" w:cs="Times New Roman"/>
          <w:sz w:val="24"/>
          <w:szCs w:val="24"/>
        </w:rPr>
        <w:t>, 2018). Labour productivity (LAP) shows increasing negative effects at median and upper quantiles, indicating stronger welfare impacts in higher poverty contexts (Lin et al., 2023). GDP is positive but loses significance at upper quantiles, implying limited inclusiveness of growth (Sarkodie &amp; Adams, 2020). Therefore, results confirm strong distributional asymmetry in energy–poverty dynamics.</w:t>
      </w:r>
    </w:p>
    <w:p w14:paraId="5643E2BB" w14:textId="2F7217C4" w:rsidR="00D03FD0" w:rsidRPr="00E10446" w:rsidRDefault="00D03FD0" w:rsidP="00454677">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Table </w:t>
      </w:r>
      <w:r w:rsidR="0060541B" w:rsidRPr="00E10446">
        <w:rPr>
          <w:rStyle w:val="katex-mathml"/>
          <w:rFonts w:ascii="Times New Roman" w:hAnsi="Times New Roman" w:cs="Times New Roman"/>
          <w:b/>
          <w:bCs/>
          <w:sz w:val="24"/>
          <w:szCs w:val="24"/>
        </w:rPr>
        <w:t>9</w:t>
      </w:r>
      <w:r w:rsidRPr="00E10446">
        <w:rPr>
          <w:rStyle w:val="katex-mathml"/>
          <w:rFonts w:ascii="Times New Roman" w:hAnsi="Times New Roman" w:cs="Times New Roman"/>
          <w:b/>
          <w:bCs/>
          <w:sz w:val="24"/>
          <w:szCs w:val="24"/>
        </w:rPr>
        <w:t xml:space="preserve">: </w:t>
      </w:r>
      <w:r w:rsidR="00454677" w:rsidRPr="00E10446">
        <w:rPr>
          <w:rStyle w:val="katex-mathml"/>
          <w:rFonts w:ascii="Times New Roman" w:hAnsi="Times New Roman" w:cs="Times New Roman"/>
          <w:b/>
          <w:bCs/>
          <w:sz w:val="24"/>
          <w:szCs w:val="24"/>
        </w:rPr>
        <w:t>Quantile Slope Equality Test</w:t>
      </w:r>
    </w:p>
    <w:tbl>
      <w:tblPr>
        <w:tblStyle w:val="PlainTable21"/>
        <w:tblW w:w="0" w:type="auto"/>
        <w:jc w:val="center"/>
        <w:tblLook w:val="06A0" w:firstRow="1" w:lastRow="0" w:firstColumn="1" w:lastColumn="0" w:noHBand="1" w:noVBand="1"/>
      </w:tblPr>
      <w:tblGrid>
        <w:gridCol w:w="1803"/>
        <w:gridCol w:w="1803"/>
        <w:gridCol w:w="1434"/>
        <w:gridCol w:w="810"/>
      </w:tblGrid>
      <w:tr w:rsidR="00741344" w:rsidRPr="00E10446" w14:paraId="45975593" w14:textId="77777777" w:rsidTr="007413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0A244F83" w14:textId="02AF74D6" w:rsidR="00741344" w:rsidRPr="00E10446" w:rsidRDefault="00741344" w:rsidP="00741344">
            <w:pPr>
              <w:rPr>
                <w:rFonts w:ascii="Times New Roman" w:hAnsi="Times New Roman" w:cs="Times New Roman"/>
                <w:sz w:val="18"/>
                <w:szCs w:val="18"/>
              </w:rPr>
            </w:pPr>
            <w:r w:rsidRPr="00E10446">
              <w:rPr>
                <w:rFonts w:ascii="Times New Roman" w:hAnsi="Times New Roman" w:cs="Times New Roman"/>
                <w:sz w:val="18"/>
                <w:szCs w:val="18"/>
              </w:rPr>
              <w:t>Lower Quantile</w:t>
            </w:r>
          </w:p>
        </w:tc>
        <w:tc>
          <w:tcPr>
            <w:tcW w:w="3237" w:type="dxa"/>
            <w:gridSpan w:val="2"/>
          </w:tcPr>
          <w:p w14:paraId="274F513B" w14:textId="77777777"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 xml:space="preserve">Estimated equation </w:t>
            </w:r>
          </w:p>
          <w:p w14:paraId="2E0B16E7" w14:textId="41103F0B"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quantile tau = 0.10</w:t>
            </w:r>
          </w:p>
        </w:tc>
        <w:tc>
          <w:tcPr>
            <w:tcW w:w="810" w:type="dxa"/>
          </w:tcPr>
          <w:p w14:paraId="7A7A6C3D" w14:textId="77777777"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5E95ABF1"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9BAB427"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6A9E2E8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516B121C"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810" w:type="dxa"/>
          </w:tcPr>
          <w:p w14:paraId="13A290B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6163D392"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EF22DFE"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1BDB434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61.61104</w:t>
            </w:r>
          </w:p>
        </w:tc>
        <w:tc>
          <w:tcPr>
            <w:tcW w:w="1434" w:type="dxa"/>
          </w:tcPr>
          <w:p w14:paraId="45B040F3"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15B87B6D"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7C5F3D68"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4DB8731C" w14:textId="35056508" w:rsidR="00741344" w:rsidRPr="00E10446" w:rsidRDefault="00741344" w:rsidP="009D3561">
            <w:pPr>
              <w:rPr>
                <w:rFonts w:ascii="Times New Roman" w:hAnsi="Times New Roman" w:cs="Times New Roman"/>
                <w:sz w:val="18"/>
                <w:szCs w:val="18"/>
              </w:rPr>
            </w:pPr>
          </w:p>
        </w:tc>
        <w:tc>
          <w:tcPr>
            <w:tcW w:w="1803" w:type="dxa"/>
          </w:tcPr>
          <w:p w14:paraId="3824E8AA" w14:textId="17871A3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Estimated equation quantile tau = 0.20</w:t>
            </w:r>
          </w:p>
        </w:tc>
        <w:tc>
          <w:tcPr>
            <w:tcW w:w="1434" w:type="dxa"/>
          </w:tcPr>
          <w:p w14:paraId="7AFEA66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10" w:type="dxa"/>
          </w:tcPr>
          <w:p w14:paraId="1641FBA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0ED3FCFF"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CC3AA87"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2971DEAD"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1078606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810" w:type="dxa"/>
          </w:tcPr>
          <w:p w14:paraId="751702D1"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55F177D3" w14:textId="77777777" w:rsidTr="00741344">
        <w:trPr>
          <w:trHeight w:val="252"/>
          <w:jc w:val="center"/>
        </w:trPr>
        <w:tc>
          <w:tcPr>
            <w:cnfStyle w:val="001000000000" w:firstRow="0" w:lastRow="0" w:firstColumn="1" w:lastColumn="0" w:oddVBand="0" w:evenVBand="0" w:oddHBand="0" w:evenHBand="0" w:firstRowFirstColumn="0" w:firstRowLastColumn="0" w:lastRowFirstColumn="0" w:lastRowLastColumn="0"/>
            <w:tcW w:w="1803" w:type="dxa"/>
          </w:tcPr>
          <w:p w14:paraId="759D79DB"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3558C1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75.22267</w:t>
            </w:r>
          </w:p>
        </w:tc>
        <w:tc>
          <w:tcPr>
            <w:tcW w:w="1434" w:type="dxa"/>
          </w:tcPr>
          <w:p w14:paraId="290D612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0155DC4F"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7F09AFD2"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B8EAB2D" w14:textId="4893ED22" w:rsidR="00741344" w:rsidRPr="00E10446" w:rsidRDefault="00741344" w:rsidP="009D3561">
            <w:pPr>
              <w:rPr>
                <w:rFonts w:ascii="Times New Roman" w:hAnsi="Times New Roman" w:cs="Times New Roman"/>
                <w:sz w:val="18"/>
                <w:szCs w:val="18"/>
              </w:rPr>
            </w:pPr>
            <w:r w:rsidRPr="00E10446">
              <w:rPr>
                <w:rFonts w:ascii="Times New Roman" w:hAnsi="Times New Roman" w:cs="Times New Roman"/>
                <w:sz w:val="18"/>
                <w:szCs w:val="18"/>
              </w:rPr>
              <w:t>Upper Quantile</w:t>
            </w:r>
          </w:p>
        </w:tc>
        <w:tc>
          <w:tcPr>
            <w:tcW w:w="3237" w:type="dxa"/>
            <w:gridSpan w:val="2"/>
          </w:tcPr>
          <w:p w14:paraId="4FAD2925"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 xml:space="preserve">Estimated equation </w:t>
            </w:r>
          </w:p>
          <w:p w14:paraId="1B49B444" w14:textId="3C4E9F9E"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quantile tau = 0.</w:t>
            </w:r>
            <w:r w:rsidR="003847FF" w:rsidRPr="00E10446">
              <w:rPr>
                <w:rFonts w:ascii="Times New Roman" w:hAnsi="Times New Roman" w:cs="Times New Roman"/>
                <w:b/>
                <w:bCs/>
                <w:color w:val="000000"/>
                <w:sz w:val="18"/>
                <w:szCs w:val="18"/>
              </w:rPr>
              <w:t>8</w:t>
            </w:r>
            <w:r w:rsidRPr="00E10446">
              <w:rPr>
                <w:rFonts w:ascii="Times New Roman" w:hAnsi="Times New Roman" w:cs="Times New Roman"/>
                <w:b/>
                <w:bCs/>
                <w:color w:val="000000"/>
                <w:sz w:val="18"/>
                <w:szCs w:val="18"/>
              </w:rPr>
              <w:t>0</w:t>
            </w:r>
          </w:p>
        </w:tc>
        <w:tc>
          <w:tcPr>
            <w:tcW w:w="810" w:type="dxa"/>
          </w:tcPr>
          <w:p w14:paraId="75956326"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3FAEAB49"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1AB17C8"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0BBC1D50"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4ABD4E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810" w:type="dxa"/>
          </w:tcPr>
          <w:p w14:paraId="5B82B03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398BB077"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AEDD4AE"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0104E3CB"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67.74265</w:t>
            </w:r>
          </w:p>
        </w:tc>
        <w:tc>
          <w:tcPr>
            <w:tcW w:w="1434" w:type="dxa"/>
          </w:tcPr>
          <w:p w14:paraId="33A38849"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23B03270"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6D7E696C"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EFDA926" w14:textId="2B01AE76" w:rsidR="00741344" w:rsidRPr="00E10446" w:rsidRDefault="00741344" w:rsidP="009D3561">
            <w:pPr>
              <w:rPr>
                <w:rFonts w:ascii="Times New Roman" w:hAnsi="Times New Roman" w:cs="Times New Roman"/>
                <w:sz w:val="18"/>
                <w:szCs w:val="18"/>
              </w:rPr>
            </w:pPr>
          </w:p>
        </w:tc>
        <w:tc>
          <w:tcPr>
            <w:tcW w:w="1803" w:type="dxa"/>
          </w:tcPr>
          <w:p w14:paraId="244EE5C8" w14:textId="30B2FF2E"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Estimated equation quantile tau = 0.90</w:t>
            </w:r>
          </w:p>
        </w:tc>
        <w:tc>
          <w:tcPr>
            <w:tcW w:w="1434" w:type="dxa"/>
          </w:tcPr>
          <w:p w14:paraId="01D1EE5F"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10" w:type="dxa"/>
          </w:tcPr>
          <w:p w14:paraId="6DB2554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2CA8C1FF"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59F42E8"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69D67CB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647A9E4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810" w:type="dxa"/>
          </w:tcPr>
          <w:p w14:paraId="4F167C3B"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5D510DEA"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1270FF4"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329BE5F3"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65.19210</w:t>
            </w:r>
          </w:p>
        </w:tc>
        <w:tc>
          <w:tcPr>
            <w:tcW w:w="1434" w:type="dxa"/>
          </w:tcPr>
          <w:p w14:paraId="21D15A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7792FF1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bl>
    <w:p w14:paraId="269D81BE" w14:textId="58C08C1E" w:rsidR="00454677" w:rsidRPr="00E10446" w:rsidRDefault="00454677" w:rsidP="00454677">
      <w:pPr>
        <w:autoSpaceDE w:val="0"/>
        <w:autoSpaceDN w:val="0"/>
        <w:adjustRightInd w:val="0"/>
        <w:spacing w:after="0" w:line="240" w:lineRule="auto"/>
        <w:rPr>
          <w:rFonts w:ascii="Times New Roman" w:hAnsi="Times New Roman" w:cs="Times New Roman"/>
          <w:color w:val="000000"/>
          <w:sz w:val="18"/>
          <w:szCs w:val="18"/>
        </w:rPr>
      </w:pPr>
      <w:r w:rsidRPr="00E10446">
        <w:rPr>
          <w:rFonts w:ascii="Times New Roman" w:hAnsi="Times New Roman" w:cs="Times New Roman"/>
          <w:b/>
          <w:bCs/>
          <w:color w:val="000000"/>
          <w:sz w:val="18"/>
          <w:szCs w:val="18"/>
        </w:rPr>
        <w:tab/>
        <w:t xml:space="preserve">          </w:t>
      </w:r>
      <w:r w:rsidR="00741344" w:rsidRPr="00E10446">
        <w:rPr>
          <w:rFonts w:ascii="Times New Roman" w:hAnsi="Times New Roman" w:cs="Times New Roman"/>
          <w:b/>
          <w:bCs/>
          <w:color w:val="000000"/>
          <w:sz w:val="18"/>
          <w:szCs w:val="18"/>
        </w:rPr>
        <w:t xml:space="preserve">          </w:t>
      </w:r>
      <w:r w:rsidRPr="00E10446">
        <w:rPr>
          <w:rFonts w:ascii="Times New Roman" w:hAnsi="Times New Roman" w:cs="Times New Roman"/>
          <w:b/>
          <w:bCs/>
          <w:color w:val="000000"/>
          <w:sz w:val="18"/>
          <w:szCs w:val="18"/>
        </w:rPr>
        <w:t xml:space="preserve"> </w:t>
      </w:r>
      <w:r w:rsidRPr="00E10446">
        <w:rPr>
          <w:rFonts w:ascii="Times New Roman" w:hAnsi="Times New Roman" w:cs="Times New Roman"/>
          <w:color w:val="000000"/>
          <w:sz w:val="18"/>
          <w:szCs w:val="18"/>
        </w:rPr>
        <w:t xml:space="preserve">Number of test quantiles: 4                           </w:t>
      </w:r>
    </w:p>
    <w:p w14:paraId="72279B44" w14:textId="2AA63CA3" w:rsidR="00454677" w:rsidRPr="00E10446" w:rsidRDefault="00454677" w:rsidP="00454677">
      <w:pPr>
        <w:spacing w:line="240" w:lineRule="auto"/>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741344"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3DA9EE82" w14:textId="7E9C68B8" w:rsidR="00454677" w:rsidRPr="00E10446" w:rsidRDefault="00B12A30">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The quantile slope equality test results are statistically significant across all examined quantiles (τ = 0.10, 0.20, 0.80, and 0.90), as indicated by highly significant Wald statistics (p = 0.0000). This implies rejection of the null hypothesis of slope equality, confirming that the effects of explanatory variables differ significantly across the conditional distribution of poverty. In other words, energy consumption, productivity, and income effects are not uniform but vary between low- and high-poverty regimes. This finding supports earlier empirical evidence on distributional heterogeneity in energy–poverty dynamics (Sarkodie &amp; Adams, 2020; Acheampong et al., 2021), justifying the use of quantile-based models to capture asymmetric and non-linear effects across poverty levels.</w:t>
      </w:r>
    </w:p>
    <w:p w14:paraId="4A166980" w14:textId="1B2893A4" w:rsidR="003847FF" w:rsidRPr="00E10446" w:rsidRDefault="00454677" w:rsidP="003847FF">
      <w:pPr>
        <w:spacing w:line="240" w:lineRule="auto"/>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 xml:space="preserve">Table </w:t>
      </w:r>
      <w:r w:rsidR="0060541B" w:rsidRPr="00E10446">
        <w:rPr>
          <w:rFonts w:ascii="Times New Roman" w:eastAsia="Times New Roman" w:hAnsi="Times New Roman" w:cs="Times New Roman"/>
          <w:b/>
          <w:bCs/>
          <w:sz w:val="24"/>
          <w:szCs w:val="24"/>
          <w:lang w:eastAsia="en-GB"/>
        </w:rPr>
        <w:t>10</w:t>
      </w:r>
      <w:r w:rsidRPr="00E10446">
        <w:rPr>
          <w:rFonts w:ascii="Times New Roman" w:eastAsia="Times New Roman" w:hAnsi="Times New Roman" w:cs="Times New Roman"/>
          <w:b/>
          <w:bCs/>
          <w:sz w:val="24"/>
          <w:szCs w:val="24"/>
          <w:lang w:eastAsia="en-GB"/>
        </w:rPr>
        <w:t>: Symmetric Quantiles Test</w:t>
      </w:r>
    </w:p>
    <w:tbl>
      <w:tblPr>
        <w:tblStyle w:val="PlainTable21"/>
        <w:tblW w:w="0" w:type="auto"/>
        <w:jc w:val="center"/>
        <w:tblLook w:val="06A0" w:firstRow="1" w:lastRow="0" w:firstColumn="1" w:lastColumn="0" w:noHBand="1" w:noVBand="1"/>
      </w:tblPr>
      <w:tblGrid>
        <w:gridCol w:w="1803"/>
        <w:gridCol w:w="1803"/>
        <w:gridCol w:w="1339"/>
        <w:gridCol w:w="1085"/>
      </w:tblGrid>
      <w:tr w:rsidR="003847FF" w:rsidRPr="00E10446" w14:paraId="43CC130E" w14:textId="77777777" w:rsidTr="003847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58DA2C24" w14:textId="0E89EC2C" w:rsidR="003847FF" w:rsidRPr="00E10446" w:rsidRDefault="003847FF" w:rsidP="009D3561">
            <w:pPr>
              <w:rPr>
                <w:rFonts w:ascii="Times New Roman" w:hAnsi="Times New Roman" w:cs="Times New Roman"/>
              </w:rPr>
            </w:pPr>
            <w:r w:rsidRPr="00E10446">
              <w:rPr>
                <w:rFonts w:ascii="Times New Roman" w:hAnsi="Times New Roman" w:cs="Times New Roman"/>
                <w:color w:val="000000"/>
              </w:rPr>
              <w:t>Lower Quantile</w:t>
            </w:r>
          </w:p>
        </w:tc>
        <w:tc>
          <w:tcPr>
            <w:tcW w:w="3142" w:type="dxa"/>
            <w:gridSpan w:val="2"/>
          </w:tcPr>
          <w:p w14:paraId="382A1C10" w14:textId="77777777"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 xml:space="preserve">Estimated equation </w:t>
            </w:r>
          </w:p>
          <w:p w14:paraId="44DC3659" w14:textId="243C4B86"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10446">
              <w:rPr>
                <w:rFonts w:ascii="Times New Roman" w:hAnsi="Times New Roman" w:cs="Times New Roman"/>
                <w:color w:val="000000"/>
                <w:sz w:val="18"/>
                <w:szCs w:val="18"/>
              </w:rPr>
              <w:t>quantile tau = 0.10</w:t>
            </w:r>
          </w:p>
        </w:tc>
        <w:tc>
          <w:tcPr>
            <w:tcW w:w="1085" w:type="dxa"/>
          </w:tcPr>
          <w:p w14:paraId="4F1DC2EE" w14:textId="77777777"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3847FF" w:rsidRPr="00E10446" w14:paraId="2BF35360"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0703DDD3"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rPr>
              <w:t>Total Summary</w:t>
            </w:r>
          </w:p>
        </w:tc>
        <w:tc>
          <w:tcPr>
            <w:tcW w:w="1803" w:type="dxa"/>
          </w:tcPr>
          <w:p w14:paraId="3A61A40C"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Chi-Sq. Statistic</w:t>
            </w:r>
          </w:p>
        </w:tc>
        <w:tc>
          <w:tcPr>
            <w:tcW w:w="1339" w:type="dxa"/>
          </w:tcPr>
          <w:p w14:paraId="4EDF234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1085" w:type="dxa"/>
          </w:tcPr>
          <w:p w14:paraId="6158EFC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Prob.</w:t>
            </w:r>
          </w:p>
        </w:tc>
      </w:tr>
      <w:tr w:rsidR="003847FF" w:rsidRPr="00E10446" w14:paraId="40F8FE1F"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0D2588D"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color w:val="000000"/>
                <w:sz w:val="18"/>
                <w:szCs w:val="18"/>
              </w:rPr>
              <w:lastRenderedPageBreak/>
              <w:t>Wald Test</w:t>
            </w:r>
          </w:p>
        </w:tc>
        <w:tc>
          <w:tcPr>
            <w:tcW w:w="1803" w:type="dxa"/>
          </w:tcPr>
          <w:p w14:paraId="109BE86D"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17.77851</w:t>
            </w:r>
          </w:p>
        </w:tc>
        <w:tc>
          <w:tcPr>
            <w:tcW w:w="1339" w:type="dxa"/>
          </w:tcPr>
          <w:p w14:paraId="483050D9"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10</w:t>
            </w:r>
          </w:p>
        </w:tc>
        <w:tc>
          <w:tcPr>
            <w:tcW w:w="1085" w:type="dxa"/>
          </w:tcPr>
          <w:p w14:paraId="009A77F7"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0.0588</w:t>
            </w:r>
          </w:p>
        </w:tc>
      </w:tr>
      <w:tr w:rsidR="003847FF" w:rsidRPr="00E10446" w14:paraId="5AD89938"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B39B85E" w14:textId="2628DFEF" w:rsidR="003847FF" w:rsidRPr="00E10446" w:rsidRDefault="003847FF" w:rsidP="009D3561">
            <w:pPr>
              <w:rPr>
                <w:rFonts w:ascii="Times New Roman" w:hAnsi="Times New Roman" w:cs="Times New Roman"/>
                <w:b w:val="0"/>
                <w:bCs w:val="0"/>
              </w:rPr>
            </w:pPr>
          </w:p>
        </w:tc>
        <w:tc>
          <w:tcPr>
            <w:tcW w:w="1803" w:type="dxa"/>
          </w:tcPr>
          <w:p w14:paraId="6062A991" w14:textId="0923A640"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Estimated equation quantile tau = 0.20</w:t>
            </w:r>
          </w:p>
        </w:tc>
        <w:tc>
          <w:tcPr>
            <w:tcW w:w="1339" w:type="dxa"/>
          </w:tcPr>
          <w:p w14:paraId="440FFB17"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34206BE9"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47FF" w:rsidRPr="00E10446" w14:paraId="6B8B707D"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427ACF70"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rPr>
              <w:t>Total Summary</w:t>
            </w:r>
          </w:p>
        </w:tc>
        <w:tc>
          <w:tcPr>
            <w:tcW w:w="1803" w:type="dxa"/>
          </w:tcPr>
          <w:p w14:paraId="7C74CA36"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Chi-Sq. Statistic</w:t>
            </w:r>
          </w:p>
        </w:tc>
        <w:tc>
          <w:tcPr>
            <w:tcW w:w="1339" w:type="dxa"/>
          </w:tcPr>
          <w:p w14:paraId="277E613F"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1085" w:type="dxa"/>
          </w:tcPr>
          <w:p w14:paraId="3665697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Prob.</w:t>
            </w:r>
          </w:p>
        </w:tc>
      </w:tr>
      <w:tr w:rsidR="003847FF" w:rsidRPr="00E10446" w14:paraId="7C337B35" w14:textId="77777777" w:rsidTr="003847FF">
        <w:trPr>
          <w:trHeight w:val="315"/>
          <w:jc w:val="center"/>
        </w:trPr>
        <w:tc>
          <w:tcPr>
            <w:cnfStyle w:val="001000000000" w:firstRow="0" w:lastRow="0" w:firstColumn="1" w:lastColumn="0" w:oddVBand="0" w:evenVBand="0" w:oddHBand="0" w:evenHBand="0" w:firstRowFirstColumn="0" w:firstRowLastColumn="0" w:lastRowFirstColumn="0" w:lastRowLastColumn="0"/>
            <w:tcW w:w="1803" w:type="dxa"/>
          </w:tcPr>
          <w:p w14:paraId="5F675415"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color w:val="000000"/>
                <w:sz w:val="18"/>
                <w:szCs w:val="18"/>
              </w:rPr>
              <w:t>Wald Test</w:t>
            </w:r>
          </w:p>
        </w:tc>
        <w:tc>
          <w:tcPr>
            <w:tcW w:w="1803" w:type="dxa"/>
          </w:tcPr>
          <w:p w14:paraId="1A11A06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12.02584</w:t>
            </w:r>
          </w:p>
        </w:tc>
        <w:tc>
          <w:tcPr>
            <w:tcW w:w="1339" w:type="dxa"/>
          </w:tcPr>
          <w:p w14:paraId="3142F259"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10</w:t>
            </w:r>
          </w:p>
        </w:tc>
        <w:tc>
          <w:tcPr>
            <w:tcW w:w="1085" w:type="dxa"/>
          </w:tcPr>
          <w:p w14:paraId="705807E3"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0.2833</w:t>
            </w:r>
          </w:p>
        </w:tc>
      </w:tr>
      <w:tr w:rsidR="003847FF" w:rsidRPr="00E10446" w14:paraId="7B73C4DC"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E0AA83F" w14:textId="3B810752" w:rsidR="003847FF" w:rsidRPr="00E10446" w:rsidRDefault="003847FF" w:rsidP="009D3561">
            <w:pPr>
              <w:rPr>
                <w:rFonts w:ascii="Times New Roman" w:hAnsi="Times New Roman" w:cs="Times New Roman"/>
              </w:rPr>
            </w:pPr>
            <w:r w:rsidRPr="00E10446">
              <w:rPr>
                <w:rFonts w:ascii="Times New Roman" w:hAnsi="Times New Roman" w:cs="Times New Roman"/>
              </w:rPr>
              <w:t>Upper Quantile</w:t>
            </w:r>
          </w:p>
        </w:tc>
        <w:tc>
          <w:tcPr>
            <w:tcW w:w="3142" w:type="dxa"/>
            <w:gridSpan w:val="2"/>
          </w:tcPr>
          <w:p w14:paraId="246502F7"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 xml:space="preserve">Estimated equation </w:t>
            </w:r>
          </w:p>
          <w:p w14:paraId="59E56CCD" w14:textId="25B4CE8F"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quantile tau = 0.80</w:t>
            </w:r>
          </w:p>
        </w:tc>
        <w:tc>
          <w:tcPr>
            <w:tcW w:w="1085" w:type="dxa"/>
          </w:tcPr>
          <w:p w14:paraId="518BCE3C"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47FF" w:rsidRPr="00E10446" w14:paraId="2E9C2DA5"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3542FCC"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rPr>
              <w:t>Total Summary</w:t>
            </w:r>
          </w:p>
        </w:tc>
        <w:tc>
          <w:tcPr>
            <w:tcW w:w="1803" w:type="dxa"/>
          </w:tcPr>
          <w:p w14:paraId="6FBA72F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Chi-Sq. Statistic</w:t>
            </w:r>
          </w:p>
        </w:tc>
        <w:tc>
          <w:tcPr>
            <w:tcW w:w="1339" w:type="dxa"/>
          </w:tcPr>
          <w:p w14:paraId="5ED916A4"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1085" w:type="dxa"/>
          </w:tcPr>
          <w:p w14:paraId="4946724F"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Prob.</w:t>
            </w:r>
          </w:p>
        </w:tc>
      </w:tr>
      <w:tr w:rsidR="003847FF" w:rsidRPr="00E10446" w14:paraId="590683E7"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88FF0D4" w14:textId="77777777" w:rsidR="003847FF" w:rsidRPr="00E10446" w:rsidRDefault="003847FF" w:rsidP="009D3561">
            <w:pPr>
              <w:rPr>
                <w:rFonts w:ascii="Times New Roman" w:hAnsi="Times New Roman" w:cs="Times New Roman"/>
                <w:b w:val="0"/>
                <w:bCs w:val="0"/>
              </w:rPr>
            </w:pPr>
            <w:r w:rsidRPr="00E10446">
              <w:rPr>
                <w:rFonts w:ascii="Times New Roman" w:hAnsi="Times New Roman" w:cs="Times New Roman"/>
                <w:b w:val="0"/>
                <w:bCs w:val="0"/>
                <w:color w:val="000000"/>
                <w:sz w:val="18"/>
                <w:szCs w:val="18"/>
              </w:rPr>
              <w:t>Wald Test</w:t>
            </w:r>
          </w:p>
        </w:tc>
        <w:tc>
          <w:tcPr>
            <w:tcW w:w="1803" w:type="dxa"/>
          </w:tcPr>
          <w:p w14:paraId="0516BF59"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12.02584</w:t>
            </w:r>
          </w:p>
        </w:tc>
        <w:tc>
          <w:tcPr>
            <w:tcW w:w="1339" w:type="dxa"/>
          </w:tcPr>
          <w:p w14:paraId="54B77400"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10</w:t>
            </w:r>
          </w:p>
        </w:tc>
        <w:tc>
          <w:tcPr>
            <w:tcW w:w="1085" w:type="dxa"/>
          </w:tcPr>
          <w:p w14:paraId="1CEA0675" w14:textId="77777777" w:rsidR="003847FF" w:rsidRPr="00E10446"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0.2833</w:t>
            </w:r>
          </w:p>
        </w:tc>
      </w:tr>
      <w:tr w:rsidR="003847FF" w:rsidRPr="00E10446" w14:paraId="1BF693C0"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9FF271B" w14:textId="19A161B8" w:rsidR="003847FF" w:rsidRPr="00E10446" w:rsidRDefault="003847FF" w:rsidP="003847FF">
            <w:pPr>
              <w:rPr>
                <w:rFonts w:ascii="Times New Roman" w:hAnsi="Times New Roman" w:cs="Times New Roman"/>
              </w:rPr>
            </w:pPr>
          </w:p>
        </w:tc>
        <w:tc>
          <w:tcPr>
            <w:tcW w:w="1803" w:type="dxa"/>
          </w:tcPr>
          <w:p w14:paraId="7C8C301D" w14:textId="2BE2736E"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Estimated equation quantile tau = 0.90</w:t>
            </w:r>
          </w:p>
        </w:tc>
        <w:tc>
          <w:tcPr>
            <w:tcW w:w="1339" w:type="dxa"/>
          </w:tcPr>
          <w:p w14:paraId="291ECBA9"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5" w:type="dxa"/>
          </w:tcPr>
          <w:p w14:paraId="1D77E771"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47FF" w:rsidRPr="00E10446" w14:paraId="4275D038"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D8EDAFB" w14:textId="77777777" w:rsidR="003847FF" w:rsidRPr="00E10446" w:rsidRDefault="003847FF" w:rsidP="003847FF">
            <w:pPr>
              <w:rPr>
                <w:rFonts w:ascii="Times New Roman" w:hAnsi="Times New Roman" w:cs="Times New Roman"/>
                <w:b w:val="0"/>
                <w:bCs w:val="0"/>
              </w:rPr>
            </w:pPr>
            <w:r w:rsidRPr="00E10446">
              <w:rPr>
                <w:rFonts w:ascii="Times New Roman" w:hAnsi="Times New Roman" w:cs="Times New Roman"/>
                <w:b w:val="0"/>
                <w:bCs w:val="0"/>
              </w:rPr>
              <w:t>Total Summary</w:t>
            </w:r>
          </w:p>
        </w:tc>
        <w:tc>
          <w:tcPr>
            <w:tcW w:w="1803" w:type="dxa"/>
          </w:tcPr>
          <w:p w14:paraId="4C73ABCB"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Chi-Sq. Statistic</w:t>
            </w:r>
          </w:p>
        </w:tc>
        <w:tc>
          <w:tcPr>
            <w:tcW w:w="1339" w:type="dxa"/>
          </w:tcPr>
          <w:p w14:paraId="0C927812"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 xml:space="preserve">Chi-Sq. </w:t>
            </w:r>
            <w:proofErr w:type="spellStart"/>
            <w:proofErr w:type="gramStart"/>
            <w:r w:rsidRPr="00E10446">
              <w:rPr>
                <w:rFonts w:ascii="Times New Roman" w:hAnsi="Times New Roman" w:cs="Times New Roman"/>
                <w:color w:val="000000"/>
                <w:sz w:val="18"/>
                <w:szCs w:val="18"/>
              </w:rPr>
              <w:t>d.f</w:t>
            </w:r>
            <w:proofErr w:type="spellEnd"/>
            <w:proofErr w:type="gramEnd"/>
          </w:p>
        </w:tc>
        <w:tc>
          <w:tcPr>
            <w:tcW w:w="1085" w:type="dxa"/>
          </w:tcPr>
          <w:p w14:paraId="6A14FE89"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Prob.</w:t>
            </w:r>
          </w:p>
        </w:tc>
      </w:tr>
      <w:tr w:rsidR="003847FF" w:rsidRPr="00E10446" w14:paraId="1BEE1789"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CC1D740" w14:textId="77777777" w:rsidR="003847FF" w:rsidRPr="00E10446" w:rsidRDefault="003847FF" w:rsidP="003847FF">
            <w:pPr>
              <w:rPr>
                <w:rFonts w:ascii="Times New Roman" w:hAnsi="Times New Roman" w:cs="Times New Roman"/>
                <w:b w:val="0"/>
                <w:bCs w:val="0"/>
              </w:rPr>
            </w:pPr>
            <w:r w:rsidRPr="00E10446">
              <w:rPr>
                <w:rFonts w:ascii="Times New Roman" w:hAnsi="Times New Roman" w:cs="Times New Roman"/>
                <w:b w:val="0"/>
                <w:bCs w:val="0"/>
                <w:color w:val="000000"/>
                <w:sz w:val="18"/>
                <w:szCs w:val="18"/>
              </w:rPr>
              <w:t>Wald Test</w:t>
            </w:r>
          </w:p>
        </w:tc>
        <w:tc>
          <w:tcPr>
            <w:tcW w:w="1803" w:type="dxa"/>
          </w:tcPr>
          <w:p w14:paraId="736B8318"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17.77851</w:t>
            </w:r>
          </w:p>
        </w:tc>
        <w:tc>
          <w:tcPr>
            <w:tcW w:w="1339" w:type="dxa"/>
          </w:tcPr>
          <w:p w14:paraId="7E912F8B"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10</w:t>
            </w:r>
          </w:p>
        </w:tc>
        <w:tc>
          <w:tcPr>
            <w:tcW w:w="1085" w:type="dxa"/>
          </w:tcPr>
          <w:p w14:paraId="22D9E334" w14:textId="77777777" w:rsidR="003847FF" w:rsidRPr="00E10446"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Arial" w:hAnsi="Arial" w:cs="Arial"/>
                <w:color w:val="000000"/>
                <w:sz w:val="18"/>
                <w:szCs w:val="18"/>
              </w:rPr>
              <w:t>0.0588</w:t>
            </w:r>
          </w:p>
        </w:tc>
      </w:tr>
    </w:tbl>
    <w:p w14:paraId="259C016E" w14:textId="41A8EF4A" w:rsidR="00454677" w:rsidRPr="00E10446" w:rsidRDefault="003847FF" w:rsidP="003847FF">
      <w:pPr>
        <w:autoSpaceDE w:val="0"/>
        <w:autoSpaceDN w:val="0"/>
        <w:adjustRightInd w:val="0"/>
        <w:spacing w:after="0" w:line="240" w:lineRule="auto"/>
        <w:ind w:left="720"/>
        <w:rPr>
          <w:rFonts w:ascii="Times New Roman" w:hAnsi="Times New Roman" w:cs="Times New Roman"/>
          <w:b/>
          <w:bCs/>
          <w:color w:val="000000"/>
          <w:sz w:val="18"/>
          <w:szCs w:val="18"/>
        </w:rPr>
      </w:pPr>
      <w:r w:rsidRPr="00E10446">
        <w:rPr>
          <w:rFonts w:ascii="Times New Roman" w:hAnsi="Times New Roman" w:cs="Times New Roman"/>
          <w:color w:val="000000"/>
          <w:sz w:val="18"/>
          <w:szCs w:val="18"/>
        </w:rPr>
        <w:t xml:space="preserve">                  </w:t>
      </w:r>
      <w:r w:rsidR="00454677" w:rsidRPr="00E10446">
        <w:rPr>
          <w:rFonts w:ascii="Times New Roman" w:hAnsi="Times New Roman" w:cs="Times New Roman"/>
          <w:color w:val="000000"/>
          <w:sz w:val="18"/>
          <w:szCs w:val="18"/>
        </w:rPr>
        <w:t xml:space="preserve">Number of test quantiles: 4                           </w:t>
      </w:r>
    </w:p>
    <w:p w14:paraId="6CEF8EAF" w14:textId="3C38EFDC" w:rsidR="00454677" w:rsidRPr="00E10446" w:rsidRDefault="00454677" w:rsidP="00454677">
      <w:pPr>
        <w:spacing w:line="240" w:lineRule="auto"/>
        <w:ind w:firstLine="720"/>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3847FF"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 </w:t>
      </w:r>
      <w:r w:rsidR="003847FF"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48BC0379" w14:textId="320CAEA8" w:rsidR="00454677" w:rsidRPr="00E10446" w:rsidRDefault="00AC2536" w:rsidP="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The symmetric quantiles test results indicate mixed evidence regarding distributional symmetry in the energy–poverty relationship. At τ = 0.10 and τ = 0.90, the Wald statistics are marginally significant (p = 0.0588), suggesting weak rejection of symmetry at the tails of the distribution, where extreme poverty and high-poverty conditions may behave differently. However, at τ = 0.20 and τ = 0.80, the results are statistically insignificant (p = 0.2833), implying symmetry at moderate distributional points. Therefore, this suggests partial asymmetry, particularly at distributional extremes. This aligns with empirical literature indicating that energy and income effects often vary more strongly in vulnerable populations than in middle-income groups (Sarkodie &amp; Adams, 2020; Acheampong et al., 2021).</w:t>
      </w:r>
    </w:p>
    <w:p w14:paraId="6A25DF1D" w14:textId="2A589D37" w:rsidR="00454677" w:rsidRPr="00E10446" w:rsidRDefault="00D56547">
      <w:pPr>
        <w:spacing w:line="240" w:lineRule="auto"/>
        <w:jc w:val="both"/>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 xml:space="preserve">4.1 </w:t>
      </w:r>
      <w:r w:rsidR="00A00F8D" w:rsidRPr="00E10446">
        <w:rPr>
          <w:rFonts w:ascii="Times New Roman" w:eastAsia="Times New Roman" w:hAnsi="Times New Roman" w:cs="Times New Roman"/>
          <w:b/>
          <w:bCs/>
          <w:sz w:val="24"/>
          <w:szCs w:val="24"/>
          <w:lang w:eastAsia="en-GB"/>
        </w:rPr>
        <w:t>Discussion of Findings</w:t>
      </w:r>
    </w:p>
    <w:p w14:paraId="4F3F201D" w14:textId="1908B990" w:rsidR="00AC2536" w:rsidRPr="00E10446" w:rsidRDefault="00AC2536" w:rsidP="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Across the three estimators, the results reveal both consistency in core relationships and important methodological differences in magnitude, direction, and heterogeneity. The Panel FMOLS results show long-run relationships where renewable energy reduces poverty while non-renewable energy and GDP tend to increase it, though labour productivity is largely insignificant. This reflects average long-run effects typical of FMOLS, which assumes slope homogeneity across countries (Pedroni, 2001). In contrast, the Panel NARDL model uncovers strong asymmetries, showing that positive and negative shocks in energy variables have different impacts on poverty, with evidence of nonlinear adjustment dynamics and slow error correction. This aligns with arguments that energy–poverty linkages are inherently asymmetric and shock-dependent (Shin et al., 2014; Adebayo et al., 2025).</w:t>
      </w:r>
    </w:p>
    <w:p w14:paraId="2D5627D7" w14:textId="58319A59" w:rsidR="00454677" w:rsidRPr="00E10446" w:rsidRDefault="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However, the Quantile Regression results provide the most comprehensive insight by revealing that the effects of energy consumption, GDP, and productivity vary significantly across the poverty distribution. Renewable energy remains consistently poverty-reducing across all quantiles, while GDP loses significance at higher poverty levels, and labour productivity becomes more relevant in severe poverty contexts. This confirms strong distributional heterogeneity, consistent with empirical evidence that mean-based models mask critical inequality-driven dynamics (Sarkodie &amp; Adams, 2020; Acheampong et al., 2021). The significant quantile slope equality tests further validate these differences. Ultimately, quantile regression is superior because it captures heterogeneity, tail effects, and policy-relevant distributional impacts that FMOLS and NARDL average out or partially capture, aligning with (Sarkodie &amp; Adams, 2020; Acheampong et al., 2021). It is therefore more informative for inclusive energy–poverty policy design in West Africa (Shin et al., 2014; Adebayo et al., 2025).</w:t>
      </w:r>
    </w:p>
    <w:p w14:paraId="753B7BF7" w14:textId="1A440766" w:rsidR="00454677" w:rsidRPr="00D730B7" w:rsidRDefault="00084F93" w:rsidP="00D730B7">
      <w:pPr>
        <w:spacing w:line="240" w:lineRule="auto"/>
        <w:jc w:val="both"/>
        <w:rPr>
          <w:rFonts w:ascii="Times New Roman" w:eastAsia="Times New Roman" w:hAnsi="Times New Roman" w:cs="Times New Roman"/>
          <w:b/>
          <w:bCs/>
          <w:sz w:val="24"/>
          <w:szCs w:val="24"/>
          <w:lang w:eastAsia="en-GB"/>
        </w:rPr>
      </w:pPr>
      <w:bookmarkStart w:id="1" w:name="_GoBack"/>
      <w:bookmarkEnd w:id="1"/>
      <w:r w:rsidRPr="00D730B7">
        <w:rPr>
          <w:rFonts w:ascii="Times New Roman" w:eastAsia="Times New Roman" w:hAnsi="Times New Roman" w:cs="Times New Roman"/>
          <w:b/>
          <w:bCs/>
          <w:sz w:val="24"/>
          <w:szCs w:val="24"/>
          <w:lang w:eastAsia="en-GB"/>
        </w:rPr>
        <w:t>Conclusion and Recommendations</w:t>
      </w:r>
    </w:p>
    <w:p w14:paraId="3EDC9DDC" w14:textId="7D05E7D8" w:rsidR="00084F93" w:rsidRPr="00E10446" w:rsidRDefault="005E5894" w:rsidP="005E5894">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lastRenderedPageBreak/>
        <w:t xml:space="preserve">This study examined the relationship between energy consumption, labour productivity, economic growth, and poverty in </w:t>
      </w:r>
      <w:r w:rsidR="000259CB" w:rsidRPr="00E10446">
        <w:rPr>
          <w:rFonts w:ascii="Times New Roman" w:eastAsia="Times New Roman" w:hAnsi="Times New Roman" w:cs="Times New Roman"/>
          <w:sz w:val="24"/>
          <w:szCs w:val="24"/>
          <w:lang w:eastAsia="en-GB"/>
        </w:rPr>
        <w:t xml:space="preserve">selected </w:t>
      </w:r>
      <w:r w:rsidRPr="00E10446">
        <w:rPr>
          <w:rFonts w:ascii="Times New Roman" w:eastAsia="Times New Roman" w:hAnsi="Times New Roman" w:cs="Times New Roman"/>
          <w:sz w:val="24"/>
          <w:szCs w:val="24"/>
          <w:lang w:eastAsia="en-GB"/>
        </w:rPr>
        <w:t>West Africa</w:t>
      </w:r>
      <w:r w:rsidR="000259CB" w:rsidRPr="00E10446">
        <w:rPr>
          <w:rFonts w:ascii="Times New Roman" w:eastAsia="Times New Roman" w:hAnsi="Times New Roman" w:cs="Times New Roman"/>
          <w:sz w:val="24"/>
          <w:szCs w:val="24"/>
          <w:lang w:eastAsia="en-GB"/>
        </w:rPr>
        <w:t>n states spanning 1990-2024,</w:t>
      </w:r>
      <w:r w:rsidRPr="00E10446">
        <w:rPr>
          <w:rFonts w:ascii="Times New Roman" w:eastAsia="Times New Roman" w:hAnsi="Times New Roman" w:cs="Times New Roman"/>
          <w:sz w:val="24"/>
          <w:szCs w:val="24"/>
          <w:lang w:eastAsia="en-GB"/>
        </w:rPr>
        <w:t xml:space="preserve"> using FMOLS, NARDL, and Quantile Regression approaches. The findings consistently show that renewable energy consumption plays a significant poverty-reducing role across methods, though its effects are stronger and more stable in quantile estimates. Non-renewable energy shows mixed and often adverse or insignificant effects, reflecting inefficiencies and vulnerability to energy supply shocks. GDP demonstrates weak and sometimes non-inclusive effects on poverty reduction, while labour productivity shows context-dependent impacts, becoming more relevant in certain quantiles and short-run dynamics. </w:t>
      </w:r>
      <w:r w:rsidR="000259CB" w:rsidRPr="00E10446">
        <w:rPr>
          <w:rFonts w:ascii="Times New Roman" w:eastAsia="Times New Roman" w:hAnsi="Times New Roman" w:cs="Times New Roman"/>
          <w:sz w:val="24"/>
          <w:szCs w:val="24"/>
          <w:lang w:eastAsia="en-GB"/>
        </w:rPr>
        <w:t>Therefore</w:t>
      </w:r>
      <w:r w:rsidRPr="00E10446">
        <w:rPr>
          <w:rFonts w:ascii="Times New Roman" w:eastAsia="Times New Roman" w:hAnsi="Times New Roman" w:cs="Times New Roman"/>
          <w:sz w:val="24"/>
          <w:szCs w:val="24"/>
          <w:lang w:eastAsia="en-GB"/>
        </w:rPr>
        <w:t xml:space="preserve">, the results confirm strong heterogeneity, asymmetry, and non-linearity in the energy–poverty nexus, validating the superiority of quantile regression in capturing distributional differences across poverty levels. Based on these findings, </w:t>
      </w:r>
      <w:r w:rsidR="000259CB" w:rsidRPr="00E10446">
        <w:rPr>
          <w:rFonts w:ascii="Times New Roman" w:eastAsia="Times New Roman" w:hAnsi="Times New Roman" w:cs="Times New Roman"/>
          <w:sz w:val="24"/>
          <w:szCs w:val="24"/>
          <w:lang w:eastAsia="en-GB"/>
        </w:rPr>
        <w:t xml:space="preserve">the study recommends that </w:t>
      </w:r>
      <w:r w:rsidRPr="00E10446">
        <w:rPr>
          <w:rFonts w:ascii="Times New Roman" w:eastAsia="Times New Roman" w:hAnsi="Times New Roman" w:cs="Times New Roman"/>
          <w:sz w:val="24"/>
          <w:szCs w:val="24"/>
          <w:lang w:eastAsia="en-GB"/>
        </w:rPr>
        <w:t xml:space="preserve">policymakers </w:t>
      </w:r>
      <w:r w:rsidR="000259CB" w:rsidRPr="00E10446">
        <w:rPr>
          <w:rFonts w:ascii="Times New Roman" w:eastAsia="Times New Roman" w:hAnsi="Times New Roman" w:cs="Times New Roman"/>
          <w:sz w:val="24"/>
          <w:szCs w:val="24"/>
          <w:lang w:eastAsia="en-GB"/>
        </w:rPr>
        <w:t xml:space="preserve">in West Africa </w:t>
      </w:r>
      <w:r w:rsidRPr="00E10446">
        <w:rPr>
          <w:rFonts w:ascii="Times New Roman" w:eastAsia="Times New Roman" w:hAnsi="Times New Roman" w:cs="Times New Roman"/>
          <w:sz w:val="24"/>
          <w:szCs w:val="24"/>
          <w:lang w:eastAsia="en-GB"/>
        </w:rPr>
        <w:t>should prioritize investment in renewable energy infrastructure to ensure broad-based poverty reduction. West African governments should also reduce dependence on volatile non-renewable energy sources and improve energy access in rural and low-income areas. In addition, productivity-enhancing policies such as skills development and industrial upgrading should be strengthened to complement energy transitions. Finally, economic growth strategies must be made more inclusive through targeted social and energy policies that ensure that growth translates into poverty reduction, especially for the most vulnerable populations.</w:t>
      </w:r>
    </w:p>
    <w:p w14:paraId="2ADB59C9" w14:textId="77777777" w:rsidR="00D730B7" w:rsidRDefault="00D730B7">
      <w:pPr>
        <w:spacing w:line="240" w:lineRule="auto"/>
        <w:jc w:val="both"/>
        <w:rPr>
          <w:rFonts w:ascii="Times New Roman" w:eastAsia="Times New Roman" w:hAnsi="Times New Roman" w:cs="Times New Roman"/>
          <w:b/>
          <w:bCs/>
          <w:sz w:val="24"/>
          <w:szCs w:val="24"/>
          <w:lang w:eastAsia="en-GB"/>
        </w:rPr>
      </w:pPr>
    </w:p>
    <w:p w14:paraId="75A90C74" w14:textId="1D6AF23A" w:rsidR="005801C8" w:rsidRPr="00E10446" w:rsidRDefault="002326DC">
      <w:pPr>
        <w:spacing w:line="240" w:lineRule="auto"/>
        <w:jc w:val="both"/>
        <w:rPr>
          <w:rFonts w:ascii="Times New Roman" w:eastAsia="Times New Roman" w:hAnsi="Times New Roman" w:cs="Times New Roman"/>
          <w:b/>
          <w:bCs/>
          <w:sz w:val="27"/>
          <w:szCs w:val="27"/>
          <w:lang w:eastAsia="en-GB"/>
        </w:rPr>
      </w:pPr>
      <w:r w:rsidRPr="00E10446">
        <w:rPr>
          <w:rFonts w:ascii="Times New Roman" w:eastAsia="Times New Roman" w:hAnsi="Times New Roman" w:cs="Times New Roman"/>
          <w:b/>
          <w:bCs/>
          <w:sz w:val="24"/>
          <w:szCs w:val="24"/>
          <w:lang w:eastAsia="en-GB"/>
        </w:rPr>
        <w:t>References</w:t>
      </w:r>
    </w:p>
    <w:p w14:paraId="714FAA8F" w14:textId="77777777" w:rsidR="005801C8" w:rsidRPr="00E10446" w:rsidRDefault="002326DC">
      <w:pPr>
        <w:pStyle w:val="NormalWeb"/>
        <w:spacing w:before="0" w:beforeAutospacing="0" w:after="0" w:afterAutospacing="0"/>
        <w:jc w:val="both"/>
      </w:pPr>
      <w:r w:rsidRPr="00E10446">
        <w:t xml:space="preserve">Acheampong, A., Adom, P. K., &amp; Yawson, D. O. (2024). Renewable energy adoption and </w:t>
      </w:r>
      <w:r w:rsidRPr="00E10446">
        <w:tab/>
        <w:t xml:space="preserve">poverty reduction in sub-Saharan Africa: Evidence from quantile regressions. </w:t>
      </w:r>
      <w:r w:rsidRPr="00E10446">
        <w:rPr>
          <w:i/>
          <w:iCs/>
        </w:rPr>
        <w:t xml:space="preserve">Energy </w:t>
      </w:r>
      <w:r w:rsidRPr="00E10446">
        <w:rPr>
          <w:i/>
          <w:iCs/>
        </w:rPr>
        <w:tab/>
        <w:t>Policy</w:t>
      </w:r>
      <w:r w:rsidRPr="00E10446">
        <w:t xml:space="preserve">, 16, 113378. </w:t>
      </w:r>
      <w:hyperlink r:id="rId8" w:history="1">
        <w:r w:rsidRPr="00E10446">
          <w:rPr>
            <w:rStyle w:val="Hyperlink"/>
          </w:rPr>
          <w:t>https://doi.org/10.1016/j.enpol.2023.113378</w:t>
        </w:r>
      </w:hyperlink>
      <w:r w:rsidRPr="00E10446">
        <w:t xml:space="preserve"> </w:t>
      </w:r>
    </w:p>
    <w:p w14:paraId="184F29DC" w14:textId="77777777" w:rsidR="005801C8" w:rsidRPr="00E10446" w:rsidRDefault="002326DC" w:rsidP="001D5522">
      <w:pPr>
        <w:pStyle w:val="NormalWeb"/>
        <w:spacing w:before="0" w:beforeAutospacing="0" w:after="0" w:afterAutospacing="0"/>
        <w:jc w:val="both"/>
      </w:pPr>
      <w:r w:rsidRPr="00E10446">
        <w:t xml:space="preserve">Acheampong, A. O. (2018). Economic growth, CO₂ emissions and energy consumption: What </w:t>
      </w:r>
      <w:r w:rsidRPr="00E10446">
        <w:tab/>
        <w:t xml:space="preserve">causes what and where? </w:t>
      </w:r>
      <w:r w:rsidRPr="00E10446">
        <w:rPr>
          <w:rStyle w:val="Emphasis"/>
        </w:rPr>
        <w:t>Energy Economics, 74</w:t>
      </w:r>
      <w:r w:rsidRPr="00E10446">
        <w:t xml:space="preserve">, 677–692. </w:t>
      </w:r>
      <w:r w:rsidRPr="00E10446">
        <w:tab/>
      </w:r>
      <w:hyperlink r:id="rId9" w:history="1">
        <w:r w:rsidRPr="00E10446">
          <w:rPr>
            <w:rStyle w:val="Hyperlink"/>
          </w:rPr>
          <w:t>https://doi.org/10.1016/j.eneco.2018.07.022</w:t>
        </w:r>
      </w:hyperlink>
    </w:p>
    <w:p w14:paraId="3005A4C8" w14:textId="77777777" w:rsidR="005801C8" w:rsidRPr="00E10446" w:rsidRDefault="002326DC" w:rsidP="001D5522">
      <w:pPr>
        <w:pStyle w:val="NormalWeb"/>
        <w:spacing w:before="0" w:beforeAutospacing="0" w:after="0" w:afterAutospacing="0"/>
        <w:jc w:val="both"/>
      </w:pPr>
      <w:r w:rsidRPr="00E10446">
        <w:t xml:space="preserve">Acheampong, A. O., Amponsah, M., &amp; Boateng, E. (2021). Does energy consumption improve </w:t>
      </w:r>
      <w:r w:rsidRPr="00E10446">
        <w:tab/>
        <w:t xml:space="preserve">human development? Evidence from energy-poor regions. </w:t>
      </w:r>
      <w:r w:rsidRPr="00E10446">
        <w:rPr>
          <w:rStyle w:val="Emphasis"/>
        </w:rPr>
        <w:t>Energy Economics, 95</w:t>
      </w:r>
      <w:r w:rsidRPr="00E10446">
        <w:t xml:space="preserve">, </w:t>
      </w:r>
      <w:r w:rsidRPr="00E10446">
        <w:tab/>
        <w:t xml:space="preserve">105150. </w:t>
      </w:r>
      <w:hyperlink r:id="rId10" w:tgtFrame="_new" w:history="1">
        <w:r w:rsidRPr="00E10446">
          <w:rPr>
            <w:rStyle w:val="Hyperlink"/>
          </w:rPr>
          <w:t>https://doi.org/10.1016/j.eneco.2021.105150</w:t>
        </w:r>
      </w:hyperlink>
    </w:p>
    <w:p w14:paraId="638F478C" w14:textId="77777777" w:rsidR="005801C8" w:rsidRPr="00E10446" w:rsidRDefault="002326DC">
      <w:pPr>
        <w:pStyle w:val="NormalWeb"/>
        <w:spacing w:before="0" w:beforeAutospacing="0" w:after="0" w:afterAutospacing="0"/>
        <w:jc w:val="both"/>
      </w:pPr>
      <w:r w:rsidRPr="00E10446">
        <w:t xml:space="preserve">Ackah, I., &amp; Kizys, R. (2015). Green growth in oil-producing African countries: Evidence from </w:t>
      </w:r>
      <w:r w:rsidRPr="00E10446">
        <w:tab/>
        <w:t xml:space="preserve">Ghana and Nigeria. </w:t>
      </w:r>
      <w:r w:rsidRPr="00E10446">
        <w:rPr>
          <w:rStyle w:val="Emphasis"/>
        </w:rPr>
        <w:t>Energy Policy, 81</w:t>
      </w:r>
      <w:r w:rsidRPr="00E10446">
        <w:t xml:space="preserve">, 286–295. </w:t>
      </w:r>
      <w:r w:rsidRPr="00E10446">
        <w:tab/>
      </w:r>
      <w:hyperlink r:id="rId11" w:history="1">
        <w:r w:rsidRPr="00E10446">
          <w:rPr>
            <w:rStyle w:val="Hyperlink"/>
          </w:rPr>
          <w:t>https://doi.org/10.1016/j.enpol.2014.12.012</w:t>
        </w:r>
      </w:hyperlink>
    </w:p>
    <w:p w14:paraId="0AB8BD39" w14:textId="77777777" w:rsidR="005801C8" w:rsidRPr="00E10446" w:rsidRDefault="002326DC">
      <w:pPr>
        <w:pStyle w:val="NormalWeb"/>
        <w:spacing w:before="0" w:beforeAutospacing="0" w:after="0" w:afterAutospacing="0"/>
        <w:jc w:val="both"/>
      </w:pPr>
      <w:r w:rsidRPr="00E10446">
        <w:t xml:space="preserve">Adebayo, T. S., Akadiri, S. S., &amp; Rjoub, H. (2025). Revisiting the green growth puzzle in </w:t>
      </w:r>
      <w:r w:rsidRPr="00E10446">
        <w:tab/>
        <w:t xml:space="preserve">Africa: Asymmetric effects of ICT, renewable energy and financial development under </w:t>
      </w:r>
      <w:r w:rsidRPr="00E10446">
        <w:tab/>
        <w:t xml:space="preserve">electricity constraints. </w:t>
      </w:r>
      <w:r w:rsidRPr="00E10446">
        <w:rPr>
          <w:i/>
          <w:iCs/>
        </w:rPr>
        <w:t>Journal of Financial Reporting and Accounting</w:t>
      </w:r>
      <w:r w:rsidRPr="00E10446">
        <w:t xml:space="preserve">. </w:t>
      </w:r>
      <w:r w:rsidRPr="00E10446">
        <w:tab/>
      </w:r>
      <w:hyperlink r:id="rId12" w:history="1">
        <w:r w:rsidRPr="00E10446">
          <w:rPr>
            <w:rStyle w:val="Hyperlink"/>
          </w:rPr>
          <w:t>https://doi.org/10.1108/JFRA-04-2025-0299</w:t>
        </w:r>
      </w:hyperlink>
      <w:r w:rsidRPr="00E10446">
        <w:t xml:space="preserve"> </w:t>
      </w:r>
    </w:p>
    <w:p w14:paraId="6C3FF4BE" w14:textId="61A980F0" w:rsidR="005801C8" w:rsidRPr="00E10446" w:rsidRDefault="002326DC">
      <w:pPr>
        <w:pStyle w:val="NormalWeb"/>
        <w:spacing w:before="0" w:beforeAutospacing="0" w:after="0" w:afterAutospacing="0"/>
        <w:jc w:val="both"/>
      </w:pPr>
      <w:r w:rsidRPr="00E10446">
        <w:t xml:space="preserve">Adebayo, T. S., Bekun, F. V., &amp; Alola, A. A. (2025). Asymmetric impacts of energy </w:t>
      </w:r>
      <w:r w:rsidRPr="00E10446">
        <w:tab/>
        <w:t xml:space="preserve">consumption on poverty dynamics in sub Saharan Africa: Evidence from nonlinear </w:t>
      </w:r>
      <w:r w:rsidRPr="00E10446">
        <w:tab/>
        <w:t xml:space="preserve">ARDL approach. </w:t>
      </w:r>
      <w:r w:rsidRPr="00E10446">
        <w:rPr>
          <w:i/>
          <w:iCs/>
        </w:rPr>
        <w:t>Energy Economics</w:t>
      </w:r>
      <w:r w:rsidRPr="00E10446">
        <w:t xml:space="preserve">, 121, 106783. </w:t>
      </w:r>
      <w:r w:rsidRPr="00E10446">
        <w:tab/>
      </w:r>
      <w:hyperlink r:id="rId13" w:history="1">
        <w:r w:rsidRPr="00E10446">
          <w:rPr>
            <w:rStyle w:val="Hyperlink"/>
          </w:rPr>
          <w:t>https://doi.org/10.1016/j.eneco.2024.106783</w:t>
        </w:r>
      </w:hyperlink>
      <w:r w:rsidRPr="00E10446">
        <w:t xml:space="preserve"> </w:t>
      </w:r>
    </w:p>
    <w:p w14:paraId="3EC47165" w14:textId="59CA8759" w:rsidR="0084499A" w:rsidRPr="00E10446" w:rsidRDefault="0084499A" w:rsidP="0084499A">
      <w:pPr>
        <w:pStyle w:val="NormalWeb"/>
        <w:spacing w:before="0" w:beforeAutospacing="0" w:after="0" w:afterAutospacing="0"/>
      </w:pPr>
      <w:r w:rsidRPr="00E10446">
        <w:t xml:space="preserve">Adebayo, T. S., et al. (2025). Asymmetric effects of renewable and non-renewable energy </w:t>
      </w:r>
      <w:r w:rsidRPr="00E10446">
        <w:tab/>
        <w:t xml:space="preserve">consumption on poverty in Sub-Saharan Africa. </w:t>
      </w:r>
      <w:r w:rsidRPr="00E10446">
        <w:rPr>
          <w:rStyle w:val="Emphasis"/>
        </w:rPr>
        <w:t>Energy Economics</w:t>
      </w:r>
      <w:r w:rsidRPr="00E10446">
        <w:t>.</w:t>
      </w:r>
    </w:p>
    <w:p w14:paraId="6C9D1056" w14:textId="77777777" w:rsidR="005801C8" w:rsidRPr="00E10446" w:rsidRDefault="002326DC" w:rsidP="0084499A">
      <w:pPr>
        <w:pStyle w:val="NormalWeb"/>
        <w:spacing w:before="0" w:beforeAutospacing="0" w:after="0" w:afterAutospacing="0"/>
        <w:jc w:val="both"/>
      </w:pPr>
      <w:r w:rsidRPr="00E10446">
        <w:t xml:space="preserve">Adom, P. K. (2015). Asymmetric impacts of the determinants of energy intensity in Nigeria. </w:t>
      </w:r>
      <w:r w:rsidRPr="00E10446">
        <w:tab/>
      </w:r>
      <w:r w:rsidRPr="00E10446">
        <w:rPr>
          <w:rStyle w:val="Emphasis"/>
        </w:rPr>
        <w:t>Energy Economics, 49</w:t>
      </w:r>
      <w:r w:rsidRPr="00E10446">
        <w:t xml:space="preserve">, 570–580. </w:t>
      </w:r>
      <w:hyperlink r:id="rId14" w:tgtFrame="_new" w:history="1">
        <w:r w:rsidRPr="00E10446">
          <w:rPr>
            <w:rStyle w:val="Hyperlink"/>
          </w:rPr>
          <w:t>https://doi.org/10.1016/j.eneco.2015.03.027</w:t>
        </w:r>
      </w:hyperlink>
    </w:p>
    <w:p w14:paraId="6088A20F" w14:textId="77777777" w:rsidR="005801C8" w:rsidRPr="00E10446" w:rsidRDefault="002326DC">
      <w:pPr>
        <w:pStyle w:val="NormalWeb"/>
        <w:spacing w:before="0" w:beforeAutospacing="0" w:after="0" w:afterAutospacing="0"/>
        <w:jc w:val="both"/>
      </w:pPr>
      <w:r w:rsidRPr="00E10446">
        <w:t xml:space="preserve">Agyemang, K., Ampofo, S., &amp; Nkambule, N. (2024). Energy consumption, human </w:t>
      </w:r>
      <w:r w:rsidRPr="00E10446">
        <w:tab/>
        <w:t xml:space="preserve">development, and poverty alleviation in Senegal. </w:t>
      </w:r>
      <w:r w:rsidRPr="00E10446">
        <w:rPr>
          <w:i/>
          <w:iCs/>
        </w:rPr>
        <w:t>Sustainability</w:t>
      </w:r>
      <w:r w:rsidRPr="00E10446">
        <w:t xml:space="preserve">, 17(3), 1333. </w:t>
      </w:r>
      <w:r w:rsidRPr="00E10446">
        <w:tab/>
      </w:r>
      <w:hyperlink r:id="rId15" w:history="1">
        <w:r w:rsidRPr="00E10446">
          <w:rPr>
            <w:rStyle w:val="Hyperlink"/>
          </w:rPr>
          <w:t>https://doi.org/10.3390/su17031333</w:t>
        </w:r>
      </w:hyperlink>
      <w:r w:rsidRPr="00E10446">
        <w:t xml:space="preserve"> </w:t>
      </w:r>
    </w:p>
    <w:p w14:paraId="74BE0C29" w14:textId="77777777" w:rsidR="005801C8" w:rsidRPr="00E10446" w:rsidRDefault="002326DC" w:rsidP="001D5522">
      <w:pPr>
        <w:pStyle w:val="NormalWeb"/>
        <w:spacing w:before="0" w:beforeAutospacing="0" w:after="0" w:afterAutospacing="0"/>
        <w:jc w:val="both"/>
      </w:pPr>
      <w:r w:rsidRPr="00E10446">
        <w:lastRenderedPageBreak/>
        <w:t xml:space="preserve">Aliyu, A. S., Ramli, A. T., &amp; Saleh, M. A. (2015). Nigeria electricity crisis: Power generation </w:t>
      </w:r>
      <w:r w:rsidRPr="00E10446">
        <w:tab/>
        <w:t xml:space="preserve">capacity expansion and environmental ramifications. </w:t>
      </w:r>
      <w:r w:rsidRPr="00E10446">
        <w:rPr>
          <w:rStyle w:val="Emphasis"/>
        </w:rPr>
        <w:t>Energy, 61</w:t>
      </w:r>
      <w:r w:rsidRPr="00E10446">
        <w:t xml:space="preserve">, 354–367. </w:t>
      </w:r>
      <w:r w:rsidRPr="00E10446">
        <w:tab/>
      </w:r>
      <w:hyperlink r:id="rId16" w:history="1">
        <w:r w:rsidRPr="00E10446">
          <w:rPr>
            <w:rStyle w:val="Hyperlink"/>
          </w:rPr>
          <w:t>https://doi.org/10.1016/j.energy.2013.09.011</w:t>
        </w:r>
      </w:hyperlink>
    </w:p>
    <w:p w14:paraId="39E5849F" w14:textId="77777777" w:rsidR="005801C8" w:rsidRPr="00E10446" w:rsidRDefault="002326DC" w:rsidP="001D5522">
      <w:pPr>
        <w:pStyle w:val="NormalWeb"/>
        <w:spacing w:before="0" w:beforeAutospacing="0" w:after="0" w:afterAutospacing="0"/>
        <w:jc w:val="both"/>
      </w:pPr>
      <w:r w:rsidRPr="00E10446">
        <w:t xml:space="preserve">Alkire, S., &amp; Santos, M. E. (2014). Measuring acute poverty in the developing world: </w:t>
      </w:r>
      <w:r w:rsidRPr="00E10446">
        <w:tab/>
        <w:t xml:space="preserve">Robustness and scope of the multidimensional poverty index. </w:t>
      </w:r>
      <w:r w:rsidRPr="00E10446">
        <w:rPr>
          <w:rStyle w:val="Emphasis"/>
        </w:rPr>
        <w:t xml:space="preserve">World Development, </w:t>
      </w:r>
      <w:r w:rsidRPr="00E10446">
        <w:rPr>
          <w:rStyle w:val="Emphasis"/>
        </w:rPr>
        <w:tab/>
        <w:t>59</w:t>
      </w:r>
      <w:r w:rsidRPr="00E10446">
        <w:t xml:space="preserve">, 251–274. </w:t>
      </w:r>
      <w:hyperlink r:id="rId17" w:tgtFrame="_new" w:history="1">
        <w:r w:rsidRPr="00E10446">
          <w:rPr>
            <w:rStyle w:val="Hyperlink"/>
          </w:rPr>
          <w:t>https://doi.org/10.1016/j.worlddev.2014.01.026</w:t>
        </w:r>
      </w:hyperlink>
    </w:p>
    <w:p w14:paraId="351D87D4" w14:textId="77777777" w:rsidR="005801C8" w:rsidRPr="00E10446" w:rsidRDefault="002326DC">
      <w:pPr>
        <w:pStyle w:val="NormalWeb"/>
        <w:spacing w:before="0" w:beforeAutospacing="0" w:after="0" w:afterAutospacing="0"/>
        <w:jc w:val="both"/>
      </w:pPr>
      <w:r w:rsidRPr="00E10446">
        <w:t xml:space="preserve">Amer, A. S. R., &amp; Kareem, P. H. (2025). Advancing sustainable development: Empirical </w:t>
      </w:r>
      <w:r w:rsidRPr="00E10446">
        <w:tab/>
        <w:t xml:space="preserve">insights on energy poverty in ECOWAS through green financing, technological </w:t>
      </w:r>
      <w:r w:rsidRPr="00E10446">
        <w:tab/>
        <w:t xml:space="preserve">innovation and economic empowerment. </w:t>
      </w:r>
      <w:r w:rsidRPr="00E10446">
        <w:rPr>
          <w:i/>
          <w:iCs/>
        </w:rPr>
        <w:t>Sustainability</w:t>
      </w:r>
      <w:r w:rsidRPr="00E10446">
        <w:t xml:space="preserve">, 17(3), 1333. </w:t>
      </w:r>
      <w:r w:rsidRPr="00E10446">
        <w:tab/>
      </w:r>
      <w:hyperlink r:id="rId18" w:history="1">
        <w:r w:rsidRPr="00E10446">
          <w:rPr>
            <w:rStyle w:val="Hyperlink"/>
          </w:rPr>
          <w:t>https://doi.org/10.3390/su17031333</w:t>
        </w:r>
      </w:hyperlink>
      <w:r w:rsidRPr="00E10446">
        <w:t xml:space="preserve"> </w:t>
      </w:r>
    </w:p>
    <w:p w14:paraId="48F08F1B" w14:textId="77777777" w:rsidR="005801C8" w:rsidRPr="00E10446" w:rsidRDefault="002326DC">
      <w:pPr>
        <w:pStyle w:val="NormalWeb"/>
        <w:spacing w:before="0" w:beforeAutospacing="0" w:after="0" w:afterAutospacing="0"/>
        <w:jc w:val="both"/>
      </w:pPr>
      <w:r w:rsidRPr="00E10446">
        <w:t xml:space="preserve">Ampofo, S., Nkambule, N., &amp; Agyemang, K. (2023). Energy access, inequality, and poverty </w:t>
      </w:r>
      <w:r w:rsidRPr="00E10446">
        <w:tab/>
        <w:t xml:space="preserve">alleviation in West African economies. </w:t>
      </w:r>
      <w:r w:rsidRPr="00E10446">
        <w:rPr>
          <w:i/>
          <w:iCs/>
        </w:rPr>
        <w:t>Energy Economics</w:t>
      </w:r>
      <w:r w:rsidRPr="00E10446">
        <w:t xml:space="preserve">, 118, 106549. </w:t>
      </w:r>
      <w:r w:rsidRPr="00E10446">
        <w:tab/>
      </w:r>
      <w:hyperlink r:id="rId19" w:history="1">
        <w:r w:rsidRPr="00E10446">
          <w:rPr>
            <w:rStyle w:val="Hyperlink"/>
          </w:rPr>
          <w:t>https://doi.org/10.1016/j.eneco.2023.106549</w:t>
        </w:r>
      </w:hyperlink>
      <w:r w:rsidRPr="00E10446">
        <w:t xml:space="preserve"> </w:t>
      </w:r>
    </w:p>
    <w:p w14:paraId="4FAED666" w14:textId="77777777" w:rsidR="005801C8" w:rsidRPr="00E10446" w:rsidRDefault="002326DC">
      <w:pPr>
        <w:pStyle w:val="NormalWeb"/>
        <w:spacing w:before="0" w:beforeAutospacing="0" w:after="0" w:afterAutospacing="0"/>
        <w:jc w:val="both"/>
      </w:pPr>
      <w:r w:rsidRPr="00E10446">
        <w:t xml:space="preserve">Ampofo, S., Nkambule, N., &amp; Agyemang, K. (2024). Renewable energy consumption and </w:t>
      </w:r>
      <w:r w:rsidRPr="00E10446">
        <w:tab/>
        <w:t xml:space="preserve">multidimensional poverty reduction: Evidence from Ghana and Côte d’Ivoire. </w:t>
      </w:r>
      <w:r w:rsidRPr="00E10446">
        <w:tab/>
      </w:r>
      <w:r w:rsidRPr="00E10446">
        <w:rPr>
          <w:i/>
          <w:iCs/>
        </w:rPr>
        <w:t>Renewable Energy</w:t>
      </w:r>
      <w:r w:rsidRPr="00E10446">
        <w:t xml:space="preserve">, 202, 1234–1245. </w:t>
      </w:r>
      <w:hyperlink r:id="rId20" w:history="1">
        <w:r w:rsidRPr="00E10446">
          <w:rPr>
            <w:rStyle w:val="Hyperlink"/>
          </w:rPr>
          <w:t>https://doi.org/10.1016/j.renene.2024.01.045</w:t>
        </w:r>
      </w:hyperlink>
      <w:r w:rsidRPr="00E10446">
        <w:t xml:space="preserve"> </w:t>
      </w:r>
    </w:p>
    <w:p w14:paraId="0163EDDC" w14:textId="77777777" w:rsidR="005801C8" w:rsidRPr="00E10446" w:rsidRDefault="002326DC">
      <w:pPr>
        <w:pStyle w:val="NormalWeb"/>
        <w:spacing w:before="0" w:beforeAutospacing="0" w:after="0" w:afterAutospacing="0"/>
        <w:jc w:val="both"/>
      </w:pPr>
      <w:r w:rsidRPr="00E10446">
        <w:t xml:space="preserve">Apergis, N., &amp; Payne, J. E. (2010). Energy consumption and growth in South America: </w:t>
      </w:r>
      <w:r w:rsidRPr="00E10446">
        <w:tab/>
        <w:t xml:space="preserve">Evidence from a panel error correction model. </w:t>
      </w:r>
      <w:r w:rsidRPr="00E10446">
        <w:rPr>
          <w:i/>
          <w:iCs/>
        </w:rPr>
        <w:t>Energy Economics</w:t>
      </w:r>
      <w:r w:rsidRPr="00E10446">
        <w:t xml:space="preserve">, 32(6), 1421–1426. </w:t>
      </w:r>
      <w:r w:rsidRPr="00E10446">
        <w:tab/>
      </w:r>
      <w:hyperlink r:id="rId21" w:history="1">
        <w:r w:rsidRPr="00E10446">
          <w:rPr>
            <w:rStyle w:val="Hyperlink"/>
          </w:rPr>
          <w:t>https://doi.org/10.1016/j.eneco.2010.07.004</w:t>
        </w:r>
      </w:hyperlink>
      <w:r w:rsidRPr="00E10446">
        <w:t xml:space="preserve"> </w:t>
      </w:r>
    </w:p>
    <w:p w14:paraId="71A8CC7D" w14:textId="77777777" w:rsidR="005801C8" w:rsidRPr="00E10446" w:rsidRDefault="002326DC">
      <w:pPr>
        <w:pStyle w:val="NormalWeb"/>
        <w:spacing w:before="0" w:beforeAutospacing="0" w:after="0" w:afterAutospacing="0"/>
        <w:jc w:val="both"/>
      </w:pPr>
      <w:r w:rsidRPr="00E10446">
        <w:t xml:space="preserve">Apergis, N., &amp; Payne, J. E. (2017). Energy consumption and economic growth in South </w:t>
      </w:r>
      <w:r w:rsidRPr="00E10446">
        <w:tab/>
        <w:t xml:space="preserve">America: Evidence from a panel error correction model. </w:t>
      </w:r>
      <w:r w:rsidRPr="00E10446">
        <w:rPr>
          <w:i/>
          <w:iCs/>
        </w:rPr>
        <w:t>Energy Economics</w:t>
      </w:r>
      <w:r w:rsidRPr="00E10446">
        <w:t xml:space="preserve">, 32(6), </w:t>
      </w:r>
      <w:r w:rsidRPr="00E10446">
        <w:tab/>
        <w:t xml:space="preserve">1421–1426. </w:t>
      </w:r>
      <w:hyperlink r:id="rId22" w:history="1">
        <w:r w:rsidRPr="00E10446">
          <w:rPr>
            <w:rStyle w:val="Hyperlink"/>
          </w:rPr>
          <w:t>https://doi.org/10.1016/j.eneco.2010.07.004</w:t>
        </w:r>
      </w:hyperlink>
      <w:r w:rsidRPr="00E10446">
        <w:t xml:space="preserve"> </w:t>
      </w:r>
    </w:p>
    <w:p w14:paraId="73B9C0C2" w14:textId="3F03FBF1" w:rsidR="005801C8" w:rsidRPr="00E10446" w:rsidRDefault="002326DC">
      <w:pPr>
        <w:pStyle w:val="NormalWeb"/>
        <w:spacing w:before="0" w:beforeAutospacing="0" w:after="0" w:afterAutospacing="0"/>
        <w:jc w:val="both"/>
        <w:rPr>
          <w:rStyle w:val="Hyperlink"/>
        </w:rPr>
      </w:pPr>
      <w:r w:rsidRPr="00E10446">
        <w:t xml:space="preserve">Apergis, N., &amp; Payne, J. E. (2017). Renewable energy consumption and economic growth: </w:t>
      </w:r>
      <w:r w:rsidRPr="00E10446">
        <w:tab/>
        <w:t xml:space="preserve">Evidence from a panel of developing countries. </w:t>
      </w:r>
      <w:r w:rsidRPr="00E10446">
        <w:rPr>
          <w:rStyle w:val="Emphasis"/>
        </w:rPr>
        <w:t>Energy Economics, 32</w:t>
      </w:r>
      <w:r w:rsidRPr="00E10446">
        <w:t xml:space="preserve">(6), 1421–1426. </w:t>
      </w:r>
      <w:r w:rsidRPr="00E10446">
        <w:tab/>
      </w:r>
      <w:hyperlink r:id="rId23" w:history="1">
        <w:r w:rsidRPr="00E10446">
          <w:rPr>
            <w:rStyle w:val="Hyperlink"/>
          </w:rPr>
          <w:t>https://doi.org/10.1016/j.eneco.2010.07.004</w:t>
        </w:r>
      </w:hyperlink>
    </w:p>
    <w:p w14:paraId="16E5317B" w14:textId="44CEAB62" w:rsidR="00DF598E" w:rsidRPr="00E10446" w:rsidRDefault="00DF598E">
      <w:pPr>
        <w:pStyle w:val="NormalWeb"/>
        <w:spacing w:before="0" w:beforeAutospacing="0" w:after="0" w:afterAutospacing="0"/>
        <w:jc w:val="both"/>
      </w:pPr>
      <w:proofErr w:type="spellStart"/>
      <w:r w:rsidRPr="00E10446">
        <w:t>Baltagi</w:t>
      </w:r>
      <w:proofErr w:type="spellEnd"/>
      <w:r w:rsidRPr="00E10446">
        <w:t xml:space="preserve">, B. H. (2021). </w:t>
      </w:r>
      <w:r w:rsidRPr="00E10446">
        <w:rPr>
          <w:i/>
          <w:iCs/>
        </w:rPr>
        <w:t xml:space="preserve">Econometric analysis of panel data </w:t>
      </w:r>
      <w:r w:rsidRPr="00E10446">
        <w:t xml:space="preserve">(6th ed.). Springer. </w:t>
      </w:r>
      <w:r w:rsidRPr="00E10446">
        <w:tab/>
      </w:r>
      <w:hyperlink r:id="rId24" w:history="1">
        <w:r w:rsidRPr="00E10446">
          <w:rPr>
            <w:rStyle w:val="Hyperlink"/>
          </w:rPr>
          <w:t>https://doi.org/10.1007/978-3-030-53953-5</w:t>
        </w:r>
      </w:hyperlink>
      <w:r w:rsidRPr="00E10446">
        <w:t xml:space="preserve"> </w:t>
      </w:r>
    </w:p>
    <w:p w14:paraId="3824C6B1" w14:textId="77777777" w:rsidR="005801C8" w:rsidRPr="00E10446" w:rsidRDefault="002326DC">
      <w:pPr>
        <w:pStyle w:val="NormalWeb"/>
        <w:spacing w:before="0" w:beforeAutospacing="0" w:after="0" w:afterAutospacing="0"/>
        <w:jc w:val="both"/>
      </w:pPr>
      <w:r w:rsidRPr="00E10446">
        <w:t xml:space="preserve">Baz, K., Yeo, S., &amp; Acheampong, A. (2023). Energy infrastructure investment and poverty </w:t>
      </w:r>
      <w:r w:rsidRPr="00E10446">
        <w:tab/>
        <w:t xml:space="preserve">reduction: Threshold effects in sub-Saharan Africa. </w:t>
      </w:r>
      <w:r w:rsidRPr="00E10446">
        <w:rPr>
          <w:i/>
          <w:iCs/>
        </w:rPr>
        <w:t>World Development</w:t>
      </w:r>
      <w:r w:rsidRPr="00E10446">
        <w:t xml:space="preserve">, 161, 106082. </w:t>
      </w:r>
      <w:r w:rsidRPr="00E10446">
        <w:tab/>
      </w:r>
      <w:hyperlink r:id="rId25" w:history="1">
        <w:r w:rsidRPr="00E10446">
          <w:rPr>
            <w:rStyle w:val="Hyperlink"/>
          </w:rPr>
          <w:t>https://doi.org/10.1016/j.worlddev.2022.106082</w:t>
        </w:r>
      </w:hyperlink>
      <w:r w:rsidRPr="00E10446">
        <w:t xml:space="preserve"> </w:t>
      </w:r>
    </w:p>
    <w:p w14:paraId="75E743A6" w14:textId="77777777" w:rsidR="005801C8" w:rsidRPr="00E10446" w:rsidRDefault="002326DC">
      <w:pPr>
        <w:pStyle w:val="NormalWeb"/>
        <w:spacing w:before="0" w:beforeAutospacing="0" w:after="0" w:afterAutospacing="0"/>
        <w:jc w:val="both"/>
      </w:pPr>
      <w:r w:rsidRPr="00E10446">
        <w:t xml:space="preserve">Bhattacharyya, S. C., &amp; Timilsina, G. R. (2010). A review of energy economy models. </w:t>
      </w:r>
      <w:r w:rsidRPr="00E10446">
        <w:rPr>
          <w:i/>
          <w:iCs/>
        </w:rPr>
        <w:t xml:space="preserve">Energy </w:t>
      </w:r>
      <w:r w:rsidRPr="00E10446">
        <w:rPr>
          <w:i/>
          <w:iCs/>
        </w:rPr>
        <w:tab/>
        <w:t>Economics</w:t>
      </w:r>
      <w:r w:rsidRPr="00E10446">
        <w:t xml:space="preserve">, 32(2), 46–60. </w:t>
      </w:r>
      <w:hyperlink r:id="rId26" w:history="1">
        <w:r w:rsidRPr="00E10446">
          <w:rPr>
            <w:rStyle w:val="Hyperlink"/>
          </w:rPr>
          <w:t>https://doi.org/10.1016/j.eneco.2009.10.004</w:t>
        </w:r>
      </w:hyperlink>
      <w:r w:rsidRPr="00E10446">
        <w:t xml:space="preserve"> </w:t>
      </w:r>
    </w:p>
    <w:p w14:paraId="441B1EDB" w14:textId="77777777" w:rsidR="005801C8" w:rsidRPr="00E10446" w:rsidRDefault="002326DC">
      <w:pPr>
        <w:pStyle w:val="NormalWeb"/>
        <w:spacing w:before="0" w:beforeAutospacing="0" w:after="0" w:afterAutospacing="0"/>
        <w:jc w:val="both"/>
      </w:pPr>
      <w:r w:rsidRPr="00E10446">
        <w:t xml:space="preserve">Bhuiyan, M. A. (2022). The role of energy use in economic development and human welfare. </w:t>
      </w:r>
      <w:r w:rsidRPr="00E10446">
        <w:tab/>
      </w:r>
      <w:r w:rsidRPr="00E10446">
        <w:rPr>
          <w:i/>
          <w:iCs/>
        </w:rPr>
        <w:t>Frontiers in Environmental Science</w:t>
      </w:r>
      <w:r w:rsidRPr="00E10446">
        <w:t xml:space="preserve">, 10, Article 945321. </w:t>
      </w:r>
      <w:r w:rsidRPr="00E10446">
        <w:tab/>
      </w:r>
      <w:hyperlink r:id="rId27" w:history="1">
        <w:r w:rsidRPr="00E10446">
          <w:rPr>
            <w:rStyle w:val="Hyperlink"/>
          </w:rPr>
          <w:t>https://doi.org/10.3389/fenvs.2022.945321</w:t>
        </w:r>
      </w:hyperlink>
      <w:r w:rsidRPr="00E10446">
        <w:t xml:space="preserve">  </w:t>
      </w:r>
    </w:p>
    <w:p w14:paraId="5F7B9298" w14:textId="77777777" w:rsidR="005801C8" w:rsidRPr="00E10446" w:rsidRDefault="002326DC">
      <w:pPr>
        <w:pStyle w:val="NormalWeb"/>
        <w:spacing w:before="0" w:beforeAutospacing="0" w:after="0" w:afterAutospacing="0"/>
        <w:jc w:val="both"/>
      </w:pPr>
      <w:r w:rsidRPr="00E10446">
        <w:t xml:space="preserve">Frnana, F. M., &amp; Kareem, P. H. (2025). Pathways to achieving low energy-poverty problems </w:t>
      </w:r>
      <w:r w:rsidRPr="00E10446">
        <w:tab/>
        <w:t xml:space="preserve">in Central African nations with government effectiveness, technology, natural </w:t>
      </w:r>
      <w:r w:rsidRPr="00E10446">
        <w:tab/>
        <w:t xml:space="preserve">resources and sustainable economic growth. </w:t>
      </w:r>
      <w:r w:rsidRPr="00E10446">
        <w:rPr>
          <w:i/>
          <w:iCs/>
        </w:rPr>
        <w:t>Sustainability</w:t>
      </w:r>
      <w:r w:rsidRPr="00E10446">
        <w:t xml:space="preserve">, 17(3), 1007. </w:t>
      </w:r>
      <w:r w:rsidRPr="00E10446">
        <w:tab/>
      </w:r>
      <w:hyperlink r:id="rId28" w:history="1">
        <w:r w:rsidRPr="00E10446">
          <w:rPr>
            <w:rStyle w:val="Hyperlink"/>
          </w:rPr>
          <w:t>https://doi.org/10.3390/su17031007</w:t>
        </w:r>
      </w:hyperlink>
      <w:r w:rsidRPr="00E10446">
        <w:t xml:space="preserve"> </w:t>
      </w:r>
    </w:p>
    <w:p w14:paraId="22B3C5A9" w14:textId="77777777" w:rsidR="005801C8" w:rsidRPr="00E10446" w:rsidRDefault="002326DC">
      <w:pPr>
        <w:pStyle w:val="NormalWeb"/>
        <w:spacing w:before="0" w:beforeAutospacing="0" w:after="0" w:afterAutospacing="0"/>
        <w:jc w:val="both"/>
      </w:pPr>
      <w:r w:rsidRPr="00E10446">
        <w:t xml:space="preserve">Gür, B., Sart, G., Karamıklı Çetin, A., &amp; Bayar, Y. (2025). The effect of energy poverty </w:t>
      </w:r>
      <w:r w:rsidRPr="00E10446">
        <w:tab/>
        <w:t xml:space="preserve">reduction and renewable energy use on CO2 emissions: Empirical evidence from </w:t>
      </w:r>
      <w:r w:rsidRPr="00E10446">
        <w:tab/>
        <w:t xml:space="preserve">ASEAN countries. </w:t>
      </w:r>
      <w:r w:rsidRPr="00E10446">
        <w:rPr>
          <w:i/>
          <w:iCs/>
        </w:rPr>
        <w:t>Frontiers in Environmental Science</w:t>
      </w:r>
      <w:r w:rsidRPr="00E10446">
        <w:t xml:space="preserve">, 13, Article 1696193. </w:t>
      </w:r>
      <w:r w:rsidRPr="00E10446">
        <w:tab/>
      </w:r>
      <w:hyperlink r:id="rId29" w:history="1">
        <w:r w:rsidRPr="00E10446">
          <w:rPr>
            <w:rStyle w:val="Hyperlink"/>
          </w:rPr>
          <w:t>https://doi.org/10.3389/fenvs.2025.1696193</w:t>
        </w:r>
      </w:hyperlink>
      <w:r w:rsidRPr="00E10446">
        <w:t xml:space="preserve"> </w:t>
      </w:r>
    </w:p>
    <w:p w14:paraId="65B2A235" w14:textId="77777777" w:rsidR="005801C8" w:rsidRPr="00E10446" w:rsidRDefault="002326DC">
      <w:pPr>
        <w:spacing w:after="0" w:line="240" w:lineRule="auto"/>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International Energy Agency (IEA). (2022). </w:t>
      </w:r>
      <w:r w:rsidRPr="00E10446">
        <w:rPr>
          <w:rFonts w:ascii="Times New Roman" w:eastAsia="Times New Roman" w:hAnsi="Times New Roman" w:cs="Times New Roman"/>
          <w:i/>
          <w:iCs/>
          <w:sz w:val="24"/>
          <w:szCs w:val="24"/>
          <w:lang w:eastAsia="en-GB"/>
        </w:rPr>
        <w:t>Africa energy outlook 2022</w:t>
      </w:r>
      <w:r w:rsidRPr="00E10446">
        <w:rPr>
          <w:rFonts w:ascii="Times New Roman" w:eastAsia="Times New Roman" w:hAnsi="Times New Roman" w:cs="Times New Roman"/>
          <w:sz w:val="24"/>
          <w:szCs w:val="24"/>
          <w:lang w:eastAsia="en-GB"/>
        </w:rPr>
        <w:t>. Paris: IEA.</w:t>
      </w:r>
    </w:p>
    <w:p w14:paraId="1105C5D7" w14:textId="77777777" w:rsidR="005801C8" w:rsidRPr="00E10446" w:rsidRDefault="002326DC">
      <w:pPr>
        <w:spacing w:after="0" w:line="240" w:lineRule="auto"/>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International Energy Agency (IEA). (2023). </w:t>
      </w:r>
      <w:r w:rsidRPr="00E10446">
        <w:rPr>
          <w:rFonts w:ascii="Times New Roman" w:eastAsia="Times New Roman" w:hAnsi="Times New Roman" w:cs="Times New Roman"/>
          <w:i/>
          <w:iCs/>
          <w:sz w:val="24"/>
          <w:szCs w:val="24"/>
          <w:lang w:eastAsia="en-GB"/>
        </w:rPr>
        <w:t>Africa energy outlook 2023</w:t>
      </w:r>
      <w:r w:rsidRPr="00E10446">
        <w:rPr>
          <w:rFonts w:ascii="Times New Roman" w:eastAsia="Times New Roman" w:hAnsi="Times New Roman" w:cs="Times New Roman"/>
          <w:sz w:val="24"/>
          <w:szCs w:val="24"/>
          <w:lang w:eastAsia="en-GB"/>
        </w:rPr>
        <w:t>. Paris: IEA.</w:t>
      </w:r>
    </w:p>
    <w:p w14:paraId="258382E1" w14:textId="77777777" w:rsidR="005801C8" w:rsidRPr="00E10446" w:rsidRDefault="002326DC">
      <w:pPr>
        <w:pStyle w:val="NormalWeb"/>
        <w:spacing w:before="0" w:beforeAutospacing="0" w:after="0" w:afterAutospacing="0"/>
        <w:jc w:val="both"/>
      </w:pPr>
      <w:r w:rsidRPr="00E10446">
        <w:t xml:space="preserve">Jithin, P. (2025). Towards sustainable energy access: Investigating the role of renewable energy </w:t>
      </w:r>
      <w:r w:rsidRPr="00E10446">
        <w:tab/>
        <w:t xml:space="preserve">consumption on energy poverty. </w:t>
      </w:r>
      <w:r w:rsidRPr="00E10446">
        <w:rPr>
          <w:i/>
          <w:iCs/>
        </w:rPr>
        <w:t>Energy Policy</w:t>
      </w:r>
      <w:r w:rsidRPr="00E10446">
        <w:t xml:space="preserve">. </w:t>
      </w:r>
      <w:r w:rsidRPr="00E10446">
        <w:tab/>
      </w:r>
      <w:hyperlink r:id="rId30" w:history="1">
        <w:r w:rsidRPr="00E10446">
          <w:rPr>
            <w:rStyle w:val="Hyperlink"/>
          </w:rPr>
          <w:t>https://doi.org/10.1016/j.enpol.2025.114567</w:t>
        </w:r>
      </w:hyperlink>
      <w:r w:rsidRPr="00E10446">
        <w:t xml:space="preserve"> </w:t>
      </w:r>
    </w:p>
    <w:p w14:paraId="4140A6F0" w14:textId="4A577470" w:rsidR="005801C8" w:rsidRPr="00E10446" w:rsidRDefault="002326DC">
      <w:pPr>
        <w:pStyle w:val="NormalWeb"/>
        <w:spacing w:before="0" w:beforeAutospacing="0" w:after="0" w:afterAutospacing="0"/>
        <w:jc w:val="both"/>
      </w:pPr>
      <w:r w:rsidRPr="00E10446">
        <w:lastRenderedPageBreak/>
        <w:t xml:space="preserve">Kettani, M. (2023). Energy consumption and multidimensional poverty: Evidence from Africa </w:t>
      </w:r>
      <w:r w:rsidRPr="00E10446">
        <w:tab/>
        <w:t xml:space="preserve">and policy implications. </w:t>
      </w:r>
      <w:r w:rsidRPr="00E10446">
        <w:rPr>
          <w:i/>
          <w:iCs/>
        </w:rPr>
        <w:t>Energy Policy</w:t>
      </w:r>
      <w:r w:rsidRPr="00E10446">
        <w:t xml:space="preserve">, 173, 113387. </w:t>
      </w:r>
      <w:r w:rsidRPr="00E10446">
        <w:tab/>
      </w:r>
      <w:hyperlink r:id="rId31" w:history="1">
        <w:r w:rsidRPr="00E10446">
          <w:rPr>
            <w:rStyle w:val="Hyperlink"/>
          </w:rPr>
          <w:t>https://doi.org/10.1016/j.enpol.2023.113387</w:t>
        </w:r>
      </w:hyperlink>
      <w:r w:rsidRPr="00E10446">
        <w:t xml:space="preserve"> </w:t>
      </w:r>
    </w:p>
    <w:p w14:paraId="181ACB79" w14:textId="3B3AA5A0" w:rsidR="0084499A" w:rsidRPr="00E10446" w:rsidRDefault="0084499A" w:rsidP="0084499A">
      <w:pPr>
        <w:pStyle w:val="NormalWeb"/>
        <w:spacing w:before="0" w:beforeAutospacing="0" w:after="0" w:afterAutospacing="0"/>
      </w:pPr>
      <w:r w:rsidRPr="00E10446">
        <w:t xml:space="preserve">Koenker, R. (2005). </w:t>
      </w:r>
      <w:r w:rsidRPr="00E10446">
        <w:rPr>
          <w:rStyle w:val="Emphasis"/>
        </w:rPr>
        <w:t>Quantile regression</w:t>
      </w:r>
      <w:r w:rsidRPr="00E10446">
        <w:t>. Cambridge University Press.</w:t>
      </w:r>
    </w:p>
    <w:p w14:paraId="68511DAD" w14:textId="77777777" w:rsidR="005801C8" w:rsidRPr="00E10446" w:rsidRDefault="002326DC" w:rsidP="0084499A">
      <w:pPr>
        <w:pStyle w:val="NormalWeb"/>
        <w:spacing w:before="0" w:beforeAutospacing="0" w:after="0" w:afterAutospacing="0"/>
        <w:jc w:val="both"/>
      </w:pPr>
      <w:r w:rsidRPr="00E10446">
        <w:t xml:space="preserve">Kumi, E. N. (2017). The electricity situation in Ghana: Challenges and opportunities. </w:t>
      </w:r>
      <w:r w:rsidRPr="00E10446">
        <w:rPr>
          <w:rStyle w:val="Emphasis"/>
        </w:rPr>
        <w:t xml:space="preserve">Energy </w:t>
      </w:r>
      <w:r w:rsidRPr="00E10446">
        <w:rPr>
          <w:rStyle w:val="Emphasis"/>
        </w:rPr>
        <w:tab/>
        <w:t>Policy, 110</w:t>
      </w:r>
      <w:r w:rsidRPr="00E10446">
        <w:t xml:space="preserve">, 449–456. </w:t>
      </w:r>
      <w:hyperlink r:id="rId32" w:tgtFrame="_new" w:history="1">
        <w:r w:rsidRPr="00E10446">
          <w:rPr>
            <w:rStyle w:val="Hyperlink"/>
          </w:rPr>
          <w:t>https://doi.org/10.1016/j.enpol.2017.08.031</w:t>
        </w:r>
      </w:hyperlink>
    </w:p>
    <w:p w14:paraId="0AEC638C" w14:textId="77777777" w:rsidR="005801C8" w:rsidRPr="00E10446" w:rsidRDefault="002326DC">
      <w:pPr>
        <w:pStyle w:val="NormalWeb"/>
        <w:spacing w:before="0" w:beforeAutospacing="0" w:after="0" w:afterAutospacing="0"/>
        <w:jc w:val="both"/>
      </w:pPr>
      <w:r w:rsidRPr="00E10446">
        <w:t xml:space="preserve">Leal Filho, W., Salvia, A. L., &amp; Kovaleva, M. (2024). Energy poverty and multidimensional </w:t>
      </w:r>
      <w:r w:rsidRPr="00E10446">
        <w:tab/>
        <w:t xml:space="preserve">poverty in West Africa: Challenges and policy interventions. </w:t>
      </w:r>
      <w:r w:rsidRPr="00E10446">
        <w:rPr>
          <w:i/>
          <w:iCs/>
        </w:rPr>
        <w:t xml:space="preserve">Energy for Sustainable </w:t>
      </w:r>
      <w:r w:rsidRPr="00E10446">
        <w:rPr>
          <w:i/>
          <w:iCs/>
        </w:rPr>
        <w:tab/>
        <w:t>Development</w:t>
      </w:r>
      <w:r w:rsidRPr="00E10446">
        <w:t xml:space="preserve">, 88, 102–118. </w:t>
      </w:r>
      <w:hyperlink r:id="rId33" w:history="1">
        <w:r w:rsidRPr="00E10446">
          <w:rPr>
            <w:rStyle w:val="Hyperlink"/>
          </w:rPr>
          <w:t>https://doi.org/10.1016/j.esd.2024.01.009</w:t>
        </w:r>
      </w:hyperlink>
      <w:r w:rsidRPr="00E10446">
        <w:t xml:space="preserve"> </w:t>
      </w:r>
    </w:p>
    <w:p w14:paraId="29B3A257" w14:textId="77777777" w:rsidR="005801C8" w:rsidRPr="00E10446" w:rsidRDefault="002326DC">
      <w:pPr>
        <w:pStyle w:val="NormalWeb"/>
        <w:spacing w:before="0" w:beforeAutospacing="0" w:after="0" w:afterAutospacing="0"/>
        <w:jc w:val="both"/>
      </w:pPr>
      <w:r w:rsidRPr="00E10446">
        <w:t xml:space="preserve">Lin, B., Gao, Y., &amp; Yang, Q. (2023). The role of energy consumption in poverty and </w:t>
      </w:r>
      <w:r w:rsidRPr="00E10446">
        <w:tab/>
        <w:t xml:space="preserve">productivity: Evidence from low income countries. </w:t>
      </w:r>
      <w:r w:rsidRPr="00E10446">
        <w:rPr>
          <w:i/>
          <w:iCs/>
        </w:rPr>
        <w:t>Sustainability</w:t>
      </w:r>
      <w:r w:rsidRPr="00E10446">
        <w:t xml:space="preserve">, 15(7), 4512. </w:t>
      </w:r>
      <w:r w:rsidRPr="00E10446">
        <w:tab/>
      </w:r>
      <w:hyperlink r:id="rId34" w:history="1">
        <w:r w:rsidRPr="00E10446">
          <w:rPr>
            <w:rStyle w:val="Hyperlink"/>
          </w:rPr>
          <w:t>https://doi.org/10.3390/su15074512</w:t>
        </w:r>
      </w:hyperlink>
      <w:r w:rsidRPr="00E10446">
        <w:t xml:space="preserve"> </w:t>
      </w:r>
    </w:p>
    <w:p w14:paraId="6B67AB16" w14:textId="3E640B57" w:rsidR="005801C8" w:rsidRPr="00E10446" w:rsidRDefault="002326DC">
      <w:pPr>
        <w:pStyle w:val="NormalWeb"/>
        <w:spacing w:before="0" w:beforeAutospacing="0" w:after="0" w:afterAutospacing="0"/>
        <w:jc w:val="both"/>
      </w:pPr>
      <w:r w:rsidRPr="00E10446">
        <w:t xml:space="preserve">Lin, B., Okyere, M. A., &amp; Agyeman, S. D. (2023). Energy efficiency-economic growth nexus: </w:t>
      </w:r>
      <w:r w:rsidRPr="00E10446">
        <w:tab/>
        <w:t xml:space="preserve">What is the role of income inequality? </w:t>
      </w:r>
      <w:r w:rsidRPr="00E10446">
        <w:rPr>
          <w:i/>
          <w:iCs/>
        </w:rPr>
        <w:t>Journal of Cleaner Production</w:t>
      </w:r>
      <w:r w:rsidRPr="00E10446">
        <w:t xml:space="preserve">, 312, 127749. </w:t>
      </w:r>
      <w:r w:rsidRPr="00E10446">
        <w:tab/>
      </w:r>
      <w:hyperlink r:id="rId35" w:history="1">
        <w:r w:rsidR="00DF598E" w:rsidRPr="00E10446">
          <w:rPr>
            <w:rStyle w:val="Hyperlink"/>
          </w:rPr>
          <w:t>https://doi.org/10.1016/j.jclepro.2021.127749</w:t>
        </w:r>
      </w:hyperlink>
      <w:r w:rsidR="00DF598E" w:rsidRPr="00E10446">
        <w:t xml:space="preserve">   </w:t>
      </w:r>
      <w:r w:rsidRPr="00E10446">
        <w:t xml:space="preserve"> </w:t>
      </w:r>
    </w:p>
    <w:p w14:paraId="1F13D004" w14:textId="1D0C4FCB" w:rsidR="00DF598E" w:rsidRPr="00E10446" w:rsidRDefault="00DF598E">
      <w:pPr>
        <w:pStyle w:val="NormalWeb"/>
        <w:spacing w:before="0" w:beforeAutospacing="0" w:after="0" w:afterAutospacing="0"/>
        <w:jc w:val="both"/>
      </w:pPr>
      <w:r w:rsidRPr="00E10446">
        <w:t xml:space="preserve">Little, R. J. A., &amp; Rubin, D. B. (2019). </w:t>
      </w:r>
      <w:r w:rsidRPr="00E10446">
        <w:rPr>
          <w:i/>
          <w:iCs/>
        </w:rPr>
        <w:t>Statistical analysis with missing data</w:t>
      </w:r>
      <w:r w:rsidRPr="00E10446">
        <w:t xml:space="preserve"> (3rd ed.). John </w:t>
      </w:r>
      <w:r w:rsidRPr="00E10446">
        <w:tab/>
        <w:t xml:space="preserve">Wiley &amp; Sons. </w:t>
      </w:r>
      <w:hyperlink r:id="rId36" w:history="1">
        <w:r w:rsidRPr="00E10446">
          <w:rPr>
            <w:rStyle w:val="Hyperlink"/>
          </w:rPr>
          <w:t>https://doi.org/10.1002/9781119482260</w:t>
        </w:r>
      </w:hyperlink>
      <w:r w:rsidRPr="00E10446">
        <w:t xml:space="preserve"> </w:t>
      </w:r>
    </w:p>
    <w:p w14:paraId="031B4FC6" w14:textId="18D2894A" w:rsidR="005801C8" w:rsidRPr="00E10446" w:rsidRDefault="002326DC">
      <w:pPr>
        <w:pStyle w:val="NormalWeb"/>
        <w:spacing w:before="0" w:beforeAutospacing="0" w:after="0" w:afterAutospacing="0"/>
        <w:jc w:val="both"/>
      </w:pPr>
      <w:r w:rsidRPr="00E10446">
        <w:t xml:space="preserve">Lucas, R. E., Jr. (1988). On the mechanics of economic development. </w:t>
      </w:r>
      <w:r w:rsidRPr="00E10446">
        <w:rPr>
          <w:i/>
          <w:iCs/>
        </w:rPr>
        <w:t xml:space="preserve">Journal of Monetary </w:t>
      </w:r>
      <w:r w:rsidRPr="00E10446">
        <w:rPr>
          <w:i/>
          <w:iCs/>
        </w:rPr>
        <w:tab/>
        <w:t>Economics,</w:t>
      </w:r>
      <w:r w:rsidRPr="00E10446">
        <w:t xml:space="preserve"> 22(1), 3–42. </w:t>
      </w:r>
      <w:hyperlink r:id="rId37" w:history="1">
        <w:r w:rsidRPr="00E10446">
          <w:rPr>
            <w:rStyle w:val="Hyperlink"/>
          </w:rPr>
          <w:t>https://doi.org/10.1016/0304-3932(88)90168-7</w:t>
        </w:r>
      </w:hyperlink>
      <w:r w:rsidRPr="00E10446">
        <w:t xml:space="preserve"> </w:t>
      </w:r>
    </w:p>
    <w:p w14:paraId="5FE9A1DD" w14:textId="390FB95A" w:rsidR="0084499A" w:rsidRPr="00E10446" w:rsidRDefault="0084499A" w:rsidP="0084499A">
      <w:pPr>
        <w:pStyle w:val="NormalWeb"/>
        <w:spacing w:before="0" w:beforeAutospacing="0" w:after="0" w:afterAutospacing="0"/>
        <w:jc w:val="both"/>
      </w:pPr>
      <w:r w:rsidRPr="00E10446">
        <w:t xml:space="preserve">Machado, J. A. F., &amp; Santos Silva, J. M. C. (2019). Quantiles via moments. </w:t>
      </w:r>
      <w:r w:rsidRPr="00E10446">
        <w:rPr>
          <w:rStyle w:val="Emphasis"/>
        </w:rPr>
        <w:t xml:space="preserve">Journal of </w:t>
      </w:r>
      <w:r w:rsidRPr="00E10446">
        <w:rPr>
          <w:rStyle w:val="Emphasis"/>
        </w:rPr>
        <w:tab/>
        <w:t>Econometrics, 213</w:t>
      </w:r>
      <w:r w:rsidRPr="00E10446">
        <w:t xml:space="preserve">(1), 145–173. </w:t>
      </w:r>
      <w:hyperlink r:id="rId38" w:history="1">
        <w:r w:rsidRPr="00E10446">
          <w:rPr>
            <w:rStyle w:val="Hyperlink"/>
          </w:rPr>
          <w:t>https://doi.org/10.1016/j.jeconom.2019.04.009</w:t>
        </w:r>
      </w:hyperlink>
      <w:r w:rsidRPr="00E10446">
        <w:t xml:space="preserve"> </w:t>
      </w:r>
    </w:p>
    <w:p w14:paraId="49D01E3E" w14:textId="77777777" w:rsidR="005801C8" w:rsidRPr="00E10446" w:rsidRDefault="002326DC">
      <w:pPr>
        <w:pStyle w:val="NormalWeb"/>
        <w:spacing w:before="0" w:beforeAutospacing="0" w:after="0" w:afterAutospacing="0"/>
        <w:jc w:val="both"/>
      </w:pPr>
      <w:r w:rsidRPr="00E10446">
        <w:t xml:space="preserve">Mensah, E., &amp; Adu, G. (2024). Energy access, governance and poverty reduction in ECOWAS </w:t>
      </w:r>
      <w:r w:rsidRPr="00E10446">
        <w:tab/>
        <w:t xml:space="preserve">economies. </w:t>
      </w:r>
      <w:r w:rsidRPr="00E10446">
        <w:rPr>
          <w:i/>
          <w:iCs/>
        </w:rPr>
        <w:t>Renewable and Sustainable Energy Reviews</w:t>
      </w:r>
      <w:r w:rsidRPr="00E10446">
        <w:t xml:space="preserve">, 197, 113986. </w:t>
      </w:r>
      <w:r w:rsidRPr="00E10446">
        <w:tab/>
      </w:r>
      <w:hyperlink r:id="rId39" w:history="1">
        <w:r w:rsidRPr="00E10446">
          <w:rPr>
            <w:rStyle w:val="Hyperlink"/>
          </w:rPr>
          <w:t>https://doi.org/10.1016/j.rser.2024.113986</w:t>
        </w:r>
      </w:hyperlink>
      <w:r w:rsidRPr="00E10446">
        <w:t xml:space="preserve"> </w:t>
      </w:r>
    </w:p>
    <w:p w14:paraId="50251D05" w14:textId="77777777" w:rsidR="005801C8" w:rsidRPr="00E10446" w:rsidRDefault="002326DC">
      <w:pPr>
        <w:pStyle w:val="NormalWeb"/>
        <w:spacing w:before="0" w:beforeAutospacing="0" w:after="0" w:afterAutospacing="0"/>
        <w:jc w:val="both"/>
      </w:pPr>
      <w:r w:rsidRPr="00E10446">
        <w:t xml:space="preserve">Mensah, J. T., &amp; Adu, G. (2024). Revisiting the drivers of electricity consumption in designated </w:t>
      </w:r>
      <w:r w:rsidRPr="00E10446">
        <w:tab/>
        <w:t xml:space="preserve">Sub-Saharan African regions: Unraveling the role of education. </w:t>
      </w:r>
      <w:r w:rsidRPr="00E10446">
        <w:rPr>
          <w:i/>
          <w:iCs/>
        </w:rPr>
        <w:t>Heliyon</w:t>
      </w:r>
      <w:r w:rsidRPr="00E10446">
        <w:t xml:space="preserve">, 10(23), </w:t>
      </w:r>
      <w:r w:rsidRPr="00E10446">
        <w:tab/>
      </w:r>
      <w:hyperlink r:id="rId40" w:history="1">
        <w:r w:rsidRPr="00E10446">
          <w:rPr>
            <w:rStyle w:val="Hyperlink"/>
          </w:rPr>
          <w:t>https://doi.org/10.1016/j.heliyon.2024.41765</w:t>
        </w:r>
      </w:hyperlink>
      <w:r w:rsidRPr="00E10446">
        <w:t xml:space="preserve"> </w:t>
      </w:r>
    </w:p>
    <w:p w14:paraId="3AD73A42" w14:textId="77777777" w:rsidR="005801C8" w:rsidRPr="00E10446" w:rsidRDefault="002326DC">
      <w:pPr>
        <w:pStyle w:val="NormalWeb"/>
        <w:spacing w:before="0" w:beforeAutospacing="0" w:after="0" w:afterAutospacing="0"/>
        <w:jc w:val="both"/>
      </w:pPr>
      <w:r w:rsidRPr="00E10446">
        <w:t xml:space="preserve">Monyei, C. G., Adewumi, A. O., Jenkins, K. E. H., &amp; Viriri, S. (2018). Energy (in)justice in </w:t>
      </w:r>
      <w:r w:rsidRPr="00E10446">
        <w:tab/>
        <w:t xml:space="preserve">off-grid rural electrification policy: Implications for developing countries. </w:t>
      </w:r>
      <w:r w:rsidRPr="00E10446">
        <w:rPr>
          <w:rStyle w:val="Emphasis"/>
        </w:rPr>
        <w:t xml:space="preserve">Energy </w:t>
      </w:r>
      <w:r w:rsidRPr="00E10446">
        <w:rPr>
          <w:rStyle w:val="Emphasis"/>
        </w:rPr>
        <w:tab/>
        <w:t>Research &amp; Social Science, 44</w:t>
      </w:r>
      <w:r w:rsidRPr="00E10446">
        <w:t xml:space="preserve">, 152–171. </w:t>
      </w:r>
      <w:hyperlink r:id="rId41" w:tgtFrame="_new" w:history="1">
        <w:r w:rsidRPr="00E10446">
          <w:rPr>
            <w:rStyle w:val="Hyperlink"/>
          </w:rPr>
          <w:t>https://doi.org/10.1016/j.erss.2018.05.002</w:t>
        </w:r>
      </w:hyperlink>
    </w:p>
    <w:p w14:paraId="6DE2CFF7" w14:textId="77777777" w:rsidR="005801C8" w:rsidRPr="00E10446" w:rsidRDefault="002326DC">
      <w:pPr>
        <w:pStyle w:val="NormalWeb"/>
        <w:spacing w:before="0" w:beforeAutospacing="0" w:after="0" w:afterAutospacing="0"/>
        <w:jc w:val="both"/>
      </w:pPr>
      <w:r w:rsidRPr="00E10446">
        <w:t xml:space="preserve">Nkambule, N., Ampofo, S., &amp; Agyemang, K. (2025). Energy consumption, economic growth, </w:t>
      </w:r>
      <w:r w:rsidRPr="00E10446">
        <w:tab/>
        <w:t xml:space="preserve">and poverty reduction in sub-Saharan Africa: A panel cointegration approach. </w:t>
      </w:r>
      <w:r w:rsidRPr="00E10446">
        <w:rPr>
          <w:i/>
          <w:iCs/>
        </w:rPr>
        <w:t xml:space="preserve">Energy </w:t>
      </w:r>
      <w:r w:rsidRPr="00E10446">
        <w:rPr>
          <w:i/>
          <w:iCs/>
        </w:rPr>
        <w:tab/>
        <w:t>Economics</w:t>
      </w:r>
      <w:r w:rsidRPr="00E10446">
        <w:t xml:space="preserve">, 120, 106651. </w:t>
      </w:r>
      <w:hyperlink r:id="rId42" w:history="1">
        <w:r w:rsidRPr="00E10446">
          <w:rPr>
            <w:rStyle w:val="Hyperlink"/>
          </w:rPr>
          <w:t>https://doi.org/10.1016/j.eneco.2024.106651</w:t>
        </w:r>
      </w:hyperlink>
      <w:r w:rsidRPr="00E10446">
        <w:t xml:space="preserve"> </w:t>
      </w:r>
    </w:p>
    <w:p w14:paraId="2B805083" w14:textId="77777777" w:rsidR="0084499A" w:rsidRPr="00E10446" w:rsidRDefault="002326DC">
      <w:pPr>
        <w:pStyle w:val="NormalWeb"/>
        <w:spacing w:before="0" w:beforeAutospacing="0" w:after="0" w:afterAutospacing="0"/>
        <w:jc w:val="both"/>
      </w:pPr>
      <w:r w:rsidRPr="00E10446">
        <w:t xml:space="preserve">Okwanya, I., &amp; Abah, P. O. (2018). Impact of energy consumption on poverty reduction in </w:t>
      </w:r>
      <w:r w:rsidRPr="00E10446">
        <w:tab/>
        <w:t xml:space="preserve">Africa. </w:t>
      </w:r>
      <w:r w:rsidRPr="00E10446">
        <w:rPr>
          <w:i/>
          <w:iCs/>
        </w:rPr>
        <w:t>CBN Journal of Applied Statistics</w:t>
      </w:r>
      <w:r w:rsidRPr="00E10446">
        <w:t>, 9(1), 105-139.</w:t>
      </w:r>
      <w:r w:rsidRPr="00E10446">
        <w:tab/>
      </w:r>
      <w:hyperlink r:id="rId43" w:history="1">
        <w:r w:rsidRPr="00E10446">
          <w:rPr>
            <w:rStyle w:val="Hyperlink"/>
          </w:rPr>
          <w:t>https://www.cbn.gov.ng/out/2018/sd/pages%20105_139_a376_okwanya%20and%20</w:t>
        </w:r>
        <w:r w:rsidRPr="00E10446">
          <w:rPr>
            <w:rStyle w:val="Hyperlink"/>
            <w:u w:val="none"/>
          </w:rPr>
          <w:tab/>
        </w:r>
        <w:r w:rsidRPr="00E10446">
          <w:rPr>
            <w:rStyle w:val="Hyperlink"/>
          </w:rPr>
          <w:t>abah.pdf</w:t>
        </w:r>
      </w:hyperlink>
      <w:r w:rsidRPr="00E10446">
        <w:t xml:space="preserve"> </w:t>
      </w:r>
    </w:p>
    <w:p w14:paraId="31511657" w14:textId="1374D59F" w:rsidR="005801C8" w:rsidRPr="00E10446" w:rsidRDefault="0084499A" w:rsidP="0084499A">
      <w:pPr>
        <w:pStyle w:val="NormalWeb"/>
        <w:spacing w:before="0" w:beforeAutospacing="0" w:after="0" w:afterAutospacing="0"/>
        <w:jc w:val="both"/>
      </w:pPr>
      <w:proofErr w:type="spellStart"/>
      <w:r w:rsidRPr="00E10446">
        <w:t>Okwanya</w:t>
      </w:r>
      <w:proofErr w:type="spellEnd"/>
      <w:r w:rsidRPr="00E10446">
        <w:t>, O., &amp; Abah, J. (2018). Energy access, governance, and poverty reduction in Sub-</w:t>
      </w:r>
      <w:r w:rsidRPr="00E10446">
        <w:tab/>
        <w:t xml:space="preserve">Saharan Africa. </w:t>
      </w:r>
      <w:r w:rsidRPr="00E10446">
        <w:rPr>
          <w:rStyle w:val="Emphasis"/>
        </w:rPr>
        <w:t>Renewable and Sustainable Energy Reviews, 81</w:t>
      </w:r>
      <w:r w:rsidRPr="00E10446">
        <w:t xml:space="preserve">, 1774–1786. </w:t>
      </w:r>
      <w:r w:rsidRPr="00E10446">
        <w:tab/>
      </w:r>
      <w:hyperlink r:id="rId44" w:history="1">
        <w:r w:rsidRPr="00E10446">
          <w:rPr>
            <w:rStyle w:val="Hyperlink"/>
          </w:rPr>
          <w:t>https://doi.org/10.1016/j.rser.2017.05.267</w:t>
        </w:r>
      </w:hyperlink>
      <w:r w:rsidR="002326DC" w:rsidRPr="00E10446">
        <w:t xml:space="preserve">  </w:t>
      </w:r>
    </w:p>
    <w:p w14:paraId="0ED2D8C2" w14:textId="77777777" w:rsidR="005801C8" w:rsidRPr="00E10446" w:rsidRDefault="002326DC" w:rsidP="0084499A">
      <w:pPr>
        <w:pStyle w:val="NormalWeb"/>
        <w:spacing w:before="0" w:beforeAutospacing="0" w:after="0" w:afterAutospacing="0"/>
        <w:jc w:val="both"/>
        <w:rPr>
          <w:rStyle w:val="Hyperlink"/>
        </w:rPr>
      </w:pPr>
      <w:r w:rsidRPr="00E10446">
        <w:t xml:space="preserve">Oladipo, O., &amp; Akinola, A. O. (2023). Energy consumption, economic growth and poverty </w:t>
      </w:r>
      <w:r w:rsidRPr="00E10446">
        <w:tab/>
        <w:t xml:space="preserve">alleviation in sub Saharan Africa: Evidence from panel cointegration. </w:t>
      </w:r>
      <w:r w:rsidRPr="00E10446">
        <w:rPr>
          <w:i/>
          <w:iCs/>
        </w:rPr>
        <w:t>Energy Reports</w:t>
      </w:r>
      <w:r w:rsidRPr="00E10446">
        <w:t xml:space="preserve">, </w:t>
      </w:r>
      <w:r w:rsidRPr="00E10446">
        <w:tab/>
        <w:t xml:space="preserve">9, 987–998. </w:t>
      </w:r>
      <w:hyperlink r:id="rId45" w:history="1">
        <w:r w:rsidRPr="00E10446">
          <w:rPr>
            <w:rStyle w:val="Hyperlink"/>
          </w:rPr>
          <w:t>https://doi.org/10.1016/j.egyr.2022.10.098</w:t>
        </w:r>
      </w:hyperlink>
    </w:p>
    <w:p w14:paraId="49D23316" w14:textId="77777777" w:rsidR="005801C8" w:rsidRPr="00E10446" w:rsidRDefault="002326DC">
      <w:pPr>
        <w:pStyle w:val="NormalWeb"/>
        <w:spacing w:before="0" w:beforeAutospacing="0" w:after="0" w:afterAutospacing="0"/>
        <w:jc w:val="both"/>
      </w:pPr>
      <w:r w:rsidRPr="00E10446">
        <w:t xml:space="preserve">Oseni, M. O., &amp; Pollitt, M. G. (2016). The promotion of solar home systems in developing </w:t>
      </w:r>
      <w:r w:rsidRPr="00E10446">
        <w:tab/>
        <w:t xml:space="preserve">countries: Evidence from Nigeria. </w:t>
      </w:r>
      <w:r w:rsidRPr="00E10446">
        <w:rPr>
          <w:rStyle w:val="Emphasis"/>
        </w:rPr>
        <w:t>Energy Policy, 95</w:t>
      </w:r>
      <w:r w:rsidRPr="00E10446">
        <w:t xml:space="preserve">, 163–171. </w:t>
      </w:r>
      <w:r w:rsidRPr="00E10446">
        <w:tab/>
      </w:r>
      <w:hyperlink r:id="rId46" w:history="1">
        <w:r w:rsidRPr="00E10446">
          <w:rPr>
            <w:rStyle w:val="Hyperlink"/>
          </w:rPr>
          <w:t>https://doi.org/10.1016/j.enpol.2016.04.037</w:t>
        </w:r>
      </w:hyperlink>
      <w:r w:rsidRPr="00E10446">
        <w:t xml:space="preserve"> </w:t>
      </w:r>
    </w:p>
    <w:p w14:paraId="1FFEBE11" w14:textId="77777777" w:rsidR="005801C8" w:rsidRPr="00E10446" w:rsidRDefault="002326DC">
      <w:pPr>
        <w:pStyle w:val="NormalWeb"/>
        <w:spacing w:before="0" w:beforeAutospacing="0" w:after="0" w:afterAutospacing="0"/>
        <w:jc w:val="both"/>
      </w:pPr>
      <w:r w:rsidRPr="00E10446">
        <w:t xml:space="preserve">Ouedraogo, N. S. (2016). Energy consumption and economic development in sub Saharan </w:t>
      </w:r>
      <w:r w:rsidRPr="00E10446">
        <w:tab/>
        <w:t xml:space="preserve">Africa. </w:t>
      </w:r>
      <w:r w:rsidRPr="00E10446">
        <w:rPr>
          <w:i/>
          <w:iCs/>
        </w:rPr>
        <w:t>Energy Economics</w:t>
      </w:r>
      <w:r w:rsidRPr="00E10446">
        <w:t xml:space="preserve">, 54, 468–478. </w:t>
      </w:r>
      <w:hyperlink r:id="rId47" w:history="1">
        <w:r w:rsidRPr="00E10446">
          <w:rPr>
            <w:rStyle w:val="Hyperlink"/>
          </w:rPr>
          <w:t>https://doi.org/10.1016/j.eneco.2015.12.019</w:t>
        </w:r>
      </w:hyperlink>
      <w:r w:rsidRPr="00E10446">
        <w:t xml:space="preserve"> </w:t>
      </w:r>
    </w:p>
    <w:p w14:paraId="0ACE5B4F" w14:textId="77777777" w:rsidR="005801C8" w:rsidRPr="00E10446" w:rsidRDefault="002326DC">
      <w:pPr>
        <w:pStyle w:val="NormalWeb"/>
        <w:spacing w:before="0" w:beforeAutospacing="0" w:after="0" w:afterAutospacing="0"/>
        <w:jc w:val="both"/>
      </w:pPr>
      <w:r w:rsidRPr="00E10446">
        <w:lastRenderedPageBreak/>
        <w:t xml:space="preserve">Ouedraogo, N. S. (2021). Energy consumption and economic growth: Evidence from Sub </w:t>
      </w:r>
      <w:r w:rsidRPr="00E10446">
        <w:tab/>
        <w:t xml:space="preserve">Saharan Africa. </w:t>
      </w:r>
      <w:r w:rsidRPr="00E10446">
        <w:rPr>
          <w:i/>
          <w:iCs/>
        </w:rPr>
        <w:t>Energy Reports</w:t>
      </w:r>
      <w:r w:rsidRPr="00E10446">
        <w:t xml:space="preserve">, 7, 347–356. </w:t>
      </w:r>
      <w:r w:rsidRPr="00E10446">
        <w:tab/>
      </w:r>
      <w:hyperlink r:id="rId48" w:history="1">
        <w:r w:rsidRPr="00E10446">
          <w:rPr>
            <w:rStyle w:val="Hyperlink"/>
          </w:rPr>
          <w:t>https://doi.org/10.1016/j.egyr.2020.11.119</w:t>
        </w:r>
      </w:hyperlink>
      <w:r w:rsidRPr="00E10446">
        <w:t xml:space="preserve"> </w:t>
      </w:r>
    </w:p>
    <w:p w14:paraId="2991A3F7" w14:textId="77777777" w:rsidR="005801C8" w:rsidRPr="00E10446" w:rsidRDefault="002326DC">
      <w:pPr>
        <w:pStyle w:val="NormalWeb"/>
        <w:spacing w:before="0" w:beforeAutospacing="0" w:after="0" w:afterAutospacing="0"/>
        <w:jc w:val="both"/>
      </w:pPr>
      <w:r w:rsidRPr="00E10446">
        <w:t xml:space="preserve">Oyedepo, S. O. (2014). Towards achieving energy for sustainable development in Nigeria. </w:t>
      </w:r>
      <w:r w:rsidRPr="00E10446">
        <w:tab/>
      </w:r>
      <w:r w:rsidRPr="00E10446">
        <w:rPr>
          <w:rStyle w:val="Emphasis"/>
        </w:rPr>
        <w:t>Renewable and Sustainable Energy Reviews, 34</w:t>
      </w:r>
      <w:r w:rsidRPr="00E10446">
        <w:t xml:space="preserve">, 255–272. </w:t>
      </w:r>
      <w:r w:rsidRPr="00E10446">
        <w:tab/>
      </w:r>
      <w:hyperlink r:id="rId49" w:history="1">
        <w:r w:rsidRPr="00E10446">
          <w:rPr>
            <w:rStyle w:val="Hyperlink"/>
          </w:rPr>
          <w:t>https://doi.org/10.1016/j.rser.2014.03.019</w:t>
        </w:r>
      </w:hyperlink>
    </w:p>
    <w:p w14:paraId="534C1265" w14:textId="77777777" w:rsidR="005801C8" w:rsidRPr="00E10446" w:rsidRDefault="002326DC">
      <w:pPr>
        <w:pStyle w:val="NormalWeb"/>
        <w:spacing w:before="0" w:beforeAutospacing="0" w:after="0" w:afterAutospacing="0"/>
        <w:jc w:val="both"/>
      </w:pPr>
      <w:r w:rsidRPr="00E10446">
        <w:t xml:space="preserve">Ravallion, M. (2016). </w:t>
      </w:r>
      <w:r w:rsidRPr="00E10446">
        <w:rPr>
          <w:rStyle w:val="Emphasis"/>
        </w:rPr>
        <w:t>The economics of poverty: History, measurement, and policy</w:t>
      </w:r>
      <w:r w:rsidRPr="00E10446">
        <w:t xml:space="preserve">. Oxford </w:t>
      </w:r>
      <w:r w:rsidRPr="00E10446">
        <w:tab/>
        <w:t>University Press.</w:t>
      </w:r>
    </w:p>
    <w:p w14:paraId="286A9A77" w14:textId="77777777" w:rsidR="005801C8" w:rsidRPr="00E10446" w:rsidRDefault="002326DC">
      <w:pPr>
        <w:pStyle w:val="NormalWeb"/>
        <w:spacing w:before="0" w:beforeAutospacing="0" w:after="0" w:afterAutospacing="0"/>
        <w:jc w:val="both"/>
      </w:pPr>
      <w:r w:rsidRPr="00E10446">
        <w:t xml:space="preserve">Rahman, M. M., &amp; Zaman, K. (2021). The role of energy consumption in economic growth </w:t>
      </w:r>
      <w:r w:rsidRPr="00E10446">
        <w:tab/>
        <w:t xml:space="preserve">and structural transformation. </w:t>
      </w:r>
      <w:r w:rsidRPr="00E10446">
        <w:rPr>
          <w:i/>
          <w:iCs/>
        </w:rPr>
        <w:t>Sustainability</w:t>
      </w:r>
      <w:r w:rsidRPr="00E10446">
        <w:t xml:space="preserve">, 13(12), 6789. </w:t>
      </w:r>
      <w:r w:rsidRPr="00E10446">
        <w:tab/>
      </w:r>
      <w:hyperlink r:id="rId50" w:history="1">
        <w:r w:rsidRPr="00E10446">
          <w:rPr>
            <w:rStyle w:val="Hyperlink"/>
          </w:rPr>
          <w:t>https://doi.org/10.3390/su13126789</w:t>
        </w:r>
      </w:hyperlink>
      <w:r w:rsidRPr="00E10446">
        <w:t xml:space="preserve"> </w:t>
      </w:r>
    </w:p>
    <w:p w14:paraId="1CB47EAE" w14:textId="77777777" w:rsidR="005801C8" w:rsidRPr="00E10446" w:rsidRDefault="002326DC">
      <w:pPr>
        <w:pStyle w:val="NormalWeb"/>
        <w:spacing w:before="0" w:beforeAutospacing="0" w:after="0" w:afterAutospacing="0"/>
        <w:jc w:val="both"/>
      </w:pPr>
      <w:r w:rsidRPr="00E10446">
        <w:t xml:space="preserve">Romer, P. M. (1990). Endogenous technological change. </w:t>
      </w:r>
      <w:r w:rsidRPr="00E10446">
        <w:rPr>
          <w:i/>
          <w:iCs/>
        </w:rPr>
        <w:t>Journal of Political Economy</w:t>
      </w:r>
      <w:r w:rsidRPr="00E10446">
        <w:t xml:space="preserve">, 98(5, </w:t>
      </w:r>
      <w:r w:rsidRPr="00E10446">
        <w:tab/>
        <w:t xml:space="preserve">Part 2), S71–S102. </w:t>
      </w:r>
      <w:hyperlink r:id="rId51" w:history="1">
        <w:r w:rsidRPr="00E10446">
          <w:rPr>
            <w:rStyle w:val="Hyperlink"/>
          </w:rPr>
          <w:t>https://doi.org/10.1086/261725</w:t>
        </w:r>
      </w:hyperlink>
      <w:r w:rsidRPr="00E10446">
        <w:t xml:space="preserve"> </w:t>
      </w:r>
    </w:p>
    <w:p w14:paraId="536C9C92" w14:textId="77777777" w:rsidR="005801C8" w:rsidRPr="00E10446" w:rsidRDefault="002326DC">
      <w:pPr>
        <w:pStyle w:val="NormalWeb"/>
        <w:spacing w:before="0" w:beforeAutospacing="0" w:after="0" w:afterAutospacing="0"/>
        <w:jc w:val="both"/>
      </w:pPr>
      <w:r w:rsidRPr="00E10446">
        <w:t xml:space="preserve">Sarkodie, S. A., &amp; Adams, S. (2020). Electricity access, human development index, governance </w:t>
      </w:r>
      <w:r w:rsidRPr="00E10446">
        <w:tab/>
        <w:t xml:space="preserve">and income inequality in Sub-Saharan Africa. </w:t>
      </w:r>
      <w:r w:rsidRPr="00E10446">
        <w:rPr>
          <w:rStyle w:val="Emphasis"/>
        </w:rPr>
        <w:t>Energy Reports, 6</w:t>
      </w:r>
      <w:r w:rsidRPr="00E10446">
        <w:t xml:space="preserve">, 455–466. </w:t>
      </w:r>
      <w:r w:rsidRPr="00E10446">
        <w:tab/>
      </w:r>
      <w:hyperlink r:id="rId52" w:history="1">
        <w:r w:rsidRPr="00E10446">
          <w:rPr>
            <w:rStyle w:val="Hyperlink"/>
          </w:rPr>
          <w:t>https://doi.org/10.1016/j.egyr.2020.02.009</w:t>
        </w:r>
      </w:hyperlink>
    </w:p>
    <w:p w14:paraId="08BF7232" w14:textId="77777777" w:rsidR="005801C8" w:rsidRPr="00E10446" w:rsidRDefault="002326DC">
      <w:pPr>
        <w:pStyle w:val="NormalWeb"/>
        <w:spacing w:before="0" w:beforeAutospacing="0" w:after="0" w:afterAutospacing="0"/>
        <w:jc w:val="both"/>
      </w:pPr>
      <w:r w:rsidRPr="00E10446">
        <w:t xml:space="preserve">Saidi, S., &amp; Hammami, S. (2025). Electricity consumption and economic growth nexus: </w:t>
      </w:r>
      <w:r w:rsidRPr="00E10446">
        <w:tab/>
        <w:t xml:space="preserve">Evidence from developing economies. </w:t>
      </w:r>
      <w:r w:rsidRPr="00E10446">
        <w:rPr>
          <w:i/>
          <w:iCs/>
        </w:rPr>
        <w:t>Energy Economics</w:t>
      </w:r>
      <w:r w:rsidRPr="00E10446">
        <w:t xml:space="preserve">, 120, 106651. </w:t>
      </w:r>
      <w:r w:rsidRPr="00E10446">
        <w:tab/>
      </w:r>
      <w:hyperlink r:id="rId53" w:history="1">
        <w:r w:rsidRPr="00E10446">
          <w:rPr>
            <w:rStyle w:val="Hyperlink"/>
          </w:rPr>
          <w:t>https://doi.org/10.1016/j.eneco.2024.106651</w:t>
        </w:r>
      </w:hyperlink>
      <w:r w:rsidRPr="00E10446">
        <w:t xml:space="preserve"> </w:t>
      </w:r>
    </w:p>
    <w:p w14:paraId="338CA3E2" w14:textId="77777777" w:rsidR="005801C8" w:rsidRPr="00E10446" w:rsidRDefault="002326DC">
      <w:pPr>
        <w:pStyle w:val="NormalWeb"/>
        <w:spacing w:before="0" w:beforeAutospacing="0" w:after="0" w:afterAutospacing="0"/>
        <w:jc w:val="both"/>
      </w:pPr>
      <w:r w:rsidRPr="00E10446">
        <w:t xml:space="preserve">Sen, A. (1999). </w:t>
      </w:r>
      <w:r w:rsidRPr="00E10446">
        <w:rPr>
          <w:rStyle w:val="Emphasis"/>
        </w:rPr>
        <w:t>Development as freedom</w:t>
      </w:r>
      <w:r w:rsidRPr="00E10446">
        <w:t>. Oxford University Press.</w:t>
      </w:r>
    </w:p>
    <w:p w14:paraId="3577E606" w14:textId="77777777" w:rsidR="005801C8" w:rsidRPr="00E10446" w:rsidRDefault="002326DC">
      <w:pPr>
        <w:pStyle w:val="NormalWeb"/>
        <w:spacing w:before="0" w:beforeAutospacing="0" w:after="0" w:afterAutospacing="0"/>
        <w:jc w:val="both"/>
      </w:pPr>
      <w:r w:rsidRPr="00E10446">
        <w:t xml:space="preserve">Sy, S. A. (2022a). Energy poverty in developing countries: A review of concepts and </w:t>
      </w:r>
      <w:r w:rsidRPr="00E10446">
        <w:tab/>
        <w:t xml:space="preserve">measurements. </w:t>
      </w:r>
      <w:r w:rsidRPr="00E10446">
        <w:rPr>
          <w:i/>
          <w:iCs/>
        </w:rPr>
        <w:t>Energy Research &amp; Social Science</w:t>
      </w:r>
      <w:r w:rsidRPr="00E10446">
        <w:t xml:space="preserve">, 89, 102562. </w:t>
      </w:r>
      <w:r w:rsidRPr="00E10446">
        <w:tab/>
      </w:r>
      <w:hyperlink r:id="rId54" w:history="1">
        <w:r w:rsidRPr="00E10446">
          <w:rPr>
            <w:rStyle w:val="Hyperlink"/>
          </w:rPr>
          <w:t>https://doi.org/10.1016/j.erss.2022.102562</w:t>
        </w:r>
      </w:hyperlink>
      <w:r w:rsidRPr="00E10446">
        <w:t xml:space="preserve"> </w:t>
      </w:r>
    </w:p>
    <w:p w14:paraId="53C0549D" w14:textId="77777777" w:rsidR="005801C8" w:rsidRPr="00E10446" w:rsidRDefault="002326DC">
      <w:pPr>
        <w:pStyle w:val="NormalWeb"/>
        <w:spacing w:before="0" w:beforeAutospacing="0" w:after="0" w:afterAutospacing="0"/>
        <w:jc w:val="both"/>
      </w:pPr>
      <w:r w:rsidRPr="00E10446">
        <w:t xml:space="preserve">Sy, S. A. (2022b). Energy poverty and human development in Africa: A panel analysis. </w:t>
      </w:r>
      <w:r w:rsidRPr="00E10446">
        <w:rPr>
          <w:i/>
          <w:iCs/>
        </w:rPr>
        <w:t xml:space="preserve">Energy </w:t>
      </w:r>
      <w:r w:rsidRPr="00E10446">
        <w:rPr>
          <w:i/>
          <w:iCs/>
        </w:rPr>
        <w:tab/>
        <w:t>Research &amp; Social Science</w:t>
      </w:r>
      <w:r w:rsidRPr="00E10446">
        <w:t xml:space="preserve">, 87, 102471. </w:t>
      </w:r>
      <w:hyperlink r:id="rId55" w:history="1">
        <w:r w:rsidRPr="00E10446">
          <w:rPr>
            <w:rStyle w:val="Hyperlink"/>
          </w:rPr>
          <w:t>https://doi.org/10.1016/j.erss.2022.102471</w:t>
        </w:r>
      </w:hyperlink>
      <w:r w:rsidRPr="00E10446">
        <w:t xml:space="preserve"> </w:t>
      </w:r>
    </w:p>
    <w:p w14:paraId="147ADC1C" w14:textId="77777777" w:rsidR="005801C8" w:rsidRPr="00E10446" w:rsidRDefault="002326DC">
      <w:pPr>
        <w:pStyle w:val="NormalWeb"/>
        <w:spacing w:before="0" w:beforeAutospacing="0" w:after="0" w:afterAutospacing="0"/>
        <w:jc w:val="both"/>
      </w:pPr>
      <w:r w:rsidRPr="00E10446">
        <w:t xml:space="preserve">Zainudin, N. (2025). What is energy poverty? A concept analysis. </w:t>
      </w:r>
      <w:r w:rsidRPr="00E10446">
        <w:rPr>
          <w:i/>
          <w:iCs/>
        </w:rPr>
        <w:t xml:space="preserve">International Journal of </w:t>
      </w:r>
      <w:r w:rsidRPr="00E10446">
        <w:rPr>
          <w:i/>
          <w:iCs/>
        </w:rPr>
        <w:tab/>
        <w:t>Academic Research in Business and Social Sciences</w:t>
      </w:r>
      <w:r w:rsidRPr="00E10446">
        <w:t xml:space="preserve">, 15(1), 45-58. </w:t>
      </w:r>
      <w:r w:rsidRPr="00E10446">
        <w:tab/>
      </w:r>
      <w:hyperlink r:id="rId56" w:history="1">
        <w:r w:rsidRPr="00E10446">
          <w:rPr>
            <w:rStyle w:val="Hyperlink"/>
          </w:rPr>
          <w:t>https://doi.org/10.6007/IJARBSS/v15-i1/20123</w:t>
        </w:r>
      </w:hyperlink>
      <w:r w:rsidRPr="00E10446">
        <w:t xml:space="preserve"> </w:t>
      </w:r>
    </w:p>
    <w:p w14:paraId="485AE62E" w14:textId="77777777" w:rsidR="005801C8" w:rsidRPr="00E10446" w:rsidRDefault="002326DC">
      <w:pPr>
        <w:pStyle w:val="NormalWeb"/>
        <w:spacing w:before="0" w:beforeAutospacing="0" w:after="0" w:afterAutospacing="0"/>
        <w:jc w:val="both"/>
      </w:pPr>
      <w:r w:rsidRPr="00E10446">
        <w:t xml:space="preserve">Zaman, K., &amp; Rahman, M. M. (2021). Energy consumption, financial development and </w:t>
      </w:r>
      <w:r w:rsidRPr="00E10446">
        <w:tab/>
        <w:t xml:space="preserve">economic growth: Empirical evidence from South Asia. </w:t>
      </w:r>
      <w:r w:rsidRPr="00E10446">
        <w:rPr>
          <w:i/>
          <w:iCs/>
        </w:rPr>
        <w:t>Sustainability</w:t>
      </w:r>
      <w:r w:rsidRPr="00E10446">
        <w:t xml:space="preserve">, 13(4), 1924. </w:t>
      </w:r>
      <w:r w:rsidRPr="00E10446">
        <w:tab/>
      </w:r>
      <w:hyperlink r:id="rId57" w:history="1">
        <w:r w:rsidRPr="00E10446">
          <w:rPr>
            <w:rStyle w:val="Hyperlink"/>
          </w:rPr>
          <w:t>https://doi.org/10.3390/su13041924</w:t>
        </w:r>
      </w:hyperlink>
      <w:r w:rsidRPr="00E10446">
        <w:t xml:space="preserve"> </w:t>
      </w:r>
    </w:p>
    <w:p w14:paraId="623D3B8A" w14:textId="77777777" w:rsidR="005801C8" w:rsidRPr="00E10446" w:rsidRDefault="002326DC">
      <w:pPr>
        <w:pStyle w:val="NormalWeb"/>
        <w:spacing w:before="0" w:beforeAutospacing="0" w:after="0" w:afterAutospacing="0"/>
        <w:jc w:val="both"/>
      </w:pPr>
      <w:r w:rsidRPr="00E10446">
        <w:t xml:space="preserve">Review of poverty reduction approaches. (n.d.). </w:t>
      </w:r>
      <w:r w:rsidRPr="00E10446">
        <w:rPr>
          <w:i/>
          <w:iCs/>
        </w:rPr>
        <w:t>Journal of Sustainable Development</w:t>
      </w:r>
      <w:r w:rsidRPr="00E10446">
        <w:t xml:space="preserve">. </w:t>
      </w:r>
      <w:r w:rsidRPr="00E10446">
        <w:tab/>
        <w:t xml:space="preserve">Retrieved from </w:t>
      </w:r>
      <w:hyperlink r:id="rId58" w:history="1">
        <w:r w:rsidRPr="00E10446">
          <w:rPr>
            <w:rStyle w:val="Hyperlink"/>
          </w:rPr>
          <w:t>https://www.ccsenet.org/journal/index.php/jsd</w:t>
        </w:r>
      </w:hyperlink>
      <w:r w:rsidRPr="00E10446">
        <w:t xml:space="preserve"> </w:t>
      </w:r>
    </w:p>
    <w:p w14:paraId="62220C40" w14:textId="77777777" w:rsidR="005801C8" w:rsidRDefault="002326DC">
      <w:pPr>
        <w:pStyle w:val="NormalWeb"/>
        <w:spacing w:before="0" w:beforeAutospacing="0" w:after="0" w:afterAutospacing="0"/>
        <w:jc w:val="both"/>
      </w:pPr>
      <w:r w:rsidRPr="00E10446">
        <w:t xml:space="preserve">World Bank. (2023). </w:t>
      </w:r>
      <w:r w:rsidRPr="00E10446">
        <w:rPr>
          <w:rStyle w:val="Emphasis"/>
        </w:rPr>
        <w:t>World Development Indicators</w:t>
      </w:r>
      <w:r w:rsidRPr="00E10446">
        <w:t>. Washington, DC: World Bank.</w:t>
      </w:r>
    </w:p>
    <w:p w14:paraId="6CB9C453" w14:textId="77777777" w:rsidR="005801C8" w:rsidRDefault="005801C8">
      <w:pPr>
        <w:spacing w:before="100" w:beforeAutospacing="1" w:after="100" w:afterAutospacing="1" w:line="240" w:lineRule="auto"/>
        <w:rPr>
          <w:rFonts w:ascii="Times New Roman" w:eastAsia="Times New Roman" w:hAnsi="Times New Roman" w:cs="Times New Roman"/>
          <w:sz w:val="24"/>
          <w:szCs w:val="24"/>
          <w:lang w:eastAsia="en-GB"/>
        </w:rPr>
      </w:pPr>
    </w:p>
    <w:p w14:paraId="2DAD900D" w14:textId="77777777" w:rsidR="005801C8" w:rsidRDefault="005801C8">
      <w:pPr>
        <w:jc w:val="both"/>
        <w:rPr>
          <w:rFonts w:ascii="Times New Roman" w:hAnsi="Times New Roman" w:cs="Times New Roman"/>
          <w:sz w:val="24"/>
          <w:szCs w:val="24"/>
        </w:rPr>
      </w:pPr>
    </w:p>
    <w:sectPr w:rsidR="005801C8">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1981" w14:textId="77777777" w:rsidR="003F33AD" w:rsidRDefault="003F33AD">
      <w:pPr>
        <w:spacing w:after="0" w:line="240" w:lineRule="auto"/>
      </w:pPr>
      <w:r>
        <w:separator/>
      </w:r>
    </w:p>
  </w:endnote>
  <w:endnote w:type="continuationSeparator" w:id="0">
    <w:p w14:paraId="3EFC6659" w14:textId="77777777" w:rsidR="003F33AD" w:rsidRDefault="003F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5D69" w14:textId="77777777" w:rsidR="00D730B7" w:rsidRDefault="00D73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A895" w14:textId="77777777" w:rsidR="005801C8" w:rsidRDefault="002326DC">
    <w:pPr>
      <w:pStyle w:val="Footer"/>
      <w:jc w:val="center"/>
    </w:pPr>
    <w:r>
      <w:fldChar w:fldCharType="begin"/>
    </w:r>
    <w:r>
      <w:instrText xml:space="preserve"> PAGE   \* MERGEFORMAT </w:instrText>
    </w:r>
    <w:r>
      <w:fldChar w:fldCharType="separate"/>
    </w:r>
    <w:r>
      <w:rPr>
        <w:noProof/>
      </w:rPr>
      <w:t>2</w:t>
    </w:r>
    <w:r>
      <w:rPr>
        <w:noProof/>
      </w:rPr>
      <w:fldChar w:fldCharType="end"/>
    </w:r>
  </w:p>
  <w:p w14:paraId="25AA3658" w14:textId="77777777" w:rsidR="005801C8" w:rsidRDefault="00580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BCD4" w14:textId="77777777" w:rsidR="00D730B7" w:rsidRDefault="00D7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4338" w14:textId="77777777" w:rsidR="003F33AD" w:rsidRDefault="003F33AD">
      <w:pPr>
        <w:spacing w:after="0" w:line="240" w:lineRule="auto"/>
      </w:pPr>
      <w:r>
        <w:separator/>
      </w:r>
    </w:p>
  </w:footnote>
  <w:footnote w:type="continuationSeparator" w:id="0">
    <w:p w14:paraId="1F64ABE7" w14:textId="77777777" w:rsidR="003F33AD" w:rsidRDefault="003F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C14A" w14:textId="1DF2371E" w:rsidR="00D730B7" w:rsidRDefault="00D730B7">
    <w:pPr>
      <w:pStyle w:val="Header"/>
    </w:pPr>
    <w:r>
      <w:rPr>
        <w:noProof/>
      </w:rPr>
      <w:pict w14:anchorId="055B6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321F" w14:textId="6735537C" w:rsidR="00D730B7" w:rsidRDefault="00D730B7">
    <w:pPr>
      <w:pStyle w:val="Header"/>
    </w:pPr>
    <w:r>
      <w:rPr>
        <w:noProof/>
      </w:rPr>
      <w:pict w14:anchorId="108F5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B714" w14:textId="47A82AAC" w:rsidR="00D730B7" w:rsidRDefault="00D730B7">
    <w:pPr>
      <w:pStyle w:val="Header"/>
    </w:pPr>
    <w:r>
      <w:rPr>
        <w:noProof/>
      </w:rPr>
      <w:pict w14:anchorId="529C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E214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66132F7"/>
    <w:multiLevelType w:val="hybridMultilevel"/>
    <w:tmpl w:val="F90C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75A2E"/>
    <w:multiLevelType w:val="multilevel"/>
    <w:tmpl w:val="5330AE04"/>
    <w:lvl w:ilvl="0">
      <w:start w:val="1"/>
      <w:numFmt w:val="decimal"/>
      <w:lvlText w:val="%1."/>
      <w:lvlJc w:val="left"/>
      <w:pPr>
        <w:ind w:left="5179"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C8"/>
    <w:rsid w:val="00003A7C"/>
    <w:rsid w:val="00010B97"/>
    <w:rsid w:val="00016310"/>
    <w:rsid w:val="00024022"/>
    <w:rsid w:val="000259CB"/>
    <w:rsid w:val="00055C16"/>
    <w:rsid w:val="00080B54"/>
    <w:rsid w:val="00084F93"/>
    <w:rsid w:val="0008572F"/>
    <w:rsid w:val="00134648"/>
    <w:rsid w:val="0014240F"/>
    <w:rsid w:val="001700F9"/>
    <w:rsid w:val="001B1AB5"/>
    <w:rsid w:val="001C41B9"/>
    <w:rsid w:val="001D5522"/>
    <w:rsid w:val="001E67B6"/>
    <w:rsid w:val="00204D8E"/>
    <w:rsid w:val="002326DC"/>
    <w:rsid w:val="00236CFB"/>
    <w:rsid w:val="002608B2"/>
    <w:rsid w:val="0027110D"/>
    <w:rsid w:val="002B19C5"/>
    <w:rsid w:val="00300998"/>
    <w:rsid w:val="0033053C"/>
    <w:rsid w:val="00370497"/>
    <w:rsid w:val="00370F01"/>
    <w:rsid w:val="00372FA1"/>
    <w:rsid w:val="003847FF"/>
    <w:rsid w:val="00392BCC"/>
    <w:rsid w:val="003D7B53"/>
    <w:rsid w:val="003F33AD"/>
    <w:rsid w:val="004124B0"/>
    <w:rsid w:val="00447A83"/>
    <w:rsid w:val="00454677"/>
    <w:rsid w:val="004C79EC"/>
    <w:rsid w:val="004E4A21"/>
    <w:rsid w:val="00525801"/>
    <w:rsid w:val="00572ED5"/>
    <w:rsid w:val="005801C8"/>
    <w:rsid w:val="005A3399"/>
    <w:rsid w:val="005A3B4D"/>
    <w:rsid w:val="005D4D09"/>
    <w:rsid w:val="005E5894"/>
    <w:rsid w:val="0060541B"/>
    <w:rsid w:val="006735FA"/>
    <w:rsid w:val="006C6C49"/>
    <w:rsid w:val="00726ED6"/>
    <w:rsid w:val="00741344"/>
    <w:rsid w:val="007468BD"/>
    <w:rsid w:val="0076747D"/>
    <w:rsid w:val="00773B6B"/>
    <w:rsid w:val="0078403D"/>
    <w:rsid w:val="00793C1B"/>
    <w:rsid w:val="0079759B"/>
    <w:rsid w:val="007E7AE3"/>
    <w:rsid w:val="00800352"/>
    <w:rsid w:val="0084499A"/>
    <w:rsid w:val="00855A6C"/>
    <w:rsid w:val="008B60B4"/>
    <w:rsid w:val="008B7F18"/>
    <w:rsid w:val="008D337A"/>
    <w:rsid w:val="008D59FE"/>
    <w:rsid w:val="008F7768"/>
    <w:rsid w:val="00900BB3"/>
    <w:rsid w:val="00915203"/>
    <w:rsid w:val="009410E1"/>
    <w:rsid w:val="009538B9"/>
    <w:rsid w:val="009C7A51"/>
    <w:rsid w:val="00A00F8D"/>
    <w:rsid w:val="00A1492F"/>
    <w:rsid w:val="00A26924"/>
    <w:rsid w:val="00A50769"/>
    <w:rsid w:val="00AB299A"/>
    <w:rsid w:val="00AC2536"/>
    <w:rsid w:val="00AD7170"/>
    <w:rsid w:val="00B02DDD"/>
    <w:rsid w:val="00B12A30"/>
    <w:rsid w:val="00BA1823"/>
    <w:rsid w:val="00BD17E0"/>
    <w:rsid w:val="00BE6D65"/>
    <w:rsid w:val="00C41E01"/>
    <w:rsid w:val="00C616E9"/>
    <w:rsid w:val="00C71CA0"/>
    <w:rsid w:val="00D03FD0"/>
    <w:rsid w:val="00D4611A"/>
    <w:rsid w:val="00D56547"/>
    <w:rsid w:val="00D730B7"/>
    <w:rsid w:val="00D92E57"/>
    <w:rsid w:val="00D93A23"/>
    <w:rsid w:val="00DA4194"/>
    <w:rsid w:val="00DA5CB2"/>
    <w:rsid w:val="00DB7618"/>
    <w:rsid w:val="00DC1033"/>
    <w:rsid w:val="00DF598E"/>
    <w:rsid w:val="00E10446"/>
    <w:rsid w:val="00E34F1A"/>
    <w:rsid w:val="00E47271"/>
    <w:rsid w:val="00E67DD1"/>
    <w:rsid w:val="00F03BE4"/>
    <w:rsid w:val="00F628B5"/>
    <w:rsid w:val="00FA6A57"/>
    <w:rsid w:val="00FD1D83"/>
    <w:rsid w:val="00FF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55B02"/>
  <w15:docId w15:val="{A22D947F-B21C-4A79-86D4-2E029CB5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punct">
    <w:name w:val="mpunct"/>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paragraph" w:customStyle="1" w:styleId="break-words">
    <w:name w:val="break-words"/>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op">
    <w:name w:val="mop"/>
    <w:basedOn w:val="DefaultParagraphFont"/>
  </w:style>
  <w:style w:type="character" w:customStyle="1" w:styleId="mopen">
    <w:name w:val="mopen"/>
    <w:basedOn w:val="DefaultParagraphFont"/>
  </w:style>
  <w:style w:type="character" w:customStyle="1" w:styleId="mclose">
    <w:name w:val="mclos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table" w:styleId="PlainTable2">
    <w:name w:val="Plain Table 2"/>
    <w:basedOn w:val="TableNormal"/>
    <w:uiPriority w:val="42"/>
    <w:rsid w:val="00525801"/>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4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46542">
      <w:bodyDiv w:val="1"/>
      <w:marLeft w:val="0"/>
      <w:marRight w:val="0"/>
      <w:marTop w:val="0"/>
      <w:marBottom w:val="0"/>
      <w:divBdr>
        <w:top w:val="none" w:sz="0" w:space="0" w:color="auto"/>
        <w:left w:val="none" w:sz="0" w:space="0" w:color="auto"/>
        <w:bottom w:val="none" w:sz="0" w:space="0" w:color="auto"/>
        <w:right w:val="none" w:sz="0" w:space="0" w:color="auto"/>
      </w:divBdr>
    </w:div>
    <w:div w:id="119808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eco.2009.10.004" TargetMode="External"/><Relationship Id="rId21" Type="http://schemas.openxmlformats.org/officeDocument/2006/relationships/hyperlink" Target="https://doi.org/10.1016/j.eneco.2010.07.004" TargetMode="External"/><Relationship Id="rId34" Type="http://schemas.openxmlformats.org/officeDocument/2006/relationships/hyperlink" Target="https://doi.org/10.3390/su15074512" TargetMode="External"/><Relationship Id="rId42" Type="http://schemas.openxmlformats.org/officeDocument/2006/relationships/hyperlink" Target="https://doi.org/10.1016/j.eneco.2024.106651" TargetMode="External"/><Relationship Id="rId47" Type="http://schemas.openxmlformats.org/officeDocument/2006/relationships/hyperlink" Target="https://doi.org/10.1016/j.eneco.2015.12.019" TargetMode="External"/><Relationship Id="rId50" Type="http://schemas.openxmlformats.org/officeDocument/2006/relationships/hyperlink" Target="https://doi.org/10.3390/su13126789" TargetMode="External"/><Relationship Id="rId55" Type="http://schemas.openxmlformats.org/officeDocument/2006/relationships/hyperlink" Target="https://doi.org/10.1016/j.erss.2022.102471" TargetMode="External"/><Relationship Id="rId63"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energy.2013.09.011" TargetMode="External"/><Relationship Id="rId29" Type="http://schemas.openxmlformats.org/officeDocument/2006/relationships/hyperlink" Target="https://doi.org/10.3389/fenvs.2025.1696193" TargetMode="External"/><Relationship Id="rId11" Type="http://schemas.openxmlformats.org/officeDocument/2006/relationships/hyperlink" Target="https://doi.org/10.1016/j.enpol.2014.12.012" TargetMode="External"/><Relationship Id="rId24" Type="http://schemas.openxmlformats.org/officeDocument/2006/relationships/hyperlink" Target="https://doi.org/10.1007/978-3-030-53953-5" TargetMode="External"/><Relationship Id="rId32" Type="http://schemas.openxmlformats.org/officeDocument/2006/relationships/hyperlink" Target="https://doi.org/10.1016/j.enpol.2017.08.031" TargetMode="External"/><Relationship Id="rId37" Type="http://schemas.openxmlformats.org/officeDocument/2006/relationships/hyperlink" Target="https://doi.org/10.1016/0304-3932(88)90168-7" TargetMode="External"/><Relationship Id="rId40" Type="http://schemas.openxmlformats.org/officeDocument/2006/relationships/hyperlink" Target="https://doi.org/10.1016/j.heliyon.2024.41765" TargetMode="External"/><Relationship Id="rId45" Type="http://schemas.openxmlformats.org/officeDocument/2006/relationships/hyperlink" Target="https://doi.org/10.1016/j.egyr.2022.10.098" TargetMode="External"/><Relationship Id="rId53" Type="http://schemas.openxmlformats.org/officeDocument/2006/relationships/hyperlink" Target="https://doi.org/10.1016/j.eneco.2024.106651" TargetMode="External"/><Relationship Id="rId58" Type="http://schemas.openxmlformats.org/officeDocument/2006/relationships/hyperlink" Target="https://www.ccsenet.org/journal/index.php/jsd"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16/j.eneco.2023.106549" TargetMode="External"/><Relationship Id="rId14" Type="http://schemas.openxmlformats.org/officeDocument/2006/relationships/hyperlink" Target="https://doi.org/10.1016/j.eneco.2015.03.027" TargetMode="External"/><Relationship Id="rId22" Type="http://schemas.openxmlformats.org/officeDocument/2006/relationships/hyperlink" Target="https://doi.org/10.1016/j.eneco.2010.07.004" TargetMode="External"/><Relationship Id="rId27" Type="http://schemas.openxmlformats.org/officeDocument/2006/relationships/hyperlink" Target="https://doi.org/10.3389/fenvs.2022.945321" TargetMode="External"/><Relationship Id="rId30" Type="http://schemas.openxmlformats.org/officeDocument/2006/relationships/hyperlink" Target="https://doi.org/10.1016/j.enpol.2025.114567" TargetMode="External"/><Relationship Id="rId35" Type="http://schemas.openxmlformats.org/officeDocument/2006/relationships/hyperlink" Target="https://doi.org/10.1016/j.jclepro.2021.127749" TargetMode="External"/><Relationship Id="rId43" Type="http://schemas.openxmlformats.org/officeDocument/2006/relationships/hyperlink" Target="https://www.cbn.gov.ng/out/2018/sd/pages%20105_139_a376_okwanya%20and%20%09abah.pdf" TargetMode="External"/><Relationship Id="rId48" Type="http://schemas.openxmlformats.org/officeDocument/2006/relationships/hyperlink" Target="https://doi.org/10.1016/j.egyr.2020.11.119" TargetMode="External"/><Relationship Id="rId56" Type="http://schemas.openxmlformats.org/officeDocument/2006/relationships/hyperlink" Target="https://doi.org/10.6007/IJARBSS/v15-i1/20123" TargetMode="External"/><Relationship Id="rId64" Type="http://schemas.openxmlformats.org/officeDocument/2006/relationships/footer" Target="footer3.xml"/><Relationship Id="rId8" Type="http://schemas.openxmlformats.org/officeDocument/2006/relationships/hyperlink" Target="https://doi.org/10.1016/j.enpol.2023.113378" TargetMode="External"/><Relationship Id="rId51" Type="http://schemas.openxmlformats.org/officeDocument/2006/relationships/hyperlink" Target="https://doi.org/10.1086/261725" TargetMode="External"/><Relationship Id="rId3" Type="http://schemas.openxmlformats.org/officeDocument/2006/relationships/settings" Target="settings.xml"/><Relationship Id="rId12" Type="http://schemas.openxmlformats.org/officeDocument/2006/relationships/hyperlink" Target="https://doi.org/10.1108/JFRA-04-2025-0299" TargetMode="External"/><Relationship Id="rId17" Type="http://schemas.openxmlformats.org/officeDocument/2006/relationships/hyperlink" Target="https://doi.org/10.1016/j.worlddev.2014.01.026" TargetMode="External"/><Relationship Id="rId25" Type="http://schemas.openxmlformats.org/officeDocument/2006/relationships/hyperlink" Target="https://doi.org/10.1016/j.worlddev.2022.106082" TargetMode="External"/><Relationship Id="rId33" Type="http://schemas.openxmlformats.org/officeDocument/2006/relationships/hyperlink" Target="https://doi.org/10.1016/j.esd.2024.01.009" TargetMode="External"/><Relationship Id="rId38" Type="http://schemas.openxmlformats.org/officeDocument/2006/relationships/hyperlink" Target="https://doi.org/10.1016/j.jeconom.2019.04.009" TargetMode="External"/><Relationship Id="rId46" Type="http://schemas.openxmlformats.org/officeDocument/2006/relationships/hyperlink" Target="https://doi.org/10.1016/j.enpol.2016.04.037" TargetMode="External"/><Relationship Id="rId59" Type="http://schemas.openxmlformats.org/officeDocument/2006/relationships/header" Target="header1.xml"/><Relationship Id="rId20" Type="http://schemas.openxmlformats.org/officeDocument/2006/relationships/hyperlink" Target="https://doi.org/10.1016/j.renene.2024.01.045" TargetMode="External"/><Relationship Id="rId41" Type="http://schemas.openxmlformats.org/officeDocument/2006/relationships/hyperlink" Target="https://doi.org/10.1016/j.erss.2018.05.002" TargetMode="External"/><Relationship Id="rId54" Type="http://schemas.openxmlformats.org/officeDocument/2006/relationships/hyperlink" Target="https://doi.org/10.1016/j.erss.2022.102562"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su17031333" TargetMode="External"/><Relationship Id="rId23" Type="http://schemas.openxmlformats.org/officeDocument/2006/relationships/hyperlink" Target="https://doi.org/10.1016/j.eneco.2010.07.004" TargetMode="External"/><Relationship Id="rId28" Type="http://schemas.openxmlformats.org/officeDocument/2006/relationships/hyperlink" Target="https://doi.org/10.3390/su17031007" TargetMode="External"/><Relationship Id="rId36" Type="http://schemas.openxmlformats.org/officeDocument/2006/relationships/hyperlink" Target="https://doi.org/10.1002/9781119482260" TargetMode="External"/><Relationship Id="rId49" Type="http://schemas.openxmlformats.org/officeDocument/2006/relationships/hyperlink" Target="https://doi.org/10.1016/j.rser.2014.03.019" TargetMode="External"/><Relationship Id="rId57" Type="http://schemas.openxmlformats.org/officeDocument/2006/relationships/hyperlink" Target="https://doi.org/10.3390/su13041924" TargetMode="External"/><Relationship Id="rId10" Type="http://schemas.openxmlformats.org/officeDocument/2006/relationships/hyperlink" Target="https://doi.org/10.1016/j.eneco.2021.105150" TargetMode="External"/><Relationship Id="rId31" Type="http://schemas.openxmlformats.org/officeDocument/2006/relationships/hyperlink" Target="https://doi.org/10.1016/j.enpol.2023.113387" TargetMode="External"/><Relationship Id="rId44" Type="http://schemas.openxmlformats.org/officeDocument/2006/relationships/hyperlink" Target="https://doi.org/10.1016/j.rser.2017.05.267" TargetMode="External"/><Relationship Id="rId52" Type="http://schemas.openxmlformats.org/officeDocument/2006/relationships/hyperlink" Target="https://doi.org/10.1016/j.egyr.2020.02.009"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neco.2018.07.022" TargetMode="External"/><Relationship Id="rId13" Type="http://schemas.openxmlformats.org/officeDocument/2006/relationships/hyperlink" Target="https://doi.org/10.1016/j.eneco.2024.106783" TargetMode="External"/><Relationship Id="rId18" Type="http://schemas.openxmlformats.org/officeDocument/2006/relationships/hyperlink" Target="https://doi.org/10.3390/su17031333" TargetMode="External"/><Relationship Id="rId39" Type="http://schemas.openxmlformats.org/officeDocument/2006/relationships/hyperlink" Target="https://doi.org/10.1016/j.rser.2024.11398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c\OneDrive\Desktop\2026%20working%20folder\2026%20Journal%20Papers\Energy%20consumption%20and%20poverty%20reduction\Energy-poverty%20Pane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Sheet1!$B$1</c:f>
              <c:strCache>
                <c:ptCount val="1"/>
                <c:pt idx="0">
                  <c:v>Year</c:v>
                </c:pt>
              </c:strCache>
            </c:strRef>
          </c:tx>
          <c:spPr>
            <a:solidFill>
              <a:schemeClr val="accent2"/>
            </a:solidFill>
            <a:ln>
              <a:noFill/>
            </a:ln>
            <a:effectLst/>
          </c:spPr>
          <c:invertIfNegative val="0"/>
          <c:val>
            <c:numRef>
              <c:f>Sheet1!$B$2:$B$176</c:f>
              <c:numCache>
                <c:formatCode>General</c:formatCode>
                <c:ptCount val="17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1990</c:v>
                </c:pt>
                <c:pt idx="36">
                  <c:v>1991</c:v>
                </c:pt>
                <c:pt idx="37">
                  <c:v>1992</c:v>
                </c:pt>
                <c:pt idx="38">
                  <c:v>1993</c:v>
                </c:pt>
                <c:pt idx="39">
                  <c:v>1994</c:v>
                </c:pt>
                <c:pt idx="40">
                  <c:v>1995</c:v>
                </c:pt>
                <c:pt idx="41">
                  <c:v>1996</c:v>
                </c:pt>
                <c:pt idx="42">
                  <c:v>1997</c:v>
                </c:pt>
                <c:pt idx="43">
                  <c:v>1998</c:v>
                </c:pt>
                <c:pt idx="44">
                  <c:v>1999</c:v>
                </c:pt>
                <c:pt idx="45">
                  <c:v>2000</c:v>
                </c:pt>
                <c:pt idx="46">
                  <c:v>2001</c:v>
                </c:pt>
                <c:pt idx="47">
                  <c:v>2002</c:v>
                </c:pt>
                <c:pt idx="48">
                  <c:v>2003</c:v>
                </c:pt>
                <c:pt idx="49">
                  <c:v>2004</c:v>
                </c:pt>
                <c:pt idx="50">
                  <c:v>2005</c:v>
                </c:pt>
                <c:pt idx="51">
                  <c:v>2006</c:v>
                </c:pt>
                <c:pt idx="52">
                  <c:v>2007</c:v>
                </c:pt>
                <c:pt idx="53">
                  <c:v>2008</c:v>
                </c:pt>
                <c:pt idx="54">
                  <c:v>2009</c:v>
                </c:pt>
                <c:pt idx="55">
                  <c:v>2010</c:v>
                </c:pt>
                <c:pt idx="56">
                  <c:v>2011</c:v>
                </c:pt>
                <c:pt idx="57">
                  <c:v>2012</c:v>
                </c:pt>
                <c:pt idx="58">
                  <c:v>2013</c:v>
                </c:pt>
                <c:pt idx="59">
                  <c:v>2014</c:v>
                </c:pt>
                <c:pt idx="60">
                  <c:v>2015</c:v>
                </c:pt>
                <c:pt idx="61">
                  <c:v>2016</c:v>
                </c:pt>
                <c:pt idx="62">
                  <c:v>2017</c:v>
                </c:pt>
                <c:pt idx="63">
                  <c:v>2018</c:v>
                </c:pt>
                <c:pt idx="64">
                  <c:v>2019</c:v>
                </c:pt>
                <c:pt idx="65">
                  <c:v>2020</c:v>
                </c:pt>
                <c:pt idx="66">
                  <c:v>2021</c:v>
                </c:pt>
                <c:pt idx="67">
                  <c:v>2022</c:v>
                </c:pt>
                <c:pt idx="68">
                  <c:v>2023</c:v>
                </c:pt>
                <c:pt idx="69">
                  <c:v>2024</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pt idx="89">
                  <c:v>2009</c:v>
                </c:pt>
                <c:pt idx="90">
                  <c:v>2010</c:v>
                </c:pt>
                <c:pt idx="91">
                  <c:v>2011</c:v>
                </c:pt>
                <c:pt idx="92">
                  <c:v>2012</c:v>
                </c:pt>
                <c:pt idx="93">
                  <c:v>2013</c:v>
                </c:pt>
                <c:pt idx="94">
                  <c:v>2014</c:v>
                </c:pt>
                <c:pt idx="95">
                  <c:v>2015</c:v>
                </c:pt>
                <c:pt idx="96">
                  <c:v>2016</c:v>
                </c:pt>
                <c:pt idx="97">
                  <c:v>2017</c:v>
                </c:pt>
                <c:pt idx="98">
                  <c:v>2018</c:v>
                </c:pt>
                <c:pt idx="99">
                  <c:v>2019</c:v>
                </c:pt>
                <c:pt idx="100">
                  <c:v>2020</c:v>
                </c:pt>
                <c:pt idx="101">
                  <c:v>2021</c:v>
                </c:pt>
                <c:pt idx="102">
                  <c:v>2022</c:v>
                </c:pt>
                <c:pt idx="103">
                  <c:v>2023</c:v>
                </c:pt>
                <c:pt idx="104">
                  <c:v>2024</c:v>
                </c:pt>
                <c:pt idx="105">
                  <c:v>1990</c:v>
                </c:pt>
                <c:pt idx="106">
                  <c:v>1991</c:v>
                </c:pt>
                <c:pt idx="107">
                  <c:v>1992</c:v>
                </c:pt>
                <c:pt idx="108">
                  <c:v>1993</c:v>
                </c:pt>
                <c:pt idx="109">
                  <c:v>1994</c:v>
                </c:pt>
                <c:pt idx="110">
                  <c:v>1995</c:v>
                </c:pt>
                <c:pt idx="111">
                  <c:v>1996</c:v>
                </c:pt>
                <c:pt idx="112">
                  <c:v>1997</c:v>
                </c:pt>
                <c:pt idx="113">
                  <c:v>1998</c:v>
                </c:pt>
                <c:pt idx="114">
                  <c:v>1999</c:v>
                </c:pt>
                <c:pt idx="115">
                  <c:v>2000</c:v>
                </c:pt>
                <c:pt idx="116">
                  <c:v>2001</c:v>
                </c:pt>
                <c:pt idx="117">
                  <c:v>2002</c:v>
                </c:pt>
                <c:pt idx="118">
                  <c:v>2003</c:v>
                </c:pt>
                <c:pt idx="119">
                  <c:v>2004</c:v>
                </c:pt>
                <c:pt idx="120">
                  <c:v>2005</c:v>
                </c:pt>
                <c:pt idx="121">
                  <c:v>2006</c:v>
                </c:pt>
                <c:pt idx="122">
                  <c:v>2007</c:v>
                </c:pt>
                <c:pt idx="123">
                  <c:v>2008</c:v>
                </c:pt>
                <c:pt idx="124">
                  <c:v>2009</c:v>
                </c:pt>
                <c:pt idx="125">
                  <c:v>2010</c:v>
                </c:pt>
                <c:pt idx="126">
                  <c:v>2011</c:v>
                </c:pt>
                <c:pt idx="127">
                  <c:v>2012</c:v>
                </c:pt>
                <c:pt idx="128">
                  <c:v>2013</c:v>
                </c:pt>
                <c:pt idx="129">
                  <c:v>2014</c:v>
                </c:pt>
                <c:pt idx="130">
                  <c:v>2015</c:v>
                </c:pt>
                <c:pt idx="131">
                  <c:v>2016</c:v>
                </c:pt>
                <c:pt idx="132">
                  <c:v>2017</c:v>
                </c:pt>
                <c:pt idx="133">
                  <c:v>2018</c:v>
                </c:pt>
                <c:pt idx="134">
                  <c:v>2019</c:v>
                </c:pt>
                <c:pt idx="135">
                  <c:v>2020</c:v>
                </c:pt>
                <c:pt idx="136">
                  <c:v>2021</c:v>
                </c:pt>
                <c:pt idx="137">
                  <c:v>2022</c:v>
                </c:pt>
                <c:pt idx="138">
                  <c:v>2023</c:v>
                </c:pt>
                <c:pt idx="139">
                  <c:v>2024</c:v>
                </c:pt>
                <c:pt idx="140">
                  <c:v>1990</c:v>
                </c:pt>
                <c:pt idx="141">
                  <c:v>1991</c:v>
                </c:pt>
                <c:pt idx="142">
                  <c:v>1992</c:v>
                </c:pt>
                <c:pt idx="143">
                  <c:v>1993</c:v>
                </c:pt>
                <c:pt idx="144">
                  <c:v>1994</c:v>
                </c:pt>
                <c:pt idx="145">
                  <c:v>1995</c:v>
                </c:pt>
                <c:pt idx="146">
                  <c:v>1996</c:v>
                </c:pt>
                <c:pt idx="147">
                  <c:v>1997</c:v>
                </c:pt>
                <c:pt idx="148">
                  <c:v>1998</c:v>
                </c:pt>
                <c:pt idx="149">
                  <c:v>1999</c:v>
                </c:pt>
                <c:pt idx="150">
                  <c:v>2000</c:v>
                </c:pt>
                <c:pt idx="151">
                  <c:v>2001</c:v>
                </c:pt>
                <c:pt idx="152">
                  <c:v>2002</c:v>
                </c:pt>
                <c:pt idx="153">
                  <c:v>2003</c:v>
                </c:pt>
                <c:pt idx="154">
                  <c:v>2004</c:v>
                </c:pt>
                <c:pt idx="155">
                  <c:v>2005</c:v>
                </c:pt>
                <c:pt idx="156">
                  <c:v>2006</c:v>
                </c:pt>
                <c:pt idx="157">
                  <c:v>2007</c:v>
                </c:pt>
                <c:pt idx="158">
                  <c:v>2008</c:v>
                </c:pt>
                <c:pt idx="159">
                  <c:v>2009</c:v>
                </c:pt>
                <c:pt idx="160">
                  <c:v>2010</c:v>
                </c:pt>
                <c:pt idx="161">
                  <c:v>2011</c:v>
                </c:pt>
                <c:pt idx="162">
                  <c:v>2012</c:v>
                </c:pt>
                <c:pt idx="163">
                  <c:v>2013</c:v>
                </c:pt>
                <c:pt idx="164">
                  <c:v>2014</c:v>
                </c:pt>
                <c:pt idx="165">
                  <c:v>2015</c:v>
                </c:pt>
                <c:pt idx="166">
                  <c:v>2016</c:v>
                </c:pt>
                <c:pt idx="167">
                  <c:v>2017</c:v>
                </c:pt>
                <c:pt idx="168">
                  <c:v>2018</c:v>
                </c:pt>
                <c:pt idx="169">
                  <c:v>2019</c:v>
                </c:pt>
                <c:pt idx="170">
                  <c:v>2020</c:v>
                </c:pt>
                <c:pt idx="171">
                  <c:v>2021</c:v>
                </c:pt>
                <c:pt idx="172">
                  <c:v>2022</c:v>
                </c:pt>
                <c:pt idx="173">
                  <c:v>2023</c:v>
                </c:pt>
                <c:pt idx="174">
                  <c:v>2024</c:v>
                </c:pt>
              </c:numCache>
            </c:numRef>
          </c:val>
          <c:extLst>
            <c:ext xmlns:c16="http://schemas.microsoft.com/office/drawing/2014/chart" uri="{C3380CC4-5D6E-409C-BE32-E72D297353CC}">
              <c16:uniqueId val="{00000000-7D3D-4EA6-BFEF-5C03F286FE55}"/>
            </c:ext>
          </c:extLst>
        </c:ser>
        <c:dLbls>
          <c:showLegendKey val="0"/>
          <c:showVal val="0"/>
          <c:showCatName val="0"/>
          <c:showSerName val="0"/>
          <c:showPercent val="0"/>
          <c:showBubbleSize val="0"/>
        </c:dLbls>
        <c:gapWidth val="269"/>
        <c:axId val="261475631"/>
        <c:axId val="261473135"/>
      </c:barChart>
      <c:barChart>
        <c:barDir val="col"/>
        <c:grouping val="clustered"/>
        <c:varyColors val="0"/>
        <c:ser>
          <c:idx val="0"/>
          <c:order val="0"/>
          <c:tx>
            <c:strRef>
              <c:f>Sheet1!$A$1</c:f>
              <c:strCache>
                <c:ptCount val="1"/>
                <c:pt idx="0">
                  <c:v>Country</c:v>
                </c:pt>
              </c:strCache>
            </c:strRef>
          </c:tx>
          <c:spPr>
            <a:solidFill>
              <a:schemeClr val="accent1"/>
            </a:solidFill>
            <a:ln>
              <a:noFill/>
            </a:ln>
            <a:effectLst/>
          </c:spPr>
          <c:invertIfNegative val="0"/>
          <c:val>
            <c:numRef>
              <c:f>Sheet1!$A$2:$A$176</c:f>
              <c:numCache>
                <c:formatCode>General</c:formatCode>
                <c:ptCount val="175"/>
                <c:pt idx="0">
                  <c:v>0</c:v>
                </c:pt>
                <c:pt idx="35">
                  <c:v>0</c:v>
                </c:pt>
                <c:pt idx="70">
                  <c:v>0</c:v>
                </c:pt>
                <c:pt idx="105">
                  <c:v>0</c:v>
                </c:pt>
                <c:pt idx="140">
                  <c:v>0</c:v>
                </c:pt>
              </c:numCache>
            </c:numRef>
          </c:val>
          <c:extLst>
            <c:ext xmlns:c16="http://schemas.microsoft.com/office/drawing/2014/chart" uri="{C3380CC4-5D6E-409C-BE32-E72D297353CC}">
              <c16:uniqueId val="{00000001-7D3D-4EA6-BFEF-5C03F286FE55}"/>
            </c:ext>
          </c:extLst>
        </c:ser>
        <c:dLbls>
          <c:showLegendKey val="0"/>
          <c:showVal val="0"/>
          <c:showCatName val="0"/>
          <c:showSerName val="0"/>
          <c:showPercent val="0"/>
          <c:showBubbleSize val="0"/>
        </c:dLbls>
        <c:gapWidth val="269"/>
        <c:axId val="323966751"/>
        <c:axId val="323965503"/>
      </c:barChart>
      <c:lineChart>
        <c:grouping val="standard"/>
        <c:varyColors val="0"/>
        <c:ser>
          <c:idx val="5"/>
          <c:order val="5"/>
          <c:tx>
            <c:strRef>
              <c:f>Sheet1!$F$1</c:f>
              <c:strCache>
                <c:ptCount val="1"/>
                <c:pt idx="0">
                  <c:v>LAP</c:v>
                </c:pt>
              </c:strCache>
            </c:strRef>
          </c:tx>
          <c:spPr>
            <a:ln w="38100" cap="rnd">
              <a:solidFill>
                <a:schemeClr val="accent6"/>
              </a:solidFill>
              <a:round/>
            </a:ln>
            <a:effectLst/>
          </c:spPr>
          <c:marker>
            <c:symbol val="none"/>
          </c:marker>
          <c:val>
            <c:numRef>
              <c:f>Sheet1!$F$2:$F$176</c:f>
              <c:numCache>
                <c:formatCode>General</c:formatCode>
                <c:ptCount val="175"/>
                <c:pt idx="0">
                  <c:v>12205.040712915843</c:v>
                </c:pt>
                <c:pt idx="1">
                  <c:v>12300.840097769684</c:v>
                </c:pt>
                <c:pt idx="2">
                  <c:v>11663.725980728317</c:v>
                </c:pt>
                <c:pt idx="3">
                  <c:v>11044.108865637088</c:v>
                </c:pt>
                <c:pt idx="4">
                  <c:v>10705.332929384971</c:v>
                </c:pt>
                <c:pt idx="5">
                  <c:v>10849.390211549882</c:v>
                </c:pt>
                <c:pt idx="6">
                  <c:v>10853.442540554941</c:v>
                </c:pt>
                <c:pt idx="7">
                  <c:v>10827.238302425878</c:v>
                </c:pt>
                <c:pt idx="8">
                  <c:v>10598.150273849255</c:v>
                </c:pt>
                <c:pt idx="9">
                  <c:v>10851.840558979873</c:v>
                </c:pt>
                <c:pt idx="10">
                  <c:v>11205.935022650305</c:v>
                </c:pt>
                <c:pt idx="11">
                  <c:v>12589.63538205503</c:v>
                </c:pt>
                <c:pt idx="12">
                  <c:v>13200.614059985523</c:v>
                </c:pt>
                <c:pt idx="13">
                  <c:v>14078.020119809447</c:v>
                </c:pt>
                <c:pt idx="14">
                  <c:v>14663.351290458537</c:v>
                </c:pt>
                <c:pt idx="15">
                  <c:v>15196.552628266149</c:v>
                </c:pt>
                <c:pt idx="16">
                  <c:v>15821.446900163301</c:v>
                </c:pt>
                <c:pt idx="17">
                  <c:v>16492.426352337145</c:v>
                </c:pt>
                <c:pt idx="18">
                  <c:v>17368.850295141525</c:v>
                </c:pt>
                <c:pt idx="19">
                  <c:v>18310.824935628436</c:v>
                </c:pt>
                <c:pt idx="20">
                  <c:v>18803.323019960419</c:v>
                </c:pt>
                <c:pt idx="21">
                  <c:v>19079.917745623599</c:v>
                </c:pt>
                <c:pt idx="22">
                  <c:v>19845.468169210963</c:v>
                </c:pt>
                <c:pt idx="23">
                  <c:v>20593.249531826899</c:v>
                </c:pt>
                <c:pt idx="24">
                  <c:v>20619.10250382861</c:v>
                </c:pt>
                <c:pt idx="25">
                  <c:v>19790.288583183541</c:v>
                </c:pt>
                <c:pt idx="26">
                  <c:v>19436.167489698386</c:v>
                </c:pt>
                <c:pt idx="27">
                  <c:v>19284.625024719426</c:v>
                </c:pt>
                <c:pt idx="28">
                  <c:v>19181.356905239394</c:v>
                </c:pt>
                <c:pt idx="29">
                  <c:v>17925.438427170182</c:v>
                </c:pt>
                <c:pt idx="30">
                  <c:v>17376.180785137854</c:v>
                </c:pt>
                <c:pt idx="31">
                  <c:v>17087.203561719751</c:v>
                </c:pt>
                <c:pt idx="32">
                  <c:v>16753.706339801385</c:v>
                </c:pt>
                <c:pt idx="33">
                  <c:v>16929.657132969194</c:v>
                </c:pt>
                <c:pt idx="34">
                  <c:v>17100</c:v>
                </c:pt>
                <c:pt idx="35">
                  <c:v>7399.5292217747701</c:v>
                </c:pt>
                <c:pt idx="36">
                  <c:v>7580.6960475833857</c:v>
                </c:pt>
                <c:pt idx="37">
                  <c:v>7769.8367252444841</c:v>
                </c:pt>
                <c:pt idx="38">
                  <c:v>7851.4953534016477</c:v>
                </c:pt>
                <c:pt idx="39">
                  <c:v>7996.1506503785258</c:v>
                </c:pt>
                <c:pt idx="40">
                  <c:v>8192.4069998530158</c:v>
                </c:pt>
                <c:pt idx="41">
                  <c:v>8338.632595080695</c:v>
                </c:pt>
                <c:pt idx="42">
                  <c:v>8512.1483709376589</c:v>
                </c:pt>
                <c:pt idx="43">
                  <c:v>8796.4794669564999</c:v>
                </c:pt>
                <c:pt idx="44">
                  <c:v>8879.6908969490851</c:v>
                </c:pt>
                <c:pt idx="45">
                  <c:v>8855.6134773350022</c:v>
                </c:pt>
                <c:pt idx="46">
                  <c:v>8859.157781596823</c:v>
                </c:pt>
                <c:pt idx="47">
                  <c:v>8924.528170356185</c:v>
                </c:pt>
                <c:pt idx="48">
                  <c:v>9035.5675102013229</c:v>
                </c:pt>
                <c:pt idx="49">
                  <c:v>9185.231553491305</c:v>
                </c:pt>
                <c:pt idx="50">
                  <c:v>9391.3457310805625</c:v>
                </c:pt>
                <c:pt idx="51">
                  <c:v>9532.0911685800547</c:v>
                </c:pt>
                <c:pt idx="52">
                  <c:v>10109.464504199021</c:v>
                </c:pt>
                <c:pt idx="53">
                  <c:v>10330.46248032837</c:v>
                </c:pt>
                <c:pt idx="54">
                  <c:v>10861.12357327887</c:v>
                </c:pt>
                <c:pt idx="55">
                  <c:v>11936.074900830994</c:v>
                </c:pt>
                <c:pt idx="56">
                  <c:v>12586.837167743022</c:v>
                </c:pt>
                <c:pt idx="57">
                  <c:v>13052.786109840805</c:v>
                </c:pt>
                <c:pt idx="58">
                  <c:v>13620.226949403699</c:v>
                </c:pt>
                <c:pt idx="59">
                  <c:v>14151.739350614887</c:v>
                </c:pt>
                <c:pt idx="60">
                  <c:v>14263.428141966802</c:v>
                </c:pt>
                <c:pt idx="61">
                  <c:v>14996.719093396458</c:v>
                </c:pt>
                <c:pt idx="62">
                  <c:v>15873.673859647284</c:v>
                </c:pt>
                <c:pt idx="63">
                  <c:v>16875.136096705341</c:v>
                </c:pt>
                <c:pt idx="64">
                  <c:v>17123.610134556195</c:v>
                </c:pt>
                <c:pt idx="65">
                  <c:v>17906.614174601069</c:v>
                </c:pt>
                <c:pt idx="66">
                  <c:v>18467.099935556485</c:v>
                </c:pt>
                <c:pt idx="67">
                  <c:v>18586.622168353602</c:v>
                </c:pt>
                <c:pt idx="68">
                  <c:v>19154.875453475262</c:v>
                </c:pt>
                <c:pt idx="69">
                  <c:v>19700</c:v>
                </c:pt>
                <c:pt idx="70">
                  <c:v>15742.170566917344</c:v>
                </c:pt>
                <c:pt idx="71">
                  <c:v>15054.809985214628</c:v>
                </c:pt>
                <c:pt idx="72">
                  <c:v>14263.131793626048</c:v>
                </c:pt>
                <c:pt idx="73">
                  <c:v>13656.208824896034</c:v>
                </c:pt>
                <c:pt idx="74">
                  <c:v>13881.449596419418</c:v>
                </c:pt>
                <c:pt idx="75">
                  <c:v>14329.59171306488</c:v>
                </c:pt>
                <c:pt idx="76">
                  <c:v>15062.523085896668</c:v>
                </c:pt>
                <c:pt idx="77">
                  <c:v>15107.287152454433</c:v>
                </c:pt>
                <c:pt idx="78">
                  <c:v>14791.727749422349</c:v>
                </c:pt>
                <c:pt idx="79">
                  <c:v>14390.160748806757</c:v>
                </c:pt>
                <c:pt idx="80">
                  <c:v>13745.41186259708</c:v>
                </c:pt>
                <c:pt idx="81">
                  <c:v>13057.613400135224</c:v>
                </c:pt>
                <c:pt idx="82">
                  <c:v>12164.855450746061</c:v>
                </c:pt>
                <c:pt idx="83">
                  <c:v>12245.585881847499</c:v>
                </c:pt>
                <c:pt idx="84">
                  <c:v>12070.980627952486</c:v>
                </c:pt>
                <c:pt idx="85">
                  <c:v>12098.721428436642</c:v>
                </c:pt>
                <c:pt idx="86">
                  <c:v>11958.194330448217</c:v>
                </c:pt>
                <c:pt idx="87">
                  <c:v>12114.829926370032</c:v>
                </c:pt>
                <c:pt idx="88">
                  <c:v>12056.391665926671</c:v>
                </c:pt>
                <c:pt idx="89">
                  <c:v>12386.870608344163</c:v>
                </c:pt>
                <c:pt idx="90">
                  <c:v>11364.795737549885</c:v>
                </c:pt>
                <c:pt idx="91">
                  <c:v>11835.819307787106</c:v>
                </c:pt>
                <c:pt idx="92">
                  <c:v>12358.998302787188</c:v>
                </c:pt>
                <c:pt idx="93">
                  <c:v>13052.40591964142</c:v>
                </c:pt>
                <c:pt idx="94">
                  <c:v>13563.828048668329</c:v>
                </c:pt>
                <c:pt idx="95">
                  <c:v>14077.127427535546</c:v>
                </c:pt>
                <c:pt idx="96">
                  <c:v>15083.635134021308</c:v>
                </c:pt>
                <c:pt idx="97">
                  <c:v>15487.818908067844</c:v>
                </c:pt>
                <c:pt idx="98">
                  <c:v>16182.299641182128</c:v>
                </c:pt>
                <c:pt idx="99">
                  <c:v>15835.359456996837</c:v>
                </c:pt>
                <c:pt idx="100">
                  <c:v>16154.72936406195</c:v>
                </c:pt>
                <c:pt idx="101">
                  <c:v>16390.310971564184</c:v>
                </c:pt>
                <c:pt idx="102">
                  <c:v>16924.85393571543</c:v>
                </c:pt>
                <c:pt idx="103">
                  <c:v>17398.987858472046</c:v>
                </c:pt>
                <c:pt idx="104">
                  <c:v>17873</c:v>
                </c:pt>
                <c:pt idx="105">
                  <c:v>10963.648507482074</c:v>
                </c:pt>
                <c:pt idx="106">
                  <c:v>10769.129509914166</c:v>
                </c:pt>
                <c:pt idx="107">
                  <c:v>10572.082279343484</c:v>
                </c:pt>
                <c:pt idx="108">
                  <c:v>10255.52005885892</c:v>
                </c:pt>
                <c:pt idx="109">
                  <c:v>10492.985027365794</c:v>
                </c:pt>
                <c:pt idx="110">
                  <c:v>10409.453451272913</c:v>
                </c:pt>
                <c:pt idx="111">
                  <c:v>10436.070543503543</c:v>
                </c:pt>
                <c:pt idx="112">
                  <c:v>10764.524892243304</c:v>
                </c:pt>
                <c:pt idx="113">
                  <c:v>11132.433344435909</c:v>
                </c:pt>
                <c:pt idx="114">
                  <c:v>11259.991382583035</c:v>
                </c:pt>
                <c:pt idx="115">
                  <c:v>11441.647709151903</c:v>
                </c:pt>
                <c:pt idx="116">
                  <c:v>11153.588063334388</c:v>
                </c:pt>
                <c:pt idx="117">
                  <c:v>11459.217170196665</c:v>
                </c:pt>
                <c:pt idx="118">
                  <c:v>11692.472416723154</c:v>
                </c:pt>
                <c:pt idx="119">
                  <c:v>11884.667660667452</c:v>
                </c:pt>
                <c:pt idx="120">
                  <c:v>11875.771036162861</c:v>
                </c:pt>
                <c:pt idx="121">
                  <c:v>12039.97987191924</c:v>
                </c:pt>
                <c:pt idx="122">
                  <c:v>12312.329125841965</c:v>
                </c:pt>
                <c:pt idx="123">
                  <c:v>12477.714146726326</c:v>
                </c:pt>
                <c:pt idx="124">
                  <c:v>12727.478597212221</c:v>
                </c:pt>
                <c:pt idx="125">
                  <c:v>12718.334503429911</c:v>
                </c:pt>
                <c:pt idx="126">
                  <c:v>13160.560779172809</c:v>
                </c:pt>
                <c:pt idx="127">
                  <c:v>13376.18577352429</c:v>
                </c:pt>
                <c:pt idx="128">
                  <c:v>14011.358308045101</c:v>
                </c:pt>
                <c:pt idx="129">
                  <c:v>14701.894660869011</c:v>
                </c:pt>
                <c:pt idx="130">
                  <c:v>13381.12005341485</c:v>
                </c:pt>
                <c:pt idx="131">
                  <c:v>15063.610166199094</c:v>
                </c:pt>
                <c:pt idx="132">
                  <c:v>14600.403696429725</c:v>
                </c:pt>
                <c:pt idx="133">
                  <c:v>13972.700221248415</c:v>
                </c:pt>
                <c:pt idx="134">
                  <c:v>13749.370762499246</c:v>
                </c:pt>
                <c:pt idx="135">
                  <c:v>13883.455492245166</c:v>
                </c:pt>
                <c:pt idx="136">
                  <c:v>13771.230144588031</c:v>
                </c:pt>
                <c:pt idx="137">
                  <c:v>13907.239255926836</c:v>
                </c:pt>
                <c:pt idx="138">
                  <c:v>14316.850104239029</c:v>
                </c:pt>
                <c:pt idx="139">
                  <c:v>14727</c:v>
                </c:pt>
                <c:pt idx="140">
                  <c:v>6024.2180242656968</c:v>
                </c:pt>
                <c:pt idx="141">
                  <c:v>6035.3448381957378</c:v>
                </c:pt>
                <c:pt idx="142">
                  <c:v>6157.0140575250371</c:v>
                </c:pt>
                <c:pt idx="143">
                  <c:v>6219.5767850974189</c:v>
                </c:pt>
                <c:pt idx="144">
                  <c:v>6332.92382569846</c:v>
                </c:pt>
                <c:pt idx="145">
                  <c:v>6438.9930342774069</c:v>
                </c:pt>
                <c:pt idx="146">
                  <c:v>6660.3718216621555</c:v>
                </c:pt>
                <c:pt idx="147">
                  <c:v>6805.5471969309383</c:v>
                </c:pt>
                <c:pt idx="148">
                  <c:v>6922.5461706861897</c:v>
                </c:pt>
                <c:pt idx="149">
                  <c:v>6981.9373203818914</c:v>
                </c:pt>
                <c:pt idx="150">
                  <c:v>7179.818929985001</c:v>
                </c:pt>
                <c:pt idx="151">
                  <c:v>7452.7678860818187</c:v>
                </c:pt>
                <c:pt idx="152">
                  <c:v>7446.8968598133888</c:v>
                </c:pt>
                <c:pt idx="153">
                  <c:v>7533.7588406027153</c:v>
                </c:pt>
                <c:pt idx="154">
                  <c:v>7692.769866018717</c:v>
                </c:pt>
                <c:pt idx="155">
                  <c:v>7700.9713723373989</c:v>
                </c:pt>
                <c:pt idx="156">
                  <c:v>8095.2424419508698</c:v>
                </c:pt>
                <c:pt idx="157">
                  <c:v>8290.4804117028252</c:v>
                </c:pt>
                <c:pt idx="158">
                  <c:v>8068.995174689474</c:v>
                </c:pt>
                <c:pt idx="159">
                  <c:v>8324.6482939894959</c:v>
                </c:pt>
                <c:pt idx="160">
                  <c:v>8641.5088000328633</c:v>
                </c:pt>
                <c:pt idx="161">
                  <c:v>8982.3538086274384</c:v>
                </c:pt>
                <c:pt idx="162">
                  <c:v>9189.6645029065821</c:v>
                </c:pt>
                <c:pt idx="163">
                  <c:v>9381.7334374286893</c:v>
                </c:pt>
                <c:pt idx="164">
                  <c:v>9585.154205161718</c:v>
                </c:pt>
                <c:pt idx="165">
                  <c:v>10424.77355870996</c:v>
                </c:pt>
                <c:pt idx="166">
                  <c:v>11294.482945034026</c:v>
                </c:pt>
                <c:pt idx="167">
                  <c:v>11816.500221763557</c:v>
                </c:pt>
                <c:pt idx="168">
                  <c:v>12298.242465584059</c:v>
                </c:pt>
                <c:pt idx="169">
                  <c:v>12748.306497926464</c:v>
                </c:pt>
                <c:pt idx="170">
                  <c:v>12976.680191891563</c:v>
                </c:pt>
                <c:pt idx="171">
                  <c:v>12957.065329953886</c:v>
                </c:pt>
                <c:pt idx="172">
                  <c:v>13265.947981121635</c:v>
                </c:pt>
                <c:pt idx="173">
                  <c:v>13569.422868270109</c:v>
                </c:pt>
                <c:pt idx="174">
                  <c:v>13872</c:v>
                </c:pt>
              </c:numCache>
            </c:numRef>
          </c:val>
          <c:smooth val="0"/>
          <c:extLst>
            <c:ext xmlns:c16="http://schemas.microsoft.com/office/drawing/2014/chart" uri="{C3380CC4-5D6E-409C-BE32-E72D297353CC}">
              <c16:uniqueId val="{00000002-7D3D-4EA6-BFEF-5C03F286FE55}"/>
            </c:ext>
          </c:extLst>
        </c:ser>
        <c:ser>
          <c:idx val="6"/>
          <c:order val="6"/>
          <c:tx>
            <c:strRef>
              <c:f>Sheet1!$G$1</c:f>
              <c:strCache>
                <c:ptCount val="1"/>
                <c:pt idx="0">
                  <c:v>GDP</c:v>
                </c:pt>
              </c:strCache>
            </c:strRef>
          </c:tx>
          <c:spPr>
            <a:ln w="38100" cap="rnd">
              <a:solidFill>
                <a:schemeClr val="accent1">
                  <a:lumMod val="60000"/>
                </a:schemeClr>
              </a:solidFill>
              <a:round/>
            </a:ln>
            <a:effectLst/>
          </c:spPr>
          <c:marker>
            <c:symbol val="none"/>
          </c:marker>
          <c:val>
            <c:numRef>
              <c:f>Sheet1!$G$2:$G$176</c:f>
              <c:numCache>
                <c:formatCode>General</c:formatCode>
                <c:ptCount val="175"/>
                <c:pt idx="0">
                  <c:v>556.37644913090162</c:v>
                </c:pt>
                <c:pt idx="1">
                  <c:v>596.93879571072239</c:v>
                </c:pt>
                <c:pt idx="2">
                  <c:v>508.51590568278522</c:v>
                </c:pt>
                <c:pt idx="3">
                  <c:v>539.57320229754225</c:v>
                </c:pt>
                <c:pt idx="4">
                  <c:v>744.88424715137728</c:v>
                </c:pt>
                <c:pt idx="5">
                  <c:v>1271.6161735319879</c:v>
                </c:pt>
                <c:pt idx="6">
                  <c:v>1632.7246937027587</c:v>
                </c:pt>
                <c:pt idx="7">
                  <c:v>1720.2754094939573</c:v>
                </c:pt>
                <c:pt idx="8">
                  <c:v>1822.4699845247333</c:v>
                </c:pt>
                <c:pt idx="9">
                  <c:v>480.66936394180459</c:v>
                </c:pt>
                <c:pt idx="10">
                  <c:v>547.3182989033786</c:v>
                </c:pt>
                <c:pt idx="11">
                  <c:v>566.42823181293306</c:v>
                </c:pt>
                <c:pt idx="12">
                  <c:v>712.16485207768551</c:v>
                </c:pt>
                <c:pt idx="13">
                  <c:v>763.38874536722255</c:v>
                </c:pt>
                <c:pt idx="14">
                  <c:v>962.48104194733003</c:v>
                </c:pt>
                <c:pt idx="15">
                  <c:v>1211.3770350438622</c:v>
                </c:pt>
                <c:pt idx="16">
                  <c:v>1599.5389155636485</c:v>
                </c:pt>
                <c:pt idx="17">
                  <c:v>1815.5269754582685</c:v>
                </c:pt>
                <c:pt idx="18">
                  <c:v>2154.1054354536427</c:v>
                </c:pt>
                <c:pt idx="19">
                  <c:v>1820.4863385478188</c:v>
                </c:pt>
                <c:pt idx="20">
                  <c:v>2202.2567295734402</c:v>
                </c:pt>
                <c:pt idx="21">
                  <c:v>2418.4131697587463</c:v>
                </c:pt>
                <c:pt idx="22">
                  <c:v>2633.197346713614</c:v>
                </c:pt>
                <c:pt idx="23">
                  <c:v>2872.7908337939821</c:v>
                </c:pt>
                <c:pt idx="24">
                  <c:v>3088.7213131616927</c:v>
                </c:pt>
                <c:pt idx="25">
                  <c:v>2585.733606717974</c:v>
                </c:pt>
                <c:pt idx="26">
                  <c:v>2070.4127339594961</c:v>
                </c:pt>
                <c:pt idx="27">
                  <c:v>1876.3402711177298</c:v>
                </c:pt>
                <c:pt idx="28">
                  <c:v>2057.8794455401057</c:v>
                </c:pt>
                <c:pt idx="29">
                  <c:v>3189.8128649851574</c:v>
                </c:pt>
                <c:pt idx="30">
                  <c:v>2797.184580686855</c:v>
                </c:pt>
                <c:pt idx="31">
                  <c:v>2787.4877922442797</c:v>
                </c:pt>
                <c:pt idx="32">
                  <c:v>2899.1604747032429</c:v>
                </c:pt>
                <c:pt idx="33">
                  <c:v>2138.7638371998255</c:v>
                </c:pt>
                <c:pt idx="34">
                  <c:v>1084.1604180543611</c:v>
                </c:pt>
                <c:pt idx="35">
                  <c:v>382.54246368353978</c:v>
                </c:pt>
                <c:pt idx="36">
                  <c:v>418.25412134998646</c:v>
                </c:pt>
                <c:pt idx="37">
                  <c:v>396.42640764051737</c:v>
                </c:pt>
                <c:pt idx="38">
                  <c:v>359.80084409752834</c:v>
                </c:pt>
                <c:pt idx="39">
                  <c:v>320.50390343252013</c:v>
                </c:pt>
                <c:pt idx="40">
                  <c:v>371.53724303383552</c:v>
                </c:pt>
                <c:pt idx="41">
                  <c:v>389.27126789883107</c:v>
                </c:pt>
                <c:pt idx="42">
                  <c:v>377.84193550146057</c:v>
                </c:pt>
                <c:pt idx="43">
                  <c:v>400.36679950852397</c:v>
                </c:pt>
                <c:pt idx="44">
                  <c:v>403.03732612727305</c:v>
                </c:pt>
                <c:pt idx="45">
                  <c:v>253.74693620334378</c:v>
                </c:pt>
                <c:pt idx="46">
                  <c:v>263.54215649485292</c:v>
                </c:pt>
                <c:pt idx="47">
                  <c:v>297.46164468774049</c:v>
                </c:pt>
                <c:pt idx="48">
                  <c:v>358.39927142072963</c:v>
                </c:pt>
                <c:pt idx="49">
                  <c:v>406.13210532956532</c:v>
                </c:pt>
                <c:pt idx="50">
                  <c:v>478.61190919102785</c:v>
                </c:pt>
                <c:pt idx="51">
                  <c:v>906.44102756488678</c:v>
                </c:pt>
                <c:pt idx="52">
                  <c:v>1050.124615249259</c:v>
                </c:pt>
                <c:pt idx="53">
                  <c:v>1182.6576125601646</c:v>
                </c:pt>
                <c:pt idx="54">
                  <c:v>1047.7043009358633</c:v>
                </c:pt>
                <c:pt idx="55">
                  <c:v>1263.8925176053895</c:v>
                </c:pt>
                <c:pt idx="56">
                  <c:v>1507.4357319875289</c:v>
                </c:pt>
                <c:pt idx="57">
                  <c:v>1543.7752423576376</c:v>
                </c:pt>
                <c:pt idx="58">
                  <c:v>2294.7958469374339</c:v>
                </c:pt>
                <c:pt idx="59">
                  <c:v>1949.9083292384551</c:v>
                </c:pt>
                <c:pt idx="60">
                  <c:v>1722.7728283360616</c:v>
                </c:pt>
                <c:pt idx="61">
                  <c:v>1912.4799133995061</c:v>
                </c:pt>
                <c:pt idx="62">
                  <c:v>2012.2866264126542</c:v>
                </c:pt>
                <c:pt idx="63">
                  <c:v>2195.3216601637732</c:v>
                </c:pt>
                <c:pt idx="64">
                  <c:v>2186.6582268261286</c:v>
                </c:pt>
                <c:pt idx="65">
                  <c:v>2195.4548165998676</c:v>
                </c:pt>
                <c:pt idx="66">
                  <c:v>2445.1866252934401</c:v>
                </c:pt>
                <c:pt idx="67">
                  <c:v>2229.8912264780301</c:v>
                </c:pt>
                <c:pt idx="68">
                  <c:v>2383.9041048341815</c:v>
                </c:pt>
                <c:pt idx="69">
                  <c:v>2390.7723765271498</c:v>
                </c:pt>
                <c:pt idx="70">
                  <c:v>885.64784221492755</c:v>
                </c:pt>
                <c:pt idx="71">
                  <c:v>827.24188916698483</c:v>
                </c:pt>
                <c:pt idx="72">
                  <c:v>844.90222380673833</c:v>
                </c:pt>
                <c:pt idx="73">
                  <c:v>804.14965721125225</c:v>
                </c:pt>
                <c:pt idx="74">
                  <c:v>581.88846857740521</c:v>
                </c:pt>
                <c:pt idx="75">
                  <c:v>740.47309991329996</c:v>
                </c:pt>
                <c:pt idx="76">
                  <c:v>1170.2362204966555</c:v>
                </c:pt>
                <c:pt idx="77">
                  <c:v>1124.6567486792735</c:v>
                </c:pt>
                <c:pt idx="78">
                  <c:v>1177.3713381534178</c:v>
                </c:pt>
                <c:pt idx="79">
                  <c:v>1096.1352058757184</c:v>
                </c:pt>
                <c:pt idx="80">
                  <c:v>936.63654134879835</c:v>
                </c:pt>
                <c:pt idx="81">
                  <c:v>924.72729496206637</c:v>
                </c:pt>
                <c:pt idx="82">
                  <c:v>967.81586441599109</c:v>
                </c:pt>
                <c:pt idx="83">
                  <c:v>1111.1713508788687</c:v>
                </c:pt>
                <c:pt idx="84">
                  <c:v>1199.8252452854629</c:v>
                </c:pt>
                <c:pt idx="85">
                  <c:v>1197.746169794149</c:v>
                </c:pt>
                <c:pt idx="86">
                  <c:v>1230.4305683858356</c:v>
                </c:pt>
                <c:pt idx="87">
                  <c:v>1367.5381772232606</c:v>
                </c:pt>
                <c:pt idx="88">
                  <c:v>1583.9706670137175</c:v>
                </c:pt>
                <c:pt idx="89">
                  <c:v>1540.4539356959599</c:v>
                </c:pt>
                <c:pt idx="90">
                  <c:v>1553.5488704814325</c:v>
                </c:pt>
                <c:pt idx="91">
                  <c:v>1596.6282656599792</c:v>
                </c:pt>
                <c:pt idx="92">
                  <c:v>1546.9460184731029</c:v>
                </c:pt>
                <c:pt idx="93">
                  <c:v>1786.1586203132365</c:v>
                </c:pt>
                <c:pt idx="94">
                  <c:v>1991.3653942340416</c:v>
                </c:pt>
                <c:pt idx="95">
                  <c:v>1814.7185508801674</c:v>
                </c:pt>
                <c:pt idx="96">
                  <c:v>1862.5959708128676</c:v>
                </c:pt>
                <c:pt idx="97">
                  <c:v>1964.299303383425</c:v>
                </c:pt>
                <c:pt idx="98">
                  <c:v>2130.8661938114374</c:v>
                </c:pt>
                <c:pt idx="99">
                  <c:v>2141.7683617011467</c:v>
                </c:pt>
                <c:pt idx="100">
                  <c:v>2179.7293483293465</c:v>
                </c:pt>
                <c:pt idx="101">
                  <c:v>2455.9812764114818</c:v>
                </c:pt>
                <c:pt idx="102">
                  <c:v>2333.3712830125887</c:v>
                </c:pt>
                <c:pt idx="103">
                  <c:v>2591.9659048118979</c:v>
                </c:pt>
                <c:pt idx="104">
                  <c:v>2727.8935220697044</c:v>
                </c:pt>
                <c:pt idx="105">
                  <c:v>957.31433743817718</c:v>
                </c:pt>
                <c:pt idx="106">
                  <c:v>913.39957579673739</c:v>
                </c:pt>
                <c:pt idx="107">
                  <c:v>951.20496008780685</c:v>
                </c:pt>
                <c:pt idx="108">
                  <c:v>877.52900343802992</c:v>
                </c:pt>
                <c:pt idx="109">
                  <c:v>583.78277603218078</c:v>
                </c:pt>
                <c:pt idx="110">
                  <c:v>714.99439635729698</c:v>
                </c:pt>
                <c:pt idx="111">
                  <c:v>723.46995008114914</c:v>
                </c:pt>
                <c:pt idx="112">
                  <c:v>650.77632140744754</c:v>
                </c:pt>
                <c:pt idx="113">
                  <c:v>684.58810578578573</c:v>
                </c:pt>
                <c:pt idx="114">
                  <c:v>677.51633872726757</c:v>
                </c:pt>
                <c:pt idx="115">
                  <c:v>603.23316245515775</c:v>
                </c:pt>
                <c:pt idx="116">
                  <c:v>637.21353056372357</c:v>
                </c:pt>
                <c:pt idx="117">
                  <c:v>669.43044731920872</c:v>
                </c:pt>
                <c:pt idx="118">
                  <c:v>817.88803422144235</c:v>
                </c:pt>
                <c:pt idx="119">
                  <c:v>918.10207952215535</c:v>
                </c:pt>
                <c:pt idx="120">
                  <c:v>979.84610152017103</c:v>
                </c:pt>
                <c:pt idx="121">
                  <c:v>1017.2019674798737</c:v>
                </c:pt>
                <c:pt idx="122">
                  <c:v>1188.9387780817513</c:v>
                </c:pt>
                <c:pt idx="123">
                  <c:v>1398.7921801002094</c:v>
                </c:pt>
                <c:pt idx="124">
                  <c:v>1308.6940433620512</c:v>
                </c:pt>
                <c:pt idx="125">
                  <c:v>1275.8835749235707</c:v>
                </c:pt>
                <c:pt idx="126">
                  <c:v>1374.6759187384446</c:v>
                </c:pt>
                <c:pt idx="127">
                  <c:v>1326.837988483788</c:v>
                </c:pt>
                <c:pt idx="128">
                  <c:v>1379.831965539237</c:v>
                </c:pt>
                <c:pt idx="129">
                  <c:v>1398.8913760138187</c:v>
                </c:pt>
                <c:pt idx="130">
                  <c:v>1218.0061355543774</c:v>
                </c:pt>
                <c:pt idx="131">
                  <c:v>1266.4395715158721</c:v>
                </c:pt>
                <c:pt idx="132">
                  <c:v>1356.8051844903102</c:v>
                </c:pt>
                <c:pt idx="133">
                  <c:v>1452.556125624453</c:v>
                </c:pt>
                <c:pt idx="134">
                  <c:v>1431.1812893215913</c:v>
                </c:pt>
                <c:pt idx="135">
                  <c:v>1461.0872035055261</c:v>
                </c:pt>
                <c:pt idx="136">
                  <c:v>1598.1067695227428</c:v>
                </c:pt>
                <c:pt idx="137">
                  <c:v>1574.0281059305996</c:v>
                </c:pt>
                <c:pt idx="138">
                  <c:v>1698.0338730084263</c:v>
                </c:pt>
                <c:pt idx="139">
                  <c:v>1773.218299234481</c:v>
                </c:pt>
                <c:pt idx="140">
                  <c:v>604.30442270253195</c:v>
                </c:pt>
                <c:pt idx="141">
                  <c:v>656.42373119517993</c:v>
                </c:pt>
                <c:pt idx="142">
                  <c:v>692.6478026628057</c:v>
                </c:pt>
                <c:pt idx="143">
                  <c:v>670.7417782299591</c:v>
                </c:pt>
                <c:pt idx="144">
                  <c:v>671.57638505875218</c:v>
                </c:pt>
                <c:pt idx="145">
                  <c:v>713.03146055868319</c:v>
                </c:pt>
                <c:pt idx="146">
                  <c:v>726.02544258379919</c:v>
                </c:pt>
                <c:pt idx="147">
                  <c:v>695.58174225826031</c:v>
                </c:pt>
                <c:pt idx="148">
                  <c:v>647.37992083277788</c:v>
                </c:pt>
                <c:pt idx="149">
                  <c:v>610.61484294276238</c:v>
                </c:pt>
                <c:pt idx="150">
                  <c:v>518.15706692402625</c:v>
                </c:pt>
                <c:pt idx="151">
                  <c:v>483.0851202147411</c:v>
                </c:pt>
                <c:pt idx="152">
                  <c:v>495.91607355926942</c:v>
                </c:pt>
                <c:pt idx="153">
                  <c:v>566.48540588068033</c:v>
                </c:pt>
                <c:pt idx="154">
                  <c:v>584.89774053808139</c:v>
                </c:pt>
                <c:pt idx="155">
                  <c:v>463.17768685097968</c:v>
                </c:pt>
                <c:pt idx="156">
                  <c:v>446.98055413501288</c:v>
                </c:pt>
                <c:pt idx="157">
                  <c:v>650.14857530474251</c:v>
                </c:pt>
                <c:pt idx="158">
                  <c:v>703.53282578436892</c:v>
                </c:pt>
                <c:pt idx="159">
                  <c:v>662.18591466557473</c:v>
                </c:pt>
                <c:pt idx="160">
                  <c:v>659.23532621131517</c:v>
                </c:pt>
                <c:pt idx="161">
                  <c:v>636.69495874764834</c:v>
                </c:pt>
                <c:pt idx="162">
                  <c:v>699.35337721219651</c:v>
                </c:pt>
                <c:pt idx="163">
                  <c:v>748.45502082473433</c:v>
                </c:pt>
                <c:pt idx="164">
                  <c:v>765.1469993892789</c:v>
                </c:pt>
                <c:pt idx="165">
                  <c:v>747.35696675944757</c:v>
                </c:pt>
                <c:pt idx="166">
                  <c:v>711.9965097823158</c:v>
                </c:pt>
                <c:pt idx="167">
                  <c:v>833.59862169112102</c:v>
                </c:pt>
                <c:pt idx="168">
                  <c:v>933.27361563370505</c:v>
                </c:pt>
                <c:pt idx="169">
                  <c:v>1031.341464807319</c:v>
                </c:pt>
                <c:pt idx="170">
                  <c:v>1053.6609769641459</c:v>
                </c:pt>
                <c:pt idx="171">
                  <c:v>1244.9655047791368</c:v>
                </c:pt>
                <c:pt idx="172">
                  <c:v>1416.5961201176417</c:v>
                </c:pt>
                <c:pt idx="173">
                  <c:v>1555.4937580686064</c:v>
                </c:pt>
                <c:pt idx="174">
                  <c:v>1694.9537586219271</c:v>
                </c:pt>
              </c:numCache>
            </c:numRef>
          </c:val>
          <c:smooth val="0"/>
          <c:extLst>
            <c:ext xmlns:c16="http://schemas.microsoft.com/office/drawing/2014/chart" uri="{C3380CC4-5D6E-409C-BE32-E72D297353CC}">
              <c16:uniqueId val="{00000003-7D3D-4EA6-BFEF-5C03F286FE55}"/>
            </c:ext>
          </c:extLst>
        </c:ser>
        <c:dLbls>
          <c:showLegendKey val="0"/>
          <c:showVal val="0"/>
          <c:showCatName val="0"/>
          <c:showSerName val="0"/>
          <c:showPercent val="0"/>
          <c:showBubbleSize val="0"/>
        </c:dLbls>
        <c:marker val="1"/>
        <c:smooth val="0"/>
        <c:axId val="261475631"/>
        <c:axId val="261473135"/>
      </c:lineChart>
      <c:lineChart>
        <c:grouping val="standard"/>
        <c:varyColors val="0"/>
        <c:ser>
          <c:idx val="2"/>
          <c:order val="2"/>
          <c:tx>
            <c:strRef>
              <c:f>Sheet1!$C$1</c:f>
              <c:strCache>
                <c:ptCount val="1"/>
                <c:pt idx="0">
                  <c:v>POV</c:v>
                </c:pt>
              </c:strCache>
            </c:strRef>
          </c:tx>
          <c:spPr>
            <a:ln w="38100" cap="rnd">
              <a:solidFill>
                <a:schemeClr val="accent3"/>
              </a:solidFill>
              <a:round/>
            </a:ln>
            <a:effectLst/>
          </c:spPr>
          <c:marker>
            <c:symbol val="none"/>
          </c:marker>
          <c:trendline>
            <c:spPr>
              <a:ln w="19050" cap="rnd">
                <a:solidFill>
                  <a:schemeClr val="accent3"/>
                </a:solidFill>
                <a:round/>
              </a:ln>
              <a:effectLst/>
            </c:spPr>
            <c:trendlineType val="linear"/>
            <c:dispRSqr val="0"/>
            <c:dispEq val="0"/>
          </c:trendline>
          <c:val>
            <c:numRef>
              <c:f>Sheet1!$C$2:$C$176</c:f>
              <c:numCache>
                <c:formatCode>General</c:formatCode>
                <c:ptCount val="175"/>
                <c:pt idx="0">
                  <c:v>45.732999999999997</c:v>
                </c:pt>
                <c:pt idx="1">
                  <c:v>45.482999999999997</c:v>
                </c:pt>
                <c:pt idx="2">
                  <c:v>45.587000000000003</c:v>
                </c:pt>
                <c:pt idx="3">
                  <c:v>45.783000000000001</c:v>
                </c:pt>
                <c:pt idx="4">
                  <c:v>45.747999999999998</c:v>
                </c:pt>
                <c:pt idx="5">
                  <c:v>45.87</c:v>
                </c:pt>
                <c:pt idx="6">
                  <c:v>45.832999999999998</c:v>
                </c:pt>
                <c:pt idx="7">
                  <c:v>45.96</c:v>
                </c:pt>
                <c:pt idx="8">
                  <c:v>46.148000000000003</c:v>
                </c:pt>
                <c:pt idx="9">
                  <c:v>46.609000000000002</c:v>
                </c:pt>
                <c:pt idx="10">
                  <c:v>47.143000000000001</c:v>
                </c:pt>
                <c:pt idx="11">
                  <c:v>47.548999999999999</c:v>
                </c:pt>
                <c:pt idx="12">
                  <c:v>48.02</c:v>
                </c:pt>
                <c:pt idx="13">
                  <c:v>48.618000000000002</c:v>
                </c:pt>
                <c:pt idx="14">
                  <c:v>49.148000000000003</c:v>
                </c:pt>
                <c:pt idx="15">
                  <c:v>49.537999999999997</c:v>
                </c:pt>
                <c:pt idx="16">
                  <c:v>49.875999999999998</c:v>
                </c:pt>
                <c:pt idx="17">
                  <c:v>50.381</c:v>
                </c:pt>
                <c:pt idx="18">
                  <c:v>50.747999999999998</c:v>
                </c:pt>
                <c:pt idx="19">
                  <c:v>51.08</c:v>
                </c:pt>
                <c:pt idx="20">
                  <c:v>51.314999999999998</c:v>
                </c:pt>
                <c:pt idx="21">
                  <c:v>51.49</c:v>
                </c:pt>
                <c:pt idx="22">
                  <c:v>51.688000000000002</c:v>
                </c:pt>
                <c:pt idx="23">
                  <c:v>51.826999999999998</c:v>
                </c:pt>
                <c:pt idx="24">
                  <c:v>51.94</c:v>
                </c:pt>
                <c:pt idx="25">
                  <c:v>51.939</c:v>
                </c:pt>
                <c:pt idx="26">
                  <c:v>52.189</c:v>
                </c:pt>
                <c:pt idx="27">
                  <c:v>52.396999999999998</c:v>
                </c:pt>
                <c:pt idx="28">
                  <c:v>52.668999999999997</c:v>
                </c:pt>
                <c:pt idx="29">
                  <c:v>53.009</c:v>
                </c:pt>
                <c:pt idx="30">
                  <c:v>53.072000000000003</c:v>
                </c:pt>
                <c:pt idx="31">
                  <c:v>53.454999999999998</c:v>
                </c:pt>
                <c:pt idx="32">
                  <c:v>54.079000000000001</c:v>
                </c:pt>
                <c:pt idx="33">
                  <c:v>54.462000000000003</c:v>
                </c:pt>
                <c:pt idx="34">
                  <c:v>54.822000000000003</c:v>
                </c:pt>
                <c:pt idx="35">
                  <c:v>55.722000000000001</c:v>
                </c:pt>
                <c:pt idx="36">
                  <c:v>56.055</c:v>
                </c:pt>
                <c:pt idx="37">
                  <c:v>56.286000000000001</c:v>
                </c:pt>
                <c:pt idx="38">
                  <c:v>56.234000000000002</c:v>
                </c:pt>
                <c:pt idx="39">
                  <c:v>56.661999999999999</c:v>
                </c:pt>
                <c:pt idx="40">
                  <c:v>56.957000000000001</c:v>
                </c:pt>
                <c:pt idx="41">
                  <c:v>57.241</c:v>
                </c:pt>
                <c:pt idx="42">
                  <c:v>57.524999999999999</c:v>
                </c:pt>
                <c:pt idx="43">
                  <c:v>57.835000000000001</c:v>
                </c:pt>
                <c:pt idx="44">
                  <c:v>58.139000000000003</c:v>
                </c:pt>
                <c:pt idx="45">
                  <c:v>58.402999999999999</c:v>
                </c:pt>
                <c:pt idx="46">
                  <c:v>58.709000000000003</c:v>
                </c:pt>
                <c:pt idx="47">
                  <c:v>59.014000000000003</c:v>
                </c:pt>
                <c:pt idx="48">
                  <c:v>59.316000000000003</c:v>
                </c:pt>
                <c:pt idx="49">
                  <c:v>59.637999999999998</c:v>
                </c:pt>
                <c:pt idx="50">
                  <c:v>59.975000000000001</c:v>
                </c:pt>
                <c:pt idx="51">
                  <c:v>60.281999999999996</c:v>
                </c:pt>
                <c:pt idx="52">
                  <c:v>60.578000000000003</c:v>
                </c:pt>
                <c:pt idx="53">
                  <c:v>60.927999999999997</c:v>
                </c:pt>
                <c:pt idx="54">
                  <c:v>61.296999999999997</c:v>
                </c:pt>
                <c:pt idx="55">
                  <c:v>61.616999999999997</c:v>
                </c:pt>
                <c:pt idx="56">
                  <c:v>61.994999999999997</c:v>
                </c:pt>
                <c:pt idx="57">
                  <c:v>62.396999999999998</c:v>
                </c:pt>
                <c:pt idx="58">
                  <c:v>62.832000000000001</c:v>
                </c:pt>
                <c:pt idx="59">
                  <c:v>63.174999999999997</c:v>
                </c:pt>
                <c:pt idx="60">
                  <c:v>63.521999999999998</c:v>
                </c:pt>
                <c:pt idx="61">
                  <c:v>63.829000000000001</c:v>
                </c:pt>
                <c:pt idx="62">
                  <c:v>64.138000000000005</c:v>
                </c:pt>
                <c:pt idx="63">
                  <c:v>64.454999999999998</c:v>
                </c:pt>
                <c:pt idx="64">
                  <c:v>64.308999999999997</c:v>
                </c:pt>
                <c:pt idx="65">
                  <c:v>64.286000000000001</c:v>
                </c:pt>
                <c:pt idx="66">
                  <c:v>65.245999999999995</c:v>
                </c:pt>
                <c:pt idx="67">
                  <c:v>65.498000000000005</c:v>
                </c:pt>
                <c:pt idx="68">
                  <c:v>65.712000000000003</c:v>
                </c:pt>
                <c:pt idx="69">
                  <c:v>65.801000000000002</c:v>
                </c:pt>
                <c:pt idx="70">
                  <c:v>52.795999999999999</c:v>
                </c:pt>
                <c:pt idx="71">
                  <c:v>52.621000000000002</c:v>
                </c:pt>
                <c:pt idx="72">
                  <c:v>52.429000000000002</c:v>
                </c:pt>
                <c:pt idx="73">
                  <c:v>52.247</c:v>
                </c:pt>
                <c:pt idx="74">
                  <c:v>52.005000000000003</c:v>
                </c:pt>
                <c:pt idx="75">
                  <c:v>51.713000000000001</c:v>
                </c:pt>
                <c:pt idx="76">
                  <c:v>51.595999999999997</c:v>
                </c:pt>
                <c:pt idx="77">
                  <c:v>51.497999999999998</c:v>
                </c:pt>
                <c:pt idx="78">
                  <c:v>51.22</c:v>
                </c:pt>
                <c:pt idx="79">
                  <c:v>51.273000000000003</c:v>
                </c:pt>
                <c:pt idx="80">
                  <c:v>51.393000000000001</c:v>
                </c:pt>
                <c:pt idx="81">
                  <c:v>51.427999999999997</c:v>
                </c:pt>
                <c:pt idx="82">
                  <c:v>51.543999999999997</c:v>
                </c:pt>
                <c:pt idx="83">
                  <c:v>51.442999999999998</c:v>
                </c:pt>
                <c:pt idx="84">
                  <c:v>51.939</c:v>
                </c:pt>
                <c:pt idx="85">
                  <c:v>52.432000000000002</c:v>
                </c:pt>
                <c:pt idx="86">
                  <c:v>52.884999999999998</c:v>
                </c:pt>
                <c:pt idx="87">
                  <c:v>53.451999999999998</c:v>
                </c:pt>
                <c:pt idx="88">
                  <c:v>54.179000000000002</c:v>
                </c:pt>
                <c:pt idx="89">
                  <c:v>54.744</c:v>
                </c:pt>
                <c:pt idx="90">
                  <c:v>55.281999999999996</c:v>
                </c:pt>
                <c:pt idx="91">
                  <c:v>55.972000000000001</c:v>
                </c:pt>
                <c:pt idx="92">
                  <c:v>56.57</c:v>
                </c:pt>
                <c:pt idx="93">
                  <c:v>57.057000000000002</c:v>
                </c:pt>
                <c:pt idx="94">
                  <c:v>57.771999999999998</c:v>
                </c:pt>
                <c:pt idx="95">
                  <c:v>58.280999999999999</c:v>
                </c:pt>
                <c:pt idx="96">
                  <c:v>58.814</c:v>
                </c:pt>
                <c:pt idx="97">
                  <c:v>59.314999999999998</c:v>
                </c:pt>
                <c:pt idx="98">
                  <c:v>59.795000000000002</c:v>
                </c:pt>
                <c:pt idx="99">
                  <c:v>60.274000000000001</c:v>
                </c:pt>
                <c:pt idx="100">
                  <c:v>60.14</c:v>
                </c:pt>
                <c:pt idx="101">
                  <c:v>60.29</c:v>
                </c:pt>
                <c:pt idx="102">
                  <c:v>61.561999999999998</c:v>
                </c:pt>
                <c:pt idx="103">
                  <c:v>61.944000000000003</c:v>
                </c:pt>
                <c:pt idx="104">
                  <c:v>63.301000000000002</c:v>
                </c:pt>
                <c:pt idx="105">
                  <c:v>56.673999999999999</c:v>
                </c:pt>
                <c:pt idx="106">
                  <c:v>57.036999999999999</c:v>
                </c:pt>
                <c:pt idx="107">
                  <c:v>57.286999999999999</c:v>
                </c:pt>
                <c:pt idx="108">
                  <c:v>57.347999999999999</c:v>
                </c:pt>
                <c:pt idx="109">
                  <c:v>57.478999999999999</c:v>
                </c:pt>
                <c:pt idx="110">
                  <c:v>57.335999999999999</c:v>
                </c:pt>
                <c:pt idx="111">
                  <c:v>57.128999999999998</c:v>
                </c:pt>
                <c:pt idx="112">
                  <c:v>57.106999999999999</c:v>
                </c:pt>
                <c:pt idx="113">
                  <c:v>57.076000000000001</c:v>
                </c:pt>
                <c:pt idx="114">
                  <c:v>57.314999999999998</c:v>
                </c:pt>
                <c:pt idx="115">
                  <c:v>57.615000000000002</c:v>
                </c:pt>
                <c:pt idx="116">
                  <c:v>58.158000000000001</c:v>
                </c:pt>
                <c:pt idx="117">
                  <c:v>58.911999999999999</c:v>
                </c:pt>
                <c:pt idx="118">
                  <c:v>59.473999999999997</c:v>
                </c:pt>
                <c:pt idx="119">
                  <c:v>60.308</c:v>
                </c:pt>
                <c:pt idx="120">
                  <c:v>60.98</c:v>
                </c:pt>
                <c:pt idx="121">
                  <c:v>61.801000000000002</c:v>
                </c:pt>
                <c:pt idx="122">
                  <c:v>62.652999999999999</c:v>
                </c:pt>
                <c:pt idx="123">
                  <c:v>63.201000000000001</c:v>
                </c:pt>
                <c:pt idx="124">
                  <c:v>63.750999999999998</c:v>
                </c:pt>
                <c:pt idx="125">
                  <c:v>64.221000000000004</c:v>
                </c:pt>
                <c:pt idx="126">
                  <c:v>64.799000000000007</c:v>
                </c:pt>
                <c:pt idx="127">
                  <c:v>65.228999999999999</c:v>
                </c:pt>
                <c:pt idx="128">
                  <c:v>65.638000000000005</c:v>
                </c:pt>
                <c:pt idx="129">
                  <c:v>66.001000000000005</c:v>
                </c:pt>
                <c:pt idx="130">
                  <c:v>66.450999999999993</c:v>
                </c:pt>
                <c:pt idx="131">
                  <c:v>66.724000000000004</c:v>
                </c:pt>
                <c:pt idx="132">
                  <c:v>67.058999999999997</c:v>
                </c:pt>
                <c:pt idx="133">
                  <c:v>67.379000000000005</c:v>
                </c:pt>
                <c:pt idx="134">
                  <c:v>67.668000000000006</c:v>
                </c:pt>
                <c:pt idx="135">
                  <c:v>67.495999999999995</c:v>
                </c:pt>
                <c:pt idx="136">
                  <c:v>66.867999999999995</c:v>
                </c:pt>
                <c:pt idx="137">
                  <c:v>67.787999999999997</c:v>
                </c:pt>
                <c:pt idx="138">
                  <c:v>68.683000000000007</c:v>
                </c:pt>
                <c:pt idx="139">
                  <c:v>69.600999999999999</c:v>
                </c:pt>
                <c:pt idx="140">
                  <c:v>47.252000000000002</c:v>
                </c:pt>
                <c:pt idx="141">
                  <c:v>47.780999999999999</c:v>
                </c:pt>
                <c:pt idx="142">
                  <c:v>48.265999999999998</c:v>
                </c:pt>
                <c:pt idx="143">
                  <c:v>48.819000000000003</c:v>
                </c:pt>
                <c:pt idx="144">
                  <c:v>49.188000000000002</c:v>
                </c:pt>
                <c:pt idx="145">
                  <c:v>49.835999999999999</c:v>
                </c:pt>
                <c:pt idx="146">
                  <c:v>50.545999999999999</c:v>
                </c:pt>
                <c:pt idx="147">
                  <c:v>51.113</c:v>
                </c:pt>
                <c:pt idx="148">
                  <c:v>51.61</c:v>
                </c:pt>
                <c:pt idx="149">
                  <c:v>51.987000000000002</c:v>
                </c:pt>
                <c:pt idx="150">
                  <c:v>52.42</c:v>
                </c:pt>
                <c:pt idx="151">
                  <c:v>52.668999999999997</c:v>
                </c:pt>
                <c:pt idx="152">
                  <c:v>53.2</c:v>
                </c:pt>
                <c:pt idx="153">
                  <c:v>53.588999999999999</c:v>
                </c:pt>
                <c:pt idx="154">
                  <c:v>53.975000000000001</c:v>
                </c:pt>
                <c:pt idx="155">
                  <c:v>54.421999999999997</c:v>
                </c:pt>
                <c:pt idx="156">
                  <c:v>54.875</c:v>
                </c:pt>
                <c:pt idx="157">
                  <c:v>55.232999999999997</c:v>
                </c:pt>
                <c:pt idx="158">
                  <c:v>55.703000000000003</c:v>
                </c:pt>
                <c:pt idx="159">
                  <c:v>56.052</c:v>
                </c:pt>
                <c:pt idx="160">
                  <c:v>56.430999999999997</c:v>
                </c:pt>
                <c:pt idx="161">
                  <c:v>56.777999999999999</c:v>
                </c:pt>
                <c:pt idx="162">
                  <c:v>57.116999999999997</c:v>
                </c:pt>
                <c:pt idx="163">
                  <c:v>57.459000000000003</c:v>
                </c:pt>
                <c:pt idx="164">
                  <c:v>57.581000000000003</c:v>
                </c:pt>
                <c:pt idx="165">
                  <c:v>57.899000000000001</c:v>
                </c:pt>
                <c:pt idx="166">
                  <c:v>58.49</c:v>
                </c:pt>
                <c:pt idx="167">
                  <c:v>58.715000000000003</c:v>
                </c:pt>
                <c:pt idx="168">
                  <c:v>59.042999999999999</c:v>
                </c:pt>
                <c:pt idx="169">
                  <c:v>59.378999999999998</c:v>
                </c:pt>
                <c:pt idx="170">
                  <c:v>59.35</c:v>
                </c:pt>
                <c:pt idx="171">
                  <c:v>59.372999999999998</c:v>
                </c:pt>
                <c:pt idx="172">
                  <c:v>60.432000000000002</c:v>
                </c:pt>
                <c:pt idx="173">
                  <c:v>60.74</c:v>
                </c:pt>
                <c:pt idx="174">
                  <c:v>61.052</c:v>
                </c:pt>
              </c:numCache>
            </c:numRef>
          </c:val>
          <c:smooth val="0"/>
          <c:extLst>
            <c:ext xmlns:c16="http://schemas.microsoft.com/office/drawing/2014/chart" uri="{C3380CC4-5D6E-409C-BE32-E72D297353CC}">
              <c16:uniqueId val="{00000005-7D3D-4EA6-BFEF-5C03F286FE55}"/>
            </c:ext>
          </c:extLst>
        </c:ser>
        <c:ser>
          <c:idx val="3"/>
          <c:order val="3"/>
          <c:tx>
            <c:strRef>
              <c:f>Sheet1!$D$1</c:f>
              <c:strCache>
                <c:ptCount val="1"/>
                <c:pt idx="0">
                  <c:v>RENC</c:v>
                </c:pt>
              </c:strCache>
            </c:strRef>
          </c:tx>
          <c:spPr>
            <a:ln w="38100" cap="rnd">
              <a:solidFill>
                <a:schemeClr val="accent4"/>
              </a:solidFill>
              <a:round/>
            </a:ln>
            <a:effectLst/>
          </c:spPr>
          <c:marker>
            <c:symbol val="none"/>
          </c:marker>
          <c:val>
            <c:numRef>
              <c:f>Sheet1!$D$2:$D$176</c:f>
              <c:numCache>
                <c:formatCode>General</c:formatCode>
                <c:ptCount val="175"/>
                <c:pt idx="0">
                  <c:v>87.8</c:v>
                </c:pt>
                <c:pt idx="1">
                  <c:v>86.5</c:v>
                </c:pt>
                <c:pt idx="2">
                  <c:v>84.5</c:v>
                </c:pt>
                <c:pt idx="3">
                  <c:v>86.3</c:v>
                </c:pt>
                <c:pt idx="4">
                  <c:v>88.6</c:v>
                </c:pt>
                <c:pt idx="5">
                  <c:v>88</c:v>
                </c:pt>
                <c:pt idx="6">
                  <c:v>87.1</c:v>
                </c:pt>
                <c:pt idx="7">
                  <c:v>85.6</c:v>
                </c:pt>
                <c:pt idx="8">
                  <c:v>87.2</c:v>
                </c:pt>
                <c:pt idx="9">
                  <c:v>87.2</c:v>
                </c:pt>
                <c:pt idx="10">
                  <c:v>86</c:v>
                </c:pt>
                <c:pt idx="11">
                  <c:v>84.5</c:v>
                </c:pt>
                <c:pt idx="12">
                  <c:v>84.5</c:v>
                </c:pt>
                <c:pt idx="13">
                  <c:v>82.9</c:v>
                </c:pt>
                <c:pt idx="14">
                  <c:v>84</c:v>
                </c:pt>
                <c:pt idx="15">
                  <c:v>83.9</c:v>
                </c:pt>
                <c:pt idx="16">
                  <c:v>85.8</c:v>
                </c:pt>
                <c:pt idx="17">
                  <c:v>87.1</c:v>
                </c:pt>
                <c:pt idx="18">
                  <c:v>85.7</c:v>
                </c:pt>
                <c:pt idx="19">
                  <c:v>88.1</c:v>
                </c:pt>
                <c:pt idx="20">
                  <c:v>86</c:v>
                </c:pt>
                <c:pt idx="21">
                  <c:v>84.1</c:v>
                </c:pt>
                <c:pt idx="22">
                  <c:v>83.9</c:v>
                </c:pt>
                <c:pt idx="23">
                  <c:v>81.400000000000006</c:v>
                </c:pt>
                <c:pt idx="24">
                  <c:v>79.900000000000006</c:v>
                </c:pt>
                <c:pt idx="25">
                  <c:v>81.3</c:v>
                </c:pt>
                <c:pt idx="26">
                  <c:v>81.099999999999994</c:v>
                </c:pt>
                <c:pt idx="27">
                  <c:v>81.599999999999994</c:v>
                </c:pt>
                <c:pt idx="28">
                  <c:v>80.8</c:v>
                </c:pt>
                <c:pt idx="29">
                  <c:v>80.099999999999994</c:v>
                </c:pt>
                <c:pt idx="30">
                  <c:v>81.8</c:v>
                </c:pt>
                <c:pt idx="31">
                  <c:v>80.3</c:v>
                </c:pt>
                <c:pt idx="32">
                  <c:v>79.5</c:v>
                </c:pt>
                <c:pt idx="33">
                  <c:v>79</c:v>
                </c:pt>
                <c:pt idx="34">
                  <c:v>78.5</c:v>
                </c:pt>
                <c:pt idx="35">
                  <c:v>80.599999999999994</c:v>
                </c:pt>
                <c:pt idx="36">
                  <c:v>82.9</c:v>
                </c:pt>
                <c:pt idx="37">
                  <c:v>81</c:v>
                </c:pt>
                <c:pt idx="38">
                  <c:v>81.3</c:v>
                </c:pt>
                <c:pt idx="39">
                  <c:v>80.599999999999994</c:v>
                </c:pt>
                <c:pt idx="40">
                  <c:v>79.8</c:v>
                </c:pt>
                <c:pt idx="41">
                  <c:v>78.8</c:v>
                </c:pt>
                <c:pt idx="42">
                  <c:v>78.3</c:v>
                </c:pt>
                <c:pt idx="43">
                  <c:v>73.599999999999994</c:v>
                </c:pt>
                <c:pt idx="44">
                  <c:v>72.8</c:v>
                </c:pt>
                <c:pt idx="45">
                  <c:v>71.599999999999994</c:v>
                </c:pt>
                <c:pt idx="46">
                  <c:v>69.3</c:v>
                </c:pt>
                <c:pt idx="47">
                  <c:v>65.7</c:v>
                </c:pt>
                <c:pt idx="48">
                  <c:v>64.5</c:v>
                </c:pt>
                <c:pt idx="49">
                  <c:v>62.4</c:v>
                </c:pt>
                <c:pt idx="50">
                  <c:v>61.4</c:v>
                </c:pt>
                <c:pt idx="51">
                  <c:v>58.6</c:v>
                </c:pt>
                <c:pt idx="52">
                  <c:v>54.5</c:v>
                </c:pt>
                <c:pt idx="53">
                  <c:v>57.3</c:v>
                </c:pt>
                <c:pt idx="54">
                  <c:v>51.9</c:v>
                </c:pt>
                <c:pt idx="55">
                  <c:v>51.9</c:v>
                </c:pt>
                <c:pt idx="56">
                  <c:v>50.1</c:v>
                </c:pt>
                <c:pt idx="57">
                  <c:v>46.5</c:v>
                </c:pt>
                <c:pt idx="58">
                  <c:v>46.2</c:v>
                </c:pt>
                <c:pt idx="59">
                  <c:v>47.7</c:v>
                </c:pt>
                <c:pt idx="60">
                  <c:v>44</c:v>
                </c:pt>
                <c:pt idx="61">
                  <c:v>45.2</c:v>
                </c:pt>
                <c:pt idx="62">
                  <c:v>45.3</c:v>
                </c:pt>
                <c:pt idx="63">
                  <c:v>42.1</c:v>
                </c:pt>
                <c:pt idx="64">
                  <c:v>42.6</c:v>
                </c:pt>
                <c:pt idx="65">
                  <c:v>40</c:v>
                </c:pt>
                <c:pt idx="66">
                  <c:v>39</c:v>
                </c:pt>
                <c:pt idx="67">
                  <c:v>38.5</c:v>
                </c:pt>
                <c:pt idx="68">
                  <c:v>38</c:v>
                </c:pt>
                <c:pt idx="69">
                  <c:v>37.5</c:v>
                </c:pt>
                <c:pt idx="70">
                  <c:v>73.599999999999994</c:v>
                </c:pt>
                <c:pt idx="71">
                  <c:v>74</c:v>
                </c:pt>
                <c:pt idx="72">
                  <c:v>74.599999999999994</c:v>
                </c:pt>
                <c:pt idx="73">
                  <c:v>75.099999999999994</c:v>
                </c:pt>
                <c:pt idx="74">
                  <c:v>75.599999999999994</c:v>
                </c:pt>
                <c:pt idx="75">
                  <c:v>74.900000000000006</c:v>
                </c:pt>
                <c:pt idx="76">
                  <c:v>74</c:v>
                </c:pt>
                <c:pt idx="77">
                  <c:v>72.099999999999994</c:v>
                </c:pt>
                <c:pt idx="78">
                  <c:v>73.400000000000006</c:v>
                </c:pt>
                <c:pt idx="79">
                  <c:v>61.9</c:v>
                </c:pt>
                <c:pt idx="80">
                  <c:v>63.7</c:v>
                </c:pt>
                <c:pt idx="81">
                  <c:v>64.7</c:v>
                </c:pt>
                <c:pt idx="82">
                  <c:v>65.3</c:v>
                </c:pt>
                <c:pt idx="83">
                  <c:v>70.3</c:v>
                </c:pt>
                <c:pt idx="84">
                  <c:v>75.400000000000006</c:v>
                </c:pt>
                <c:pt idx="85">
                  <c:v>77.900000000000006</c:v>
                </c:pt>
                <c:pt idx="86">
                  <c:v>74.8</c:v>
                </c:pt>
                <c:pt idx="87">
                  <c:v>76.3</c:v>
                </c:pt>
                <c:pt idx="88">
                  <c:v>74.2</c:v>
                </c:pt>
                <c:pt idx="89">
                  <c:v>73.7</c:v>
                </c:pt>
                <c:pt idx="90">
                  <c:v>75.400000000000006</c:v>
                </c:pt>
                <c:pt idx="91">
                  <c:v>79.099999999999994</c:v>
                </c:pt>
                <c:pt idx="92">
                  <c:v>74.900000000000006</c:v>
                </c:pt>
                <c:pt idx="93">
                  <c:v>72.2</c:v>
                </c:pt>
                <c:pt idx="94">
                  <c:v>71.900000000000006</c:v>
                </c:pt>
                <c:pt idx="95">
                  <c:v>64.5</c:v>
                </c:pt>
                <c:pt idx="96">
                  <c:v>64</c:v>
                </c:pt>
                <c:pt idx="97">
                  <c:v>62.5</c:v>
                </c:pt>
                <c:pt idx="98">
                  <c:v>60.5</c:v>
                </c:pt>
                <c:pt idx="99">
                  <c:v>61.1</c:v>
                </c:pt>
                <c:pt idx="100">
                  <c:v>61.8</c:v>
                </c:pt>
                <c:pt idx="101">
                  <c:v>58.2</c:v>
                </c:pt>
                <c:pt idx="102">
                  <c:v>56.5</c:v>
                </c:pt>
                <c:pt idx="103">
                  <c:v>55</c:v>
                </c:pt>
                <c:pt idx="104">
                  <c:v>54</c:v>
                </c:pt>
                <c:pt idx="105">
                  <c:v>55.5</c:v>
                </c:pt>
                <c:pt idx="106">
                  <c:v>55.3</c:v>
                </c:pt>
                <c:pt idx="107">
                  <c:v>53.7</c:v>
                </c:pt>
                <c:pt idx="108">
                  <c:v>55.1</c:v>
                </c:pt>
                <c:pt idx="109">
                  <c:v>54.8</c:v>
                </c:pt>
                <c:pt idx="110">
                  <c:v>53.2</c:v>
                </c:pt>
                <c:pt idx="111">
                  <c:v>52.5</c:v>
                </c:pt>
                <c:pt idx="112">
                  <c:v>50.7</c:v>
                </c:pt>
                <c:pt idx="113">
                  <c:v>48</c:v>
                </c:pt>
                <c:pt idx="114">
                  <c:v>45.9</c:v>
                </c:pt>
                <c:pt idx="115">
                  <c:v>47.5</c:v>
                </c:pt>
                <c:pt idx="116">
                  <c:v>45.8</c:v>
                </c:pt>
                <c:pt idx="117">
                  <c:v>43.8</c:v>
                </c:pt>
                <c:pt idx="118">
                  <c:v>43.7</c:v>
                </c:pt>
                <c:pt idx="119">
                  <c:v>39.9</c:v>
                </c:pt>
                <c:pt idx="120">
                  <c:v>40.299999999999997</c:v>
                </c:pt>
                <c:pt idx="121">
                  <c:v>43.4</c:v>
                </c:pt>
                <c:pt idx="122">
                  <c:v>40</c:v>
                </c:pt>
                <c:pt idx="123">
                  <c:v>39.799999999999997</c:v>
                </c:pt>
                <c:pt idx="124">
                  <c:v>51.3</c:v>
                </c:pt>
                <c:pt idx="125">
                  <c:v>49.5</c:v>
                </c:pt>
                <c:pt idx="126">
                  <c:v>48</c:v>
                </c:pt>
                <c:pt idx="127">
                  <c:v>49.6</c:v>
                </c:pt>
                <c:pt idx="128">
                  <c:v>42.7</c:v>
                </c:pt>
                <c:pt idx="129">
                  <c:v>42.5</c:v>
                </c:pt>
                <c:pt idx="130">
                  <c:v>39.1</c:v>
                </c:pt>
                <c:pt idx="131">
                  <c:v>36.700000000000003</c:v>
                </c:pt>
                <c:pt idx="132">
                  <c:v>36.799999999999997</c:v>
                </c:pt>
                <c:pt idx="133">
                  <c:v>34.200000000000003</c:v>
                </c:pt>
                <c:pt idx="134">
                  <c:v>36.200000000000003</c:v>
                </c:pt>
                <c:pt idx="135">
                  <c:v>38.700000000000003</c:v>
                </c:pt>
                <c:pt idx="136">
                  <c:v>35.4</c:v>
                </c:pt>
                <c:pt idx="137">
                  <c:v>34.5</c:v>
                </c:pt>
                <c:pt idx="138">
                  <c:v>33.5</c:v>
                </c:pt>
                <c:pt idx="139">
                  <c:v>33</c:v>
                </c:pt>
                <c:pt idx="140">
                  <c:v>89.5</c:v>
                </c:pt>
                <c:pt idx="141">
                  <c:v>89.6</c:v>
                </c:pt>
                <c:pt idx="142">
                  <c:v>86.6</c:v>
                </c:pt>
                <c:pt idx="143">
                  <c:v>86.2</c:v>
                </c:pt>
                <c:pt idx="144">
                  <c:v>86</c:v>
                </c:pt>
                <c:pt idx="145">
                  <c:v>90</c:v>
                </c:pt>
                <c:pt idx="146">
                  <c:v>88.8</c:v>
                </c:pt>
                <c:pt idx="147">
                  <c:v>85.2</c:v>
                </c:pt>
                <c:pt idx="148">
                  <c:v>84.3</c:v>
                </c:pt>
                <c:pt idx="149">
                  <c:v>86.3</c:v>
                </c:pt>
                <c:pt idx="150">
                  <c:v>85.5</c:v>
                </c:pt>
                <c:pt idx="151">
                  <c:v>84.8</c:v>
                </c:pt>
                <c:pt idx="152">
                  <c:v>84.3</c:v>
                </c:pt>
                <c:pt idx="153">
                  <c:v>83.5</c:v>
                </c:pt>
                <c:pt idx="154">
                  <c:v>83.2</c:v>
                </c:pt>
                <c:pt idx="155">
                  <c:v>81.599999999999994</c:v>
                </c:pt>
                <c:pt idx="156">
                  <c:v>81.099999999999994</c:v>
                </c:pt>
                <c:pt idx="157">
                  <c:v>80.400000000000006</c:v>
                </c:pt>
                <c:pt idx="158">
                  <c:v>80.2</c:v>
                </c:pt>
                <c:pt idx="159">
                  <c:v>79.2</c:v>
                </c:pt>
                <c:pt idx="160">
                  <c:v>75.7</c:v>
                </c:pt>
                <c:pt idx="161">
                  <c:v>74.8</c:v>
                </c:pt>
                <c:pt idx="162">
                  <c:v>76.400000000000006</c:v>
                </c:pt>
                <c:pt idx="163">
                  <c:v>78.5</c:v>
                </c:pt>
                <c:pt idx="164">
                  <c:v>78.599999999999994</c:v>
                </c:pt>
                <c:pt idx="165">
                  <c:v>76.2</c:v>
                </c:pt>
                <c:pt idx="166">
                  <c:v>75.3</c:v>
                </c:pt>
                <c:pt idx="167">
                  <c:v>72</c:v>
                </c:pt>
                <c:pt idx="168">
                  <c:v>73.2</c:v>
                </c:pt>
                <c:pt idx="169">
                  <c:v>68.3</c:v>
                </c:pt>
                <c:pt idx="170">
                  <c:v>65.8</c:v>
                </c:pt>
                <c:pt idx="171">
                  <c:v>66.8</c:v>
                </c:pt>
                <c:pt idx="172">
                  <c:v>66.599999999999994</c:v>
                </c:pt>
                <c:pt idx="173">
                  <c:v>66</c:v>
                </c:pt>
                <c:pt idx="174">
                  <c:v>65.5</c:v>
                </c:pt>
              </c:numCache>
            </c:numRef>
          </c:val>
          <c:smooth val="0"/>
          <c:extLst>
            <c:ext xmlns:c16="http://schemas.microsoft.com/office/drawing/2014/chart" uri="{C3380CC4-5D6E-409C-BE32-E72D297353CC}">
              <c16:uniqueId val="{00000006-7D3D-4EA6-BFEF-5C03F286FE55}"/>
            </c:ext>
          </c:extLst>
        </c:ser>
        <c:ser>
          <c:idx val="4"/>
          <c:order val="4"/>
          <c:tx>
            <c:strRef>
              <c:f>Sheet1!$E$1</c:f>
              <c:strCache>
                <c:ptCount val="1"/>
                <c:pt idx="0">
                  <c:v>NRENC</c:v>
                </c:pt>
              </c:strCache>
            </c:strRef>
          </c:tx>
          <c:spPr>
            <a:ln w="38100" cap="rnd">
              <a:solidFill>
                <a:schemeClr val="accent5"/>
              </a:solidFill>
              <a:round/>
            </a:ln>
            <a:effectLst/>
          </c:spPr>
          <c:marker>
            <c:symbol val="none"/>
          </c:marker>
          <c:val>
            <c:numRef>
              <c:f>Sheet1!$E$2:$E$176</c:f>
              <c:numCache>
                <c:formatCode>General</c:formatCode>
                <c:ptCount val="175"/>
                <c:pt idx="0">
                  <c:v>48.810853555956299</c:v>
                </c:pt>
                <c:pt idx="1">
                  <c:v>51.243120359732863</c:v>
                </c:pt>
                <c:pt idx="2">
                  <c:v>52.511960734728135</c:v>
                </c:pt>
                <c:pt idx="3">
                  <c:v>51.458954925832444</c:v>
                </c:pt>
                <c:pt idx="4">
                  <c:v>45.058410675797184</c:v>
                </c:pt>
                <c:pt idx="5">
                  <c:v>45.948328726910745</c:v>
                </c:pt>
                <c:pt idx="6">
                  <c:v>47.439376191072199</c:v>
                </c:pt>
                <c:pt idx="7">
                  <c:v>46.890923030610359</c:v>
                </c:pt>
                <c:pt idx="8">
                  <c:v>43.009851729395393</c:v>
                </c:pt>
                <c:pt idx="9">
                  <c:v>43.963536392090887</c:v>
                </c:pt>
                <c:pt idx="10">
                  <c:v>45.848993512503675</c:v>
                </c:pt>
                <c:pt idx="11">
                  <c:v>48.909050207622613</c:v>
                </c:pt>
                <c:pt idx="12">
                  <c:v>48.658905796121523</c:v>
                </c:pt>
                <c:pt idx="13">
                  <c:v>52.25654207836363</c:v>
                </c:pt>
                <c:pt idx="14">
                  <c:v>53.395085394992037</c:v>
                </c:pt>
                <c:pt idx="15">
                  <c:v>51.494969106489954</c:v>
                </c:pt>
                <c:pt idx="16">
                  <c:v>48.723849037731476</c:v>
                </c:pt>
                <c:pt idx="17">
                  <c:v>44.758681575199581</c:v>
                </c:pt>
                <c:pt idx="18">
                  <c:v>46.105908454554864</c:v>
                </c:pt>
                <c:pt idx="19">
                  <c:v>41.859253921337555</c:v>
                </c:pt>
                <c:pt idx="20">
                  <c:v>38.867856656748764</c:v>
                </c:pt>
                <c:pt idx="21">
                  <c:v>37.541559938808028</c:v>
                </c:pt>
                <c:pt idx="22">
                  <c:v>39.879693867594582</c:v>
                </c:pt>
                <c:pt idx="23">
                  <c:v>39.20123588802096</c:v>
                </c:pt>
                <c:pt idx="24">
                  <c:v>39.250041215615973</c:v>
                </c:pt>
                <c:pt idx="25">
                  <c:v>41.781783655412546</c:v>
                </c:pt>
                <c:pt idx="26">
                  <c:v>81.010000000000005</c:v>
                </c:pt>
                <c:pt idx="27">
                  <c:v>80.5</c:v>
                </c:pt>
                <c:pt idx="28">
                  <c:v>79.900000000000006</c:v>
                </c:pt>
                <c:pt idx="29">
                  <c:v>78.5</c:v>
                </c:pt>
                <c:pt idx="30">
                  <c:v>77.8</c:v>
                </c:pt>
                <c:pt idx="31">
                  <c:v>76.900000000000006</c:v>
                </c:pt>
                <c:pt idx="32">
                  <c:v>76</c:v>
                </c:pt>
                <c:pt idx="33">
                  <c:v>75.2</c:v>
                </c:pt>
                <c:pt idx="34">
                  <c:v>74.5</c:v>
                </c:pt>
                <c:pt idx="35">
                  <c:v>18.233659227362896</c:v>
                </c:pt>
                <c:pt idx="36">
                  <c:v>16.56048690918578</c:v>
                </c:pt>
                <c:pt idx="37">
                  <c:v>16.086621877447605</c:v>
                </c:pt>
                <c:pt idx="38">
                  <c:v>17.406517382164576</c:v>
                </c:pt>
                <c:pt idx="39">
                  <c:v>17.608805335104723</c:v>
                </c:pt>
                <c:pt idx="40">
                  <c:v>18.783624489524453</c:v>
                </c:pt>
                <c:pt idx="41">
                  <c:v>19.342960976236569</c:v>
                </c:pt>
                <c:pt idx="42">
                  <c:v>20.481160612688129</c:v>
                </c:pt>
                <c:pt idx="43">
                  <c:v>26.618837296904079</c:v>
                </c:pt>
                <c:pt idx="44">
                  <c:v>25.859895804910348</c:v>
                </c:pt>
                <c:pt idx="45">
                  <c:v>28.129363954357196</c:v>
                </c:pt>
                <c:pt idx="46">
                  <c:v>32.180850342065021</c:v>
                </c:pt>
                <c:pt idx="47">
                  <c:v>35.92613320840546</c:v>
                </c:pt>
                <c:pt idx="48">
                  <c:v>36.465356940034773</c:v>
                </c:pt>
                <c:pt idx="49">
                  <c:v>37.098426441589957</c:v>
                </c:pt>
                <c:pt idx="50">
                  <c:v>37.639868963303272</c:v>
                </c:pt>
                <c:pt idx="51">
                  <c:v>42.572794987826882</c:v>
                </c:pt>
                <c:pt idx="52">
                  <c:v>45.956373552365001</c:v>
                </c:pt>
                <c:pt idx="53">
                  <c:v>40.363408087792429</c:v>
                </c:pt>
                <c:pt idx="54">
                  <c:v>45.857893096713944</c:v>
                </c:pt>
                <c:pt idx="55">
                  <c:v>48.780788391974262</c:v>
                </c:pt>
                <c:pt idx="56">
                  <c:v>49.739070356931983</c:v>
                </c:pt>
                <c:pt idx="57">
                  <c:v>51.137995019219595</c:v>
                </c:pt>
                <c:pt idx="58">
                  <c:v>53.021717870354735</c:v>
                </c:pt>
                <c:pt idx="59">
                  <c:v>52.674390640496362</c:v>
                </c:pt>
                <c:pt idx="60">
                  <c:v>52.182337235275853</c:v>
                </c:pt>
                <c:pt idx="61">
                  <c:v>50</c:v>
                </c:pt>
                <c:pt idx="62">
                  <c:v>49.5</c:v>
                </c:pt>
                <c:pt idx="63">
                  <c:v>48.8</c:v>
                </c:pt>
                <c:pt idx="64">
                  <c:v>48.2</c:v>
                </c:pt>
                <c:pt idx="65">
                  <c:v>47.5</c:v>
                </c:pt>
                <c:pt idx="66">
                  <c:v>46.8</c:v>
                </c:pt>
                <c:pt idx="67">
                  <c:v>46.2</c:v>
                </c:pt>
                <c:pt idx="68">
                  <c:v>45.8</c:v>
                </c:pt>
                <c:pt idx="69">
                  <c:v>45.2</c:v>
                </c:pt>
                <c:pt idx="70">
                  <c:v>23.701275866882447</c:v>
                </c:pt>
                <c:pt idx="71">
                  <c:v>23.318369335484228</c:v>
                </c:pt>
                <c:pt idx="72">
                  <c:v>27.594666223173164</c:v>
                </c:pt>
                <c:pt idx="73">
                  <c:v>28.549564756133407</c:v>
                </c:pt>
                <c:pt idx="74">
                  <c:v>28.241703228128994</c:v>
                </c:pt>
                <c:pt idx="75">
                  <c:v>25.146718331904218</c:v>
                </c:pt>
                <c:pt idx="76">
                  <c:v>32.013659050557202</c:v>
                </c:pt>
                <c:pt idx="77">
                  <c:v>32.103150036384257</c:v>
                </c:pt>
                <c:pt idx="78">
                  <c:v>30.821904425466883</c:v>
                </c:pt>
                <c:pt idx="79">
                  <c:v>40.885346204260777</c:v>
                </c:pt>
                <c:pt idx="80">
                  <c:v>37.123880815533518</c:v>
                </c:pt>
                <c:pt idx="81">
                  <c:v>34.292367648811464</c:v>
                </c:pt>
                <c:pt idx="82">
                  <c:v>37.842295781412972</c:v>
                </c:pt>
                <c:pt idx="83">
                  <c:v>32.495722380377941</c:v>
                </c:pt>
                <c:pt idx="84">
                  <c:v>24.926168634822378</c:v>
                </c:pt>
                <c:pt idx="85">
                  <c:v>25.386679060621191</c:v>
                </c:pt>
                <c:pt idx="86">
                  <c:v>21.445199227436245</c:v>
                </c:pt>
                <c:pt idx="87">
                  <c:v>24.249025093065864</c:v>
                </c:pt>
                <c:pt idx="88">
                  <c:v>24.612314497224784</c:v>
                </c:pt>
                <c:pt idx="89">
                  <c:v>22.713722939008392</c:v>
                </c:pt>
                <c:pt idx="90">
                  <c:v>28.406419463019272</c:v>
                </c:pt>
                <c:pt idx="91">
                  <c:v>25.665512786352458</c:v>
                </c:pt>
                <c:pt idx="92">
                  <c:v>30.045324076370893</c:v>
                </c:pt>
                <c:pt idx="93">
                  <c:v>33.756741265387731</c:v>
                </c:pt>
                <c:pt idx="94">
                  <c:v>34.159519133634348</c:v>
                </c:pt>
                <c:pt idx="95">
                  <c:v>31.902862960224201</c:v>
                </c:pt>
                <c:pt idx="96">
                  <c:v>23.826248889999999</c:v>
                </c:pt>
                <c:pt idx="97">
                  <c:v>23.644765700000001</c:v>
                </c:pt>
                <c:pt idx="98">
                  <c:v>23.463282499999998</c:v>
                </c:pt>
                <c:pt idx="99">
                  <c:v>23.281799299999999</c:v>
                </c:pt>
                <c:pt idx="100">
                  <c:v>23.100316110000001</c:v>
                </c:pt>
                <c:pt idx="101">
                  <c:v>22.918832909999999</c:v>
                </c:pt>
                <c:pt idx="102">
                  <c:v>22.73734971</c:v>
                </c:pt>
                <c:pt idx="103">
                  <c:v>22.555866510000001</c:v>
                </c:pt>
                <c:pt idx="104">
                  <c:v>22.37438332</c:v>
                </c:pt>
                <c:pt idx="105">
                  <c:v>43.252354246384392</c:v>
                </c:pt>
                <c:pt idx="106">
                  <c:v>42.382283718142034</c:v>
                </c:pt>
                <c:pt idx="107">
                  <c:v>45.401018233074367</c:v>
                </c:pt>
                <c:pt idx="108">
                  <c:v>44.834820237613506</c:v>
                </c:pt>
                <c:pt idx="109">
                  <c:v>44.025307823963473</c:v>
                </c:pt>
                <c:pt idx="110">
                  <c:v>45.643975109175209</c:v>
                </c:pt>
                <c:pt idx="111">
                  <c:v>45.418489747532718</c:v>
                </c:pt>
                <c:pt idx="112">
                  <c:v>47.063876272464853</c:v>
                </c:pt>
                <c:pt idx="113">
                  <c:v>48.444311227759691</c:v>
                </c:pt>
                <c:pt idx="114">
                  <c:v>49.709174053709546</c:v>
                </c:pt>
                <c:pt idx="115">
                  <c:v>50.297436788110836</c:v>
                </c:pt>
                <c:pt idx="116">
                  <c:v>53.252183896055129</c:v>
                </c:pt>
                <c:pt idx="117">
                  <c:v>52.602534608218178</c:v>
                </c:pt>
                <c:pt idx="118">
                  <c:v>51.769124815069354</c:v>
                </c:pt>
                <c:pt idx="119">
                  <c:v>55.077488258509135</c:v>
                </c:pt>
                <c:pt idx="120">
                  <c:v>55.619448439938758</c:v>
                </c:pt>
                <c:pt idx="121">
                  <c:v>55.16975176148884</c:v>
                </c:pt>
                <c:pt idx="122">
                  <c:v>53.906142361549001</c:v>
                </c:pt>
                <c:pt idx="123">
                  <c:v>53.671686524181858</c:v>
                </c:pt>
                <c:pt idx="124">
                  <c:v>44.519178077491688</c:v>
                </c:pt>
                <c:pt idx="125">
                  <c:v>44.583575152146807</c:v>
                </c:pt>
                <c:pt idx="126">
                  <c:v>46.83465861290189</c:v>
                </c:pt>
                <c:pt idx="127">
                  <c:v>45.769159642324411</c:v>
                </c:pt>
                <c:pt idx="128">
                  <c:v>52.105512215623421</c:v>
                </c:pt>
                <c:pt idx="129">
                  <c:v>52.927073854848949</c:v>
                </c:pt>
                <c:pt idx="130">
                  <c:v>29.744617799787736</c:v>
                </c:pt>
                <c:pt idx="131">
                  <c:v>40.00615131</c:v>
                </c:pt>
                <c:pt idx="132">
                  <c:v>38.566699630000002</c:v>
                </c:pt>
                <c:pt idx="133">
                  <c:v>37.127247939999997</c:v>
                </c:pt>
                <c:pt idx="134">
                  <c:v>35.687796249999998</c:v>
                </c:pt>
                <c:pt idx="135">
                  <c:v>34.24834456</c:v>
                </c:pt>
                <c:pt idx="136">
                  <c:v>32.808892870000001</c:v>
                </c:pt>
                <c:pt idx="137">
                  <c:v>31.369441179999999</c:v>
                </c:pt>
                <c:pt idx="138">
                  <c:v>29.929989500000001</c:v>
                </c:pt>
                <c:pt idx="139">
                  <c:v>28.490537809999999</c:v>
                </c:pt>
                <c:pt idx="140">
                  <c:v>18.13</c:v>
                </c:pt>
                <c:pt idx="141">
                  <c:v>18.829999999999998</c:v>
                </c:pt>
                <c:pt idx="142">
                  <c:v>18.850000000000001</c:v>
                </c:pt>
                <c:pt idx="143">
                  <c:v>19.260000000000002</c:v>
                </c:pt>
                <c:pt idx="144">
                  <c:v>20.51</c:v>
                </c:pt>
                <c:pt idx="145">
                  <c:v>21.74</c:v>
                </c:pt>
                <c:pt idx="146">
                  <c:v>27.01</c:v>
                </c:pt>
                <c:pt idx="147">
                  <c:v>36.01</c:v>
                </c:pt>
                <c:pt idx="148">
                  <c:v>41.08</c:v>
                </c:pt>
                <c:pt idx="149">
                  <c:v>45.15</c:v>
                </c:pt>
                <c:pt idx="150">
                  <c:v>54.15</c:v>
                </c:pt>
                <c:pt idx="151">
                  <c:v>56.41</c:v>
                </c:pt>
                <c:pt idx="152">
                  <c:v>68.7</c:v>
                </c:pt>
                <c:pt idx="153">
                  <c:v>70.77</c:v>
                </c:pt>
                <c:pt idx="154">
                  <c:v>91.77</c:v>
                </c:pt>
                <c:pt idx="155">
                  <c:v>91.75</c:v>
                </c:pt>
                <c:pt idx="156">
                  <c:v>91.58</c:v>
                </c:pt>
                <c:pt idx="157">
                  <c:v>92.49</c:v>
                </c:pt>
                <c:pt idx="158">
                  <c:v>92.59</c:v>
                </c:pt>
                <c:pt idx="159">
                  <c:v>92.81</c:v>
                </c:pt>
                <c:pt idx="160">
                  <c:v>93.03</c:v>
                </c:pt>
                <c:pt idx="161">
                  <c:v>93.78</c:v>
                </c:pt>
                <c:pt idx="162">
                  <c:v>93.64</c:v>
                </c:pt>
                <c:pt idx="163">
                  <c:v>94.56</c:v>
                </c:pt>
                <c:pt idx="164">
                  <c:v>92.78</c:v>
                </c:pt>
                <c:pt idx="165">
                  <c:v>92.17</c:v>
                </c:pt>
                <c:pt idx="166">
                  <c:v>93.26</c:v>
                </c:pt>
                <c:pt idx="167">
                  <c:v>92.53</c:v>
                </c:pt>
                <c:pt idx="168">
                  <c:v>93.4</c:v>
                </c:pt>
                <c:pt idx="169">
                  <c:v>92.91</c:v>
                </c:pt>
                <c:pt idx="170">
                  <c:v>91.96</c:v>
                </c:pt>
                <c:pt idx="171">
                  <c:v>93.29</c:v>
                </c:pt>
                <c:pt idx="172">
                  <c:v>93.37</c:v>
                </c:pt>
                <c:pt idx="173">
                  <c:v>93.45</c:v>
                </c:pt>
                <c:pt idx="174">
                  <c:v>93.53</c:v>
                </c:pt>
              </c:numCache>
            </c:numRef>
          </c:val>
          <c:smooth val="0"/>
          <c:extLst>
            <c:ext xmlns:c16="http://schemas.microsoft.com/office/drawing/2014/chart" uri="{C3380CC4-5D6E-409C-BE32-E72D297353CC}">
              <c16:uniqueId val="{00000007-7D3D-4EA6-BFEF-5C03F286FE55}"/>
            </c:ext>
          </c:extLst>
        </c:ser>
        <c:dLbls>
          <c:showLegendKey val="0"/>
          <c:showVal val="0"/>
          <c:showCatName val="0"/>
          <c:showSerName val="0"/>
          <c:showPercent val="0"/>
          <c:showBubbleSize val="0"/>
        </c:dLbls>
        <c:marker val="1"/>
        <c:smooth val="0"/>
        <c:axId val="323966751"/>
        <c:axId val="323965503"/>
      </c:lineChart>
      <c:catAx>
        <c:axId val="26147563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61473135"/>
        <c:crosses val="autoZero"/>
        <c:auto val="1"/>
        <c:lblAlgn val="ctr"/>
        <c:lblOffset val="100"/>
        <c:noMultiLvlLbl val="0"/>
      </c:catAx>
      <c:valAx>
        <c:axId val="2614731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475631"/>
        <c:crosses val="autoZero"/>
        <c:crossBetween val="between"/>
      </c:valAx>
      <c:valAx>
        <c:axId val="32396550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966751"/>
        <c:crosses val="max"/>
        <c:crossBetween val="between"/>
      </c:valAx>
      <c:catAx>
        <c:axId val="323966751"/>
        <c:scaling>
          <c:orientation val="minMax"/>
        </c:scaling>
        <c:delete val="0"/>
        <c:axPos val="t"/>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3965503"/>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6662</TotalTime>
  <Pages>19</Pages>
  <Words>10087</Words>
  <Characters>57497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Eche</dc:creator>
  <cp:lastModifiedBy>SDI 1166</cp:lastModifiedBy>
  <cp:revision>87</cp:revision>
  <dcterms:created xsi:type="dcterms:W3CDTF">2026-02-16T18:30:00Z</dcterms:created>
  <dcterms:modified xsi:type="dcterms:W3CDTF">2026-04-09T10:18:00Z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d74980fe-75ce-4bb8-969d-117d32310ac5</vt:lpwstr>
  </property>
  <property fmtid="{D5CDD505-2E9C-101B-9397-08002B2CF9AE}" pid="3" name="ICV">
    <vt:lpwstr>71799c00c8d347e7a11c6b41ab8ce426</vt:lpwstr>
  </property>
</Properties>
</file>