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09747" w14:textId="77777777" w:rsidR="00820EF3" w:rsidRPr="00DD4D3B" w:rsidRDefault="00820EF3" w:rsidP="00D70428">
      <w:pPr>
        <w:spacing w:after="200"/>
        <w:rPr>
          <w:color w:val="000000" w:themeColor="text1"/>
        </w:rPr>
      </w:pPr>
    </w:p>
    <w:p w14:paraId="30284B60" w14:textId="77777777" w:rsidR="00820EF3" w:rsidRPr="00DD4D3B" w:rsidRDefault="00985113" w:rsidP="00D70428">
      <w:pPr>
        <w:spacing w:line="276" w:lineRule="auto"/>
        <w:jc w:val="center"/>
        <w:rPr>
          <w:color w:val="000000" w:themeColor="text1"/>
        </w:rPr>
      </w:pPr>
      <w:r w:rsidRPr="00DD4D3B">
        <w:rPr>
          <w:b/>
          <w:bCs/>
          <w:color w:val="000000" w:themeColor="text1"/>
          <w:sz w:val="28"/>
          <w:szCs w:val="28"/>
        </w:rPr>
        <w:t>GIS Data Quality Challenges in the Transition to Next Generation 9-1-1:</w:t>
      </w:r>
    </w:p>
    <w:p w14:paraId="14E05E6C" w14:textId="77777777" w:rsidR="00820EF3" w:rsidRPr="00DD4D3B" w:rsidRDefault="00985113" w:rsidP="00D70428">
      <w:pPr>
        <w:spacing w:line="276" w:lineRule="auto"/>
        <w:jc w:val="center"/>
        <w:rPr>
          <w:color w:val="000000" w:themeColor="text1"/>
        </w:rPr>
      </w:pPr>
      <w:r w:rsidRPr="00DD4D3B">
        <w:rPr>
          <w:b/>
          <w:bCs/>
          <w:color w:val="000000" w:themeColor="text1"/>
          <w:sz w:val="28"/>
          <w:szCs w:val="28"/>
        </w:rPr>
        <w:t>A Critical Review of Standards, Implementation Gaps,</w:t>
      </w:r>
    </w:p>
    <w:p w14:paraId="7E92FFB7" w14:textId="77777777" w:rsidR="00820EF3" w:rsidRPr="00DD4D3B" w:rsidRDefault="00985113" w:rsidP="00D70428">
      <w:pPr>
        <w:spacing w:after="200" w:line="276" w:lineRule="auto"/>
        <w:jc w:val="center"/>
        <w:rPr>
          <w:color w:val="000000" w:themeColor="text1"/>
        </w:rPr>
      </w:pPr>
      <w:r w:rsidRPr="00DD4D3B">
        <w:rPr>
          <w:b/>
          <w:bCs/>
          <w:color w:val="000000" w:themeColor="text1"/>
          <w:sz w:val="28"/>
          <w:szCs w:val="28"/>
        </w:rPr>
        <w:t>and Remediation Strategies for Rural Jurisdictions</w:t>
      </w:r>
    </w:p>
    <w:p w14:paraId="414A027A" w14:textId="77777777" w:rsidR="00287C17" w:rsidRPr="00DD4D3B" w:rsidRDefault="00287C17">
      <w:pPr>
        <w:spacing w:line="276" w:lineRule="auto"/>
        <w:jc w:val="center"/>
        <w:rPr>
          <w:b/>
          <w:bCs/>
          <w:color w:val="000000" w:themeColor="text1"/>
        </w:rPr>
      </w:pPr>
    </w:p>
    <w:p w14:paraId="7749367B" w14:textId="77777777" w:rsidR="00287C17" w:rsidRPr="00DD4D3B" w:rsidRDefault="00287C17">
      <w:pPr>
        <w:spacing w:line="276" w:lineRule="auto"/>
        <w:jc w:val="center"/>
        <w:rPr>
          <w:b/>
          <w:bCs/>
          <w:color w:val="000000" w:themeColor="text1"/>
        </w:rPr>
      </w:pPr>
    </w:p>
    <w:p w14:paraId="1C955141" w14:textId="77777777" w:rsidR="00287C17" w:rsidRPr="00DD4D3B" w:rsidRDefault="00287C17">
      <w:pPr>
        <w:spacing w:line="276" w:lineRule="auto"/>
        <w:jc w:val="center"/>
        <w:rPr>
          <w:b/>
          <w:bCs/>
          <w:color w:val="000000" w:themeColor="text1"/>
        </w:rPr>
      </w:pPr>
    </w:p>
    <w:p w14:paraId="071760AC" w14:textId="77777777" w:rsidR="000A1ECF" w:rsidRPr="00DD4D3B" w:rsidRDefault="000A1ECF" w:rsidP="00D70428">
      <w:pPr>
        <w:spacing w:line="276" w:lineRule="auto"/>
        <w:jc w:val="center"/>
        <w:rPr>
          <w:b/>
          <w:color w:val="000000" w:themeColor="text1"/>
        </w:rPr>
      </w:pPr>
      <w:bookmarkStart w:id="0" w:name="_GoBack"/>
      <w:bookmarkEnd w:id="0"/>
    </w:p>
    <w:p w14:paraId="2386CB15" w14:textId="77777777" w:rsidR="000A1ECF" w:rsidRPr="00DD4D3B" w:rsidRDefault="000A1ECF" w:rsidP="00D70428">
      <w:pPr>
        <w:spacing w:line="276" w:lineRule="auto"/>
        <w:jc w:val="center"/>
        <w:rPr>
          <w:b/>
          <w:color w:val="000000" w:themeColor="text1"/>
        </w:rPr>
      </w:pPr>
    </w:p>
    <w:p w14:paraId="2935A48A" w14:textId="77777777" w:rsidR="000A1ECF" w:rsidRPr="00DD4D3B" w:rsidRDefault="000A1ECF" w:rsidP="00D70428">
      <w:pPr>
        <w:spacing w:line="276" w:lineRule="auto"/>
        <w:jc w:val="center"/>
        <w:rPr>
          <w:b/>
          <w:color w:val="000000" w:themeColor="text1"/>
        </w:rPr>
      </w:pPr>
    </w:p>
    <w:p w14:paraId="090AA88E" w14:textId="77777777" w:rsidR="00820EF3" w:rsidRPr="00DD4D3B" w:rsidRDefault="00985113" w:rsidP="00D70428">
      <w:pPr>
        <w:pStyle w:val="Heading1"/>
        <w:spacing w:line="276" w:lineRule="auto"/>
        <w:jc w:val="center"/>
        <w:rPr>
          <w:color w:val="000000" w:themeColor="text1"/>
        </w:rPr>
      </w:pPr>
      <w:r w:rsidRPr="00DD4D3B">
        <w:rPr>
          <w:color w:val="000000" w:themeColor="text1"/>
        </w:rPr>
        <w:t>Abstract</w:t>
      </w:r>
    </w:p>
    <w:p w14:paraId="78F0F5CC" w14:textId="1FC73AAF" w:rsidR="00820EF3" w:rsidRPr="00DD4D3B" w:rsidRDefault="00985113" w:rsidP="00D70428">
      <w:pPr>
        <w:spacing w:after="120" w:line="276" w:lineRule="auto"/>
        <w:jc w:val="both"/>
        <w:rPr>
          <w:color w:val="000000" w:themeColor="text1"/>
        </w:rPr>
      </w:pPr>
      <w:r w:rsidRPr="00DD4D3B">
        <w:rPr>
          <w:color w:val="000000" w:themeColor="text1"/>
        </w:rPr>
        <w:t>The transition from Enhanced 9-1-1 (E9-1-1) to Next Generation 9-1-1 (NG9-1-1) replaces tabular database lookups with geospatial queries that depend on accurate GIS-based address point and road centerline data. This shift promises improvements in emergency response, but its success depends on the quality of local GIS datasets. Rural jurisdictions face steep challenges: limited staffing, aging address data, incomplete MSAG synchronization, and insufficient maintenance resources. This review synthesizes the academic and practitioner literature on GIS data quality in the NG9-1-1 context, examining four themes: (1) technical requirements of the NENA GIS Data Model Standard; (2) documented patterns of data quality deficiencies; (3) structural barriers in rural counties; and (4) remediation strategies. Five mathematical metrics are presented for quantifying data quality: Root Mean Square Error for positional accuracy, completeness ratio, attribute deficiency rate, MSAG match rate, and misrouting probability. A four-phase framework for systematic data quality assessment is proposed, combining automated validation, MSAG–GIS cross-validation, risk-prioritized remediation, and ongoing quality monitoring. The review finds that the rural data quality gap is fundamentally a staffing and resource problem rather than a technical one, and that state-level coordination programs offer the most promising path forward. Recommendations for policy, practice, and future research.</w:t>
      </w:r>
    </w:p>
    <w:p w14:paraId="4F128560" w14:textId="77777777" w:rsidR="00820EF3" w:rsidRPr="00DD4D3B" w:rsidRDefault="00820EF3" w:rsidP="001375A8">
      <w:pPr>
        <w:spacing w:after="120" w:line="276" w:lineRule="auto"/>
        <w:jc w:val="both"/>
        <w:rPr>
          <w:color w:val="000000" w:themeColor="text1"/>
        </w:rPr>
      </w:pPr>
    </w:p>
    <w:p w14:paraId="51184570" w14:textId="77777777" w:rsidR="00865914" w:rsidRPr="00DD4D3B" w:rsidRDefault="00865914" w:rsidP="00D70428">
      <w:pPr>
        <w:spacing w:after="120" w:line="276" w:lineRule="auto"/>
        <w:jc w:val="both"/>
        <w:rPr>
          <w:color w:val="000000" w:themeColor="text1"/>
        </w:rPr>
      </w:pPr>
    </w:p>
    <w:p w14:paraId="6C7FF8C2" w14:textId="77777777" w:rsidR="00865914" w:rsidRPr="00DD4D3B" w:rsidRDefault="00865914" w:rsidP="00D70428">
      <w:pPr>
        <w:spacing w:after="120" w:line="276" w:lineRule="auto"/>
        <w:jc w:val="both"/>
        <w:rPr>
          <w:color w:val="000000" w:themeColor="text1"/>
        </w:rPr>
      </w:pPr>
    </w:p>
    <w:p w14:paraId="65F2FD54" w14:textId="77777777" w:rsidR="00865914" w:rsidRPr="00DD4D3B" w:rsidRDefault="00865914" w:rsidP="00D70428">
      <w:pPr>
        <w:spacing w:after="120" w:line="276" w:lineRule="auto"/>
        <w:jc w:val="both"/>
        <w:rPr>
          <w:color w:val="000000" w:themeColor="text1"/>
        </w:rPr>
      </w:pPr>
    </w:p>
    <w:p w14:paraId="6EC31BA2" w14:textId="77777777" w:rsidR="00865914" w:rsidRPr="00DD4D3B" w:rsidRDefault="00865914" w:rsidP="00D70428">
      <w:pPr>
        <w:spacing w:after="120" w:line="276" w:lineRule="auto"/>
        <w:jc w:val="both"/>
        <w:rPr>
          <w:color w:val="000000" w:themeColor="text1"/>
        </w:rPr>
      </w:pPr>
    </w:p>
    <w:p w14:paraId="1C8001DA" w14:textId="77777777" w:rsidR="00820EF3" w:rsidRPr="00DD4D3B" w:rsidRDefault="00820EF3" w:rsidP="00D70428">
      <w:pPr>
        <w:spacing w:after="40"/>
        <w:rPr>
          <w:color w:val="000000" w:themeColor="text1"/>
        </w:rPr>
      </w:pPr>
    </w:p>
    <w:p w14:paraId="570E9A09" w14:textId="6E82F7C9" w:rsidR="00CC3E83" w:rsidRPr="00DD4D3B" w:rsidRDefault="00985113" w:rsidP="001375A8">
      <w:pPr>
        <w:spacing w:after="120" w:line="276" w:lineRule="auto"/>
        <w:jc w:val="both"/>
        <w:rPr>
          <w:color w:val="000000" w:themeColor="text1"/>
        </w:rPr>
      </w:pPr>
      <w:r w:rsidRPr="00DD4D3B">
        <w:rPr>
          <w:b/>
          <w:bCs/>
          <w:i/>
          <w:iCs/>
          <w:color w:val="000000" w:themeColor="text1"/>
        </w:rPr>
        <w:t>Keywords</w:t>
      </w:r>
      <w:r w:rsidRPr="00DD4D3B">
        <w:rPr>
          <w:i/>
          <w:iCs/>
          <w:color w:val="000000" w:themeColor="text1"/>
        </w:rPr>
        <w:t xml:space="preserve">: </w:t>
      </w:r>
      <w:r w:rsidRPr="00DD4D3B">
        <w:rPr>
          <w:color w:val="000000" w:themeColor="text1"/>
        </w:rPr>
        <w:t>Next Generation 9-1-1, GIS data quality, address point data, road centerline, NENA standards, rural jurisdictions, MSAG, public safety GIS</w:t>
      </w:r>
    </w:p>
    <w:p w14:paraId="1344F13A" w14:textId="77777777" w:rsidR="00CC3E83" w:rsidRPr="00DD4D3B" w:rsidRDefault="00CC3E83">
      <w:pPr>
        <w:pStyle w:val="Heading1"/>
        <w:spacing w:line="276" w:lineRule="auto"/>
        <w:jc w:val="center"/>
        <w:rPr>
          <w:color w:val="000000" w:themeColor="text1"/>
        </w:rPr>
      </w:pPr>
    </w:p>
    <w:p w14:paraId="74B09AD2" w14:textId="77777777" w:rsidR="00CC3E83" w:rsidRPr="00DD4D3B" w:rsidRDefault="00CC3E83">
      <w:pPr>
        <w:pStyle w:val="Heading1"/>
        <w:spacing w:line="276" w:lineRule="auto"/>
        <w:jc w:val="center"/>
        <w:rPr>
          <w:color w:val="000000" w:themeColor="text1"/>
        </w:rPr>
      </w:pPr>
    </w:p>
    <w:p w14:paraId="7ACE3161" w14:textId="77777777" w:rsidR="00CC3E83" w:rsidRPr="00DD4D3B" w:rsidRDefault="00CC3E83">
      <w:pPr>
        <w:pStyle w:val="Heading1"/>
        <w:spacing w:line="276" w:lineRule="auto"/>
        <w:jc w:val="center"/>
        <w:rPr>
          <w:color w:val="000000" w:themeColor="text1"/>
        </w:rPr>
      </w:pPr>
    </w:p>
    <w:p w14:paraId="3DFC3071" w14:textId="77777777" w:rsidR="00CC3E83" w:rsidRPr="00DD4D3B" w:rsidRDefault="00CC3E83">
      <w:pPr>
        <w:pStyle w:val="Heading1"/>
        <w:spacing w:line="276" w:lineRule="auto"/>
        <w:jc w:val="center"/>
        <w:rPr>
          <w:color w:val="000000" w:themeColor="text1"/>
        </w:rPr>
      </w:pPr>
    </w:p>
    <w:p w14:paraId="09704808" w14:textId="77777777" w:rsidR="00CC3E83" w:rsidRPr="00DD4D3B" w:rsidRDefault="00CC3E83">
      <w:pPr>
        <w:pStyle w:val="Heading1"/>
        <w:spacing w:line="276" w:lineRule="auto"/>
        <w:jc w:val="center"/>
        <w:rPr>
          <w:color w:val="000000" w:themeColor="text1"/>
        </w:rPr>
      </w:pPr>
    </w:p>
    <w:p w14:paraId="06D02970" w14:textId="77777777" w:rsidR="00CC3E83" w:rsidRPr="00DD4D3B" w:rsidRDefault="00CC3E83">
      <w:pPr>
        <w:pStyle w:val="Heading1"/>
        <w:spacing w:line="276" w:lineRule="auto"/>
        <w:jc w:val="center"/>
        <w:rPr>
          <w:color w:val="000000" w:themeColor="text1"/>
        </w:rPr>
      </w:pPr>
    </w:p>
    <w:p w14:paraId="76BD9935" w14:textId="77777777" w:rsidR="00CC3E83" w:rsidRPr="00DD4D3B" w:rsidRDefault="00CC3E83">
      <w:pPr>
        <w:pStyle w:val="Heading1"/>
        <w:spacing w:line="276" w:lineRule="auto"/>
        <w:jc w:val="center"/>
        <w:rPr>
          <w:color w:val="000000" w:themeColor="text1"/>
        </w:rPr>
      </w:pPr>
    </w:p>
    <w:p w14:paraId="1864C057" w14:textId="77777777" w:rsidR="00820EF3" w:rsidRPr="00DD4D3B" w:rsidRDefault="00985113" w:rsidP="00D70428">
      <w:pPr>
        <w:pStyle w:val="Heading1"/>
        <w:spacing w:line="276" w:lineRule="auto"/>
        <w:rPr>
          <w:color w:val="000000" w:themeColor="text1"/>
        </w:rPr>
      </w:pPr>
      <w:r w:rsidRPr="00DD4D3B">
        <w:rPr>
          <w:color w:val="000000" w:themeColor="text1"/>
        </w:rPr>
        <w:t>1. Introduction</w:t>
      </w:r>
    </w:p>
    <w:p w14:paraId="6C3398A7" w14:textId="6ACD8393" w:rsidR="00820EF3" w:rsidRPr="00DD4D3B" w:rsidRDefault="00985113" w:rsidP="00D70428">
      <w:pPr>
        <w:spacing w:after="120" w:line="276" w:lineRule="auto"/>
        <w:jc w:val="both"/>
        <w:rPr>
          <w:color w:val="000000" w:themeColor="text1"/>
        </w:rPr>
      </w:pPr>
      <w:r w:rsidRPr="00DD4D3B">
        <w:rPr>
          <w:color w:val="000000" w:themeColor="text1"/>
        </w:rPr>
        <w:t>When someone in a rural community calls 911, a chain of technical processes determines whether help arrives in time. Under legacy E9-1-1, call routing relied on tabular databases</w:t>
      </w:r>
      <w:r w:rsidR="2F4E292F" w:rsidRPr="00DD4D3B">
        <w:rPr>
          <w:color w:val="000000" w:themeColor="text1"/>
        </w:rPr>
        <w:t xml:space="preserve">, </w:t>
      </w:r>
      <w:r w:rsidRPr="00DD4D3B">
        <w:rPr>
          <w:color w:val="000000" w:themeColor="text1"/>
        </w:rPr>
        <w:t>the Master Street Address Guide (MSAG)</w:t>
      </w:r>
      <w:r w:rsidR="00A761B5" w:rsidRPr="00DD4D3B">
        <w:rPr>
          <w:color w:val="000000" w:themeColor="text1"/>
        </w:rPr>
        <w:t>,</w:t>
      </w:r>
      <w:r w:rsidRPr="00DD4D3B">
        <w:rPr>
          <w:color w:val="000000" w:themeColor="text1"/>
        </w:rPr>
        <w:t xml:space="preserve"> and Automatic Location Identification (ALI) records tied to wireline infrastructure (Federal Communications Commission [FCC], 2019). That architecture was designed for a telecommunications environment that no longer exists. </w:t>
      </w:r>
      <w:r w:rsidR="00A761B5" w:rsidRPr="00DD4D3B">
        <w:rPr>
          <w:color w:val="000000" w:themeColor="text1"/>
        </w:rPr>
        <w:t>R</w:t>
      </w:r>
      <w:r w:rsidRPr="00DD4D3B">
        <w:rPr>
          <w:color w:val="000000" w:themeColor="text1"/>
        </w:rPr>
        <w:t>oughly 80% of 911 calls now originate from wireless devices (National Emergency Number Association [NENA], 2022a).</w:t>
      </w:r>
    </w:p>
    <w:p w14:paraId="0E7D7B21" w14:textId="0AE933FF" w:rsidR="00820EF3" w:rsidRPr="00DD4D3B" w:rsidRDefault="00985113" w:rsidP="00D70428">
      <w:pPr>
        <w:spacing w:after="120" w:line="276" w:lineRule="auto"/>
        <w:ind w:firstLine="540"/>
        <w:jc w:val="both"/>
        <w:rPr>
          <w:color w:val="000000" w:themeColor="text1"/>
        </w:rPr>
      </w:pPr>
      <w:r w:rsidRPr="00DD4D3B">
        <w:rPr>
          <w:color w:val="000000" w:themeColor="text1"/>
        </w:rPr>
        <w:t xml:space="preserve">NG9-1-1 replaces this with a geospatial approach. Every call is located by querying GIS data against the caller’s coordinates and routed to the correct Public Safety Answering Point (PSAP) using spatial boundaries (NENA, 2022b). As shown in Figure 1, this architectural shift means </w:t>
      </w:r>
      <w:r w:rsidR="00A761B5" w:rsidRPr="00DD4D3B">
        <w:rPr>
          <w:color w:val="000000" w:themeColor="text1"/>
        </w:rPr>
        <w:t xml:space="preserve">that </w:t>
      </w:r>
      <w:r w:rsidRPr="00DD4D3B">
        <w:rPr>
          <w:color w:val="000000" w:themeColor="text1"/>
        </w:rPr>
        <w:t xml:space="preserve">GIS data quality </w:t>
      </w:r>
      <w:r w:rsidR="00A761B5" w:rsidRPr="00DD4D3B">
        <w:rPr>
          <w:color w:val="000000" w:themeColor="text1"/>
        </w:rPr>
        <w:t>serves a</w:t>
      </w:r>
      <w:r w:rsidRPr="00DD4D3B">
        <w:rPr>
          <w:color w:val="000000" w:themeColor="text1"/>
        </w:rPr>
        <w:t xml:space="preserve">s the operational foundation of emergency response. The FCC adopted location-based routing requirements for wireless 911 calls in 2024 (FCC, 2024), and the Geospatial Data Act of 2018 formalized federal coordination of authoritative geospatial datasets (USDOT, 2023). </w:t>
      </w:r>
      <w:r w:rsidR="00A21BFE" w:rsidRPr="00DD4D3B">
        <w:rPr>
          <w:color w:val="000000" w:themeColor="text1"/>
        </w:rPr>
        <w:t>However</w:t>
      </w:r>
      <w:r w:rsidRPr="00DD4D3B">
        <w:rPr>
          <w:color w:val="000000" w:themeColor="text1"/>
        </w:rPr>
        <w:t>, the readiness of local GIS data remains deeply uneven.</w:t>
      </w:r>
    </w:p>
    <w:p w14:paraId="383B6802" w14:textId="252EFFF6" w:rsidR="00820EF3" w:rsidRPr="00DD4D3B" w:rsidRDefault="00985113" w:rsidP="004235B4">
      <w:pPr>
        <w:spacing w:after="120" w:line="276" w:lineRule="auto"/>
        <w:jc w:val="both"/>
        <w:rPr>
          <w:color w:val="000000" w:themeColor="text1"/>
        </w:rPr>
      </w:pPr>
      <w:r w:rsidRPr="00DD4D3B">
        <w:rPr>
          <w:color w:val="000000" w:themeColor="text1"/>
        </w:rPr>
        <w:t>Advances in geospatial technology have expanded GIS capabilities for public safety. The integration of machine learning with GIS and remote sensing has shown promise in flood prediction and disaster management, where spatial data quality is essential (</w:t>
      </w:r>
      <w:r w:rsidRPr="00DD4D3B">
        <w:rPr>
          <w:bCs/>
          <w:color w:val="000000" w:themeColor="text1"/>
        </w:rPr>
        <w:t>Gyang et al., 2025</w:t>
      </w:r>
      <w:r w:rsidRPr="00DD4D3B">
        <w:rPr>
          <w:color w:val="000000" w:themeColor="text1"/>
        </w:rPr>
        <w:t xml:space="preserve">). </w:t>
      </w:r>
      <w:r w:rsidR="00A21BFE" w:rsidRPr="00DD4D3B">
        <w:rPr>
          <w:color w:val="000000" w:themeColor="text1"/>
        </w:rPr>
        <w:t>However,</w:t>
      </w:r>
      <w:r w:rsidRPr="00DD4D3B">
        <w:rPr>
          <w:color w:val="000000" w:themeColor="text1"/>
        </w:rPr>
        <w:t xml:space="preserve"> even as these capabilities grow, the quality of the underlying data determines whether they produce reliable results.</w:t>
      </w:r>
      <w:r w:rsidR="004235B4" w:rsidRPr="00DD4D3B">
        <w:rPr>
          <w:color w:val="000000" w:themeColor="text1"/>
        </w:rPr>
        <w:t xml:space="preserve"> </w:t>
      </w:r>
      <w:r w:rsidRPr="00DD4D3B">
        <w:rPr>
          <w:color w:val="000000" w:themeColor="text1"/>
        </w:rPr>
        <w:t xml:space="preserve">Urban counties maintain dedicated GIS departments with larger staffs and frequent update cycles. Rural counties often have no dedicated GIS staff. A NACo (2019) survey found nearly 40% of rural counties lacked any dedicated GIS personnel. The absence of dedicated GIS staff carries measurable costs: misrouted emergency calls, delayed response times, failed address validations, and noncompliance with federal NG9-1-1 mandates that can jeopardize funding eligibility. Without trained personnel to maintain and update address point and road centerline data, errors accumulate and go undetected, compounding over time. This review </w:t>
      </w:r>
      <w:r w:rsidRPr="00DD4D3B">
        <w:rPr>
          <w:color w:val="000000" w:themeColor="text1"/>
        </w:rPr>
        <w:lastRenderedPageBreak/>
        <w:t>addresses these challenges directly by synthesizing the literature around four themes: (a) NENA’s GIS data model requirements; (b) documented deficiency patterns; (c) structural barriers in rural jurisdictions; and (d) remediation strategies. By identifying practical, low-cost quality assurance approaches and proposing a phased framework tailored to limited-resource settings, this review equips rural counties and state 911 coordinators with actionable guidance. It concludes with recommendations for policy and research.</w:t>
      </w:r>
    </w:p>
    <w:p w14:paraId="7C93606F" w14:textId="77777777" w:rsidR="00A92322" w:rsidRPr="00DD4D3B" w:rsidRDefault="009A0B23">
      <w:pPr>
        <w:spacing w:after="40"/>
        <w:jc w:val="center"/>
        <w:rPr>
          <w:color w:val="000000" w:themeColor="text1"/>
        </w:rPr>
      </w:pPr>
      <w:r w:rsidRPr="00DD4D3B">
        <w:rPr>
          <w:noProof/>
          <w:color w:val="000000" w:themeColor="text1"/>
        </w:rPr>
        <w:drawing>
          <wp:inline distT="0" distB="0" distL="0" distR="0" wp14:anchorId="3B1355ED" wp14:editId="0D9A640F">
            <wp:extent cx="5611741" cy="3054350"/>
            <wp:effectExtent l="0" t="0" r="1905" b="0"/>
            <wp:docPr id="1622101746" name="Picture 162210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72797" cy="3087581"/>
                    </a:xfrm>
                    <a:prstGeom prst="rect">
                      <a:avLst/>
                    </a:prstGeom>
                  </pic:spPr>
                </pic:pic>
              </a:graphicData>
            </a:graphic>
          </wp:inline>
        </w:drawing>
      </w:r>
    </w:p>
    <w:p w14:paraId="04C4A641" w14:textId="3F658956" w:rsidR="00820EF3" w:rsidRPr="00DD4D3B" w:rsidRDefault="00985113" w:rsidP="00D70428">
      <w:pPr>
        <w:spacing w:before="40" w:after="120" w:line="276" w:lineRule="auto"/>
        <w:rPr>
          <w:color w:val="000000" w:themeColor="text1"/>
        </w:rPr>
      </w:pPr>
      <w:r w:rsidRPr="00DD4D3B">
        <w:rPr>
          <w:b/>
          <w:i/>
          <w:color w:val="000000" w:themeColor="text1"/>
          <w:sz w:val="20"/>
        </w:rPr>
        <w:t xml:space="preserve">Figure 1. </w:t>
      </w:r>
      <w:r w:rsidRPr="00DD4D3B">
        <w:rPr>
          <w:i/>
          <w:color w:val="000000" w:themeColor="text1"/>
          <w:sz w:val="20"/>
        </w:rPr>
        <w:t xml:space="preserve">Comparison of E9-1-1 and NG9-1-1 call routing architectures. Under E9-1-1 (a), calls are routed via tabular MSAG/ALI lookups. Under NG9-1-1 (b), calls are routed through the </w:t>
      </w:r>
      <w:proofErr w:type="spellStart"/>
      <w:r w:rsidRPr="00DD4D3B">
        <w:rPr>
          <w:i/>
          <w:color w:val="000000" w:themeColor="text1"/>
          <w:sz w:val="20"/>
        </w:rPr>
        <w:t>ESInet</w:t>
      </w:r>
      <w:proofErr w:type="spellEnd"/>
      <w:r w:rsidRPr="00DD4D3B">
        <w:rPr>
          <w:i/>
          <w:color w:val="000000" w:themeColor="text1"/>
          <w:sz w:val="20"/>
        </w:rPr>
        <w:t xml:space="preserve"> using GIS-based spatial queries </w:t>
      </w:r>
      <w:r w:rsidRPr="00DD4D3B">
        <w:rPr>
          <w:i/>
          <w:iCs/>
          <w:color w:val="000000" w:themeColor="text1"/>
          <w:sz w:val="20"/>
          <w:szCs w:val="20"/>
        </w:rPr>
        <w:t>via</w:t>
      </w:r>
      <w:r w:rsidRPr="00DD4D3B">
        <w:rPr>
          <w:i/>
          <w:color w:val="000000" w:themeColor="text1"/>
          <w:sz w:val="20"/>
        </w:rPr>
        <w:t xml:space="preserve"> the ECRF and LVF</w:t>
      </w:r>
      <w:r w:rsidR="00A21BFE" w:rsidRPr="00DD4D3B">
        <w:rPr>
          <w:i/>
          <w:iCs/>
          <w:color w:val="000000" w:themeColor="text1"/>
          <w:sz w:val="20"/>
          <w:szCs w:val="20"/>
        </w:rPr>
        <w:t>—s</w:t>
      </w:r>
      <w:r w:rsidRPr="00DD4D3B">
        <w:rPr>
          <w:i/>
          <w:iCs/>
          <w:color w:val="000000" w:themeColor="text1"/>
          <w:sz w:val="20"/>
          <w:szCs w:val="20"/>
        </w:rPr>
        <w:t>ource: Adapted from NENA-STA-010.3a (2022).</w:t>
      </w:r>
    </w:p>
    <w:p w14:paraId="0D95AB2B" w14:textId="77777777" w:rsidR="00820EF3" w:rsidRPr="00DD4D3B" w:rsidRDefault="00985113" w:rsidP="00D70428">
      <w:pPr>
        <w:pStyle w:val="Heading1"/>
        <w:spacing w:line="276" w:lineRule="auto"/>
        <w:rPr>
          <w:color w:val="000000" w:themeColor="text1"/>
        </w:rPr>
      </w:pPr>
      <w:r w:rsidRPr="00DD4D3B">
        <w:rPr>
          <w:color w:val="000000" w:themeColor="text1"/>
        </w:rPr>
        <w:t>2. Review Methodology</w:t>
      </w:r>
    </w:p>
    <w:p w14:paraId="6F61A5AA" w14:textId="41CCAC99" w:rsidR="00820EF3" w:rsidRPr="00DD4D3B" w:rsidRDefault="00985113" w:rsidP="00D70428">
      <w:pPr>
        <w:spacing w:after="120" w:line="276" w:lineRule="auto"/>
        <w:jc w:val="both"/>
        <w:rPr>
          <w:color w:val="000000" w:themeColor="text1"/>
        </w:rPr>
      </w:pPr>
      <w:r w:rsidRPr="00DD4D3B">
        <w:rPr>
          <w:color w:val="000000" w:themeColor="text1"/>
        </w:rPr>
        <w:t>This review follows a structured narrative synthesis approach. Literature searches were conducted across Web of Science, Scopus, Google Scholar, and the NENA Knowledge Base using terms including “GIS data quality,” “address point accuracy,” “NG9-1-1,” “NENA standards,” and “rural addressing.” Searches covered English-language publications from 2000 to 2025. NENA standards, FCC orders, and National 911 Program reports were obtained from organizational websites. State-level documents from Missouri, Tennessee, Vermont, and Georgia provided illustrative examples. Table 1 summarizes the 72 sources included.</w:t>
      </w:r>
    </w:p>
    <w:p w14:paraId="529D5C8C" w14:textId="04848D39" w:rsidR="00820EF3" w:rsidRPr="00DD4D3B" w:rsidRDefault="00985113" w:rsidP="00D70428">
      <w:pPr>
        <w:spacing w:after="30"/>
        <w:rPr>
          <w:color w:val="000000" w:themeColor="text1"/>
        </w:rPr>
      </w:pPr>
      <w:r w:rsidRPr="00DD4D3B">
        <w:rPr>
          <w:b/>
          <w:bCs/>
          <w:i/>
          <w:iCs/>
          <w:color w:val="000000" w:themeColor="text1"/>
        </w:rPr>
        <w:t>Table 1</w:t>
      </w:r>
      <w:r w:rsidR="001F31E9" w:rsidRPr="00DD4D3B">
        <w:rPr>
          <w:color w:val="000000" w:themeColor="text1"/>
        </w:rPr>
        <w:t xml:space="preserve">: </w:t>
      </w:r>
      <w:r w:rsidRPr="00DD4D3B">
        <w:rPr>
          <w:i/>
          <w:iCs/>
          <w:color w:val="000000" w:themeColor="text1"/>
        </w:rPr>
        <w:t>Summary of Sources Included in the Review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2340"/>
        <w:gridCol w:w="2340"/>
      </w:tblGrid>
      <w:tr w:rsidR="00DD4D3B" w:rsidRPr="00DD4D3B" w14:paraId="60CE3FF1" w14:textId="77777777" w:rsidTr="00D70428">
        <w:tc>
          <w:tcPr>
            <w:tcW w:w="468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79F455C0"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Source Type</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2D8AA05C" w14:textId="77777777" w:rsidR="00820EF3" w:rsidRPr="00DD4D3B" w:rsidRDefault="00985113" w:rsidP="00D70428">
            <w:pPr>
              <w:spacing w:after="20" w:line="260" w:lineRule="auto"/>
              <w:jc w:val="center"/>
              <w:rPr>
                <w:color w:val="000000" w:themeColor="text1"/>
              </w:rPr>
            </w:pPr>
            <w:r w:rsidRPr="00DD4D3B">
              <w:rPr>
                <w:b/>
                <w:bCs/>
                <w:color w:val="000000" w:themeColor="text1"/>
                <w:sz w:val="20"/>
                <w:szCs w:val="20"/>
              </w:rPr>
              <w:t>Count</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3A36BBC5" w14:textId="64063508" w:rsidR="00820EF3" w:rsidRPr="00DD4D3B" w:rsidRDefault="009A0B23" w:rsidP="00D70428">
            <w:pPr>
              <w:spacing w:after="20" w:line="260" w:lineRule="auto"/>
              <w:jc w:val="center"/>
              <w:rPr>
                <w:color w:val="000000" w:themeColor="text1"/>
              </w:rPr>
            </w:pPr>
            <w:r w:rsidRPr="00DD4D3B">
              <w:rPr>
                <w:b/>
                <w:bCs/>
                <w:color w:val="000000" w:themeColor="text1"/>
                <w:sz w:val="20"/>
                <w:szCs w:val="20"/>
              </w:rPr>
              <w:t>%</w:t>
            </w:r>
          </w:p>
        </w:tc>
      </w:tr>
      <w:tr w:rsidR="00DD4D3B" w:rsidRPr="00DD4D3B" w14:paraId="6C0BCB63"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377F669" w14:textId="77777777" w:rsidR="00820EF3" w:rsidRPr="00DD4D3B" w:rsidRDefault="00985113" w:rsidP="00D70428">
            <w:pPr>
              <w:spacing w:after="20" w:line="260" w:lineRule="auto"/>
              <w:rPr>
                <w:color w:val="000000" w:themeColor="text1"/>
              </w:rPr>
            </w:pPr>
            <w:r w:rsidRPr="00DD4D3B">
              <w:rPr>
                <w:color w:val="000000" w:themeColor="text1"/>
                <w:sz w:val="20"/>
                <w:szCs w:val="20"/>
              </w:rPr>
              <w:t>Peer-reviewed journal articles</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C350FA3"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34</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AA58C7F" w14:textId="5D2D70BC" w:rsidR="00820EF3" w:rsidRPr="00DD4D3B" w:rsidRDefault="00985113" w:rsidP="00D70428">
            <w:pPr>
              <w:spacing w:after="20" w:line="260" w:lineRule="auto"/>
              <w:jc w:val="center"/>
              <w:rPr>
                <w:color w:val="000000" w:themeColor="text1"/>
              </w:rPr>
            </w:pPr>
            <w:r w:rsidRPr="00DD4D3B">
              <w:rPr>
                <w:color w:val="000000" w:themeColor="text1"/>
                <w:sz w:val="20"/>
                <w:szCs w:val="20"/>
              </w:rPr>
              <w:t>47.2</w:t>
            </w:r>
          </w:p>
        </w:tc>
      </w:tr>
      <w:tr w:rsidR="00DD4D3B" w:rsidRPr="00DD4D3B" w14:paraId="4C56FEBD"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B867A58" w14:textId="334ACDAA" w:rsidR="00820EF3" w:rsidRPr="00DD4D3B" w:rsidRDefault="00985113" w:rsidP="00D70428">
            <w:pPr>
              <w:spacing w:after="20" w:line="260" w:lineRule="auto"/>
              <w:rPr>
                <w:color w:val="000000" w:themeColor="text1"/>
              </w:rPr>
            </w:pPr>
            <w:r w:rsidRPr="00DD4D3B">
              <w:rPr>
                <w:color w:val="000000" w:themeColor="text1"/>
                <w:sz w:val="20"/>
                <w:szCs w:val="20"/>
              </w:rPr>
              <w:t>NENA standards/information documents</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11052AB"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12</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A4035A6" w14:textId="57C0C5C7" w:rsidR="00820EF3" w:rsidRPr="00DD4D3B" w:rsidRDefault="00985113" w:rsidP="00D70428">
            <w:pPr>
              <w:spacing w:after="20" w:line="260" w:lineRule="auto"/>
              <w:jc w:val="center"/>
              <w:rPr>
                <w:color w:val="000000" w:themeColor="text1"/>
              </w:rPr>
            </w:pPr>
            <w:r w:rsidRPr="00DD4D3B">
              <w:rPr>
                <w:color w:val="000000" w:themeColor="text1"/>
                <w:sz w:val="20"/>
                <w:szCs w:val="20"/>
              </w:rPr>
              <w:t>16.7</w:t>
            </w:r>
          </w:p>
        </w:tc>
      </w:tr>
      <w:tr w:rsidR="00DD4D3B" w:rsidRPr="00DD4D3B" w14:paraId="1FAB9C9E"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07785E8" w14:textId="19704706" w:rsidR="00820EF3" w:rsidRPr="00DD4D3B" w:rsidRDefault="00985113" w:rsidP="00D70428">
            <w:pPr>
              <w:spacing w:after="20" w:line="260" w:lineRule="auto"/>
              <w:rPr>
                <w:color w:val="000000" w:themeColor="text1"/>
              </w:rPr>
            </w:pPr>
            <w:r w:rsidRPr="00DD4D3B">
              <w:rPr>
                <w:color w:val="000000" w:themeColor="text1"/>
                <w:sz w:val="20"/>
                <w:szCs w:val="20"/>
              </w:rPr>
              <w:t>Government reports (federal/state)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458E8AD"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14</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1E3150F" w14:textId="036181F5" w:rsidR="00820EF3" w:rsidRPr="00DD4D3B" w:rsidRDefault="00985113" w:rsidP="00D70428">
            <w:pPr>
              <w:spacing w:after="20" w:line="260" w:lineRule="auto"/>
              <w:jc w:val="center"/>
              <w:rPr>
                <w:color w:val="000000" w:themeColor="text1"/>
              </w:rPr>
            </w:pPr>
            <w:r w:rsidRPr="00DD4D3B">
              <w:rPr>
                <w:color w:val="000000" w:themeColor="text1"/>
                <w:sz w:val="20"/>
                <w:szCs w:val="20"/>
              </w:rPr>
              <w:t>19.4</w:t>
            </w:r>
          </w:p>
        </w:tc>
      </w:tr>
      <w:tr w:rsidR="00DD4D3B" w:rsidRPr="00DD4D3B" w14:paraId="30EE04FE"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5A42DC5" w14:textId="33805808" w:rsidR="00820EF3" w:rsidRPr="00DD4D3B" w:rsidRDefault="00985113" w:rsidP="00D70428">
            <w:pPr>
              <w:spacing w:after="20" w:line="260" w:lineRule="auto"/>
              <w:rPr>
                <w:color w:val="000000" w:themeColor="text1"/>
              </w:rPr>
            </w:pPr>
            <w:r w:rsidRPr="00DD4D3B">
              <w:rPr>
                <w:color w:val="000000" w:themeColor="text1"/>
                <w:sz w:val="20"/>
                <w:szCs w:val="20"/>
              </w:rPr>
              <w:t>Conference proceedings/practitioner</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67CA646"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8</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7039EC1" w14:textId="5DBDF229" w:rsidR="00820EF3" w:rsidRPr="00DD4D3B" w:rsidRDefault="00985113" w:rsidP="00D70428">
            <w:pPr>
              <w:spacing w:after="20" w:line="260" w:lineRule="auto"/>
              <w:jc w:val="center"/>
              <w:rPr>
                <w:color w:val="000000" w:themeColor="text1"/>
              </w:rPr>
            </w:pPr>
            <w:r w:rsidRPr="00DD4D3B">
              <w:rPr>
                <w:color w:val="000000" w:themeColor="text1"/>
                <w:sz w:val="20"/>
                <w:szCs w:val="20"/>
              </w:rPr>
              <w:t>11.1</w:t>
            </w:r>
          </w:p>
        </w:tc>
      </w:tr>
      <w:tr w:rsidR="00820EF3" w:rsidRPr="00DD4D3B" w14:paraId="483FE506" w14:textId="77777777" w:rsidTr="00D70428">
        <w:tc>
          <w:tcPr>
            <w:tcW w:w="468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36424490" w14:textId="77777777" w:rsidR="00820EF3" w:rsidRPr="00DD4D3B" w:rsidRDefault="00985113" w:rsidP="00D70428">
            <w:pPr>
              <w:spacing w:after="20" w:line="260" w:lineRule="auto"/>
              <w:rPr>
                <w:color w:val="000000" w:themeColor="text1"/>
              </w:rPr>
            </w:pPr>
            <w:r w:rsidRPr="00DD4D3B">
              <w:rPr>
                <w:color w:val="000000" w:themeColor="text1"/>
                <w:sz w:val="20"/>
                <w:szCs w:val="20"/>
              </w:rPr>
              <w:t>Books and book chapters</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274D1C4F"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4</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5443CDED" w14:textId="5B000521" w:rsidR="00820EF3" w:rsidRPr="00DD4D3B" w:rsidRDefault="00985113" w:rsidP="00D70428">
            <w:pPr>
              <w:spacing w:after="20" w:line="260" w:lineRule="auto"/>
              <w:jc w:val="center"/>
              <w:rPr>
                <w:color w:val="000000" w:themeColor="text1"/>
              </w:rPr>
            </w:pPr>
            <w:r w:rsidRPr="00DD4D3B">
              <w:rPr>
                <w:color w:val="000000" w:themeColor="text1"/>
                <w:sz w:val="20"/>
                <w:szCs w:val="20"/>
              </w:rPr>
              <w:t>5.6</w:t>
            </w:r>
          </w:p>
        </w:tc>
      </w:tr>
    </w:tbl>
    <w:p w14:paraId="548753AD" w14:textId="2AD1B4F5" w:rsidR="00820EF3" w:rsidRPr="00DD4D3B" w:rsidRDefault="00820EF3" w:rsidP="00D70428">
      <w:pPr>
        <w:spacing w:after="40"/>
        <w:rPr>
          <w:color w:val="000000" w:themeColor="text1"/>
        </w:rPr>
      </w:pPr>
    </w:p>
    <w:p w14:paraId="66A20297" w14:textId="4783CD08" w:rsidR="00820EF3" w:rsidRPr="00DD4D3B" w:rsidRDefault="00985113" w:rsidP="00D70428">
      <w:pPr>
        <w:pStyle w:val="Heading1"/>
        <w:spacing w:line="276" w:lineRule="auto"/>
        <w:rPr>
          <w:color w:val="000000" w:themeColor="text1"/>
        </w:rPr>
      </w:pPr>
      <w:r w:rsidRPr="00DD4D3B">
        <w:rPr>
          <w:color w:val="000000" w:themeColor="text1"/>
        </w:rPr>
        <w:t>3. NENA GIS Data Model Requirements</w:t>
      </w:r>
    </w:p>
    <w:p w14:paraId="704A5429" w14:textId="603C1DF8" w:rsidR="00820EF3" w:rsidRPr="00DD4D3B" w:rsidRDefault="00985113" w:rsidP="00D70428">
      <w:pPr>
        <w:spacing w:after="120" w:line="276" w:lineRule="auto"/>
        <w:jc w:val="both"/>
        <w:rPr>
          <w:color w:val="000000" w:themeColor="text1"/>
        </w:rPr>
      </w:pPr>
      <w:r w:rsidRPr="00DD4D3B">
        <w:rPr>
          <w:color w:val="000000" w:themeColor="text1"/>
        </w:rPr>
        <w:t>The technical foundation for NG9-1-1 readiness is NENA-STA-006.2-2022, which specifies required attribute fields for Site/Structure Address Points (SSAPs), Road Centerlines, PSAP Boundaries, and Emergency Service Boundaries (NENA, 2022b). Table 2 lists the key required attributes.</w:t>
      </w:r>
    </w:p>
    <w:p w14:paraId="6E8BAC04" w14:textId="77777777" w:rsidR="00820EF3" w:rsidRPr="00DD4D3B" w:rsidRDefault="00985113" w:rsidP="00D70428">
      <w:pPr>
        <w:pStyle w:val="Heading2"/>
        <w:spacing w:line="276" w:lineRule="auto"/>
        <w:rPr>
          <w:color w:val="000000" w:themeColor="text1"/>
        </w:rPr>
      </w:pPr>
      <w:r w:rsidRPr="00DD4D3B">
        <w:rPr>
          <w:color w:val="000000" w:themeColor="text1"/>
        </w:rPr>
        <w:t>3.1 Required Attribute Schema</w:t>
      </w:r>
    </w:p>
    <w:p w14:paraId="274128F2" w14:textId="44A91060" w:rsidR="00820EF3" w:rsidRPr="00DD4D3B" w:rsidRDefault="00985113" w:rsidP="00D70428">
      <w:pPr>
        <w:spacing w:after="120" w:line="276" w:lineRule="auto"/>
        <w:jc w:val="both"/>
        <w:rPr>
          <w:color w:val="000000" w:themeColor="text1"/>
        </w:rPr>
      </w:pPr>
      <w:r w:rsidRPr="00DD4D3B">
        <w:rPr>
          <w:color w:val="000000" w:themeColor="text1"/>
        </w:rPr>
        <w:t xml:space="preserve">A single address point record may require over 20 populated fields for compliance. Road centerlines require additional attributes, as address ranges, parity, and other fields must be defined independently for </w:t>
      </w:r>
      <w:r w:rsidR="00A510FD" w:rsidRPr="00DD4D3B">
        <w:rPr>
          <w:color w:val="000000" w:themeColor="text1"/>
        </w:rPr>
        <w:t xml:space="preserve">both </w:t>
      </w:r>
      <w:r w:rsidRPr="00DD4D3B">
        <w:rPr>
          <w:color w:val="000000" w:themeColor="text1"/>
        </w:rPr>
        <w:t xml:space="preserve">sides of each road segment. For a county with tens of thousands of address points, maintaining compliance </w:t>
      </w:r>
      <w:r w:rsidR="00A21BFE" w:rsidRPr="00DD4D3B">
        <w:rPr>
          <w:color w:val="000000" w:themeColor="text1"/>
        </w:rPr>
        <w:t>requires</w:t>
      </w:r>
      <w:r w:rsidRPr="00DD4D3B">
        <w:rPr>
          <w:color w:val="000000" w:themeColor="text1"/>
        </w:rPr>
        <w:t xml:space="preserve"> sustained data governance.</w:t>
      </w:r>
    </w:p>
    <w:p w14:paraId="05FAC899" w14:textId="03CF4BB0" w:rsidR="00820EF3" w:rsidRPr="00DD4D3B" w:rsidRDefault="00985113" w:rsidP="00D70428">
      <w:pPr>
        <w:spacing w:after="30"/>
        <w:rPr>
          <w:color w:val="000000" w:themeColor="text1"/>
        </w:rPr>
      </w:pPr>
      <w:r w:rsidRPr="00DD4D3B">
        <w:rPr>
          <w:b/>
          <w:bCs/>
          <w:i/>
          <w:iCs/>
          <w:color w:val="000000" w:themeColor="text1"/>
        </w:rPr>
        <w:t>Table 2</w:t>
      </w:r>
      <w:r w:rsidR="001F31E9" w:rsidRPr="00DD4D3B">
        <w:rPr>
          <w:color w:val="000000" w:themeColor="text1"/>
        </w:rPr>
        <w:t xml:space="preserve">: </w:t>
      </w:r>
      <w:r w:rsidRPr="00DD4D3B">
        <w:rPr>
          <w:i/>
          <w:iCs/>
          <w:color w:val="000000" w:themeColor="text1"/>
        </w:rPr>
        <w:t>Key Required Attributes for NENA-Compliant Address Points and Road Centerlines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DD4D3B" w:rsidRPr="00DD4D3B" w14:paraId="14E03A54" w14:textId="77777777" w:rsidTr="00D70428">
        <w:tc>
          <w:tcPr>
            <w:tcW w:w="468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0EE4949" w14:textId="629921DD" w:rsidR="00820EF3" w:rsidRPr="00DD4D3B" w:rsidRDefault="00985113" w:rsidP="00D70428">
            <w:pPr>
              <w:spacing w:after="20" w:line="260" w:lineRule="auto"/>
              <w:rPr>
                <w:color w:val="000000" w:themeColor="text1"/>
              </w:rPr>
            </w:pPr>
            <w:r w:rsidRPr="00DD4D3B">
              <w:rPr>
                <w:b/>
                <w:bCs/>
                <w:color w:val="000000" w:themeColor="text1"/>
                <w:sz w:val="20"/>
                <w:szCs w:val="20"/>
              </w:rPr>
              <w:t>Address Point Attributes</w:t>
            </w:r>
          </w:p>
        </w:tc>
        <w:tc>
          <w:tcPr>
            <w:tcW w:w="468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507E35BB" w14:textId="27B4F4AD" w:rsidR="00820EF3" w:rsidRPr="00DD4D3B" w:rsidRDefault="00985113" w:rsidP="00D70428">
            <w:pPr>
              <w:spacing w:after="20" w:line="260" w:lineRule="auto"/>
              <w:rPr>
                <w:color w:val="000000" w:themeColor="text1"/>
              </w:rPr>
            </w:pPr>
            <w:r w:rsidRPr="00DD4D3B">
              <w:rPr>
                <w:b/>
                <w:bCs/>
                <w:color w:val="000000" w:themeColor="text1"/>
                <w:sz w:val="20"/>
                <w:szCs w:val="20"/>
              </w:rPr>
              <w:t>Road Centerline Attributes</w:t>
            </w:r>
          </w:p>
        </w:tc>
      </w:tr>
      <w:tr w:rsidR="00DD4D3B" w:rsidRPr="00DD4D3B" w14:paraId="7016ADF4"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92A5CF6" w14:textId="77777777" w:rsidR="00820EF3" w:rsidRPr="00DD4D3B" w:rsidRDefault="00985113" w:rsidP="00D70428">
            <w:pPr>
              <w:spacing w:after="20" w:line="260" w:lineRule="auto"/>
              <w:rPr>
                <w:color w:val="000000" w:themeColor="text1"/>
              </w:rPr>
            </w:pPr>
            <w:r w:rsidRPr="00DD4D3B">
              <w:rPr>
                <w:color w:val="000000" w:themeColor="text1"/>
                <w:sz w:val="20"/>
                <w:szCs w:val="20"/>
              </w:rPr>
              <w:t>Address Number (</w:t>
            </w:r>
            <w:proofErr w:type="spellStart"/>
            <w:r w:rsidRPr="00DD4D3B">
              <w:rPr>
                <w:color w:val="000000" w:themeColor="text1"/>
                <w:sz w:val="20"/>
                <w:szCs w:val="20"/>
              </w:rPr>
              <w:t>Add_Number</w:t>
            </w:r>
            <w:proofErr w:type="spellEnd"/>
            <w:r w:rsidRPr="00DD4D3B">
              <w:rPr>
                <w:color w:val="000000" w:themeColor="text1"/>
                <w:sz w:val="20"/>
                <w:szCs w:val="20"/>
              </w:rPr>
              <w:t>)</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93D4F43" w14:textId="641B5F12" w:rsidR="00820EF3" w:rsidRPr="00DD4D3B" w:rsidRDefault="00985113" w:rsidP="00D70428">
            <w:pPr>
              <w:spacing w:after="20" w:line="260" w:lineRule="auto"/>
              <w:rPr>
                <w:color w:val="000000" w:themeColor="text1"/>
              </w:rPr>
            </w:pPr>
            <w:r w:rsidRPr="00DD4D3B">
              <w:rPr>
                <w:color w:val="000000" w:themeColor="text1"/>
                <w:sz w:val="20"/>
                <w:szCs w:val="20"/>
              </w:rPr>
              <w:t xml:space="preserve">Left/Right </w:t>
            </w:r>
            <w:proofErr w:type="gramStart"/>
            <w:r w:rsidRPr="00DD4D3B">
              <w:rPr>
                <w:color w:val="000000" w:themeColor="text1"/>
                <w:sz w:val="20"/>
                <w:szCs w:val="20"/>
              </w:rPr>
              <w:t>From</w:t>
            </w:r>
            <w:proofErr w:type="gramEnd"/>
            <w:r w:rsidRPr="00DD4D3B">
              <w:rPr>
                <w:color w:val="000000" w:themeColor="text1"/>
                <w:sz w:val="20"/>
                <w:szCs w:val="20"/>
              </w:rPr>
              <w:t xml:space="preserve"> Address</w:t>
            </w:r>
          </w:p>
        </w:tc>
      </w:tr>
      <w:tr w:rsidR="00DD4D3B" w:rsidRPr="00DD4D3B" w14:paraId="5A435D23"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11C6A12" w14:textId="77777777" w:rsidR="00820EF3" w:rsidRPr="00DD4D3B" w:rsidRDefault="00985113" w:rsidP="00D70428">
            <w:pPr>
              <w:spacing w:after="20" w:line="260" w:lineRule="auto"/>
              <w:rPr>
                <w:color w:val="000000" w:themeColor="text1"/>
              </w:rPr>
            </w:pPr>
            <w:r w:rsidRPr="00DD4D3B">
              <w:rPr>
                <w:color w:val="000000" w:themeColor="text1"/>
                <w:sz w:val="20"/>
                <w:szCs w:val="20"/>
              </w:rPr>
              <w:t>Street Name (</w:t>
            </w:r>
            <w:proofErr w:type="spellStart"/>
            <w:r w:rsidRPr="00DD4D3B">
              <w:rPr>
                <w:color w:val="000000" w:themeColor="text1"/>
                <w:sz w:val="20"/>
                <w:szCs w:val="20"/>
              </w:rPr>
              <w:t>St_Name</w:t>
            </w:r>
            <w:proofErr w:type="spellEnd"/>
            <w:r w:rsidRPr="00DD4D3B">
              <w:rPr>
                <w:color w:val="000000" w:themeColor="text1"/>
                <w:sz w:val="20"/>
                <w:szCs w:val="20"/>
              </w:rPr>
              <w:t>)</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A1DF4C1" w14:textId="091B27A9" w:rsidR="00820EF3" w:rsidRPr="00DD4D3B" w:rsidRDefault="00985113" w:rsidP="00D70428">
            <w:pPr>
              <w:spacing w:after="20" w:line="260" w:lineRule="auto"/>
              <w:rPr>
                <w:color w:val="000000" w:themeColor="text1"/>
              </w:rPr>
            </w:pPr>
            <w:r w:rsidRPr="00DD4D3B">
              <w:rPr>
                <w:color w:val="000000" w:themeColor="text1"/>
                <w:sz w:val="20"/>
                <w:szCs w:val="20"/>
              </w:rPr>
              <w:t xml:space="preserve">Left/Right </w:t>
            </w:r>
            <w:proofErr w:type="gramStart"/>
            <w:r w:rsidRPr="00DD4D3B">
              <w:rPr>
                <w:color w:val="000000" w:themeColor="text1"/>
                <w:sz w:val="20"/>
                <w:szCs w:val="20"/>
              </w:rPr>
              <w:t>To</w:t>
            </w:r>
            <w:proofErr w:type="gramEnd"/>
            <w:r w:rsidRPr="00DD4D3B">
              <w:rPr>
                <w:color w:val="000000" w:themeColor="text1"/>
                <w:sz w:val="20"/>
                <w:szCs w:val="20"/>
              </w:rPr>
              <w:t xml:space="preserve"> Address</w:t>
            </w:r>
          </w:p>
        </w:tc>
      </w:tr>
      <w:tr w:rsidR="00DD4D3B" w:rsidRPr="00DD4D3B" w14:paraId="54675AB1"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558FD6D" w14:textId="65EB419B" w:rsidR="00820EF3" w:rsidRPr="00DD4D3B" w:rsidRDefault="00985113" w:rsidP="00D70428">
            <w:pPr>
              <w:spacing w:after="20" w:line="260" w:lineRule="auto"/>
              <w:rPr>
                <w:color w:val="000000" w:themeColor="text1"/>
              </w:rPr>
            </w:pPr>
            <w:r w:rsidRPr="00DD4D3B">
              <w:rPr>
                <w:color w:val="000000" w:themeColor="text1"/>
                <w:sz w:val="20"/>
                <w:szCs w:val="20"/>
              </w:rPr>
              <w:t>Pre-Directional / Post-Type</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1FF2627" w14:textId="0D40D245" w:rsidR="00820EF3" w:rsidRPr="00DD4D3B" w:rsidRDefault="00985113" w:rsidP="00D70428">
            <w:pPr>
              <w:spacing w:after="20" w:line="260" w:lineRule="auto"/>
              <w:rPr>
                <w:color w:val="000000" w:themeColor="text1"/>
              </w:rPr>
            </w:pPr>
            <w:r w:rsidRPr="00DD4D3B">
              <w:rPr>
                <w:color w:val="000000" w:themeColor="text1"/>
                <w:sz w:val="20"/>
                <w:szCs w:val="20"/>
              </w:rPr>
              <w:t>Left/Right Parity</w:t>
            </w:r>
          </w:p>
        </w:tc>
      </w:tr>
      <w:tr w:rsidR="00DD4D3B" w:rsidRPr="00DD4D3B" w14:paraId="076646AA"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C0F1ECE" w14:textId="0ACF5751" w:rsidR="00820EF3" w:rsidRPr="00DD4D3B" w:rsidRDefault="009A0B23" w:rsidP="00D70428">
            <w:pPr>
              <w:spacing w:after="20" w:line="260" w:lineRule="auto"/>
              <w:rPr>
                <w:color w:val="000000" w:themeColor="text1"/>
              </w:rPr>
            </w:pPr>
            <w:r w:rsidRPr="00DD4D3B">
              <w:rPr>
                <w:color w:val="000000" w:themeColor="text1"/>
                <w:sz w:val="20"/>
                <w:szCs w:val="20"/>
              </w:rPr>
              <w:t>Community / Municipality</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B1D8AE6" w14:textId="77777777" w:rsidR="00820EF3" w:rsidRPr="00DD4D3B" w:rsidRDefault="00985113" w:rsidP="00D70428">
            <w:pPr>
              <w:spacing w:after="20" w:line="260" w:lineRule="auto"/>
              <w:rPr>
                <w:color w:val="000000" w:themeColor="text1"/>
              </w:rPr>
            </w:pPr>
            <w:r w:rsidRPr="00DD4D3B">
              <w:rPr>
                <w:color w:val="000000" w:themeColor="text1"/>
                <w:sz w:val="20"/>
                <w:szCs w:val="20"/>
              </w:rPr>
              <w:t>Street Name Components (full set)</w:t>
            </w:r>
          </w:p>
        </w:tc>
      </w:tr>
      <w:tr w:rsidR="00DD4D3B" w:rsidRPr="00DD4D3B" w14:paraId="0AAB40E7" w14:textId="77777777" w:rsidTr="00D70428">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56FE7DE" w14:textId="77777777" w:rsidR="00820EF3" w:rsidRPr="00DD4D3B" w:rsidRDefault="00985113" w:rsidP="00D70428">
            <w:pPr>
              <w:spacing w:after="20" w:line="260" w:lineRule="auto"/>
              <w:rPr>
                <w:color w:val="000000" w:themeColor="text1"/>
              </w:rPr>
            </w:pPr>
            <w:r w:rsidRPr="00DD4D3B">
              <w:rPr>
                <w:color w:val="000000" w:themeColor="text1"/>
                <w:sz w:val="20"/>
                <w:szCs w:val="20"/>
              </w:rPr>
              <w:t>State, Postal Code, County</w:t>
            </w:r>
          </w:p>
        </w:tc>
        <w:tc>
          <w:tcPr>
            <w:tcW w:w="468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11EEE5D" w14:textId="77777777" w:rsidR="00820EF3" w:rsidRPr="00DD4D3B" w:rsidRDefault="00985113" w:rsidP="00D70428">
            <w:pPr>
              <w:spacing w:after="20" w:line="260" w:lineRule="auto"/>
              <w:rPr>
                <w:color w:val="000000" w:themeColor="text1"/>
              </w:rPr>
            </w:pPr>
            <w:r w:rsidRPr="00DD4D3B">
              <w:rPr>
                <w:color w:val="000000" w:themeColor="text1"/>
                <w:sz w:val="20"/>
                <w:szCs w:val="20"/>
              </w:rPr>
              <w:t>Left/Right Community, State</w:t>
            </w:r>
          </w:p>
        </w:tc>
      </w:tr>
      <w:tr w:rsidR="00DD4D3B" w:rsidRPr="00DD4D3B" w14:paraId="7E2BCD2B" w14:textId="77777777" w:rsidTr="00D70428">
        <w:tc>
          <w:tcPr>
            <w:tcW w:w="468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66E58C99" w14:textId="4F558562" w:rsidR="00820EF3" w:rsidRPr="00DD4D3B" w:rsidRDefault="00985113" w:rsidP="00D70428">
            <w:pPr>
              <w:spacing w:after="20" w:line="260" w:lineRule="auto"/>
              <w:rPr>
                <w:color w:val="000000" w:themeColor="text1"/>
              </w:rPr>
            </w:pPr>
            <w:r w:rsidRPr="00DD4D3B">
              <w:rPr>
                <w:color w:val="000000" w:themeColor="text1"/>
                <w:sz w:val="20"/>
                <w:szCs w:val="20"/>
              </w:rPr>
              <w:t>Placement Method</w:t>
            </w:r>
          </w:p>
        </w:tc>
        <w:tc>
          <w:tcPr>
            <w:tcW w:w="468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0F4FA9A5" w14:textId="77777777" w:rsidR="00820EF3" w:rsidRPr="00DD4D3B" w:rsidRDefault="00985113" w:rsidP="00D70428">
            <w:pPr>
              <w:spacing w:after="20" w:line="260" w:lineRule="auto"/>
              <w:rPr>
                <w:color w:val="000000" w:themeColor="text1"/>
              </w:rPr>
            </w:pPr>
            <w:r w:rsidRPr="00DD4D3B">
              <w:rPr>
                <w:color w:val="000000" w:themeColor="text1"/>
                <w:sz w:val="20"/>
                <w:szCs w:val="20"/>
              </w:rPr>
              <w:t>Valid Linear Geometry (Polyline)</w:t>
            </w:r>
          </w:p>
        </w:tc>
      </w:tr>
    </w:tbl>
    <w:p w14:paraId="3CFEAB23" w14:textId="1EEADAF8" w:rsidR="00A92322" w:rsidRPr="00DD4D3B" w:rsidRDefault="00985113">
      <w:pPr>
        <w:spacing w:after="60" w:line="276" w:lineRule="auto"/>
        <w:jc w:val="both"/>
        <w:rPr>
          <w:color w:val="000000" w:themeColor="text1"/>
        </w:rPr>
      </w:pPr>
      <w:r w:rsidRPr="00DD4D3B">
        <w:rPr>
          <w:i/>
          <w:iCs/>
          <w:color w:val="000000" w:themeColor="text1"/>
          <w:sz w:val="20"/>
          <w:szCs w:val="20"/>
        </w:rPr>
        <w:t xml:space="preserve">Note. </w:t>
      </w:r>
      <w:r w:rsidRPr="00DD4D3B">
        <w:rPr>
          <w:color w:val="000000" w:themeColor="text1"/>
          <w:sz w:val="20"/>
          <w:szCs w:val="20"/>
        </w:rPr>
        <w:t>Adapted from NENA-STA-006.2-2022. Shows required fields only.</w:t>
      </w:r>
    </w:p>
    <w:p w14:paraId="716AED98" w14:textId="32BB61D5" w:rsidR="00820EF3" w:rsidRPr="00DD4D3B" w:rsidRDefault="009A0B23" w:rsidP="00D70428">
      <w:pPr>
        <w:pStyle w:val="Heading2"/>
        <w:spacing w:line="276" w:lineRule="auto"/>
        <w:rPr>
          <w:color w:val="000000" w:themeColor="text1"/>
        </w:rPr>
      </w:pPr>
      <w:r w:rsidRPr="00DD4D3B">
        <w:rPr>
          <w:color w:val="000000" w:themeColor="text1"/>
        </w:rPr>
        <w:t>3.2 Location Validation</w:t>
      </w:r>
      <w:r w:rsidR="00985113" w:rsidRPr="00DD4D3B">
        <w:rPr>
          <w:color w:val="000000" w:themeColor="text1"/>
        </w:rPr>
        <w:t xml:space="preserve"> and </w:t>
      </w:r>
      <w:r w:rsidRPr="00DD4D3B">
        <w:rPr>
          <w:color w:val="000000" w:themeColor="text1"/>
        </w:rPr>
        <w:t>Call Routing Functions</w:t>
      </w:r>
    </w:p>
    <w:p w14:paraId="2C7E7481" w14:textId="24E61BDA" w:rsidR="00820EF3" w:rsidRPr="00DD4D3B" w:rsidRDefault="00985113" w:rsidP="00D70428">
      <w:pPr>
        <w:spacing w:after="120" w:line="276" w:lineRule="auto"/>
        <w:jc w:val="both"/>
        <w:rPr>
          <w:color w:val="000000" w:themeColor="text1"/>
        </w:rPr>
      </w:pPr>
      <w:r w:rsidRPr="00DD4D3B">
        <w:rPr>
          <w:color w:val="000000" w:themeColor="text1"/>
        </w:rPr>
        <w:t>The Location Validation Function (LVF) checks whether a caller’s location falls within a known service boundary. If GIS data contain</w:t>
      </w:r>
      <w:r w:rsidR="00A21BFE" w:rsidRPr="00DD4D3B">
        <w:rPr>
          <w:color w:val="000000" w:themeColor="text1"/>
        </w:rPr>
        <w:t>s</w:t>
      </w:r>
      <w:r w:rsidRPr="00DD4D3B">
        <w:rPr>
          <w:color w:val="000000" w:themeColor="text1"/>
        </w:rPr>
        <w:t xml:space="preserve"> gaps</w:t>
      </w:r>
      <w:r w:rsidR="00CD5BF7" w:rsidRPr="00DD4D3B">
        <w:rPr>
          <w:color w:val="000000" w:themeColor="text1"/>
        </w:rPr>
        <w:t xml:space="preserve">, </w:t>
      </w:r>
      <w:r w:rsidRPr="00DD4D3B">
        <w:rPr>
          <w:color w:val="000000" w:themeColor="text1"/>
        </w:rPr>
        <w:t xml:space="preserve">the LVF may fail to validate a </w:t>
      </w:r>
      <w:r w:rsidR="00A510FD" w:rsidRPr="00DD4D3B">
        <w:rPr>
          <w:color w:val="000000" w:themeColor="text1"/>
        </w:rPr>
        <w:t xml:space="preserve">precise </w:t>
      </w:r>
      <w:r w:rsidRPr="00DD4D3B">
        <w:rPr>
          <w:color w:val="000000" w:themeColor="text1"/>
        </w:rPr>
        <w:t>location, producing a routing failure. The Emergency Call Routing Function (ECRF) determines which PSAP should receive a call based on spatial coordinates. A National 911 Program white paper warned that using substandard GIS data</w:t>
      </w:r>
      <w:r w:rsidR="00A21BFE" w:rsidRPr="00DD4D3B">
        <w:rPr>
          <w:color w:val="000000" w:themeColor="text1"/>
        </w:rPr>
        <w:t>,</w:t>
      </w:r>
      <w:r w:rsidRPr="00DD4D3B">
        <w:rPr>
          <w:color w:val="000000" w:themeColor="text1"/>
        </w:rPr>
        <w:t xml:space="preserve"> such as Census TIGER files</w:t>
      </w:r>
      <w:r w:rsidR="00A21BFE" w:rsidRPr="00DD4D3B">
        <w:rPr>
          <w:color w:val="000000" w:themeColor="text1"/>
        </w:rPr>
        <w:t>,</w:t>
      </w:r>
      <w:r w:rsidRPr="00DD4D3B">
        <w:rPr>
          <w:color w:val="000000" w:themeColor="text1"/>
        </w:rPr>
        <w:t xml:space="preserve"> for routing would likely cause a regression in location accuracy</w:t>
      </w:r>
      <w:r w:rsidR="00A21BFE" w:rsidRPr="00DD4D3B">
        <w:rPr>
          <w:color w:val="000000" w:themeColor="text1"/>
        </w:rPr>
        <w:t>, noting</w:t>
      </w:r>
      <w:r w:rsidRPr="00DD4D3B">
        <w:rPr>
          <w:color w:val="000000" w:themeColor="text1"/>
        </w:rPr>
        <w:t xml:space="preserve"> that </w:t>
      </w:r>
      <w:r w:rsidR="00A21BFE" w:rsidRPr="00DD4D3B">
        <w:rPr>
          <w:color w:val="000000" w:themeColor="text1"/>
        </w:rPr>
        <w:t>TIGER’s</w:t>
      </w:r>
      <w:r w:rsidRPr="00DD4D3B">
        <w:rPr>
          <w:color w:val="000000" w:themeColor="text1"/>
        </w:rPr>
        <w:t xml:space="preserve"> positional </w:t>
      </w:r>
      <w:r w:rsidR="00A21BFE" w:rsidRPr="00DD4D3B">
        <w:rPr>
          <w:color w:val="000000" w:themeColor="text1"/>
        </w:rPr>
        <w:t>errors</w:t>
      </w:r>
      <w:r w:rsidRPr="00DD4D3B">
        <w:rPr>
          <w:color w:val="000000" w:themeColor="text1"/>
        </w:rPr>
        <w:t xml:space="preserve"> averaged 167 feet nationally</w:t>
      </w:r>
      <w:r w:rsidR="00A21BFE" w:rsidRPr="00DD4D3B">
        <w:rPr>
          <w:color w:val="000000" w:themeColor="text1"/>
        </w:rPr>
        <w:t xml:space="preserve"> and </w:t>
      </w:r>
      <w:r w:rsidRPr="00DD4D3B">
        <w:rPr>
          <w:color w:val="000000" w:themeColor="text1"/>
        </w:rPr>
        <w:t xml:space="preserve">nearly </w:t>
      </w:r>
      <w:r w:rsidR="00A21BFE" w:rsidRPr="00DD4D3B">
        <w:rPr>
          <w:color w:val="000000" w:themeColor="text1"/>
        </w:rPr>
        <w:t>2</w:t>
      </w:r>
      <w:r w:rsidRPr="00DD4D3B">
        <w:rPr>
          <w:color w:val="000000" w:themeColor="text1"/>
        </w:rPr>
        <w:t xml:space="preserve"> miles for rural geocoding (USDOT, 2022).</w:t>
      </w:r>
    </w:p>
    <w:p w14:paraId="1251E3CF" w14:textId="3D969451" w:rsidR="00820EF3" w:rsidRPr="00DD4D3B" w:rsidRDefault="00985113" w:rsidP="00D70428">
      <w:pPr>
        <w:pStyle w:val="Heading1"/>
        <w:spacing w:line="276" w:lineRule="auto"/>
        <w:rPr>
          <w:color w:val="000000" w:themeColor="text1"/>
        </w:rPr>
      </w:pPr>
      <w:r w:rsidRPr="00DD4D3B">
        <w:rPr>
          <w:color w:val="000000" w:themeColor="text1"/>
        </w:rPr>
        <w:t>4. Documented Data Quality Deficiencies</w:t>
      </w:r>
    </w:p>
    <w:p w14:paraId="6A9D38AA" w14:textId="36F8A23A" w:rsidR="00820EF3" w:rsidRPr="00DD4D3B" w:rsidRDefault="00985113" w:rsidP="00D70428">
      <w:pPr>
        <w:spacing w:after="120" w:line="276" w:lineRule="auto"/>
        <w:jc w:val="both"/>
        <w:rPr>
          <w:color w:val="000000" w:themeColor="text1"/>
        </w:rPr>
      </w:pPr>
      <w:r w:rsidRPr="00DD4D3B">
        <w:rPr>
          <w:color w:val="000000" w:themeColor="text1"/>
        </w:rPr>
        <w:t>This section examines positional accuracy and attribute completeness</w:t>
      </w:r>
      <w:r w:rsidR="00A761B5" w:rsidRPr="00DD4D3B">
        <w:rPr>
          <w:color w:val="000000" w:themeColor="text1"/>
        </w:rPr>
        <w:t xml:space="preserve">, </w:t>
      </w:r>
      <w:r w:rsidRPr="00DD4D3B">
        <w:rPr>
          <w:color w:val="000000" w:themeColor="text1"/>
        </w:rPr>
        <w:t>the two quality dimensions most critical to NG9-1-1.</w:t>
      </w:r>
    </w:p>
    <w:p w14:paraId="2C93C200" w14:textId="7B745758" w:rsidR="00820EF3" w:rsidRPr="00DD4D3B" w:rsidRDefault="00985113" w:rsidP="00D70428">
      <w:pPr>
        <w:pStyle w:val="Heading2"/>
        <w:spacing w:line="276" w:lineRule="auto"/>
        <w:rPr>
          <w:color w:val="000000" w:themeColor="text1"/>
        </w:rPr>
      </w:pPr>
      <w:r w:rsidRPr="00DD4D3B">
        <w:rPr>
          <w:color w:val="000000" w:themeColor="text1"/>
        </w:rPr>
        <w:t>4.1 Positional Accuracy</w:t>
      </w:r>
    </w:p>
    <w:p w14:paraId="3B865796" w14:textId="67229405" w:rsidR="00820EF3" w:rsidRPr="00DD4D3B" w:rsidRDefault="00985113" w:rsidP="00D70428">
      <w:pPr>
        <w:spacing w:after="120" w:line="276" w:lineRule="auto"/>
        <w:jc w:val="both"/>
        <w:rPr>
          <w:color w:val="000000" w:themeColor="text1"/>
        </w:rPr>
      </w:pPr>
      <w:r w:rsidRPr="00DD4D3B">
        <w:rPr>
          <w:color w:val="000000" w:themeColor="text1"/>
        </w:rPr>
        <w:t>The standard metric for positional accuracy is Root Mean Square Error:</w:t>
      </w:r>
    </w:p>
    <w:p w14:paraId="0337EF98" w14:textId="14911D4A" w:rsidR="00A761B5" w:rsidRPr="00DD4D3B" w:rsidRDefault="00EE1A3F" w:rsidP="00A761B5">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RMSE</m:t>
              </m:r>
              <m:r>
                <w:rPr>
                  <w:rFonts w:ascii="Cambria Math" w:hAnsi="Cambria Math"/>
                  <w:color w:val="000000" w:themeColor="text1"/>
                </w:rPr>
                <m:t xml:space="preserve"> = </m:t>
              </m:r>
              <m:rad>
                <m:radPr>
                  <m:degHide m:val="1"/>
                  <m:ctrlPr>
                    <w:rPr>
                      <w:rFonts w:ascii="Cambria Math" w:hAnsi="Cambria Math"/>
                      <w:i/>
                      <w:iCs/>
                      <w:color w:val="000000" w:themeColor="text1"/>
                    </w:rPr>
                  </m:ctrlPr>
                </m:radPr>
                <m:deg/>
                <m:e>
                  <m:d>
                    <m:dPr>
                      <m:begChr m:val="["/>
                      <m:endChr m:val="]"/>
                      <m:ctrlPr>
                        <w:rPr>
                          <w:rFonts w:ascii="Cambria Math" w:hAnsi="Cambria Math"/>
                          <w:i/>
                          <w:iCs/>
                          <w:color w:val="000000" w:themeColor="text1"/>
                        </w:rPr>
                      </m:ctrlPr>
                    </m:dPr>
                    <m:e>
                      <m:r>
                        <w:rPr>
                          <w:rFonts w:ascii="Cambria Math" w:hAnsi="Cambria Math"/>
                          <w:color w:val="000000" w:themeColor="text1"/>
                        </w:rPr>
                        <m:t xml:space="preserve"> </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e>
                      </m:d>
                      <m:r>
                        <w:rPr>
                          <w:rFonts w:ascii="Cambria Math" w:hAnsi="Cambria Math"/>
                          <w:color w:val="000000" w:themeColor="text1"/>
                        </w:rPr>
                        <m:t xml:space="preserve">∑ᵢ </m:t>
                      </m:r>
                      <m:d>
                        <m:dPr>
                          <m:ctrlPr>
                            <w:rPr>
                              <w:rFonts w:ascii="Cambria Math" w:hAnsi="Cambria Math"/>
                              <w:i/>
                              <w:iCs/>
                              <w:color w:val="000000" w:themeColor="text1"/>
                            </w:rPr>
                          </m:ctrlPr>
                        </m:dPr>
                        <m:e>
                          <m:r>
                            <w:rPr>
                              <w:rFonts w:ascii="Cambria Math" w:hAnsi="Cambria Math"/>
                              <w:color w:val="000000" w:themeColor="text1"/>
                            </w:rPr>
                            <m:t>d</m:t>
                          </m:r>
                          <m:sSup>
                            <m:sSupPr>
                              <m:ctrlPr>
                                <w:rPr>
                                  <w:rFonts w:ascii="Cambria Math" w:hAnsi="Cambria Math"/>
                                  <w:i/>
                                  <w:iCs/>
                                  <w:color w:val="000000" w:themeColor="text1"/>
                                </w:rPr>
                              </m:ctrlPr>
                            </m:sSupPr>
                            <m:e>
                              <m:r>
                                <w:rPr>
                                  <w:rFonts w:ascii="Cambria Math" w:hAnsi="Cambria Math"/>
                                  <w:color w:val="000000" w:themeColor="text1"/>
                                </w:rPr>
                                <m:t>ᵢ</m:t>
                              </m:r>
                            </m:e>
                            <m:sup>
                              <m:r>
                                <w:rPr>
                                  <w:rFonts w:ascii="Cambria Math" w:hAnsi="Cambria Math"/>
                                  <w:color w:val="000000" w:themeColor="text1"/>
                                </w:rPr>
                                <m:t>2</m:t>
                              </m:r>
                            </m:sup>
                          </m:sSup>
                        </m:e>
                      </m:d>
                    </m:e>
                  </m:d>
                </m:e>
              </m:rad>
              <m:r>
                <w:rPr>
                  <w:rFonts w:ascii="Cambria Math" w:hAnsi="Cambria Math"/>
                  <w:color w:val="000000" w:themeColor="text1"/>
                </w:rPr>
                <m:t xml:space="preserve">        #</m:t>
              </m:r>
              <m:d>
                <m:dPr>
                  <m:ctrlPr>
                    <w:rPr>
                      <w:rFonts w:ascii="Cambria Math" w:hAnsi="Cambria Math"/>
                      <w:i/>
                      <w:iCs/>
                      <w:color w:val="000000" w:themeColor="text1"/>
                    </w:rPr>
                  </m:ctrlPr>
                </m:dPr>
                <m:e>
                  <m:r>
                    <w:rPr>
                      <w:rFonts w:ascii="Cambria Math" w:hAnsi="Cambria Math"/>
                      <w:color w:val="000000" w:themeColor="text1"/>
                    </w:rPr>
                    <m:t>1</m:t>
                  </m:r>
                </m:e>
              </m:d>
            </m:e>
          </m:eqArr>
        </m:oMath>
      </m:oMathPara>
    </w:p>
    <w:p w14:paraId="62E3FB96" w14:textId="45C3C374" w:rsidR="00A92322" w:rsidRPr="00DD4D3B" w:rsidRDefault="00985113">
      <w:pPr>
        <w:spacing w:after="120" w:line="276" w:lineRule="auto"/>
        <w:jc w:val="both"/>
        <w:rPr>
          <w:color w:val="000000" w:themeColor="text1"/>
        </w:rPr>
      </w:pPr>
      <w:r w:rsidRPr="00DD4D3B">
        <w:rPr>
          <w:color w:val="000000" w:themeColor="text1"/>
        </w:rPr>
        <w:t xml:space="preserve">where dᵢ is the distance between the geocoded and true location for address i, and n is the total number of addresses evaluated (Zandbergen, 2008). Cayo and Talbot (2003) found </w:t>
      </w:r>
      <w:r w:rsidR="00A21BFE" w:rsidRPr="00DD4D3B">
        <w:rPr>
          <w:color w:val="000000" w:themeColor="text1"/>
        </w:rPr>
        <w:t>a</w:t>
      </w:r>
      <w:r w:rsidRPr="00DD4D3B">
        <w:rPr>
          <w:color w:val="000000" w:themeColor="text1"/>
        </w:rPr>
        <w:t xml:space="preserve"> mean rural error of 614 m</w:t>
      </w:r>
      <w:r w:rsidR="00A21BFE" w:rsidRPr="00DD4D3B">
        <w:rPr>
          <w:color w:val="000000" w:themeColor="text1"/>
        </w:rPr>
        <w:t>,</w:t>
      </w:r>
      <w:r w:rsidRPr="00DD4D3B">
        <w:rPr>
          <w:color w:val="000000" w:themeColor="text1"/>
        </w:rPr>
        <w:t xml:space="preserve"> compared </w:t>
      </w:r>
      <w:r w:rsidR="00A21BFE" w:rsidRPr="00DD4D3B">
        <w:rPr>
          <w:color w:val="000000" w:themeColor="text1"/>
        </w:rPr>
        <w:t>with</w:t>
      </w:r>
      <w:r w:rsidRPr="00DD4D3B">
        <w:rPr>
          <w:color w:val="000000" w:themeColor="text1"/>
        </w:rPr>
        <w:t xml:space="preserve"> 58 m in urban areas. At the 95th percentile, rural addresses geocoded within 2,872 m</w:t>
      </w:r>
      <w:r w:rsidR="00A761B5" w:rsidRPr="00DD4D3B">
        <w:rPr>
          <w:color w:val="000000" w:themeColor="text1"/>
        </w:rPr>
        <w:t xml:space="preserve">, </w:t>
      </w:r>
      <w:r w:rsidRPr="00DD4D3B">
        <w:rPr>
          <w:color w:val="000000" w:themeColor="text1"/>
        </w:rPr>
        <w:t xml:space="preserve">placing a responder in the wrong neighborhood. Ward et al. (2005) found that only 56% of rural addresses </w:t>
      </w:r>
      <w:r w:rsidR="00A21BFE" w:rsidRPr="00DD4D3B">
        <w:rPr>
          <w:color w:val="000000" w:themeColor="text1"/>
        </w:rPr>
        <w:t>ha</w:t>
      </w:r>
      <w:r w:rsidRPr="00DD4D3B">
        <w:rPr>
          <w:color w:val="000000" w:themeColor="text1"/>
        </w:rPr>
        <w:t xml:space="preserve">d errors </w:t>
      </w:r>
      <w:r w:rsidR="00A21BFE" w:rsidRPr="00DD4D3B">
        <w:rPr>
          <w:color w:val="000000" w:themeColor="text1"/>
        </w:rPr>
        <w:t>of less than</w:t>
      </w:r>
      <w:r w:rsidRPr="00DD4D3B">
        <w:rPr>
          <w:color w:val="000000" w:themeColor="text1"/>
        </w:rPr>
        <w:t xml:space="preserve"> 100 m. Chow et al. (2016) compared eight platforms and found parcel-based geocoding </w:t>
      </w:r>
      <w:r w:rsidR="00A21BFE" w:rsidRPr="00DD4D3B">
        <w:rPr>
          <w:color w:val="000000" w:themeColor="text1"/>
        </w:rPr>
        <w:t>to be</w:t>
      </w:r>
      <w:r w:rsidRPr="00DD4D3B">
        <w:rPr>
          <w:color w:val="000000" w:themeColor="text1"/>
        </w:rPr>
        <w:t xml:space="preserve"> the most accurate (mean 24.8 m), but the urban–rural gap persisted. Figure 2 summarizes these findings, and Figure 9 models the cumulative error distributions.</w:t>
      </w:r>
    </w:p>
    <w:p w14:paraId="5F378414" w14:textId="77777777" w:rsidR="00A92322" w:rsidRPr="00DD4D3B" w:rsidRDefault="009A0B23">
      <w:pPr>
        <w:spacing w:after="40"/>
        <w:jc w:val="center"/>
        <w:rPr>
          <w:color w:val="000000" w:themeColor="text1"/>
        </w:rPr>
      </w:pPr>
      <w:r w:rsidRPr="00DD4D3B">
        <w:rPr>
          <w:noProof/>
          <w:color w:val="000000" w:themeColor="text1"/>
        </w:rPr>
        <w:drawing>
          <wp:inline distT="0" distB="0" distL="0" distR="0" wp14:anchorId="3A34E93E" wp14:editId="78591C2A">
            <wp:extent cx="5314798" cy="3414395"/>
            <wp:effectExtent l="0" t="0" r="0" b="1905"/>
            <wp:docPr id="2130048562" name="Picture 213004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8562" name="Picture 213004856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55400" cy="3440479"/>
                    </a:xfrm>
                    <a:prstGeom prst="rect">
                      <a:avLst/>
                    </a:prstGeom>
                  </pic:spPr>
                </pic:pic>
              </a:graphicData>
            </a:graphic>
          </wp:inline>
        </w:drawing>
      </w:r>
    </w:p>
    <w:p w14:paraId="33642D33" w14:textId="503DA9A5" w:rsidR="00820EF3" w:rsidRPr="00DD4D3B" w:rsidRDefault="009A0B23" w:rsidP="00D70428">
      <w:pPr>
        <w:spacing w:before="40" w:after="120" w:line="276" w:lineRule="auto"/>
        <w:rPr>
          <w:color w:val="000000" w:themeColor="text1"/>
        </w:rPr>
      </w:pPr>
      <w:r w:rsidRPr="00DD4D3B">
        <w:rPr>
          <w:b/>
          <w:bCs/>
          <w:i/>
          <w:iCs/>
          <w:color w:val="000000" w:themeColor="text1"/>
          <w:sz w:val="20"/>
          <w:szCs w:val="20"/>
        </w:rPr>
        <w:t>Figure 2</w:t>
      </w:r>
      <w:r w:rsidR="00985113" w:rsidRPr="00DD4D3B">
        <w:rPr>
          <w:b/>
          <w:i/>
          <w:color w:val="000000" w:themeColor="text1"/>
          <w:sz w:val="20"/>
        </w:rPr>
        <w:t xml:space="preserve">. </w:t>
      </w:r>
      <w:r w:rsidR="00985113" w:rsidRPr="00DD4D3B">
        <w:rPr>
          <w:i/>
          <w:color w:val="000000" w:themeColor="text1"/>
          <w:sz w:val="20"/>
        </w:rPr>
        <w:t xml:space="preserve">Mean positional errors by area type from four studies. The dashed line </w:t>
      </w:r>
      <w:r w:rsidRPr="00DD4D3B">
        <w:rPr>
          <w:i/>
          <w:iCs/>
          <w:color w:val="000000" w:themeColor="text1"/>
          <w:sz w:val="20"/>
          <w:szCs w:val="20"/>
        </w:rPr>
        <w:t>marks</w:t>
      </w:r>
      <w:r w:rsidR="00985113" w:rsidRPr="00DD4D3B">
        <w:rPr>
          <w:i/>
          <w:color w:val="000000" w:themeColor="text1"/>
          <w:sz w:val="20"/>
        </w:rPr>
        <w:t xml:space="preserve"> the approximate NG9-1-1 routing tolerance (~50 m).</w:t>
      </w:r>
      <w:r w:rsidRPr="00DD4D3B">
        <w:rPr>
          <w:i/>
          <w:iCs/>
          <w:color w:val="000000" w:themeColor="text1"/>
          <w:sz w:val="20"/>
          <w:szCs w:val="20"/>
        </w:rPr>
        <w:t xml:space="preserve"> Source: Synthesized from Cayo and Talbot (2003), </w:t>
      </w:r>
      <w:r w:rsidR="00985113" w:rsidRPr="00DD4D3B">
        <w:rPr>
          <w:i/>
          <w:color w:val="000000" w:themeColor="text1"/>
          <w:sz w:val="20"/>
        </w:rPr>
        <w:t xml:space="preserve">Bonner et al. </w:t>
      </w:r>
      <w:r w:rsidRPr="00DD4D3B">
        <w:rPr>
          <w:i/>
          <w:iCs/>
          <w:color w:val="000000" w:themeColor="text1"/>
          <w:sz w:val="20"/>
          <w:szCs w:val="20"/>
        </w:rPr>
        <w:t>(2003), Ward et al. (2005), and Chow et al. (2016).</w:t>
      </w:r>
    </w:p>
    <w:p w14:paraId="088B8E86" w14:textId="77777777" w:rsidR="00A92322" w:rsidRPr="00DD4D3B" w:rsidRDefault="009A0B23">
      <w:pPr>
        <w:spacing w:after="120" w:line="276" w:lineRule="auto"/>
        <w:ind w:firstLine="540"/>
        <w:jc w:val="both"/>
        <w:rPr>
          <w:color w:val="000000" w:themeColor="text1"/>
        </w:rPr>
      </w:pPr>
      <w:r w:rsidRPr="00DD4D3B">
        <w:rPr>
          <w:color w:val="000000" w:themeColor="text1"/>
        </w:rPr>
        <w:t>For NG9-1-1, the misrouting probability near jurisdictional boundaries can be expressed as:</w:t>
      </w:r>
    </w:p>
    <w:p w14:paraId="48267A55" w14:textId="13F62118" w:rsidR="00A761B5" w:rsidRPr="00DD4D3B" w:rsidRDefault="00EE1A3F" w:rsidP="00A761B5">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misroute</m:t>
                  </m:r>
                </m:e>
              </m:d>
              <m:r>
                <w:rPr>
                  <w:rFonts w:ascii="Cambria Math" w:hAnsi="Cambria Math"/>
                  <w:color w:val="000000" w:themeColor="text1"/>
                </w:rPr>
                <m:t xml:space="preserve">= </m:t>
              </m:r>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d</m:t>
                  </m:r>
                  <m:r>
                    <w:rPr>
                      <w:rFonts w:ascii="Cambria Math" w:hAnsi="Cambria Math"/>
                      <w:color w:val="000000" w:themeColor="text1"/>
                    </w:rPr>
                    <m:t>ᵢ</m:t>
                  </m:r>
                  <m:r>
                    <w:rPr>
                      <w:rFonts w:ascii="Cambria Math" w:hAnsi="Cambria Math"/>
                      <w:color w:val="000000" w:themeColor="text1"/>
                    </w:rPr>
                    <m:t xml:space="preserve"> &gt; </m:t>
                  </m:r>
                  <m:r>
                    <w:rPr>
                      <w:rFonts w:ascii="Cambria Math" w:hAnsi="Cambria Math"/>
                      <w:color w:val="000000" w:themeColor="text1"/>
                    </w:rPr>
                    <m:t>D</m:t>
                  </m:r>
                  <m:r>
                    <w:rPr>
                      <w:rFonts w:ascii="Segoe UI Symbol" w:hAnsi="Segoe UI Symbol" w:cs="Segoe UI Symbol"/>
                      <w:color w:val="000000" w:themeColor="text1"/>
                    </w:rPr>
                    <m:t>ₘₗₙ</m:t>
                  </m:r>
                </m:e>
              </m:d>
              <m:r>
                <w:rPr>
                  <w:rFonts w:ascii="Cambria Math" w:hAnsi="Cambria Math"/>
                  <w:color w:val="000000" w:themeColor="text1"/>
                </w:rPr>
                <m:t xml:space="preserve">× </m:t>
              </m:r>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address</m:t>
                  </m:r>
                  <m:r>
                    <w:rPr>
                      <w:rFonts w:ascii="Cambria Math" w:hAnsi="Cambria Math"/>
                      <w:color w:val="000000" w:themeColor="text1"/>
                    </w:rPr>
                    <m:t xml:space="preserve"> </m:t>
                  </m:r>
                  <m:r>
                    <w:rPr>
                      <w:rFonts w:ascii="Cambria Math" w:hAnsi="Cambria Math"/>
                      <w:color w:val="000000" w:themeColor="text1"/>
                    </w:rPr>
                    <m:t>near</m:t>
                  </m:r>
                  <m:r>
                    <w:rPr>
                      <w:rFonts w:ascii="Cambria Math" w:hAnsi="Cambria Math"/>
                      <w:color w:val="000000" w:themeColor="text1"/>
                    </w:rPr>
                    <m:t xml:space="preserve"> </m:t>
                  </m:r>
                  <m:r>
                    <w:rPr>
                      <w:rFonts w:ascii="Cambria Math" w:hAnsi="Cambria Math"/>
                      <w:color w:val="000000" w:themeColor="text1"/>
                    </w:rPr>
                    <m:t>boundary</m:t>
                  </m:r>
                </m:e>
              </m:d>
              <m:r>
                <w:rPr>
                  <w:rFonts w:ascii="Cambria Math" w:hAnsi="Cambria Math"/>
                  <w:color w:val="000000" w:themeColor="text1"/>
                </w:rPr>
                <m:t xml:space="preserve">         #</m:t>
              </m:r>
              <m:d>
                <m:dPr>
                  <m:ctrlPr>
                    <w:rPr>
                      <w:rFonts w:ascii="Cambria Math" w:hAnsi="Cambria Math"/>
                      <w:i/>
                      <w:iCs/>
                      <w:color w:val="000000" w:themeColor="text1"/>
                    </w:rPr>
                  </m:ctrlPr>
                </m:dPr>
                <m:e>
                  <m:r>
                    <w:rPr>
                      <w:rFonts w:ascii="Cambria Math" w:hAnsi="Cambria Math"/>
                      <w:color w:val="000000" w:themeColor="text1"/>
                    </w:rPr>
                    <m:t>2</m:t>
                  </m:r>
                </m:e>
              </m:d>
            </m:e>
          </m:eqArr>
        </m:oMath>
      </m:oMathPara>
    </w:p>
    <w:p w14:paraId="69002553" w14:textId="5380E72C" w:rsidR="00820EF3" w:rsidRPr="00DD4D3B" w:rsidRDefault="00985113" w:rsidP="00D70428">
      <w:pPr>
        <w:spacing w:after="120" w:line="276" w:lineRule="auto"/>
        <w:jc w:val="both"/>
        <w:rPr>
          <w:color w:val="000000" w:themeColor="text1"/>
        </w:rPr>
      </w:pPr>
      <w:r w:rsidRPr="00DD4D3B">
        <w:rPr>
          <w:color w:val="000000" w:themeColor="text1"/>
        </w:rPr>
        <w:t xml:space="preserve">where </w:t>
      </w:r>
      <w:r w:rsidR="004E0241" w:rsidRPr="00DD4D3B">
        <w:rPr>
          <w:color w:val="000000" w:themeColor="text1"/>
        </w:rPr>
        <w:t>D</w:t>
      </w:r>
      <w:r w:rsidR="004E0918" w:rsidRPr="00DD4D3B">
        <w:rPr>
          <w:color w:val="000000" w:themeColor="text1"/>
        </w:rPr>
        <w:t xml:space="preserve"> </w:t>
      </w:r>
      <w:r w:rsidR="004E0918" w:rsidRPr="00DD4D3B">
        <w:rPr>
          <w:color w:val="000000" w:themeColor="text1"/>
          <w:vertAlign w:val="subscript"/>
        </w:rPr>
        <w:t>min</w:t>
      </w:r>
      <w:r w:rsidR="004E0918" w:rsidRPr="00DD4D3B">
        <w:rPr>
          <w:color w:val="000000" w:themeColor="text1"/>
        </w:rPr>
        <w:t xml:space="preserve"> </w:t>
      </w:r>
      <w:r w:rsidRPr="00DD4D3B">
        <w:rPr>
          <w:color w:val="000000" w:themeColor="text1"/>
        </w:rPr>
        <w:t xml:space="preserve"> </w:t>
      </w:r>
      <w:r w:rsidR="004E0241" w:rsidRPr="00DD4D3B">
        <w:rPr>
          <w:color w:val="000000" w:themeColor="text1"/>
        </w:rPr>
        <w:t xml:space="preserve"> </w:t>
      </w:r>
      <w:r w:rsidRPr="00DD4D3B">
        <w:rPr>
          <w:color w:val="000000" w:themeColor="text1"/>
        </w:rPr>
        <w:t>is the distance to the nearest service boundary, Zandbergen (2009) showed that even 50 m errors can cause misrouting near boundaries.</w:t>
      </w:r>
    </w:p>
    <w:p w14:paraId="633DFDA6" w14:textId="77777777" w:rsidR="00A92322" w:rsidRPr="00DD4D3B" w:rsidRDefault="009A0B23">
      <w:pPr>
        <w:spacing w:after="40"/>
        <w:jc w:val="center"/>
        <w:rPr>
          <w:color w:val="000000" w:themeColor="text1"/>
        </w:rPr>
      </w:pPr>
      <w:r w:rsidRPr="00DD4D3B">
        <w:rPr>
          <w:noProof/>
          <w:color w:val="000000" w:themeColor="text1"/>
        </w:rPr>
        <w:lastRenderedPageBreak/>
        <w:drawing>
          <wp:inline distT="0" distB="0" distL="0" distR="0" wp14:anchorId="557E0CEC" wp14:editId="0C7ED25E">
            <wp:extent cx="5443524" cy="3219450"/>
            <wp:effectExtent l="0" t="0" r="5080" b="0"/>
            <wp:docPr id="1071451504" name="Picture 107145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51504" name="Picture 107145150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2294" cy="3242380"/>
                    </a:xfrm>
                    <a:prstGeom prst="rect">
                      <a:avLst/>
                    </a:prstGeom>
                  </pic:spPr>
                </pic:pic>
              </a:graphicData>
            </a:graphic>
          </wp:inline>
        </w:drawing>
      </w:r>
    </w:p>
    <w:p w14:paraId="09469F8E" w14:textId="4813B9CA" w:rsidR="00820EF3" w:rsidRPr="00DD4D3B" w:rsidRDefault="00985113" w:rsidP="00D70428">
      <w:pPr>
        <w:spacing w:before="40" w:after="120" w:line="276" w:lineRule="auto"/>
        <w:rPr>
          <w:color w:val="000000" w:themeColor="text1"/>
        </w:rPr>
      </w:pPr>
      <w:r w:rsidRPr="00DD4D3B">
        <w:rPr>
          <w:b/>
          <w:i/>
          <w:color w:val="000000" w:themeColor="text1"/>
          <w:sz w:val="20"/>
        </w:rPr>
        <w:t xml:space="preserve">Figure </w:t>
      </w:r>
      <w:r w:rsidR="00030CBD">
        <w:rPr>
          <w:b/>
          <w:i/>
          <w:color w:val="000000" w:themeColor="text1"/>
          <w:sz w:val="20"/>
        </w:rPr>
        <w:t>3</w:t>
      </w:r>
      <w:r w:rsidRPr="00DD4D3B">
        <w:rPr>
          <w:b/>
          <w:i/>
          <w:color w:val="000000" w:themeColor="text1"/>
          <w:sz w:val="20"/>
        </w:rPr>
        <w:t xml:space="preserve">. </w:t>
      </w:r>
      <w:r w:rsidRPr="00DD4D3B">
        <w:rPr>
          <w:i/>
          <w:color w:val="000000" w:themeColor="text1"/>
          <w:sz w:val="20"/>
        </w:rPr>
        <w:t>Modeled cumulative distribution of positional errors by area type</w:t>
      </w:r>
      <w:r w:rsidRPr="00DD4D3B">
        <w:rPr>
          <w:i/>
          <w:iCs/>
          <w:color w:val="000000" w:themeColor="text1"/>
          <w:sz w:val="20"/>
          <w:szCs w:val="20"/>
        </w:rPr>
        <w:t>.</w:t>
      </w:r>
      <w:r w:rsidRPr="00DD4D3B">
        <w:rPr>
          <w:i/>
          <w:color w:val="000000" w:themeColor="text1"/>
          <w:sz w:val="20"/>
        </w:rPr>
        <w:t xml:space="preserve"> At 50 </w:t>
      </w:r>
      <w:r w:rsidRPr="00DD4D3B">
        <w:rPr>
          <w:i/>
          <w:iCs/>
          <w:color w:val="000000" w:themeColor="text1"/>
          <w:sz w:val="20"/>
          <w:szCs w:val="20"/>
        </w:rPr>
        <w:t>m,</w:t>
      </w:r>
      <w:r w:rsidRPr="00DD4D3B">
        <w:rPr>
          <w:i/>
          <w:color w:val="000000" w:themeColor="text1"/>
          <w:sz w:val="20"/>
        </w:rPr>
        <w:t xml:space="preserve"> over 60% of urban but fewer than 20% of rural addresses fall within acceptable error</w:t>
      </w:r>
      <w:r w:rsidRPr="00DD4D3B">
        <w:rPr>
          <w:i/>
          <w:iCs/>
          <w:color w:val="000000" w:themeColor="text1"/>
          <w:sz w:val="20"/>
          <w:szCs w:val="20"/>
        </w:rPr>
        <w:t xml:space="preserve">. Source: Based on distributions from Cayo and Talbot (2003) and Bonner et al. </w:t>
      </w:r>
      <w:r w:rsidRPr="00DD4D3B">
        <w:rPr>
          <w:i/>
          <w:color w:val="000000" w:themeColor="text1"/>
          <w:sz w:val="20"/>
        </w:rPr>
        <w:t>(2003).</w:t>
      </w:r>
    </w:p>
    <w:p w14:paraId="7563D1D7" w14:textId="77777777" w:rsidR="00820EF3" w:rsidRPr="00DD4D3B" w:rsidRDefault="00985113" w:rsidP="00D70428">
      <w:pPr>
        <w:pStyle w:val="Heading2"/>
        <w:spacing w:line="276" w:lineRule="auto"/>
        <w:rPr>
          <w:color w:val="000000" w:themeColor="text1"/>
        </w:rPr>
      </w:pPr>
      <w:r w:rsidRPr="00DD4D3B">
        <w:rPr>
          <w:color w:val="000000" w:themeColor="text1"/>
        </w:rPr>
        <w:t>4.2 Attribute Accuracy and Completeness</w:t>
      </w:r>
    </w:p>
    <w:p w14:paraId="7B03CA91" w14:textId="4F6D4A53" w:rsidR="00820EF3" w:rsidRPr="00DD4D3B" w:rsidRDefault="00985113" w:rsidP="00D70428">
      <w:pPr>
        <w:spacing w:after="120" w:line="276" w:lineRule="auto"/>
        <w:jc w:val="both"/>
        <w:rPr>
          <w:color w:val="000000" w:themeColor="text1"/>
        </w:rPr>
      </w:pPr>
      <w:r w:rsidRPr="00DD4D3B">
        <w:rPr>
          <w:color w:val="000000" w:themeColor="text1"/>
        </w:rPr>
        <w:t>Completeness is expressed as:</w:t>
      </w:r>
    </w:p>
    <w:p w14:paraId="28960993" w14:textId="23E03F9A" w:rsidR="001F31E9" w:rsidRPr="00DD4D3B" w:rsidRDefault="00EE1A3F" w:rsidP="00D70428">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C</m:t>
              </m:r>
              <m:r>
                <w:rPr>
                  <w:rFonts w:ascii="Cambria Math" w:hAnsi="Cambria Math"/>
                  <w:color w:val="000000" w:themeColor="text1"/>
                </w:rPr>
                <m:t xml:space="preserve"> = </m:t>
              </m:r>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actual</m:t>
                          </m:r>
                        </m:sub>
                      </m:sSub>
                    </m:num>
                    <m:den>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expected</m:t>
                          </m:r>
                        </m:sub>
                      </m:sSub>
                    </m:den>
                  </m:f>
                </m:e>
              </m:d>
              <m:r>
                <w:rPr>
                  <w:rFonts w:ascii="Cambria Math" w:hAnsi="Cambria Math"/>
                  <w:color w:val="000000" w:themeColor="text1"/>
                </w:rPr>
                <m:t>× 100%          #</m:t>
              </m:r>
              <m:d>
                <m:dPr>
                  <m:ctrlPr>
                    <w:rPr>
                      <w:rFonts w:ascii="Cambria Math" w:hAnsi="Cambria Math"/>
                      <w:i/>
                      <w:iCs/>
                      <w:color w:val="000000" w:themeColor="text1"/>
                    </w:rPr>
                  </m:ctrlPr>
                </m:dPr>
                <m:e>
                  <m:r>
                    <w:rPr>
                      <w:rFonts w:ascii="Cambria Math" w:hAnsi="Cambria Math"/>
                      <w:color w:val="000000" w:themeColor="text1"/>
                    </w:rPr>
                    <m:t>3</m:t>
                  </m:r>
                </m:e>
              </m:d>
            </m:e>
          </m:eqArr>
        </m:oMath>
      </m:oMathPara>
    </w:p>
    <w:p w14:paraId="1343DB3E" w14:textId="77777777" w:rsidR="00A761B5" w:rsidRPr="00DD4D3B" w:rsidRDefault="00A761B5">
      <w:pPr>
        <w:spacing w:before="80" w:after="80" w:line="276" w:lineRule="auto"/>
        <w:jc w:val="center"/>
        <w:rPr>
          <w:color w:val="000000" w:themeColor="text1"/>
        </w:rPr>
      </w:pPr>
    </w:p>
    <w:p w14:paraId="329BA91E" w14:textId="5DB09C3B" w:rsidR="00820EF3" w:rsidRPr="00DD4D3B" w:rsidRDefault="00A761B5" w:rsidP="00D70428">
      <w:pPr>
        <w:spacing w:after="120" w:line="276" w:lineRule="auto"/>
        <w:jc w:val="both"/>
        <w:rPr>
          <w:color w:val="000000" w:themeColor="text1"/>
        </w:rPr>
      </w:pPr>
      <w:r w:rsidRPr="00DD4D3B">
        <w:rPr>
          <w:color w:val="000000" w:themeColor="text1"/>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actual</m:t>
            </m:r>
          </m:sub>
        </m:sSub>
      </m:oMath>
      <w:r w:rsidR="00985113" w:rsidRPr="00DD4D3B">
        <w:rPr>
          <w:color w:val="000000" w:themeColor="text1"/>
        </w:rPr>
        <w:t xml:space="preserve">is the </w:t>
      </w:r>
      <w:r w:rsidRPr="00DD4D3B">
        <w:rPr>
          <w:color w:val="000000" w:themeColor="text1"/>
        </w:rPr>
        <w:t>GIS</w:t>
      </w:r>
      <w:r w:rsidR="00985113" w:rsidRPr="00DD4D3B">
        <w:rPr>
          <w:color w:val="000000" w:themeColor="text1"/>
        </w:rPr>
        <w:t xml:space="preserve"> address </w:t>
      </w:r>
      <w:r w:rsidRPr="00DD4D3B">
        <w:rPr>
          <w:color w:val="000000" w:themeColor="text1"/>
        </w:rPr>
        <w:t>count,</w:t>
      </w:r>
      <w:r w:rsidR="00985113" w:rsidRPr="00DD4D3B">
        <w:rPr>
          <w:color w:val="000000" w:themeColor="text1"/>
        </w:rPr>
        <w:t xml:space="preserve"> and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expected</m:t>
            </m:r>
          </m:sub>
        </m:sSub>
      </m:oMath>
      <w:r w:rsidR="001F31E9" w:rsidRPr="00DD4D3B">
        <w:rPr>
          <w:iCs/>
          <w:color w:val="000000" w:themeColor="text1"/>
        </w:rPr>
        <w:t xml:space="preserve"> </w:t>
      </w:r>
      <w:r w:rsidR="00985113" w:rsidRPr="00DD4D3B">
        <w:rPr>
          <w:color w:val="000000" w:themeColor="text1"/>
        </w:rPr>
        <w:t>is the total addressable locations</w:t>
      </w:r>
      <w:r w:rsidRPr="00DD4D3B">
        <w:rPr>
          <w:color w:val="000000" w:themeColor="text1"/>
        </w:rPr>
        <w:t xml:space="preserve">. Rates </w:t>
      </w:r>
      <w:r w:rsidR="00985113" w:rsidRPr="00DD4D3B">
        <w:rPr>
          <w:color w:val="000000" w:themeColor="text1"/>
        </w:rPr>
        <w:t xml:space="preserve">below 95% </w:t>
      </w:r>
      <w:r w:rsidRPr="00DD4D3B">
        <w:rPr>
          <w:color w:val="000000" w:themeColor="text1"/>
        </w:rPr>
        <w:t>are</w:t>
      </w:r>
      <w:r w:rsidR="00985113" w:rsidRPr="00DD4D3B">
        <w:rPr>
          <w:color w:val="000000" w:themeColor="text1"/>
        </w:rPr>
        <w:t xml:space="preserve"> problematic for routing</w:t>
      </w:r>
      <w:r w:rsidRPr="00DD4D3B">
        <w:rPr>
          <w:color w:val="000000" w:themeColor="text1"/>
        </w:rPr>
        <w:t>. NENA-</w:t>
      </w:r>
      <w:r w:rsidR="00985113" w:rsidRPr="00DD4D3B">
        <w:rPr>
          <w:color w:val="000000" w:themeColor="text1"/>
        </w:rPr>
        <w:t>INF-014 (2020) reported common deficiencies</w:t>
      </w:r>
      <w:r w:rsidRPr="00DD4D3B">
        <w:rPr>
          <w:color w:val="000000" w:themeColor="text1"/>
        </w:rPr>
        <w:t>, including</w:t>
      </w:r>
      <w:r w:rsidR="00985113" w:rsidRPr="00DD4D3B">
        <w:rPr>
          <w:color w:val="000000" w:themeColor="text1"/>
        </w:rPr>
        <w:t xml:space="preserve"> missing postal codes, inconsistent </w:t>
      </w:r>
      <w:r w:rsidRPr="00DD4D3B">
        <w:rPr>
          <w:color w:val="000000" w:themeColor="text1"/>
        </w:rPr>
        <w:t>directionals</w:t>
      </w:r>
      <w:r w:rsidR="00985113" w:rsidRPr="00DD4D3B">
        <w:rPr>
          <w:color w:val="000000" w:themeColor="text1"/>
        </w:rPr>
        <w:t xml:space="preserve">, null community names, and absent placement </w:t>
      </w:r>
      <w:r w:rsidRPr="00DD4D3B">
        <w:rPr>
          <w:color w:val="000000" w:themeColor="text1"/>
        </w:rPr>
        <w:t>methods</w:t>
      </w:r>
      <w:r w:rsidR="00985113" w:rsidRPr="00DD4D3B">
        <w:rPr>
          <w:color w:val="000000" w:themeColor="text1"/>
        </w:rPr>
        <w:t xml:space="preserve">. The attribute deficiency rate </w:t>
      </w:r>
      <w:r w:rsidRPr="00DD4D3B">
        <w:rPr>
          <w:color w:val="000000" w:themeColor="text1"/>
        </w:rPr>
        <w:t>is</w:t>
      </w:r>
      <w:r w:rsidR="00985113" w:rsidRPr="00DD4D3B">
        <w:rPr>
          <w:color w:val="000000" w:themeColor="text1"/>
        </w:rPr>
        <w:t>:</w:t>
      </w:r>
    </w:p>
    <w:p w14:paraId="18B3C096" w14:textId="5B66728D" w:rsidR="00820EF3" w:rsidRPr="00DD4D3B" w:rsidRDefault="00EE1A3F" w:rsidP="00D70428">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ADR</m:t>
              </m:r>
              <m:r>
                <w:rPr>
                  <w:rFonts w:ascii="Cambria Math" w:hAnsi="Cambria Math"/>
                  <w:color w:val="000000" w:themeColor="text1"/>
                </w:rPr>
                <m:t xml:space="preserve"> = </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e>
              </m:d>
              <m:r>
                <w:rPr>
                  <w:rFonts w:ascii="Cambria Math" w:hAnsi="Cambria Math"/>
                  <w:color w:val="000000" w:themeColor="text1"/>
                </w:rPr>
                <m:t xml:space="preserve">∑ᵢ </m:t>
              </m:r>
              <m:d>
                <m:dPr>
                  <m:ctrlPr>
                    <w:rPr>
                      <w:rFonts w:ascii="Cambria Math" w:hAnsi="Cambria Math"/>
                      <w:i/>
                      <w:iCs/>
                      <w:color w:val="000000" w:themeColor="text1"/>
                    </w:rPr>
                  </m:ctrlPr>
                </m:dPr>
                <m:e>
                  <m:f>
                    <m:fPr>
                      <m:ctrlPr>
                        <w:rPr>
                          <w:rFonts w:ascii="Cambria Math" w:hAnsi="Cambria Math"/>
                          <w:i/>
                          <w:iCs/>
                          <w:color w:val="000000" w:themeColor="text1"/>
                        </w:rPr>
                      </m:ctrlPr>
                    </m:fPr>
                    <m:num>
                      <m:r>
                        <w:rPr>
                          <w:rFonts w:ascii="Cambria Math" w:hAnsi="Cambria Math"/>
                          <w:color w:val="000000" w:themeColor="text1"/>
                        </w:rPr>
                        <m:t>M</m:t>
                      </m:r>
                      <m:r>
                        <w:rPr>
                          <w:rFonts w:ascii="Cambria Math" w:hAnsi="Cambria Math"/>
                          <w:color w:val="000000" w:themeColor="text1"/>
                        </w:rPr>
                        <m:t>ᵢ</m:t>
                      </m:r>
                    </m:num>
                    <m:den>
                      <m:r>
                        <w:rPr>
                          <w:rFonts w:ascii="Cambria Math" w:hAnsi="Cambria Math"/>
                          <w:color w:val="000000" w:themeColor="text1"/>
                        </w:rPr>
                        <m:t>F</m:t>
                      </m:r>
                    </m:den>
                  </m:f>
                </m:e>
              </m:d>
              <m:r>
                <w:rPr>
                  <w:rFonts w:ascii="Cambria Math" w:hAnsi="Cambria Math"/>
                  <w:color w:val="000000" w:themeColor="text1"/>
                </w:rPr>
                <m:t xml:space="preserve">× 100%         </m:t>
              </m:r>
              <m:r>
                <w:rPr>
                  <w:rFonts w:ascii="Cambria Math" w:hAnsi="Cambria Math"/>
                  <w:color w:val="000000" w:themeColor="text1"/>
                </w:rPr>
                <m:t xml:space="preserve"> #</m:t>
              </m:r>
              <m:d>
                <m:dPr>
                  <m:ctrlPr>
                    <w:rPr>
                      <w:rFonts w:ascii="Cambria Math" w:hAnsi="Cambria Math"/>
                      <w:i/>
                      <w:iCs/>
                      <w:color w:val="000000" w:themeColor="text1"/>
                    </w:rPr>
                  </m:ctrlPr>
                </m:dPr>
                <m:e>
                  <m:r>
                    <w:rPr>
                      <w:rFonts w:ascii="Cambria Math" w:hAnsi="Cambria Math"/>
                      <w:color w:val="000000" w:themeColor="text1"/>
                    </w:rPr>
                    <m:t>4</m:t>
                  </m:r>
                </m:e>
              </m:d>
            </m:e>
          </m:eqArr>
        </m:oMath>
      </m:oMathPara>
    </w:p>
    <w:p w14:paraId="140E8FFE" w14:textId="77777777" w:rsidR="001F31E9" w:rsidRPr="00DD4D3B" w:rsidRDefault="001F31E9" w:rsidP="00D70428">
      <w:pPr>
        <w:spacing w:before="80" w:after="80" w:line="276" w:lineRule="auto"/>
        <w:jc w:val="center"/>
        <w:rPr>
          <w:color w:val="000000" w:themeColor="text1"/>
        </w:rPr>
      </w:pPr>
    </w:p>
    <w:p w14:paraId="0E0E390C" w14:textId="5F19B721" w:rsidR="00A92322" w:rsidRPr="00DD4D3B" w:rsidRDefault="00985113">
      <w:pPr>
        <w:spacing w:after="120" w:line="276" w:lineRule="auto"/>
        <w:jc w:val="both"/>
        <w:rPr>
          <w:color w:val="000000" w:themeColor="text1"/>
        </w:rPr>
      </w:pPr>
      <w:r w:rsidRPr="00DD4D3B">
        <w:rPr>
          <w:color w:val="000000" w:themeColor="text1"/>
        </w:rPr>
        <w:t xml:space="preserve">where Mᵢ is the number of missing fields in record i and </w:t>
      </w:r>
      <m:oMath>
        <m:r>
          <w:rPr>
            <w:rFonts w:ascii="Cambria Math" w:hAnsi="Cambria Math"/>
            <w:color w:val="000000" w:themeColor="text1"/>
          </w:rPr>
          <m:t>F</m:t>
        </m:r>
      </m:oMath>
      <w:r w:rsidRPr="00DD4D3B">
        <w:rPr>
          <w:color w:val="000000" w:themeColor="text1"/>
        </w:rPr>
        <w:t xml:space="preserve"> is the total required fields. Figure 5 shows the most common deficiency types, and Figure 3 presents the six quality dimensions relevant to NG9-1-1. Table 3 summarizes the key studies.</w:t>
      </w:r>
    </w:p>
    <w:p w14:paraId="52AF2806" w14:textId="77777777" w:rsidR="00A92322" w:rsidRPr="00DD4D3B" w:rsidRDefault="009A0B23">
      <w:pPr>
        <w:spacing w:after="40"/>
        <w:jc w:val="center"/>
        <w:rPr>
          <w:color w:val="000000" w:themeColor="text1"/>
        </w:rPr>
      </w:pPr>
      <w:r w:rsidRPr="00DD4D3B">
        <w:rPr>
          <w:noProof/>
          <w:color w:val="000000" w:themeColor="text1"/>
        </w:rPr>
        <w:lastRenderedPageBreak/>
        <w:drawing>
          <wp:inline distT="0" distB="0" distL="0" distR="0" wp14:anchorId="48B52847" wp14:editId="6ECB68C2">
            <wp:extent cx="6138153" cy="3423920"/>
            <wp:effectExtent l="0" t="0" r="0" b="5080"/>
            <wp:docPr id="175108382" name="Picture 17510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382" name="Picture 17510838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92118" cy="3454022"/>
                    </a:xfrm>
                    <a:prstGeom prst="rect">
                      <a:avLst/>
                    </a:prstGeom>
                  </pic:spPr>
                </pic:pic>
              </a:graphicData>
            </a:graphic>
          </wp:inline>
        </w:drawing>
      </w:r>
    </w:p>
    <w:p w14:paraId="66693905" w14:textId="0EAFDD47" w:rsidR="00820EF3" w:rsidRPr="00DD4D3B" w:rsidRDefault="009A0B23" w:rsidP="00D70428">
      <w:pPr>
        <w:spacing w:before="40" w:after="120" w:line="276" w:lineRule="auto"/>
        <w:rPr>
          <w:color w:val="000000" w:themeColor="text1"/>
        </w:rPr>
      </w:pPr>
      <w:r w:rsidRPr="00DD4D3B">
        <w:rPr>
          <w:b/>
          <w:bCs/>
          <w:i/>
          <w:iCs/>
          <w:color w:val="000000" w:themeColor="text1"/>
          <w:sz w:val="20"/>
          <w:szCs w:val="20"/>
        </w:rPr>
        <w:t xml:space="preserve">Figure </w:t>
      </w:r>
      <w:r w:rsidR="00030CBD">
        <w:rPr>
          <w:b/>
          <w:bCs/>
          <w:i/>
          <w:iCs/>
          <w:color w:val="000000" w:themeColor="text1"/>
          <w:sz w:val="20"/>
          <w:szCs w:val="20"/>
        </w:rPr>
        <w:t>4</w:t>
      </w:r>
      <w:r w:rsidR="00985113" w:rsidRPr="00DD4D3B">
        <w:rPr>
          <w:b/>
          <w:i/>
          <w:color w:val="000000" w:themeColor="text1"/>
          <w:sz w:val="20"/>
        </w:rPr>
        <w:t xml:space="preserve">. </w:t>
      </w:r>
      <w:r w:rsidR="00985113" w:rsidRPr="00DD4D3B">
        <w:rPr>
          <w:i/>
          <w:color w:val="000000" w:themeColor="text1"/>
          <w:sz w:val="20"/>
        </w:rPr>
        <w:t>Most commonly reported address point deficiencies in NG9-1-1 readiness assessments</w:t>
      </w:r>
      <w:r w:rsidR="00A21BFE" w:rsidRPr="00DD4D3B">
        <w:rPr>
          <w:i/>
          <w:iCs/>
          <w:color w:val="000000" w:themeColor="text1"/>
          <w:sz w:val="20"/>
          <w:szCs w:val="20"/>
        </w:rPr>
        <w:t>—s</w:t>
      </w:r>
      <w:r w:rsidRPr="00DD4D3B">
        <w:rPr>
          <w:i/>
          <w:iCs/>
          <w:color w:val="000000" w:themeColor="text1"/>
          <w:sz w:val="20"/>
          <w:szCs w:val="20"/>
        </w:rPr>
        <w:t>ource: Synthesized</w:t>
      </w:r>
      <w:r w:rsidR="00985113" w:rsidRPr="00DD4D3B">
        <w:rPr>
          <w:i/>
          <w:color w:val="000000" w:themeColor="text1"/>
          <w:sz w:val="20"/>
        </w:rPr>
        <w:t xml:space="preserve"> from NENA-INF-014 (2020</w:t>
      </w:r>
      <w:r w:rsidRPr="00DD4D3B">
        <w:rPr>
          <w:i/>
          <w:iCs/>
          <w:color w:val="000000" w:themeColor="text1"/>
          <w:sz w:val="20"/>
          <w:szCs w:val="20"/>
        </w:rPr>
        <w:t>) and</w:t>
      </w:r>
      <w:r w:rsidR="00985113" w:rsidRPr="00DD4D3B">
        <w:rPr>
          <w:i/>
          <w:color w:val="000000" w:themeColor="text1"/>
          <w:sz w:val="20"/>
        </w:rPr>
        <w:t xml:space="preserve"> state-level reports.</w:t>
      </w:r>
    </w:p>
    <w:p w14:paraId="0C084B99" w14:textId="77777777" w:rsidR="00A92322" w:rsidRPr="00DD4D3B" w:rsidRDefault="009A0B23">
      <w:pPr>
        <w:spacing w:after="40"/>
        <w:jc w:val="center"/>
        <w:rPr>
          <w:color w:val="000000" w:themeColor="text1"/>
        </w:rPr>
      </w:pPr>
      <w:r w:rsidRPr="00DD4D3B">
        <w:rPr>
          <w:noProof/>
          <w:color w:val="000000" w:themeColor="text1"/>
        </w:rPr>
        <w:lastRenderedPageBreak/>
        <w:drawing>
          <wp:inline distT="0" distB="0" distL="0" distR="0" wp14:anchorId="1D479AC8" wp14:editId="01D8A1FF">
            <wp:extent cx="5807413" cy="4367530"/>
            <wp:effectExtent l="0" t="0" r="0" b="1270"/>
            <wp:docPr id="1142372562" name="Picture 114237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2562" name="Picture 114237256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24695" cy="4756558"/>
                    </a:xfrm>
                    <a:prstGeom prst="rect">
                      <a:avLst/>
                    </a:prstGeom>
                  </pic:spPr>
                </pic:pic>
              </a:graphicData>
            </a:graphic>
          </wp:inline>
        </w:drawing>
      </w:r>
    </w:p>
    <w:p w14:paraId="19F7FCCF" w14:textId="2D14ED95" w:rsidR="00820EF3" w:rsidRPr="00DD4D3B" w:rsidRDefault="00985113" w:rsidP="00D70428">
      <w:pPr>
        <w:spacing w:before="40" w:after="120" w:line="276" w:lineRule="auto"/>
        <w:rPr>
          <w:color w:val="000000" w:themeColor="text1"/>
        </w:rPr>
      </w:pPr>
      <w:r w:rsidRPr="00DD4D3B">
        <w:rPr>
          <w:b/>
          <w:i/>
          <w:color w:val="000000" w:themeColor="text1"/>
          <w:sz w:val="20"/>
        </w:rPr>
        <w:t xml:space="preserve">Figure </w:t>
      </w:r>
      <w:r w:rsidR="00030CBD">
        <w:rPr>
          <w:b/>
          <w:i/>
          <w:color w:val="000000" w:themeColor="text1"/>
          <w:sz w:val="20"/>
        </w:rPr>
        <w:t>5</w:t>
      </w:r>
      <w:r w:rsidRPr="00DD4D3B">
        <w:rPr>
          <w:b/>
          <w:i/>
          <w:color w:val="000000" w:themeColor="text1"/>
          <w:sz w:val="20"/>
        </w:rPr>
        <w:t xml:space="preserve">. </w:t>
      </w:r>
      <w:r w:rsidRPr="00DD4D3B">
        <w:rPr>
          <w:i/>
          <w:color w:val="000000" w:themeColor="text1"/>
          <w:sz w:val="20"/>
        </w:rPr>
        <w:t>Dimensions of GIS data quality relevant to NG9-1-1</w:t>
      </w:r>
      <w:r w:rsidR="00A21BFE" w:rsidRPr="00DD4D3B">
        <w:rPr>
          <w:i/>
          <w:iCs/>
          <w:color w:val="000000" w:themeColor="text1"/>
          <w:sz w:val="20"/>
          <w:szCs w:val="20"/>
        </w:rPr>
        <w:t>—s</w:t>
      </w:r>
      <w:r w:rsidRPr="00DD4D3B">
        <w:rPr>
          <w:i/>
          <w:iCs/>
          <w:color w:val="000000" w:themeColor="text1"/>
          <w:sz w:val="20"/>
          <w:szCs w:val="20"/>
        </w:rPr>
        <w:t>ource: Adapted</w:t>
      </w:r>
      <w:r w:rsidRPr="00DD4D3B">
        <w:rPr>
          <w:i/>
          <w:color w:val="000000" w:themeColor="text1"/>
          <w:sz w:val="20"/>
        </w:rPr>
        <w:t xml:space="preserve"> from </w:t>
      </w:r>
      <w:proofErr w:type="spellStart"/>
      <w:r w:rsidRPr="00DD4D3B">
        <w:rPr>
          <w:i/>
          <w:color w:val="000000" w:themeColor="text1"/>
          <w:sz w:val="20"/>
        </w:rPr>
        <w:t>Devillers</w:t>
      </w:r>
      <w:proofErr w:type="spellEnd"/>
      <w:r w:rsidRPr="00DD4D3B">
        <w:rPr>
          <w:i/>
          <w:color w:val="000000" w:themeColor="text1"/>
          <w:sz w:val="20"/>
        </w:rPr>
        <w:t xml:space="preserve"> and </w:t>
      </w:r>
      <w:proofErr w:type="spellStart"/>
      <w:r w:rsidRPr="00DD4D3B">
        <w:rPr>
          <w:i/>
          <w:color w:val="000000" w:themeColor="text1"/>
          <w:sz w:val="20"/>
        </w:rPr>
        <w:t>Jeansoulin</w:t>
      </w:r>
      <w:proofErr w:type="spellEnd"/>
      <w:r w:rsidRPr="00DD4D3B">
        <w:rPr>
          <w:i/>
          <w:color w:val="000000" w:themeColor="text1"/>
          <w:sz w:val="20"/>
        </w:rPr>
        <w:t xml:space="preserve"> (2006) and NENA-STA-006.2 (2022).</w:t>
      </w:r>
    </w:p>
    <w:p w14:paraId="2C10C8E1" w14:textId="64566037" w:rsidR="00820EF3" w:rsidRPr="00DD4D3B" w:rsidRDefault="00985113" w:rsidP="00D70428">
      <w:pPr>
        <w:spacing w:after="30"/>
        <w:rPr>
          <w:color w:val="000000" w:themeColor="text1"/>
        </w:rPr>
      </w:pPr>
      <w:r w:rsidRPr="00DD4D3B">
        <w:rPr>
          <w:b/>
          <w:bCs/>
          <w:i/>
          <w:iCs/>
          <w:color w:val="000000" w:themeColor="text1"/>
        </w:rPr>
        <w:t>Table 3</w:t>
      </w:r>
      <w:r w:rsidR="001F31E9" w:rsidRPr="00DD4D3B">
        <w:rPr>
          <w:color w:val="000000" w:themeColor="text1"/>
        </w:rPr>
        <w:t>:</w:t>
      </w:r>
      <w:r w:rsidRPr="00DD4D3B">
        <w:rPr>
          <w:color w:val="000000" w:themeColor="text1"/>
        </w:rPr>
        <w:t xml:space="preserve"> </w:t>
      </w:r>
      <w:r w:rsidRPr="00DD4D3B">
        <w:rPr>
          <w:i/>
          <w:iCs/>
          <w:color w:val="000000" w:themeColor="text1"/>
        </w:rPr>
        <w:t>Key Studies on Address Data Quality Relevant to NG9-1-1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0"/>
        <w:gridCol w:w="2553"/>
        <w:gridCol w:w="2553"/>
        <w:gridCol w:w="2554"/>
      </w:tblGrid>
      <w:tr w:rsidR="00DD4D3B" w:rsidRPr="00DD4D3B" w14:paraId="0954FC71" w14:textId="77777777" w:rsidTr="00D70428">
        <w:tc>
          <w:tcPr>
            <w:tcW w:w="170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1AF72E31"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Study</w:t>
            </w:r>
          </w:p>
        </w:tc>
        <w:tc>
          <w:tcPr>
            <w:tcW w:w="25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17B3C819"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Focus</w:t>
            </w:r>
          </w:p>
        </w:tc>
        <w:tc>
          <w:tcPr>
            <w:tcW w:w="25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671026B2"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Key Finding</w:t>
            </w:r>
          </w:p>
        </w:tc>
        <w:tc>
          <w:tcPr>
            <w:tcW w:w="2554"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71A95CAB"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NG9-1-1 Relevance</w:t>
            </w:r>
          </w:p>
        </w:tc>
      </w:tr>
      <w:tr w:rsidR="00DD4D3B" w:rsidRPr="00DD4D3B" w14:paraId="7B83A0EA"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C653952" w14:textId="77777777" w:rsidR="00820EF3" w:rsidRPr="00DD4D3B" w:rsidRDefault="00985113" w:rsidP="00D70428">
            <w:pPr>
              <w:spacing w:after="20" w:line="260" w:lineRule="auto"/>
              <w:rPr>
                <w:color w:val="000000" w:themeColor="text1"/>
              </w:rPr>
            </w:pPr>
            <w:r w:rsidRPr="00DD4D3B">
              <w:rPr>
                <w:color w:val="000000" w:themeColor="text1"/>
                <w:sz w:val="20"/>
                <w:szCs w:val="20"/>
              </w:rPr>
              <w:t>Zandbergen (2008)</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254B017" w14:textId="77777777" w:rsidR="00820EF3" w:rsidRPr="00DD4D3B" w:rsidRDefault="00985113" w:rsidP="00D70428">
            <w:pPr>
              <w:spacing w:after="20" w:line="260" w:lineRule="auto"/>
              <w:rPr>
                <w:color w:val="000000" w:themeColor="text1"/>
              </w:rPr>
            </w:pPr>
            <w:r w:rsidRPr="00DD4D3B">
              <w:rPr>
                <w:color w:val="000000" w:themeColor="text1"/>
                <w:sz w:val="20"/>
                <w:szCs w:val="20"/>
              </w:rPr>
              <w:t>Geocoding method comparison</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5F45020" w14:textId="60B6126B" w:rsidR="00820EF3" w:rsidRPr="00DD4D3B" w:rsidRDefault="00985113" w:rsidP="00D70428">
            <w:pPr>
              <w:spacing w:after="20" w:line="260" w:lineRule="auto"/>
              <w:rPr>
                <w:color w:val="000000" w:themeColor="text1"/>
              </w:rPr>
            </w:pPr>
            <w:r w:rsidRPr="00DD4D3B">
              <w:rPr>
                <w:color w:val="000000" w:themeColor="text1"/>
                <w:sz w:val="20"/>
                <w:szCs w:val="20"/>
              </w:rPr>
              <w:t>Address points most accurate</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8B2B982" w14:textId="43ED770D" w:rsidR="00820EF3" w:rsidRPr="00DD4D3B" w:rsidRDefault="009A0B23" w:rsidP="00D70428">
            <w:pPr>
              <w:spacing w:after="20" w:line="260" w:lineRule="auto"/>
              <w:rPr>
                <w:color w:val="000000" w:themeColor="text1"/>
              </w:rPr>
            </w:pPr>
            <w:r w:rsidRPr="00DD4D3B">
              <w:rPr>
                <w:color w:val="000000" w:themeColor="text1"/>
                <w:sz w:val="20"/>
                <w:szCs w:val="20"/>
              </w:rPr>
              <w:t>Routing</w:t>
            </w:r>
            <w:r w:rsidR="00985113" w:rsidRPr="00DD4D3B">
              <w:rPr>
                <w:color w:val="000000" w:themeColor="text1"/>
                <w:sz w:val="20"/>
                <w:szCs w:val="20"/>
              </w:rPr>
              <w:t xml:space="preserve"> depends on point quality</w:t>
            </w:r>
          </w:p>
        </w:tc>
      </w:tr>
      <w:tr w:rsidR="00DD4D3B" w:rsidRPr="00DD4D3B" w14:paraId="3D374969"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3C13868" w14:textId="77777777" w:rsidR="00820EF3" w:rsidRPr="00DD4D3B" w:rsidRDefault="00985113" w:rsidP="00D70428">
            <w:pPr>
              <w:spacing w:after="20" w:line="260" w:lineRule="auto"/>
              <w:rPr>
                <w:color w:val="000000" w:themeColor="text1"/>
              </w:rPr>
            </w:pPr>
            <w:r w:rsidRPr="00DD4D3B">
              <w:rPr>
                <w:color w:val="000000" w:themeColor="text1"/>
                <w:sz w:val="20"/>
                <w:szCs w:val="20"/>
              </w:rPr>
              <w:t>Cayo &amp; Talbot (2003)</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69DA9F3" w14:textId="10405AB0" w:rsidR="00820EF3" w:rsidRPr="00DD4D3B" w:rsidRDefault="009A0B23" w:rsidP="00D70428">
            <w:pPr>
              <w:spacing w:after="20" w:line="260" w:lineRule="auto"/>
              <w:rPr>
                <w:color w:val="000000" w:themeColor="text1"/>
              </w:rPr>
            </w:pPr>
            <w:r w:rsidRPr="00DD4D3B">
              <w:rPr>
                <w:color w:val="000000" w:themeColor="text1"/>
                <w:sz w:val="20"/>
                <w:szCs w:val="20"/>
              </w:rPr>
              <w:t>Error</w:t>
            </w:r>
            <w:r w:rsidR="00985113" w:rsidRPr="00DD4D3B">
              <w:rPr>
                <w:color w:val="000000" w:themeColor="text1"/>
                <w:sz w:val="20"/>
                <w:szCs w:val="20"/>
              </w:rPr>
              <w:t xml:space="preserve"> by density</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98DA3A6" w14:textId="0FE3C724" w:rsidR="00820EF3" w:rsidRPr="00DD4D3B" w:rsidRDefault="00985113" w:rsidP="00D70428">
            <w:pPr>
              <w:spacing w:after="20" w:line="260" w:lineRule="auto"/>
              <w:rPr>
                <w:color w:val="000000" w:themeColor="text1"/>
              </w:rPr>
            </w:pPr>
            <w:r w:rsidRPr="00DD4D3B">
              <w:rPr>
                <w:color w:val="000000" w:themeColor="text1"/>
                <w:sz w:val="20"/>
                <w:szCs w:val="20"/>
              </w:rPr>
              <w:t>614 m rural vs. 58 m urban</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9CBDF04" w14:textId="305B6235" w:rsidR="00820EF3" w:rsidRPr="00DD4D3B" w:rsidRDefault="00985113" w:rsidP="00D70428">
            <w:pPr>
              <w:spacing w:after="20" w:line="260" w:lineRule="auto"/>
              <w:rPr>
                <w:color w:val="000000" w:themeColor="text1"/>
              </w:rPr>
            </w:pPr>
            <w:r w:rsidRPr="00DD4D3B">
              <w:rPr>
                <w:color w:val="000000" w:themeColor="text1"/>
                <w:sz w:val="20"/>
                <w:szCs w:val="20"/>
              </w:rPr>
              <w:t>Rural errors exceed tolerance</w:t>
            </w:r>
          </w:p>
        </w:tc>
      </w:tr>
      <w:tr w:rsidR="00DD4D3B" w:rsidRPr="00DD4D3B" w14:paraId="4F46FF7B"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D081A63" w14:textId="77777777" w:rsidR="00820EF3" w:rsidRPr="00DD4D3B" w:rsidRDefault="00985113" w:rsidP="00D70428">
            <w:pPr>
              <w:spacing w:after="20" w:line="260" w:lineRule="auto"/>
              <w:rPr>
                <w:color w:val="000000" w:themeColor="text1"/>
              </w:rPr>
            </w:pPr>
            <w:r w:rsidRPr="00DD4D3B">
              <w:rPr>
                <w:color w:val="000000" w:themeColor="text1"/>
                <w:sz w:val="20"/>
                <w:szCs w:val="20"/>
              </w:rPr>
              <w:t>Ward et al. (2005)</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AE90842" w14:textId="3CD35296" w:rsidR="00820EF3" w:rsidRPr="00DD4D3B" w:rsidRDefault="00985113" w:rsidP="00D70428">
            <w:pPr>
              <w:spacing w:after="20" w:line="260" w:lineRule="auto"/>
              <w:rPr>
                <w:color w:val="000000" w:themeColor="text1"/>
              </w:rPr>
            </w:pPr>
            <w:r w:rsidRPr="00DD4D3B">
              <w:rPr>
                <w:color w:val="000000" w:themeColor="text1"/>
                <w:sz w:val="20"/>
                <w:szCs w:val="20"/>
              </w:rPr>
              <w:t>Rural geocoding</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8EE799C" w14:textId="716F92FC" w:rsidR="00820EF3" w:rsidRPr="00DD4D3B" w:rsidRDefault="00985113" w:rsidP="00D70428">
            <w:pPr>
              <w:spacing w:after="20" w:line="260" w:lineRule="auto"/>
              <w:rPr>
                <w:color w:val="000000" w:themeColor="text1"/>
              </w:rPr>
            </w:pPr>
            <w:r w:rsidRPr="00DD4D3B">
              <w:rPr>
                <w:color w:val="000000" w:themeColor="text1"/>
                <w:sz w:val="20"/>
                <w:szCs w:val="20"/>
              </w:rPr>
              <w:t>56% rural &lt; 100 m</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FBC20E6" w14:textId="6066B326" w:rsidR="00820EF3" w:rsidRPr="00DD4D3B" w:rsidRDefault="009A0B23" w:rsidP="00D70428">
            <w:pPr>
              <w:spacing w:after="20" w:line="260" w:lineRule="auto"/>
              <w:rPr>
                <w:color w:val="000000" w:themeColor="text1"/>
              </w:rPr>
            </w:pPr>
            <w:r w:rsidRPr="00DD4D3B">
              <w:rPr>
                <w:color w:val="000000" w:themeColor="text1"/>
                <w:sz w:val="20"/>
                <w:szCs w:val="20"/>
              </w:rPr>
              <w:t>Higher</w:t>
            </w:r>
            <w:r w:rsidR="00985113" w:rsidRPr="00DD4D3B">
              <w:rPr>
                <w:color w:val="000000" w:themeColor="text1"/>
                <w:sz w:val="20"/>
                <w:szCs w:val="20"/>
              </w:rPr>
              <w:t xml:space="preserve"> routing risk</w:t>
            </w:r>
          </w:p>
        </w:tc>
      </w:tr>
      <w:tr w:rsidR="00DD4D3B" w:rsidRPr="00DD4D3B" w14:paraId="2C5527D0" w14:textId="77777777" w:rsidTr="00D70428">
        <w:tc>
          <w:tcPr>
            <w:tcW w:w="17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1C3E90C" w14:textId="77777777" w:rsidR="00820EF3" w:rsidRPr="00DD4D3B" w:rsidRDefault="00985113" w:rsidP="00D70428">
            <w:pPr>
              <w:spacing w:after="20" w:line="260" w:lineRule="auto"/>
              <w:rPr>
                <w:color w:val="000000" w:themeColor="text1"/>
              </w:rPr>
            </w:pPr>
            <w:r w:rsidRPr="00DD4D3B">
              <w:rPr>
                <w:color w:val="000000" w:themeColor="text1"/>
                <w:sz w:val="20"/>
                <w:szCs w:val="20"/>
              </w:rPr>
              <w:t>Chow et al. (2016)</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3D069A0" w14:textId="5EF39E55" w:rsidR="00820EF3" w:rsidRPr="00DD4D3B" w:rsidRDefault="00985113" w:rsidP="00D70428">
            <w:pPr>
              <w:spacing w:after="20" w:line="260" w:lineRule="auto"/>
              <w:rPr>
                <w:color w:val="000000" w:themeColor="text1"/>
              </w:rPr>
            </w:pPr>
            <w:r w:rsidRPr="00DD4D3B">
              <w:rPr>
                <w:color w:val="000000" w:themeColor="text1"/>
                <w:sz w:val="20"/>
                <w:szCs w:val="20"/>
              </w:rPr>
              <w:t>Multi-platform</w:t>
            </w:r>
          </w:p>
        </w:tc>
        <w:tc>
          <w:tcPr>
            <w:tcW w:w="25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D70C0C4" w14:textId="430E0170" w:rsidR="00820EF3" w:rsidRPr="00DD4D3B" w:rsidRDefault="00985113" w:rsidP="00D70428">
            <w:pPr>
              <w:spacing w:after="20" w:line="260" w:lineRule="auto"/>
              <w:rPr>
                <w:color w:val="000000" w:themeColor="text1"/>
              </w:rPr>
            </w:pPr>
            <w:r w:rsidRPr="00DD4D3B">
              <w:rPr>
                <w:color w:val="000000" w:themeColor="text1"/>
                <w:sz w:val="20"/>
                <w:szCs w:val="20"/>
              </w:rPr>
              <w:t>Best: 24.8 m (parcel)</w:t>
            </w:r>
          </w:p>
        </w:tc>
        <w:tc>
          <w:tcPr>
            <w:tcW w:w="25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9A00E66" w14:textId="0B5A085F" w:rsidR="00820EF3" w:rsidRPr="00DD4D3B" w:rsidRDefault="00985113" w:rsidP="00D70428">
            <w:pPr>
              <w:spacing w:after="20" w:line="260" w:lineRule="auto"/>
              <w:rPr>
                <w:color w:val="000000" w:themeColor="text1"/>
              </w:rPr>
            </w:pPr>
            <w:r w:rsidRPr="00DD4D3B">
              <w:rPr>
                <w:color w:val="000000" w:themeColor="text1"/>
                <w:sz w:val="20"/>
                <w:szCs w:val="20"/>
              </w:rPr>
              <w:t>Platform choice matters</w:t>
            </w:r>
          </w:p>
        </w:tc>
      </w:tr>
      <w:tr w:rsidR="00DD4D3B" w:rsidRPr="00DD4D3B" w14:paraId="4A3BFD45" w14:textId="77777777" w:rsidTr="00D70428">
        <w:tc>
          <w:tcPr>
            <w:tcW w:w="170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2AE06344" w14:textId="77777777" w:rsidR="00820EF3" w:rsidRPr="00DD4D3B" w:rsidRDefault="00985113" w:rsidP="00D70428">
            <w:pPr>
              <w:spacing w:after="20" w:line="260" w:lineRule="auto"/>
              <w:rPr>
                <w:color w:val="000000" w:themeColor="text1"/>
              </w:rPr>
            </w:pPr>
            <w:r w:rsidRPr="00DD4D3B">
              <w:rPr>
                <w:color w:val="000000" w:themeColor="text1"/>
                <w:sz w:val="20"/>
                <w:szCs w:val="20"/>
              </w:rPr>
              <w:t>Boscoe (2013)</w:t>
            </w:r>
          </w:p>
        </w:tc>
        <w:tc>
          <w:tcPr>
            <w:tcW w:w="2553"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7D4CEA9C" w14:textId="77777777" w:rsidR="00820EF3" w:rsidRPr="00DD4D3B" w:rsidRDefault="00985113" w:rsidP="00D70428">
            <w:pPr>
              <w:spacing w:after="20" w:line="260" w:lineRule="auto"/>
              <w:rPr>
                <w:color w:val="000000" w:themeColor="text1"/>
              </w:rPr>
            </w:pPr>
            <w:r w:rsidRPr="00DD4D3B">
              <w:rPr>
                <w:color w:val="000000" w:themeColor="text1"/>
                <w:sz w:val="20"/>
                <w:szCs w:val="20"/>
              </w:rPr>
              <w:t>Database completeness</w:t>
            </w:r>
          </w:p>
        </w:tc>
        <w:tc>
          <w:tcPr>
            <w:tcW w:w="2553"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0AD16ABF" w14:textId="77777777" w:rsidR="00820EF3" w:rsidRPr="00DD4D3B" w:rsidRDefault="00985113" w:rsidP="00D70428">
            <w:pPr>
              <w:spacing w:after="20" w:line="260" w:lineRule="auto"/>
              <w:rPr>
                <w:color w:val="000000" w:themeColor="text1"/>
              </w:rPr>
            </w:pPr>
            <w:r w:rsidRPr="00DD4D3B">
              <w:rPr>
                <w:color w:val="000000" w:themeColor="text1"/>
                <w:sz w:val="20"/>
                <w:szCs w:val="20"/>
              </w:rPr>
              <w:t>Substantial rural gaps</w:t>
            </w:r>
          </w:p>
        </w:tc>
        <w:tc>
          <w:tcPr>
            <w:tcW w:w="2554"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1EF8CF78" w14:textId="77777777" w:rsidR="00820EF3" w:rsidRPr="00DD4D3B" w:rsidRDefault="00985113" w:rsidP="00D70428">
            <w:pPr>
              <w:spacing w:after="20" w:line="260" w:lineRule="auto"/>
              <w:rPr>
                <w:color w:val="000000" w:themeColor="text1"/>
              </w:rPr>
            </w:pPr>
            <w:r w:rsidRPr="00DD4D3B">
              <w:rPr>
                <w:color w:val="000000" w:themeColor="text1"/>
                <w:sz w:val="20"/>
                <w:szCs w:val="20"/>
              </w:rPr>
              <w:t>Missing addresses = missing callers</w:t>
            </w:r>
          </w:p>
        </w:tc>
      </w:tr>
    </w:tbl>
    <w:p w14:paraId="39D6FAD2" w14:textId="77777777" w:rsidR="00A92322" w:rsidRPr="00DD4D3B" w:rsidRDefault="009A0B23">
      <w:pPr>
        <w:spacing w:after="60" w:line="276" w:lineRule="auto"/>
        <w:jc w:val="both"/>
        <w:rPr>
          <w:color w:val="000000" w:themeColor="text1"/>
        </w:rPr>
      </w:pPr>
      <w:r w:rsidRPr="00DD4D3B">
        <w:rPr>
          <w:i/>
          <w:iCs/>
          <w:color w:val="000000" w:themeColor="text1"/>
          <w:sz w:val="20"/>
          <w:szCs w:val="20"/>
        </w:rPr>
        <w:t xml:space="preserve">Note. </w:t>
      </w:r>
      <w:r w:rsidRPr="00DD4D3B">
        <w:rPr>
          <w:color w:val="000000" w:themeColor="text1"/>
          <w:sz w:val="20"/>
          <w:szCs w:val="20"/>
        </w:rPr>
        <w:t>Studies listed chronologically. All findings are relevant to positional or attribute quality in the NG9-1-1 context.</w:t>
      </w:r>
    </w:p>
    <w:p w14:paraId="38067D51" w14:textId="4E52A7F8" w:rsidR="00820EF3" w:rsidRPr="00DD4D3B" w:rsidRDefault="00985113" w:rsidP="00D70428">
      <w:pPr>
        <w:pStyle w:val="Heading1"/>
        <w:spacing w:line="276" w:lineRule="auto"/>
        <w:rPr>
          <w:color w:val="000000" w:themeColor="text1"/>
        </w:rPr>
      </w:pPr>
      <w:r w:rsidRPr="00DD4D3B">
        <w:rPr>
          <w:color w:val="000000" w:themeColor="text1"/>
        </w:rPr>
        <w:t>5. Structural Barriers in Rural Jurisdictions</w:t>
      </w:r>
    </w:p>
    <w:p w14:paraId="6C026F8E" w14:textId="0AFC7FE4" w:rsidR="00820EF3" w:rsidRPr="00DD4D3B" w:rsidRDefault="00985113" w:rsidP="00D70428">
      <w:pPr>
        <w:spacing w:after="120" w:line="276" w:lineRule="auto"/>
        <w:jc w:val="both"/>
        <w:rPr>
          <w:color w:val="000000" w:themeColor="text1"/>
        </w:rPr>
      </w:pPr>
      <w:r w:rsidRPr="00DD4D3B">
        <w:rPr>
          <w:color w:val="000000" w:themeColor="text1"/>
        </w:rPr>
        <w:t xml:space="preserve">The challenges facing rural jurisdictions are structural, not merely technical. Solutions that assume urban levels of staffing and funding will not transfer. Rural counties must compete for limited budgets against immediate demands such as road maintenance and law enforcement, leaving GIS programs chronically underfunded. Many lack access to formal GIS training programs, and </w:t>
      </w:r>
      <w:r w:rsidR="00A510FD" w:rsidRPr="00DD4D3B">
        <w:rPr>
          <w:color w:val="000000" w:themeColor="text1"/>
        </w:rPr>
        <w:lastRenderedPageBreak/>
        <w:t xml:space="preserve">training that </w:t>
      </w:r>
      <w:r w:rsidRPr="00DD4D3B">
        <w:rPr>
          <w:color w:val="000000" w:themeColor="text1"/>
        </w:rPr>
        <w:t>limits the use of cloud-based collaboration tools that urban jurisdictions rely on for real-time data sharing.</w:t>
      </w:r>
      <w:r w:rsidR="007F37AE" w:rsidRPr="00DD4D3B">
        <w:rPr>
          <w:color w:val="000000" w:themeColor="text1"/>
        </w:rPr>
        <w:t xml:space="preserve"> For instance, ArcGIS Enterprise solutions that create an enabling environment for GIS data editing, storing, analysis</w:t>
      </w:r>
      <w:r w:rsidR="0035207D" w:rsidRPr="00DD4D3B">
        <w:rPr>
          <w:color w:val="000000" w:themeColor="text1"/>
        </w:rPr>
        <w:t>,</w:t>
      </w:r>
      <w:r w:rsidR="007F37AE" w:rsidRPr="00DD4D3B">
        <w:rPr>
          <w:color w:val="000000" w:themeColor="text1"/>
        </w:rPr>
        <w:t xml:space="preserve"> and sharing.</w:t>
      </w:r>
    </w:p>
    <w:p w14:paraId="005F3665" w14:textId="77777777" w:rsidR="00A21BFE" w:rsidRPr="00DD4D3B" w:rsidRDefault="00A21BFE">
      <w:pPr>
        <w:spacing w:after="120" w:line="276" w:lineRule="auto"/>
        <w:jc w:val="both"/>
        <w:rPr>
          <w:color w:val="000000" w:themeColor="text1"/>
        </w:rPr>
      </w:pPr>
    </w:p>
    <w:p w14:paraId="347E8057" w14:textId="77777777" w:rsidR="00820EF3" w:rsidRPr="00DD4D3B" w:rsidRDefault="00985113" w:rsidP="00D70428">
      <w:pPr>
        <w:pStyle w:val="Heading2"/>
        <w:spacing w:line="276" w:lineRule="auto"/>
        <w:rPr>
          <w:color w:val="000000" w:themeColor="text1"/>
        </w:rPr>
      </w:pPr>
      <w:r w:rsidRPr="00DD4D3B">
        <w:rPr>
          <w:color w:val="000000" w:themeColor="text1"/>
        </w:rPr>
        <w:t>5.1 Staffing and Institutional Capacity</w:t>
      </w:r>
    </w:p>
    <w:p w14:paraId="740E56B4" w14:textId="46600AEB" w:rsidR="00820EF3" w:rsidRPr="00DD4D3B" w:rsidRDefault="00985113" w:rsidP="00D70428">
      <w:pPr>
        <w:spacing w:after="120" w:line="276" w:lineRule="auto"/>
        <w:jc w:val="both"/>
        <w:rPr>
          <w:color w:val="000000" w:themeColor="text1"/>
        </w:rPr>
      </w:pPr>
      <w:r w:rsidRPr="00DD4D3B">
        <w:rPr>
          <w:color w:val="000000" w:themeColor="text1"/>
        </w:rPr>
        <w:t>The National 911 Program identified hiring and retaining qualified GIS staff as a widespread challenge, particularly acute in rural areas where salaries cannot compete with private sector or urban government pay (USDOT, 2023). When a single GIS employee departs, accumulated institutional knowledge may be lost. Severinsen et al. (2019) noted this knowledge dependency as one of the most underappreciated risk factors in local government GIS. Figure 4 illustrates the capacity gap.</w:t>
      </w:r>
    </w:p>
    <w:p w14:paraId="7E9AA9C9" w14:textId="77777777" w:rsidR="00A92322" w:rsidRPr="00DD4D3B" w:rsidRDefault="009A0B23">
      <w:pPr>
        <w:spacing w:after="40"/>
        <w:jc w:val="center"/>
        <w:rPr>
          <w:color w:val="000000" w:themeColor="text1"/>
        </w:rPr>
      </w:pPr>
      <w:r w:rsidRPr="00DD4D3B">
        <w:rPr>
          <w:noProof/>
          <w:color w:val="000000" w:themeColor="text1"/>
        </w:rPr>
        <w:drawing>
          <wp:inline distT="0" distB="0" distL="0" distR="0" wp14:anchorId="13489EE2" wp14:editId="5A8D829D">
            <wp:extent cx="5398851" cy="3083560"/>
            <wp:effectExtent l="0" t="0" r="0" b="2540"/>
            <wp:docPr id="347619350" name="Picture 34761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19350" name="Picture 3476193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54930" cy="3115589"/>
                    </a:xfrm>
                    <a:prstGeom prst="rect">
                      <a:avLst/>
                    </a:prstGeom>
                  </pic:spPr>
                </pic:pic>
              </a:graphicData>
            </a:graphic>
          </wp:inline>
        </w:drawing>
      </w:r>
    </w:p>
    <w:p w14:paraId="0E7092D7" w14:textId="57C70F87" w:rsidR="00A92322" w:rsidRPr="00DD4D3B" w:rsidRDefault="009A0B23">
      <w:pPr>
        <w:spacing w:before="40" w:after="120" w:line="276" w:lineRule="auto"/>
        <w:rPr>
          <w:color w:val="000000" w:themeColor="text1"/>
        </w:rPr>
      </w:pPr>
      <w:r w:rsidRPr="00DD4D3B">
        <w:rPr>
          <w:b/>
          <w:bCs/>
          <w:i/>
          <w:iCs/>
          <w:color w:val="000000" w:themeColor="text1"/>
          <w:sz w:val="20"/>
          <w:szCs w:val="20"/>
        </w:rPr>
        <w:t xml:space="preserve">Figure </w:t>
      </w:r>
      <w:r w:rsidR="00030CBD">
        <w:rPr>
          <w:b/>
          <w:bCs/>
          <w:i/>
          <w:iCs/>
          <w:color w:val="000000" w:themeColor="text1"/>
          <w:sz w:val="20"/>
          <w:szCs w:val="20"/>
        </w:rPr>
        <w:t>6</w:t>
      </w:r>
      <w:r w:rsidRPr="00DD4D3B">
        <w:rPr>
          <w:b/>
          <w:bCs/>
          <w:i/>
          <w:iCs/>
          <w:color w:val="000000" w:themeColor="text1"/>
          <w:sz w:val="20"/>
          <w:szCs w:val="20"/>
        </w:rPr>
        <w:t xml:space="preserve">. </w:t>
      </w:r>
      <w:r w:rsidRPr="00DD4D3B">
        <w:rPr>
          <w:i/>
          <w:iCs/>
          <w:color w:val="000000" w:themeColor="text1"/>
          <w:sz w:val="20"/>
          <w:szCs w:val="20"/>
        </w:rPr>
        <w:t>GIS infrastructure capacity comparison between urban and rural counties. Source: Based on NACo (2019) and USDOT (2023).</w:t>
      </w:r>
    </w:p>
    <w:p w14:paraId="0FBDEE17" w14:textId="77777777" w:rsidR="00A92322" w:rsidRPr="00DD4D3B" w:rsidRDefault="009A0B23">
      <w:pPr>
        <w:pStyle w:val="Heading2"/>
        <w:spacing w:line="276" w:lineRule="auto"/>
        <w:rPr>
          <w:color w:val="000000" w:themeColor="text1"/>
        </w:rPr>
      </w:pPr>
      <w:r w:rsidRPr="00DD4D3B">
        <w:rPr>
          <w:color w:val="000000" w:themeColor="text1"/>
        </w:rPr>
        <w:t>5.2 Legacy Data and MSAG–GIS Synchronization</w:t>
      </w:r>
    </w:p>
    <w:p w14:paraId="55494F86" w14:textId="3E3ACDA6" w:rsidR="00820EF3" w:rsidRPr="00DD4D3B" w:rsidRDefault="00985113" w:rsidP="00D70428">
      <w:pPr>
        <w:spacing w:after="120" w:line="276" w:lineRule="auto"/>
        <w:jc w:val="both"/>
        <w:rPr>
          <w:color w:val="000000" w:themeColor="text1"/>
        </w:rPr>
      </w:pPr>
      <w:r w:rsidRPr="00DD4D3B">
        <w:rPr>
          <w:color w:val="000000" w:themeColor="text1"/>
        </w:rPr>
        <w:t xml:space="preserve">Many rural counties converted from route-and-box addressing relatively recently. Zimmerman et al. (2010) found that address points were frequently placed at road intersections rather than at structures. The MSAG–GIS synchronization challenge is critical: under E9-1-1, the MSAG was the routing authority; under NG9-1-1, the GIS replaces it. </w:t>
      </w:r>
      <w:r w:rsidR="00A21BFE" w:rsidRPr="00DD4D3B">
        <w:rPr>
          <w:color w:val="000000" w:themeColor="text1"/>
        </w:rPr>
        <w:t>However,</w:t>
      </w:r>
      <w:r w:rsidRPr="00DD4D3B">
        <w:rPr>
          <w:color w:val="000000" w:themeColor="text1"/>
        </w:rPr>
        <w:t xml:space="preserve"> the two systems often evolve independently. The match rate provides a key metric:</w:t>
      </w:r>
    </w:p>
    <w:p w14:paraId="787CA3FD" w14:textId="12733A05" w:rsidR="00820EF3" w:rsidRPr="00DD4D3B" w:rsidRDefault="00EE1A3F" w:rsidP="00D70428">
      <w:pPr>
        <w:spacing w:before="80" w:after="80" w:line="276" w:lineRule="auto"/>
        <w:jc w:val="center"/>
        <w:rPr>
          <w:iCs/>
          <w:color w:val="000000" w:themeColor="text1"/>
        </w:rPr>
      </w:pPr>
      <m:oMathPara>
        <m:oMath>
          <m:eqArr>
            <m:eqArrPr>
              <m:maxDist m:val="1"/>
              <m:ctrlPr>
                <w:rPr>
                  <w:rFonts w:ascii="Cambria Math" w:hAnsi="Cambria Math"/>
                  <w:i/>
                  <w:iCs/>
                  <w:color w:val="000000" w:themeColor="text1"/>
                </w:rPr>
              </m:ctrlPr>
            </m:eqArrPr>
            <m:e>
              <m:r>
                <w:rPr>
                  <w:rFonts w:ascii="Cambria Math" w:hAnsi="Cambria Math"/>
                  <w:color w:val="000000" w:themeColor="text1"/>
                </w:rPr>
                <m:t>Matc</m:t>
              </m:r>
              <m:r>
                <w:rPr>
                  <w:rFonts w:ascii="Cambria Math" w:hAnsi="Cambria Math"/>
                  <w:color w:val="000000" w:themeColor="text1"/>
                </w:rPr>
                <m:t>h</m:t>
              </m:r>
              <m:r>
                <w:rPr>
                  <w:rFonts w:ascii="Cambria Math" w:hAnsi="Cambria Math"/>
                  <w:color w:val="000000" w:themeColor="text1"/>
                </w:rPr>
                <m:t xml:space="preserve"> </m:t>
              </m:r>
              <m:r>
                <w:rPr>
                  <w:rFonts w:ascii="Cambria Math" w:hAnsi="Cambria Math"/>
                  <w:color w:val="000000" w:themeColor="text1"/>
                </w:rPr>
                <m:t>Rate</m:t>
              </m:r>
              <m:r>
                <w:rPr>
                  <w:rFonts w:ascii="Cambria Math" w:hAnsi="Cambria Math"/>
                  <w:color w:val="000000" w:themeColor="text1"/>
                </w:rPr>
                <m:t xml:space="preserve"> = </m:t>
              </m:r>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matc</m:t>
                          </m:r>
                          <m:r>
                            <w:rPr>
                              <w:rFonts w:ascii="Cambria Math" w:hAnsi="Cambria Math"/>
                              <w:color w:val="000000" w:themeColor="text1"/>
                            </w:rPr>
                            <m:t>h</m:t>
                          </m:r>
                        </m:sub>
                      </m:sSub>
                    </m:num>
                    <m:den>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MSAG</m:t>
                          </m:r>
                        </m:sub>
                      </m:sSub>
                    </m:den>
                  </m:f>
                </m:e>
              </m:d>
              <m:r>
                <w:rPr>
                  <w:rFonts w:ascii="Cambria Math" w:hAnsi="Cambria Math"/>
                  <w:color w:val="000000" w:themeColor="text1"/>
                </w:rPr>
                <m:t>× 100%          #</m:t>
              </m:r>
              <m:d>
                <m:dPr>
                  <m:ctrlPr>
                    <w:rPr>
                      <w:rFonts w:ascii="Cambria Math" w:hAnsi="Cambria Math"/>
                      <w:i/>
                      <w:iCs/>
                      <w:color w:val="000000" w:themeColor="text1"/>
                    </w:rPr>
                  </m:ctrlPr>
                </m:dPr>
                <m:e>
                  <m:r>
                    <w:rPr>
                      <w:rFonts w:ascii="Cambria Math" w:hAnsi="Cambria Math"/>
                      <w:color w:val="000000" w:themeColor="text1"/>
                    </w:rPr>
                    <m:t>5</m:t>
                  </m:r>
                </m:e>
              </m:d>
            </m:e>
          </m:eqArr>
        </m:oMath>
      </m:oMathPara>
    </w:p>
    <w:p w14:paraId="42C06BBB" w14:textId="77777777" w:rsidR="001F31E9" w:rsidRPr="00DD4D3B" w:rsidRDefault="001F31E9" w:rsidP="00D70428">
      <w:pPr>
        <w:spacing w:before="80" w:after="80" w:line="276" w:lineRule="auto"/>
        <w:jc w:val="center"/>
        <w:rPr>
          <w:color w:val="000000" w:themeColor="text1"/>
        </w:rPr>
      </w:pPr>
    </w:p>
    <w:p w14:paraId="1B23E826" w14:textId="77777777" w:rsidR="004E0918" w:rsidRPr="00DD4D3B" w:rsidRDefault="004E0918" w:rsidP="004E0918">
      <w:pPr>
        <w:spacing w:line="480" w:lineRule="auto"/>
        <w:jc w:val="both"/>
        <w:rPr>
          <w:color w:val="000000" w:themeColor="text1"/>
        </w:rPr>
      </w:pPr>
      <w:r w:rsidRPr="00DD4D3B">
        <w:rPr>
          <w:color w:val="000000" w:themeColor="text1"/>
        </w:rPr>
        <w:lastRenderedPageBreak/>
        <w:t xml:space="preserve">where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match</m:t>
            </m:r>
          </m:sub>
        </m:sSub>
      </m:oMath>
      <w:r w:rsidRPr="00DD4D3B">
        <w:rPr>
          <w:color w:val="000000" w:themeColor="text1"/>
        </w:rPr>
        <w:t xml:space="preserve">is the number of MSAG street name and range entries that correspond to valid GIS road centerline records, and </w:t>
      </w:r>
      <m:oMath>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MSAG</m:t>
            </m:r>
          </m:sub>
        </m:sSub>
      </m:oMath>
      <w:r w:rsidRPr="00DD4D3B">
        <w:rPr>
          <w:color w:val="000000" w:themeColor="text1"/>
        </w:rPr>
        <w:t xml:space="preserve"> is the total number of MSAG entries. NENA recommends a minimum 98% match rate before transitioning to GIS-based routing (NENA, 2022a).</w:t>
      </w:r>
    </w:p>
    <w:p w14:paraId="5732DC59" w14:textId="7393E33C" w:rsidR="00820EF3" w:rsidRPr="00DD4D3B" w:rsidRDefault="00985113" w:rsidP="00D70428">
      <w:pPr>
        <w:spacing w:after="120" w:line="276" w:lineRule="auto"/>
        <w:jc w:val="both"/>
        <w:rPr>
          <w:color w:val="000000" w:themeColor="text1"/>
        </w:rPr>
      </w:pPr>
      <w:r w:rsidRPr="00DD4D3B">
        <w:rPr>
          <w:color w:val="000000" w:themeColor="text1"/>
        </w:rPr>
        <w:t xml:space="preserve">Figure </w:t>
      </w:r>
      <w:r w:rsidR="00030CBD">
        <w:rPr>
          <w:color w:val="000000" w:themeColor="text1"/>
        </w:rPr>
        <w:t>7</w:t>
      </w:r>
      <w:r w:rsidR="00A761B5" w:rsidRPr="00DD4D3B">
        <w:rPr>
          <w:color w:val="000000" w:themeColor="text1"/>
        </w:rPr>
        <w:t xml:space="preserve"> illustrates this synchronization process.</w:t>
      </w:r>
    </w:p>
    <w:p w14:paraId="46849F71" w14:textId="77777777" w:rsidR="00A92322" w:rsidRPr="00DD4D3B" w:rsidRDefault="009A0B23">
      <w:pPr>
        <w:spacing w:after="40"/>
        <w:jc w:val="center"/>
        <w:rPr>
          <w:color w:val="000000" w:themeColor="text1"/>
        </w:rPr>
      </w:pPr>
      <w:r w:rsidRPr="00DD4D3B">
        <w:rPr>
          <w:noProof/>
          <w:color w:val="000000" w:themeColor="text1"/>
        </w:rPr>
        <w:drawing>
          <wp:inline distT="0" distB="0" distL="0" distR="0" wp14:anchorId="0834EF52" wp14:editId="654671ED">
            <wp:extent cx="5437762" cy="3228975"/>
            <wp:effectExtent l="0" t="0" r="0" b="0"/>
            <wp:docPr id="2122198487" name="Picture 212219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98487" name="Picture 212219848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00974" cy="3266511"/>
                    </a:xfrm>
                    <a:prstGeom prst="rect">
                      <a:avLst/>
                    </a:prstGeom>
                  </pic:spPr>
                </pic:pic>
              </a:graphicData>
            </a:graphic>
          </wp:inline>
        </w:drawing>
      </w:r>
    </w:p>
    <w:p w14:paraId="36ED05B0" w14:textId="7D3677FD" w:rsidR="00820EF3" w:rsidRPr="00DD4D3B" w:rsidRDefault="00985113" w:rsidP="00D70428">
      <w:pPr>
        <w:spacing w:before="40" w:after="120" w:line="276" w:lineRule="auto"/>
        <w:rPr>
          <w:color w:val="000000" w:themeColor="text1"/>
        </w:rPr>
      </w:pPr>
      <w:r w:rsidRPr="00DD4D3B">
        <w:rPr>
          <w:b/>
          <w:i/>
          <w:color w:val="000000" w:themeColor="text1"/>
          <w:sz w:val="20"/>
        </w:rPr>
        <w:t xml:space="preserve">Figure </w:t>
      </w:r>
      <w:r w:rsidR="00030CBD">
        <w:rPr>
          <w:b/>
          <w:i/>
          <w:color w:val="000000" w:themeColor="text1"/>
          <w:sz w:val="20"/>
        </w:rPr>
        <w:t>7</w:t>
      </w:r>
      <w:r w:rsidRPr="00DD4D3B">
        <w:rPr>
          <w:b/>
          <w:i/>
          <w:color w:val="000000" w:themeColor="text1"/>
          <w:sz w:val="20"/>
        </w:rPr>
        <w:t xml:space="preserve">. </w:t>
      </w:r>
      <w:r w:rsidRPr="00DD4D3B">
        <w:rPr>
          <w:i/>
          <w:color w:val="000000" w:themeColor="text1"/>
          <w:sz w:val="20"/>
        </w:rPr>
        <w:t>MSAG–GIS data synchronization process</w:t>
      </w:r>
      <w:r w:rsidRPr="00DD4D3B">
        <w:rPr>
          <w:i/>
          <w:iCs/>
          <w:color w:val="000000" w:themeColor="text1"/>
          <w:sz w:val="20"/>
          <w:szCs w:val="20"/>
        </w:rPr>
        <w:t>.</w:t>
      </w:r>
      <w:r w:rsidRPr="00DD4D3B">
        <w:rPr>
          <w:i/>
          <w:color w:val="000000" w:themeColor="text1"/>
          <w:sz w:val="20"/>
        </w:rPr>
        <w:t xml:space="preserve"> The cross-validation engine compares tabular MSAG records against spatial GIS road centerline data</w:t>
      </w:r>
      <w:r w:rsidR="00A21BFE" w:rsidRPr="00DD4D3B">
        <w:rPr>
          <w:i/>
          <w:iCs/>
          <w:color w:val="000000" w:themeColor="text1"/>
          <w:sz w:val="20"/>
          <w:szCs w:val="20"/>
        </w:rPr>
        <w:t>—s</w:t>
      </w:r>
      <w:r w:rsidRPr="00DD4D3B">
        <w:rPr>
          <w:i/>
          <w:iCs/>
          <w:color w:val="000000" w:themeColor="text1"/>
          <w:sz w:val="20"/>
          <w:szCs w:val="20"/>
        </w:rPr>
        <w:t>ource: Authors’ conceptualization</w:t>
      </w:r>
      <w:r w:rsidRPr="00DD4D3B">
        <w:rPr>
          <w:i/>
          <w:color w:val="000000" w:themeColor="text1"/>
          <w:sz w:val="20"/>
        </w:rPr>
        <w:t>.</w:t>
      </w:r>
    </w:p>
    <w:p w14:paraId="1EBC333B" w14:textId="10137BC1" w:rsidR="00820EF3" w:rsidRPr="00DD4D3B" w:rsidRDefault="00985113" w:rsidP="00D70428">
      <w:pPr>
        <w:pStyle w:val="Heading1"/>
        <w:spacing w:line="276" w:lineRule="auto"/>
        <w:rPr>
          <w:color w:val="000000" w:themeColor="text1"/>
        </w:rPr>
      </w:pPr>
      <w:r w:rsidRPr="00DD4D3B">
        <w:rPr>
          <w:color w:val="000000" w:themeColor="text1"/>
        </w:rPr>
        <w:t>6. Remediation Strategies</w:t>
      </w:r>
    </w:p>
    <w:p w14:paraId="35062864" w14:textId="71818EFC" w:rsidR="00820EF3" w:rsidRPr="00DD4D3B" w:rsidRDefault="009A0B23" w:rsidP="00D70428">
      <w:pPr>
        <w:spacing w:after="120" w:line="276" w:lineRule="auto"/>
        <w:jc w:val="both"/>
        <w:rPr>
          <w:color w:val="000000" w:themeColor="text1"/>
        </w:rPr>
      </w:pPr>
      <w:r w:rsidRPr="00DD4D3B">
        <w:rPr>
          <w:color w:val="000000" w:themeColor="text1"/>
        </w:rPr>
        <w:t xml:space="preserve">Approaches to </w:t>
      </w:r>
      <w:r w:rsidR="00A21BFE" w:rsidRPr="00DD4D3B">
        <w:rPr>
          <w:color w:val="000000" w:themeColor="text1"/>
        </w:rPr>
        <w:t>improving</w:t>
      </w:r>
      <w:r w:rsidR="00985113" w:rsidRPr="00DD4D3B">
        <w:rPr>
          <w:color w:val="000000" w:themeColor="text1"/>
        </w:rPr>
        <w:t xml:space="preserve"> GIS data quality </w:t>
      </w:r>
      <w:r w:rsidRPr="00DD4D3B">
        <w:rPr>
          <w:color w:val="000000" w:themeColor="text1"/>
        </w:rPr>
        <w:t xml:space="preserve">vary in </w:t>
      </w:r>
      <w:r w:rsidR="00985113" w:rsidRPr="00DD4D3B">
        <w:rPr>
          <w:color w:val="000000" w:themeColor="text1"/>
        </w:rPr>
        <w:t>their applicability to rural NG9-1-1 readiness</w:t>
      </w:r>
      <w:r w:rsidRPr="00DD4D3B">
        <w:rPr>
          <w:color w:val="000000" w:themeColor="text1"/>
        </w:rPr>
        <w:t>. Table 4 compares five strategies, and Figure 7 provides a visual assessment</w:t>
      </w:r>
      <w:r w:rsidR="00985113" w:rsidRPr="00DD4D3B">
        <w:rPr>
          <w:color w:val="000000" w:themeColor="text1"/>
        </w:rPr>
        <w:t>.</w:t>
      </w:r>
    </w:p>
    <w:p w14:paraId="48484285" w14:textId="12575F72" w:rsidR="00820EF3" w:rsidRPr="00DD4D3B" w:rsidRDefault="00985113" w:rsidP="00D70428">
      <w:pPr>
        <w:pStyle w:val="Heading2"/>
        <w:spacing w:line="276" w:lineRule="auto"/>
        <w:rPr>
          <w:color w:val="000000" w:themeColor="text1"/>
        </w:rPr>
      </w:pPr>
      <w:r w:rsidRPr="00DD4D3B">
        <w:rPr>
          <w:color w:val="000000" w:themeColor="text1"/>
        </w:rPr>
        <w:t>6.1 Automated Validation</w:t>
      </w:r>
    </w:p>
    <w:p w14:paraId="172CB904" w14:textId="45FD4E01" w:rsidR="00820EF3" w:rsidRPr="00DD4D3B" w:rsidRDefault="00985113" w:rsidP="00D70428">
      <w:pPr>
        <w:spacing w:after="120" w:line="276" w:lineRule="auto"/>
        <w:jc w:val="both"/>
        <w:rPr>
          <w:color w:val="000000" w:themeColor="text1"/>
        </w:rPr>
      </w:pPr>
      <w:r w:rsidRPr="00DD4D3B">
        <w:rPr>
          <w:color w:val="000000" w:themeColor="text1"/>
        </w:rPr>
        <w:t>Automated validation scripts represent the most accessible starting point for resource-constrained jurisdictions. NENA supports validation tools, including the GIS Data Model Validation Toolkit. Commercial platforms such as ArcGIS Pro include data reviewer extensions. Several states have deployed automated validation in statewide aggregation pipelines (Tennessee Emergency Communications Board, 2021; Vermont Enhanced 911 Board, 2020). In Missouri, the 911 Service Board uses the DATAMARK Validation and Enhancement Platform (VEP) to validate GIS records on a monthly cycle; county GIS personnel submit their address point and road centerline data, and the platform flags discrepancies that are then rectified before the next submission. These tools efficiently check</w:t>
      </w:r>
      <w:r w:rsidR="00385DAB" w:rsidRPr="00DD4D3B">
        <w:rPr>
          <w:color w:val="000000" w:themeColor="text1"/>
        </w:rPr>
        <w:t xml:space="preserve"> </w:t>
      </w:r>
      <w:r w:rsidRPr="00DD4D3B">
        <w:rPr>
          <w:color w:val="000000" w:themeColor="text1"/>
        </w:rPr>
        <w:t>thousands of records but cannot assess positional accuracy.</w:t>
      </w:r>
    </w:p>
    <w:p w14:paraId="29C299FC" w14:textId="77777777" w:rsidR="00820EF3" w:rsidRPr="00DD4D3B" w:rsidRDefault="00985113" w:rsidP="00D70428">
      <w:pPr>
        <w:pStyle w:val="Heading2"/>
        <w:spacing w:line="276" w:lineRule="auto"/>
        <w:rPr>
          <w:color w:val="000000" w:themeColor="text1"/>
        </w:rPr>
      </w:pPr>
      <w:r w:rsidRPr="00DD4D3B">
        <w:rPr>
          <w:color w:val="000000" w:themeColor="text1"/>
        </w:rPr>
        <w:lastRenderedPageBreak/>
        <w:t>6.2 Field Verification and Imagery-Based Review</w:t>
      </w:r>
    </w:p>
    <w:p w14:paraId="299A0F9F" w14:textId="3B9D6B7D" w:rsidR="00820EF3" w:rsidRPr="00DD4D3B" w:rsidRDefault="009A0B23" w:rsidP="00D70428">
      <w:pPr>
        <w:spacing w:after="120" w:line="276" w:lineRule="auto"/>
        <w:jc w:val="both"/>
        <w:rPr>
          <w:color w:val="000000" w:themeColor="text1"/>
        </w:rPr>
      </w:pPr>
      <w:r w:rsidRPr="00DD4D3B">
        <w:rPr>
          <w:color w:val="000000" w:themeColor="text1"/>
        </w:rPr>
        <w:t xml:space="preserve">Field </w:t>
      </w:r>
      <w:r w:rsidR="00985113" w:rsidRPr="00DD4D3B">
        <w:rPr>
          <w:color w:val="000000" w:themeColor="text1"/>
        </w:rPr>
        <w:t>verification with survey-grade GPS remains the gold standard</w:t>
      </w:r>
      <w:r w:rsidRPr="00DD4D3B">
        <w:rPr>
          <w:color w:val="000000" w:themeColor="text1"/>
        </w:rPr>
        <w:t xml:space="preserve"> </w:t>
      </w:r>
      <w:r w:rsidR="00A21BFE" w:rsidRPr="00DD4D3B">
        <w:rPr>
          <w:color w:val="000000" w:themeColor="text1"/>
        </w:rPr>
        <w:t xml:space="preserve">for positional accuracy, </w:t>
      </w:r>
      <w:r w:rsidRPr="00DD4D3B">
        <w:rPr>
          <w:color w:val="000000" w:themeColor="text1"/>
        </w:rPr>
        <w:t>but</w:t>
      </w:r>
      <w:r w:rsidR="00985113" w:rsidRPr="00DD4D3B">
        <w:rPr>
          <w:color w:val="000000" w:themeColor="text1"/>
        </w:rPr>
        <w:t xml:space="preserve"> is resource-intensive</w:t>
      </w:r>
      <w:r w:rsidRPr="00DD4D3B">
        <w:rPr>
          <w:color w:val="000000" w:themeColor="text1"/>
        </w:rPr>
        <w:t>.</w:t>
      </w:r>
      <w:r w:rsidR="00985113" w:rsidRPr="00DD4D3B">
        <w:rPr>
          <w:color w:val="000000" w:themeColor="text1"/>
        </w:rPr>
        <w:t xml:space="preserve"> Imagery-based desktop review using NAIP orthophotography offers a middle ground: address points compared against aerial imagery without field visits, though accuracy depends on imagery currency.</w:t>
      </w:r>
    </w:p>
    <w:p w14:paraId="16560DA6" w14:textId="21317680" w:rsidR="00820EF3" w:rsidRPr="00DD4D3B" w:rsidRDefault="00985113" w:rsidP="00D70428">
      <w:pPr>
        <w:pStyle w:val="Heading2"/>
        <w:spacing w:line="276" w:lineRule="auto"/>
        <w:rPr>
          <w:color w:val="000000" w:themeColor="text1"/>
        </w:rPr>
      </w:pPr>
      <w:r w:rsidRPr="00DD4D3B">
        <w:rPr>
          <w:color w:val="000000" w:themeColor="text1"/>
        </w:rPr>
        <w:t>6.3 Collaborative Editing and State Programs</w:t>
      </w:r>
    </w:p>
    <w:p w14:paraId="4ED53173" w14:textId="1A5086F2" w:rsidR="00820EF3" w:rsidRPr="00DD4D3B" w:rsidRDefault="00985113" w:rsidP="00D70428">
      <w:pPr>
        <w:spacing w:after="120" w:line="276" w:lineRule="auto"/>
        <w:jc w:val="both"/>
        <w:rPr>
          <w:color w:val="000000" w:themeColor="text1"/>
        </w:rPr>
      </w:pPr>
      <w:r w:rsidRPr="00DD4D3B">
        <w:rPr>
          <w:color w:val="000000" w:themeColor="text1"/>
        </w:rPr>
        <w:t>Cloud-based GIS platforms enable multi-agency collaborative editing. Several states use hub-and-spoke models with central validation and county-level editors. The National 911 Program advocates creating GIS data supply chains that deliver accurate data into NG9-1-1 as quickly as possible (USDOT, 2023).</w:t>
      </w:r>
    </w:p>
    <w:p w14:paraId="6A432A59" w14:textId="77777777" w:rsidR="00A92322" w:rsidRPr="00DD4D3B" w:rsidRDefault="009A0B23">
      <w:pPr>
        <w:spacing w:after="40"/>
        <w:jc w:val="center"/>
        <w:rPr>
          <w:color w:val="000000" w:themeColor="text1"/>
        </w:rPr>
      </w:pPr>
      <w:r w:rsidRPr="00DD4D3B">
        <w:rPr>
          <w:noProof/>
          <w:color w:val="000000" w:themeColor="text1"/>
        </w:rPr>
        <w:drawing>
          <wp:inline distT="0" distB="0" distL="0" distR="0" wp14:anchorId="7E4BA2ED" wp14:editId="6F6087CB">
            <wp:extent cx="6167336" cy="4027170"/>
            <wp:effectExtent l="0" t="0" r="5080" b="0"/>
            <wp:docPr id="888682387" name="Picture 88868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2387" name="Picture 88868238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223367" cy="4063757"/>
                    </a:xfrm>
                    <a:prstGeom prst="rect">
                      <a:avLst/>
                    </a:prstGeom>
                  </pic:spPr>
                </pic:pic>
              </a:graphicData>
            </a:graphic>
          </wp:inline>
        </w:drawing>
      </w:r>
    </w:p>
    <w:p w14:paraId="470E0A12" w14:textId="5A88B43E" w:rsidR="00820EF3" w:rsidRPr="00DD4D3B" w:rsidRDefault="00985113" w:rsidP="00D70428">
      <w:pPr>
        <w:spacing w:before="40" w:after="120" w:line="276" w:lineRule="auto"/>
        <w:rPr>
          <w:color w:val="000000" w:themeColor="text1"/>
        </w:rPr>
      </w:pPr>
      <w:r w:rsidRPr="00DD4D3B">
        <w:rPr>
          <w:b/>
          <w:i/>
          <w:color w:val="000000" w:themeColor="text1"/>
          <w:sz w:val="20"/>
        </w:rPr>
        <w:t xml:space="preserve">Figure </w:t>
      </w:r>
      <w:r w:rsidR="00030CBD">
        <w:rPr>
          <w:b/>
          <w:i/>
          <w:color w:val="000000" w:themeColor="text1"/>
          <w:sz w:val="20"/>
        </w:rPr>
        <w:t>8</w:t>
      </w:r>
      <w:r w:rsidRPr="00DD4D3B">
        <w:rPr>
          <w:b/>
          <w:i/>
          <w:color w:val="000000" w:themeColor="text1"/>
          <w:sz w:val="20"/>
        </w:rPr>
        <w:t xml:space="preserve">. </w:t>
      </w:r>
      <w:r w:rsidRPr="00DD4D3B">
        <w:rPr>
          <w:i/>
          <w:color w:val="000000" w:themeColor="text1"/>
          <w:sz w:val="20"/>
        </w:rPr>
        <w:t>Comparative assessment of five remediation approaches</w:t>
      </w:r>
      <w:r w:rsidRPr="00DD4D3B">
        <w:rPr>
          <w:i/>
          <w:iCs/>
          <w:color w:val="000000" w:themeColor="text1"/>
          <w:sz w:val="20"/>
          <w:szCs w:val="20"/>
        </w:rPr>
        <w:t>.</w:t>
      </w:r>
      <w:r w:rsidRPr="00DD4D3B">
        <w:rPr>
          <w:i/>
          <w:color w:val="000000" w:themeColor="text1"/>
          <w:sz w:val="20"/>
        </w:rPr>
        <w:t xml:space="preserve"> Automated validation and state QA/QC programs offer the best combination of effectiveness and applicability</w:t>
      </w:r>
      <w:r w:rsidR="00A21BFE" w:rsidRPr="00DD4D3B">
        <w:rPr>
          <w:i/>
          <w:iCs/>
          <w:color w:val="000000" w:themeColor="text1"/>
          <w:sz w:val="20"/>
          <w:szCs w:val="20"/>
        </w:rPr>
        <w:t xml:space="preserve"> in </w:t>
      </w:r>
      <w:r w:rsidRPr="00DD4D3B">
        <w:rPr>
          <w:i/>
          <w:iCs/>
          <w:color w:val="000000" w:themeColor="text1"/>
          <w:sz w:val="20"/>
          <w:szCs w:val="20"/>
        </w:rPr>
        <w:t>rural a</w:t>
      </w:r>
      <w:r w:rsidR="00A21BFE" w:rsidRPr="00DD4D3B">
        <w:rPr>
          <w:i/>
          <w:iCs/>
          <w:color w:val="000000" w:themeColor="text1"/>
          <w:sz w:val="20"/>
          <w:szCs w:val="20"/>
        </w:rPr>
        <w:t>reas</w:t>
      </w:r>
      <w:r w:rsidRPr="00DD4D3B">
        <w:rPr>
          <w:i/>
          <w:iCs/>
          <w:color w:val="000000" w:themeColor="text1"/>
          <w:sz w:val="20"/>
          <w:szCs w:val="20"/>
        </w:rPr>
        <w:t>. Source: Authors’ assessment based on reviewed literature</w:t>
      </w:r>
      <w:r w:rsidRPr="00DD4D3B">
        <w:rPr>
          <w:i/>
          <w:color w:val="000000" w:themeColor="text1"/>
          <w:sz w:val="20"/>
        </w:rPr>
        <w:t>.</w:t>
      </w:r>
    </w:p>
    <w:p w14:paraId="0B927A80" w14:textId="044E8004" w:rsidR="00820EF3" w:rsidRPr="00DD4D3B" w:rsidRDefault="00985113" w:rsidP="00D70428">
      <w:pPr>
        <w:spacing w:after="30"/>
        <w:rPr>
          <w:color w:val="000000" w:themeColor="text1"/>
        </w:rPr>
      </w:pPr>
      <w:r w:rsidRPr="00DD4D3B">
        <w:rPr>
          <w:b/>
          <w:bCs/>
          <w:i/>
          <w:iCs/>
          <w:color w:val="000000" w:themeColor="text1"/>
        </w:rPr>
        <w:t>Table 4</w:t>
      </w:r>
      <w:r w:rsidR="001F31E9" w:rsidRPr="00DD4D3B">
        <w:rPr>
          <w:color w:val="000000" w:themeColor="text1"/>
        </w:rPr>
        <w:t xml:space="preserve">: </w:t>
      </w:r>
      <w:r w:rsidRPr="00DD4D3B">
        <w:rPr>
          <w:i/>
          <w:iCs/>
          <w:color w:val="000000" w:themeColor="text1"/>
        </w:rPr>
        <w:t>Comparison of Remediation Approaches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DD4D3B" w:rsidRPr="00DD4D3B" w14:paraId="1B9F0A4D" w14:textId="77777777" w:rsidTr="00D70428">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D7225E5"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Approach</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6F2467CE"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Strengths</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62AF2AB7"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Limitations</w:t>
            </w:r>
          </w:p>
        </w:tc>
        <w:tc>
          <w:tcPr>
            <w:tcW w:w="234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7506A96F" w14:textId="5291C2D0" w:rsidR="00820EF3" w:rsidRPr="00DD4D3B" w:rsidRDefault="00985113" w:rsidP="00D70428">
            <w:pPr>
              <w:spacing w:after="20" w:line="260" w:lineRule="auto"/>
              <w:rPr>
                <w:color w:val="000000" w:themeColor="text1"/>
              </w:rPr>
            </w:pPr>
            <w:r w:rsidRPr="00DD4D3B">
              <w:rPr>
                <w:b/>
                <w:bCs/>
                <w:color w:val="000000" w:themeColor="text1"/>
                <w:sz w:val="20"/>
                <w:szCs w:val="20"/>
              </w:rPr>
              <w:t>Rural Fit</w:t>
            </w:r>
          </w:p>
        </w:tc>
      </w:tr>
      <w:tr w:rsidR="00DD4D3B" w:rsidRPr="00DD4D3B" w14:paraId="14A6BC87"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F5AF2EE" w14:textId="77777777" w:rsidR="00820EF3" w:rsidRPr="00DD4D3B" w:rsidRDefault="00985113" w:rsidP="00D70428">
            <w:pPr>
              <w:spacing w:after="20" w:line="260" w:lineRule="auto"/>
              <w:rPr>
                <w:color w:val="000000" w:themeColor="text1"/>
              </w:rPr>
            </w:pPr>
            <w:r w:rsidRPr="00DD4D3B">
              <w:rPr>
                <w:color w:val="000000" w:themeColor="text1"/>
                <w:sz w:val="20"/>
                <w:szCs w:val="20"/>
              </w:rPr>
              <w:t>Automated validation</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F266ED4" w14:textId="3CEB8998" w:rsidR="00820EF3" w:rsidRPr="00DD4D3B" w:rsidRDefault="00985113" w:rsidP="00D70428">
            <w:pPr>
              <w:spacing w:after="20" w:line="260" w:lineRule="auto"/>
              <w:rPr>
                <w:color w:val="000000" w:themeColor="text1"/>
              </w:rPr>
            </w:pPr>
            <w:r w:rsidRPr="00DD4D3B">
              <w:rPr>
                <w:color w:val="000000" w:themeColor="text1"/>
                <w:sz w:val="20"/>
                <w:szCs w:val="20"/>
              </w:rPr>
              <w:t>Fast, scalable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07670BE" w14:textId="2E0BE0E0" w:rsidR="00820EF3" w:rsidRPr="00DD4D3B" w:rsidRDefault="009A0B23" w:rsidP="00D70428">
            <w:pPr>
              <w:spacing w:after="20" w:line="260" w:lineRule="auto"/>
              <w:rPr>
                <w:color w:val="000000" w:themeColor="text1"/>
              </w:rPr>
            </w:pPr>
            <w:r w:rsidRPr="00DD4D3B">
              <w:rPr>
                <w:color w:val="000000" w:themeColor="text1"/>
                <w:sz w:val="20"/>
                <w:szCs w:val="20"/>
              </w:rPr>
              <w:t>No</w:t>
            </w:r>
            <w:r w:rsidR="00985113" w:rsidRPr="00DD4D3B">
              <w:rPr>
                <w:color w:val="000000" w:themeColor="text1"/>
                <w:sz w:val="20"/>
                <w:szCs w:val="20"/>
              </w:rPr>
              <w:t xml:space="preserve"> positional </w:t>
            </w:r>
            <w:r w:rsidRPr="00DD4D3B">
              <w:rPr>
                <w:color w:val="000000" w:themeColor="text1"/>
                <w:sz w:val="20"/>
                <w:szCs w:val="20"/>
              </w:rPr>
              <w:t>check</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ACFE590" w14:textId="77777777" w:rsidR="00820EF3" w:rsidRPr="00DD4D3B" w:rsidRDefault="00985113" w:rsidP="00D70428">
            <w:pPr>
              <w:spacing w:after="20" w:line="260" w:lineRule="auto"/>
              <w:rPr>
                <w:color w:val="000000" w:themeColor="text1"/>
              </w:rPr>
            </w:pPr>
            <w:r w:rsidRPr="00DD4D3B">
              <w:rPr>
                <w:color w:val="000000" w:themeColor="text1"/>
                <w:sz w:val="20"/>
                <w:szCs w:val="20"/>
              </w:rPr>
              <w:t>High</w:t>
            </w:r>
          </w:p>
        </w:tc>
      </w:tr>
      <w:tr w:rsidR="00DD4D3B" w:rsidRPr="00DD4D3B" w14:paraId="4F3A1AAD"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B9B3A38" w14:textId="18BECC31" w:rsidR="00820EF3" w:rsidRPr="00DD4D3B" w:rsidRDefault="00985113" w:rsidP="00D70428">
            <w:pPr>
              <w:spacing w:after="20" w:line="260" w:lineRule="auto"/>
              <w:rPr>
                <w:color w:val="000000" w:themeColor="text1"/>
              </w:rPr>
            </w:pPr>
            <w:r w:rsidRPr="00DD4D3B">
              <w:rPr>
                <w:color w:val="000000" w:themeColor="text1"/>
                <w:sz w:val="20"/>
                <w:szCs w:val="20"/>
              </w:rPr>
              <w:t>Field verification</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D155281" w14:textId="6AAC2CF8" w:rsidR="00820EF3" w:rsidRPr="00DD4D3B" w:rsidRDefault="00985113" w:rsidP="00D70428">
            <w:pPr>
              <w:spacing w:after="20" w:line="260" w:lineRule="auto"/>
              <w:rPr>
                <w:color w:val="000000" w:themeColor="text1"/>
              </w:rPr>
            </w:pPr>
            <w:r w:rsidRPr="00DD4D3B">
              <w:rPr>
                <w:color w:val="000000" w:themeColor="text1"/>
                <w:sz w:val="20"/>
                <w:szCs w:val="20"/>
              </w:rPr>
              <w:t>Gold standard</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60B08BC" w14:textId="6A4616A2" w:rsidR="00820EF3" w:rsidRPr="00DD4D3B" w:rsidRDefault="00985113" w:rsidP="00D70428">
            <w:pPr>
              <w:spacing w:after="20" w:line="260" w:lineRule="auto"/>
              <w:rPr>
                <w:color w:val="000000" w:themeColor="text1"/>
              </w:rPr>
            </w:pPr>
            <w:r w:rsidRPr="00DD4D3B">
              <w:rPr>
                <w:color w:val="000000" w:themeColor="text1"/>
                <w:sz w:val="20"/>
                <w:szCs w:val="20"/>
              </w:rPr>
              <w:t>Labor intensive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05B0776" w14:textId="1DDF3E50" w:rsidR="00820EF3" w:rsidRPr="00DD4D3B" w:rsidRDefault="00985113" w:rsidP="00D70428">
            <w:pPr>
              <w:spacing w:after="20" w:line="260" w:lineRule="auto"/>
              <w:rPr>
                <w:color w:val="000000" w:themeColor="text1"/>
              </w:rPr>
            </w:pPr>
            <w:r w:rsidRPr="00DD4D3B">
              <w:rPr>
                <w:color w:val="000000" w:themeColor="text1"/>
                <w:sz w:val="20"/>
                <w:szCs w:val="20"/>
              </w:rPr>
              <w:t>Low–Mod</w:t>
            </w:r>
          </w:p>
        </w:tc>
      </w:tr>
      <w:tr w:rsidR="00DD4D3B" w:rsidRPr="00DD4D3B" w14:paraId="0737E62C"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31E2C67" w14:textId="18664766" w:rsidR="00820EF3" w:rsidRPr="00DD4D3B" w:rsidRDefault="00985113" w:rsidP="00D70428">
            <w:pPr>
              <w:spacing w:after="20" w:line="260" w:lineRule="auto"/>
              <w:rPr>
                <w:color w:val="000000" w:themeColor="text1"/>
              </w:rPr>
            </w:pPr>
            <w:r w:rsidRPr="00DD4D3B">
              <w:rPr>
                <w:color w:val="000000" w:themeColor="text1"/>
                <w:sz w:val="20"/>
                <w:szCs w:val="20"/>
              </w:rPr>
              <w:t>Imagery review</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379A1ED2" w14:textId="26CDE0B5" w:rsidR="00820EF3" w:rsidRPr="00DD4D3B" w:rsidRDefault="00985113" w:rsidP="00D70428">
            <w:pPr>
              <w:spacing w:after="20" w:line="260" w:lineRule="auto"/>
              <w:rPr>
                <w:color w:val="000000" w:themeColor="text1"/>
              </w:rPr>
            </w:pPr>
            <w:r w:rsidRPr="00DD4D3B">
              <w:rPr>
                <w:color w:val="000000" w:themeColor="text1"/>
                <w:sz w:val="20"/>
                <w:szCs w:val="20"/>
              </w:rPr>
              <w:t>No field visits</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E9D28FF" w14:textId="433252A0" w:rsidR="00820EF3" w:rsidRPr="00DD4D3B" w:rsidRDefault="009A0B23" w:rsidP="00D70428">
            <w:pPr>
              <w:spacing w:after="20" w:line="260" w:lineRule="auto"/>
              <w:rPr>
                <w:color w:val="000000" w:themeColor="text1"/>
              </w:rPr>
            </w:pPr>
            <w:r w:rsidRPr="00DD4D3B">
              <w:rPr>
                <w:color w:val="000000" w:themeColor="text1"/>
                <w:sz w:val="20"/>
                <w:szCs w:val="20"/>
              </w:rPr>
              <w:t>Imagery</w:t>
            </w:r>
            <w:r w:rsidR="00985113" w:rsidRPr="00DD4D3B">
              <w:rPr>
                <w:color w:val="000000" w:themeColor="text1"/>
                <w:sz w:val="20"/>
                <w:szCs w:val="20"/>
              </w:rPr>
              <w:t xml:space="preserve"> currency</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E3A8CC9" w14:textId="77777777" w:rsidR="00820EF3" w:rsidRPr="00DD4D3B" w:rsidRDefault="00985113" w:rsidP="00D70428">
            <w:pPr>
              <w:spacing w:after="20" w:line="260" w:lineRule="auto"/>
              <w:rPr>
                <w:color w:val="000000" w:themeColor="text1"/>
              </w:rPr>
            </w:pPr>
            <w:r w:rsidRPr="00DD4D3B">
              <w:rPr>
                <w:color w:val="000000" w:themeColor="text1"/>
                <w:sz w:val="20"/>
                <w:szCs w:val="20"/>
              </w:rPr>
              <w:t>High</w:t>
            </w:r>
          </w:p>
        </w:tc>
      </w:tr>
      <w:tr w:rsidR="00DD4D3B" w:rsidRPr="00DD4D3B" w14:paraId="6A2BF410" w14:textId="77777777" w:rsidTr="00D70428">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685CFB9" w14:textId="7C9899EA" w:rsidR="00820EF3" w:rsidRPr="00DD4D3B" w:rsidRDefault="00985113" w:rsidP="00D70428">
            <w:pPr>
              <w:spacing w:after="20" w:line="260" w:lineRule="auto"/>
              <w:rPr>
                <w:color w:val="000000" w:themeColor="text1"/>
              </w:rPr>
            </w:pPr>
            <w:r w:rsidRPr="00DD4D3B">
              <w:rPr>
                <w:color w:val="000000" w:themeColor="text1"/>
                <w:sz w:val="20"/>
                <w:szCs w:val="20"/>
              </w:rPr>
              <w:t>Cloud collaborative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67EA65A" w14:textId="0555A564" w:rsidR="00820EF3" w:rsidRPr="00DD4D3B" w:rsidRDefault="00985113" w:rsidP="00D70428">
            <w:pPr>
              <w:spacing w:after="20" w:line="260" w:lineRule="auto"/>
              <w:rPr>
                <w:color w:val="000000" w:themeColor="text1"/>
              </w:rPr>
            </w:pPr>
            <w:r w:rsidRPr="00DD4D3B">
              <w:rPr>
                <w:color w:val="000000" w:themeColor="text1"/>
                <w:sz w:val="20"/>
                <w:szCs w:val="20"/>
              </w:rPr>
              <w:t>Real-time</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3C0A2BC" w14:textId="41B698B6" w:rsidR="00820EF3" w:rsidRPr="00DD4D3B" w:rsidRDefault="009A0B23" w:rsidP="00D70428">
            <w:pPr>
              <w:spacing w:after="20" w:line="260" w:lineRule="auto"/>
              <w:rPr>
                <w:color w:val="000000" w:themeColor="text1"/>
              </w:rPr>
            </w:pPr>
            <w:r w:rsidRPr="00DD4D3B">
              <w:rPr>
                <w:color w:val="000000" w:themeColor="text1"/>
                <w:sz w:val="20"/>
                <w:szCs w:val="20"/>
              </w:rPr>
              <w:t>Internet</w:t>
            </w:r>
            <w:r w:rsidR="00985113" w:rsidRPr="00DD4D3B">
              <w:rPr>
                <w:color w:val="000000" w:themeColor="text1"/>
                <w:sz w:val="20"/>
                <w:szCs w:val="20"/>
              </w:rPr>
              <w:t>, licensing</w:t>
            </w:r>
          </w:p>
        </w:tc>
        <w:tc>
          <w:tcPr>
            <w:tcW w:w="234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202FF08C" w14:textId="77777777" w:rsidR="00820EF3" w:rsidRPr="00DD4D3B" w:rsidRDefault="00985113" w:rsidP="00D70428">
            <w:pPr>
              <w:spacing w:after="20" w:line="260" w:lineRule="auto"/>
              <w:rPr>
                <w:color w:val="000000" w:themeColor="text1"/>
              </w:rPr>
            </w:pPr>
            <w:r w:rsidRPr="00DD4D3B">
              <w:rPr>
                <w:color w:val="000000" w:themeColor="text1"/>
                <w:sz w:val="20"/>
                <w:szCs w:val="20"/>
              </w:rPr>
              <w:t>Moderate</w:t>
            </w:r>
          </w:p>
        </w:tc>
      </w:tr>
      <w:tr w:rsidR="00DD4D3B" w:rsidRPr="00DD4D3B" w14:paraId="578BBD7D" w14:textId="77777777" w:rsidTr="00D70428">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333EF569" w14:textId="150D5E7A" w:rsidR="00820EF3" w:rsidRPr="00DD4D3B" w:rsidRDefault="00985113" w:rsidP="00D70428">
            <w:pPr>
              <w:spacing w:after="20" w:line="260" w:lineRule="auto"/>
              <w:rPr>
                <w:color w:val="000000" w:themeColor="text1"/>
              </w:rPr>
            </w:pPr>
            <w:r w:rsidRPr="00DD4D3B">
              <w:rPr>
                <w:color w:val="000000" w:themeColor="text1"/>
                <w:sz w:val="20"/>
                <w:szCs w:val="20"/>
              </w:rPr>
              <w:lastRenderedPageBreak/>
              <w:t>State QA/QC</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115990B1" w14:textId="3CEE386D" w:rsidR="00820EF3" w:rsidRPr="00DD4D3B" w:rsidRDefault="009A0B23" w:rsidP="00D70428">
            <w:pPr>
              <w:spacing w:after="20" w:line="260" w:lineRule="auto"/>
              <w:rPr>
                <w:color w:val="000000" w:themeColor="text1"/>
              </w:rPr>
            </w:pPr>
            <w:r w:rsidRPr="00DD4D3B">
              <w:rPr>
                <w:color w:val="000000" w:themeColor="text1"/>
                <w:sz w:val="20"/>
                <w:szCs w:val="20"/>
              </w:rPr>
              <w:t>Economies</w:t>
            </w:r>
            <w:r w:rsidR="00985113" w:rsidRPr="00DD4D3B">
              <w:rPr>
                <w:color w:val="000000" w:themeColor="text1"/>
                <w:sz w:val="20"/>
                <w:szCs w:val="20"/>
              </w:rPr>
              <w:t xml:space="preserve"> of scale</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34109E15" w14:textId="19F779BA" w:rsidR="00820EF3" w:rsidRPr="00DD4D3B" w:rsidRDefault="009A0B23" w:rsidP="00D70428">
            <w:pPr>
              <w:spacing w:after="20" w:line="260" w:lineRule="auto"/>
              <w:rPr>
                <w:color w:val="000000" w:themeColor="text1"/>
              </w:rPr>
            </w:pPr>
            <w:r w:rsidRPr="00DD4D3B">
              <w:rPr>
                <w:color w:val="000000" w:themeColor="text1"/>
                <w:sz w:val="20"/>
                <w:szCs w:val="20"/>
              </w:rPr>
              <w:t>State</w:t>
            </w:r>
            <w:r w:rsidR="00985113" w:rsidRPr="00DD4D3B">
              <w:rPr>
                <w:color w:val="000000" w:themeColor="text1"/>
                <w:sz w:val="20"/>
                <w:szCs w:val="20"/>
              </w:rPr>
              <w:t xml:space="preserve"> commitment</w:t>
            </w:r>
          </w:p>
        </w:tc>
        <w:tc>
          <w:tcPr>
            <w:tcW w:w="234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7C8D65EA" w14:textId="77777777" w:rsidR="00820EF3" w:rsidRPr="00DD4D3B" w:rsidRDefault="00985113" w:rsidP="00D70428">
            <w:pPr>
              <w:spacing w:after="20" w:line="260" w:lineRule="auto"/>
              <w:rPr>
                <w:color w:val="000000" w:themeColor="text1"/>
              </w:rPr>
            </w:pPr>
            <w:r w:rsidRPr="00DD4D3B">
              <w:rPr>
                <w:color w:val="000000" w:themeColor="text1"/>
                <w:sz w:val="20"/>
                <w:szCs w:val="20"/>
              </w:rPr>
              <w:t>High</w:t>
            </w:r>
          </w:p>
        </w:tc>
      </w:tr>
    </w:tbl>
    <w:p w14:paraId="03FB9EFD" w14:textId="4407D566" w:rsidR="00D70428" w:rsidRPr="00DD4D3B" w:rsidRDefault="009A0B23" w:rsidP="00D70428">
      <w:pPr>
        <w:spacing w:before="40" w:after="120" w:line="276" w:lineRule="auto"/>
        <w:rPr>
          <w:color w:val="000000" w:themeColor="text1"/>
        </w:rPr>
      </w:pPr>
      <w:r w:rsidRPr="00DD4D3B">
        <w:rPr>
          <w:i/>
          <w:iCs/>
          <w:color w:val="000000" w:themeColor="text1"/>
          <w:sz w:val="20"/>
          <w:szCs w:val="20"/>
        </w:rPr>
        <w:t xml:space="preserve">Note. </w:t>
      </w:r>
      <w:r w:rsidRPr="00DD4D3B">
        <w:rPr>
          <w:color w:val="000000" w:themeColor="text1"/>
          <w:sz w:val="20"/>
          <w:szCs w:val="20"/>
        </w:rPr>
        <w:t xml:space="preserve">Rural Fit </w:t>
      </w:r>
      <w:r w:rsidR="00A21BFE" w:rsidRPr="00DD4D3B">
        <w:rPr>
          <w:color w:val="000000" w:themeColor="text1"/>
          <w:sz w:val="20"/>
          <w:szCs w:val="20"/>
        </w:rPr>
        <w:t xml:space="preserve">is </w:t>
      </w:r>
      <w:r w:rsidRPr="00DD4D3B">
        <w:rPr>
          <w:color w:val="000000" w:themeColor="text1"/>
          <w:sz w:val="20"/>
          <w:szCs w:val="20"/>
        </w:rPr>
        <w:t>assessed on a scale from Low to High based on staffing, cost, and infrastructure requirements.</w:t>
      </w:r>
      <w:r w:rsidR="00D70428" w:rsidRPr="00DD4D3B">
        <w:rPr>
          <w:i/>
          <w:iCs/>
          <w:color w:val="000000" w:themeColor="text1"/>
          <w:sz w:val="20"/>
          <w:szCs w:val="20"/>
        </w:rPr>
        <w:t xml:space="preserve"> —source: Authors’ conceptualization based on reviewed literature</w:t>
      </w:r>
      <w:r w:rsidR="00D70428" w:rsidRPr="00DD4D3B">
        <w:rPr>
          <w:i/>
          <w:color w:val="000000" w:themeColor="text1"/>
          <w:sz w:val="20"/>
        </w:rPr>
        <w:t>.</w:t>
      </w:r>
    </w:p>
    <w:p w14:paraId="7F43F511" w14:textId="670EF632" w:rsidR="00A92322" w:rsidRPr="00DD4D3B" w:rsidRDefault="00D70428">
      <w:pPr>
        <w:spacing w:after="60" w:line="276" w:lineRule="auto"/>
        <w:jc w:val="both"/>
        <w:rPr>
          <w:color w:val="000000" w:themeColor="text1"/>
        </w:rPr>
      </w:pPr>
      <w:r w:rsidRPr="00DD4D3B">
        <w:rPr>
          <w:color w:val="000000" w:themeColor="text1"/>
          <w:sz w:val="20"/>
          <w:szCs w:val="20"/>
        </w:rPr>
        <w:t xml:space="preserve">        </w:t>
      </w:r>
    </w:p>
    <w:p w14:paraId="11E7D82A" w14:textId="6065E1D1" w:rsidR="00820EF3" w:rsidRPr="00DD4D3B" w:rsidRDefault="00985113" w:rsidP="00D70428">
      <w:pPr>
        <w:pStyle w:val="Heading1"/>
        <w:spacing w:line="276" w:lineRule="auto"/>
        <w:rPr>
          <w:color w:val="000000" w:themeColor="text1"/>
        </w:rPr>
      </w:pPr>
      <w:r w:rsidRPr="00DD4D3B">
        <w:rPr>
          <w:color w:val="000000" w:themeColor="text1"/>
        </w:rPr>
        <w:t>7. Proposed Quality Assessment Framework</w:t>
      </w:r>
    </w:p>
    <w:p w14:paraId="065C79E2" w14:textId="555DAB72" w:rsidR="00820EF3" w:rsidRPr="00DD4D3B" w:rsidRDefault="00985113" w:rsidP="00D70428">
      <w:pPr>
        <w:spacing w:after="120" w:line="276" w:lineRule="auto"/>
        <w:jc w:val="both"/>
        <w:rPr>
          <w:color w:val="000000" w:themeColor="text1"/>
        </w:rPr>
      </w:pPr>
      <w:r w:rsidRPr="00DD4D3B">
        <w:rPr>
          <w:color w:val="000000" w:themeColor="text1"/>
        </w:rPr>
        <w:t xml:space="preserve">Drawing on the patterns identified above, this section proposes a four-phase framework designed for rural jurisdictions and state 911 coordinators (Figure </w:t>
      </w:r>
      <w:r w:rsidR="00030CBD">
        <w:rPr>
          <w:color w:val="000000" w:themeColor="text1"/>
        </w:rPr>
        <w:t>9</w:t>
      </w:r>
      <w:r w:rsidRPr="00DD4D3B">
        <w:rPr>
          <w:color w:val="000000" w:themeColor="text1"/>
        </w:rPr>
        <w:t>, Table 5).</w:t>
      </w:r>
    </w:p>
    <w:p w14:paraId="7CFCA409" w14:textId="0A634265" w:rsidR="00820EF3" w:rsidRPr="00DD4D3B" w:rsidRDefault="00985113" w:rsidP="00D70428">
      <w:pPr>
        <w:spacing w:after="120" w:line="276" w:lineRule="auto"/>
        <w:ind w:firstLine="540"/>
        <w:jc w:val="both"/>
        <w:rPr>
          <w:color w:val="000000" w:themeColor="text1"/>
        </w:rPr>
      </w:pPr>
      <w:r w:rsidRPr="00DD4D3B">
        <w:rPr>
          <w:color w:val="000000" w:themeColor="text1"/>
        </w:rPr>
        <w:t xml:space="preserve">Phase 1 (Automated Baseline Assessment) runs validation checks against NENA-STA-006.2 and quantifies the attribute deficiency rate using Equation 4. Phase 2 (MSAG–GIS Cross-Validation) compares road centerlines against MSAG records using fuzzy </w:t>
      </w:r>
      <w:r w:rsidR="007E1EA1" w:rsidRPr="00DD4D3B">
        <w:rPr>
          <w:color w:val="000000" w:themeColor="text1"/>
        </w:rPr>
        <w:t>string</w:t>
      </w:r>
      <w:r w:rsidRPr="00DD4D3B">
        <w:rPr>
          <w:color w:val="000000" w:themeColor="text1"/>
        </w:rPr>
        <w:t xml:space="preserve"> </w:t>
      </w:r>
      <w:r w:rsidR="007E1EA1" w:rsidRPr="00DD4D3B">
        <w:rPr>
          <w:color w:val="000000" w:themeColor="text1"/>
        </w:rPr>
        <w:t>matching</w:t>
      </w:r>
      <w:r w:rsidRPr="00DD4D3B">
        <w:rPr>
          <w:color w:val="000000" w:themeColor="text1"/>
        </w:rPr>
        <w:t xml:space="preserve"> and range comparison, producing a categorized discrepancy report. Phase 3 (Risk-Prioritized Remediation) corrects errors near PSAP boundaries and critical facilities first, ensuring that limited staff time </w:t>
      </w:r>
      <w:r w:rsidR="00A21BFE" w:rsidRPr="00DD4D3B">
        <w:rPr>
          <w:color w:val="000000" w:themeColor="text1"/>
        </w:rPr>
        <w:t>yields</w:t>
      </w:r>
      <w:r w:rsidRPr="00DD4D3B">
        <w:rPr>
          <w:color w:val="000000" w:themeColor="text1"/>
        </w:rPr>
        <w:t xml:space="preserve"> the maximum routing improvement. Phase 4 (Ongoing QA/QC) repeats validation quarterly, tracking metrics</w:t>
      </w:r>
      <w:r w:rsidR="00385DAB" w:rsidRPr="00DD4D3B">
        <w:rPr>
          <w:color w:val="000000" w:themeColor="text1"/>
        </w:rPr>
        <w:t xml:space="preserve">, </w:t>
      </w:r>
      <w:r w:rsidRPr="00DD4D3B">
        <w:rPr>
          <w:color w:val="000000" w:themeColor="text1"/>
        </w:rPr>
        <w:t>completeness (Eq. 3), ADR (Eq. 4), MSAG match rate (Eq. 5), and RMSE (Eq. 1)</w:t>
      </w:r>
      <w:r w:rsidR="00A761B5" w:rsidRPr="00DD4D3B">
        <w:rPr>
          <w:color w:val="000000" w:themeColor="text1"/>
        </w:rPr>
        <w:t xml:space="preserve">, </w:t>
      </w:r>
      <w:r w:rsidRPr="00DD4D3B">
        <w:rPr>
          <w:color w:val="000000" w:themeColor="text1"/>
        </w:rPr>
        <w:t>on a quality dashboard.</w:t>
      </w:r>
    </w:p>
    <w:p w14:paraId="0CC08D3F" w14:textId="77777777" w:rsidR="00A92322" w:rsidRPr="00DD4D3B" w:rsidRDefault="009A0B23">
      <w:pPr>
        <w:spacing w:after="40"/>
        <w:jc w:val="center"/>
        <w:rPr>
          <w:color w:val="000000" w:themeColor="text1"/>
        </w:rPr>
      </w:pPr>
      <w:r w:rsidRPr="00DD4D3B">
        <w:rPr>
          <w:noProof/>
          <w:color w:val="000000" w:themeColor="text1"/>
        </w:rPr>
        <w:drawing>
          <wp:inline distT="0" distB="0" distL="0" distR="0" wp14:anchorId="0BCB530D" wp14:editId="097883AF">
            <wp:extent cx="5980526" cy="4620638"/>
            <wp:effectExtent l="0" t="0" r="1270" b="2540"/>
            <wp:docPr id="825201392" name="Picture 8252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1392" name="Picture 82520139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12709" cy="4800026"/>
                    </a:xfrm>
                    <a:prstGeom prst="rect">
                      <a:avLst/>
                    </a:prstGeom>
                  </pic:spPr>
                </pic:pic>
              </a:graphicData>
            </a:graphic>
          </wp:inline>
        </w:drawing>
      </w:r>
    </w:p>
    <w:p w14:paraId="39F1BF17" w14:textId="0C43AC1A" w:rsidR="00820EF3" w:rsidRPr="00DD4D3B" w:rsidRDefault="00985113" w:rsidP="00D70428">
      <w:pPr>
        <w:spacing w:before="40" w:after="120" w:line="276" w:lineRule="auto"/>
        <w:rPr>
          <w:color w:val="000000" w:themeColor="text1"/>
        </w:rPr>
      </w:pPr>
      <w:r w:rsidRPr="00DD4D3B">
        <w:rPr>
          <w:b/>
          <w:i/>
          <w:color w:val="000000" w:themeColor="text1"/>
          <w:sz w:val="20"/>
        </w:rPr>
        <w:lastRenderedPageBreak/>
        <w:t xml:space="preserve">Figure </w:t>
      </w:r>
      <w:r w:rsidR="00030CBD">
        <w:rPr>
          <w:b/>
          <w:i/>
          <w:color w:val="000000" w:themeColor="text1"/>
          <w:sz w:val="20"/>
        </w:rPr>
        <w:t>9</w:t>
      </w:r>
      <w:r w:rsidRPr="00DD4D3B">
        <w:rPr>
          <w:b/>
          <w:i/>
          <w:color w:val="000000" w:themeColor="text1"/>
          <w:sz w:val="20"/>
        </w:rPr>
        <w:t xml:space="preserve">. </w:t>
      </w:r>
      <w:r w:rsidRPr="00DD4D3B">
        <w:rPr>
          <w:i/>
          <w:color w:val="000000" w:themeColor="text1"/>
          <w:sz w:val="20"/>
        </w:rPr>
        <w:t xml:space="preserve">Proposed </w:t>
      </w:r>
      <w:r w:rsidR="00A21BFE" w:rsidRPr="00DD4D3B">
        <w:rPr>
          <w:i/>
          <w:iCs/>
          <w:color w:val="000000" w:themeColor="text1"/>
          <w:sz w:val="20"/>
          <w:szCs w:val="20"/>
        </w:rPr>
        <w:t xml:space="preserve">a </w:t>
      </w:r>
      <w:r w:rsidRPr="00DD4D3B">
        <w:rPr>
          <w:i/>
          <w:color w:val="000000" w:themeColor="text1"/>
          <w:sz w:val="20"/>
        </w:rPr>
        <w:t xml:space="preserve">four-phase GIS data quality </w:t>
      </w:r>
      <w:r w:rsidRPr="00DD4D3B">
        <w:rPr>
          <w:i/>
          <w:iCs/>
          <w:color w:val="000000" w:themeColor="text1"/>
          <w:sz w:val="20"/>
          <w:szCs w:val="20"/>
        </w:rPr>
        <w:t xml:space="preserve">framework with </w:t>
      </w:r>
      <w:r w:rsidR="00CC3E83" w:rsidRPr="00DD4D3B">
        <w:rPr>
          <w:i/>
          <w:iCs/>
          <w:color w:val="000000" w:themeColor="text1"/>
          <w:sz w:val="20"/>
          <w:szCs w:val="20"/>
        </w:rPr>
        <w:t>a</w:t>
      </w:r>
      <w:r w:rsidRPr="00DD4D3B">
        <w:rPr>
          <w:i/>
          <w:color w:val="000000" w:themeColor="text1"/>
          <w:sz w:val="20"/>
        </w:rPr>
        <w:t xml:space="preserve"> continuous feedback loop</w:t>
      </w:r>
      <w:r w:rsidR="00A21BFE" w:rsidRPr="00DD4D3B">
        <w:rPr>
          <w:i/>
          <w:iCs/>
          <w:color w:val="000000" w:themeColor="text1"/>
          <w:sz w:val="20"/>
          <w:szCs w:val="20"/>
        </w:rPr>
        <w:t>—s</w:t>
      </w:r>
      <w:r w:rsidRPr="00DD4D3B">
        <w:rPr>
          <w:i/>
          <w:iCs/>
          <w:color w:val="000000" w:themeColor="text1"/>
          <w:sz w:val="20"/>
          <w:szCs w:val="20"/>
        </w:rPr>
        <w:t>ource: Authors’ conceptualization based on reviewed literature</w:t>
      </w:r>
      <w:r w:rsidRPr="00DD4D3B">
        <w:rPr>
          <w:i/>
          <w:color w:val="000000" w:themeColor="text1"/>
          <w:sz w:val="20"/>
        </w:rPr>
        <w:t>.</w:t>
      </w:r>
    </w:p>
    <w:p w14:paraId="6ED99B3D" w14:textId="5CB95464" w:rsidR="00820EF3" w:rsidRPr="00DD4D3B" w:rsidRDefault="00985113" w:rsidP="00D70428">
      <w:pPr>
        <w:spacing w:after="30"/>
        <w:rPr>
          <w:color w:val="000000" w:themeColor="text1"/>
        </w:rPr>
      </w:pPr>
      <w:r w:rsidRPr="00DD4D3B">
        <w:rPr>
          <w:b/>
          <w:bCs/>
          <w:i/>
          <w:iCs/>
          <w:color w:val="000000" w:themeColor="text1"/>
        </w:rPr>
        <w:t>Table 5</w:t>
      </w:r>
      <w:r w:rsidR="007415E0" w:rsidRPr="00DD4D3B">
        <w:rPr>
          <w:color w:val="000000" w:themeColor="text1"/>
        </w:rPr>
        <w:t xml:space="preserve">: </w:t>
      </w:r>
      <w:r w:rsidRPr="00DD4D3B">
        <w:rPr>
          <w:i/>
          <w:iCs/>
          <w:color w:val="000000" w:themeColor="text1"/>
        </w:rPr>
        <w:t>Summary of the Proposed Four-Phase Framework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2753"/>
        <w:gridCol w:w="2753"/>
        <w:gridCol w:w="2754"/>
      </w:tblGrid>
      <w:tr w:rsidR="00DD4D3B" w:rsidRPr="00DD4D3B" w14:paraId="3E379DCA" w14:textId="77777777" w:rsidTr="00D70428">
        <w:tc>
          <w:tcPr>
            <w:tcW w:w="1100"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2D256760" w14:textId="77777777" w:rsidR="00820EF3" w:rsidRPr="00DD4D3B" w:rsidRDefault="00985113" w:rsidP="00D70428">
            <w:pPr>
              <w:spacing w:after="20" w:line="260" w:lineRule="auto"/>
              <w:jc w:val="center"/>
              <w:rPr>
                <w:color w:val="000000" w:themeColor="text1"/>
              </w:rPr>
            </w:pPr>
            <w:r w:rsidRPr="00DD4D3B">
              <w:rPr>
                <w:b/>
                <w:bCs/>
                <w:color w:val="000000" w:themeColor="text1"/>
                <w:sz w:val="20"/>
                <w:szCs w:val="20"/>
              </w:rPr>
              <w:t>Phase</w:t>
            </w:r>
          </w:p>
        </w:tc>
        <w:tc>
          <w:tcPr>
            <w:tcW w:w="27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0EFB9D3A"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Activity</w:t>
            </w:r>
          </w:p>
        </w:tc>
        <w:tc>
          <w:tcPr>
            <w:tcW w:w="2753"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65CB7B42" w14:textId="77777777" w:rsidR="00820EF3" w:rsidRPr="00DD4D3B" w:rsidRDefault="00985113" w:rsidP="00D70428">
            <w:pPr>
              <w:spacing w:after="20" w:line="260" w:lineRule="auto"/>
              <w:rPr>
                <w:color w:val="000000" w:themeColor="text1"/>
              </w:rPr>
            </w:pPr>
            <w:r w:rsidRPr="00DD4D3B">
              <w:rPr>
                <w:b/>
                <w:bCs/>
                <w:color w:val="000000" w:themeColor="text1"/>
                <w:sz w:val="20"/>
                <w:szCs w:val="20"/>
              </w:rPr>
              <w:t>Output</w:t>
            </w:r>
          </w:p>
        </w:tc>
        <w:tc>
          <w:tcPr>
            <w:tcW w:w="2754" w:type="dxa"/>
            <w:tcBorders>
              <w:top w:val="single" w:sz="1" w:space="0" w:color="000000"/>
              <w:left w:val="none" w:sz="0" w:space="0" w:color="FFFFFF"/>
              <w:bottom w:val="single" w:sz="1" w:space="0" w:color="000000"/>
              <w:right w:val="none" w:sz="0" w:space="0" w:color="FFFFFF"/>
            </w:tcBorders>
            <w:tcMar>
              <w:top w:w="30" w:type="dxa"/>
              <w:left w:w="60" w:type="dxa"/>
              <w:bottom w:w="30" w:type="dxa"/>
              <w:right w:w="60" w:type="dxa"/>
            </w:tcMar>
          </w:tcPr>
          <w:p w14:paraId="4A446DDD" w14:textId="4CE76B53" w:rsidR="00820EF3" w:rsidRPr="00DD4D3B" w:rsidRDefault="00985113" w:rsidP="00D70428">
            <w:pPr>
              <w:spacing w:after="20" w:line="260" w:lineRule="auto"/>
              <w:rPr>
                <w:color w:val="000000" w:themeColor="text1"/>
              </w:rPr>
            </w:pPr>
            <w:r w:rsidRPr="00DD4D3B">
              <w:rPr>
                <w:b/>
                <w:bCs/>
                <w:color w:val="000000" w:themeColor="text1"/>
                <w:sz w:val="20"/>
                <w:szCs w:val="20"/>
              </w:rPr>
              <w:t>Tools</w:t>
            </w:r>
          </w:p>
        </w:tc>
      </w:tr>
      <w:tr w:rsidR="00DD4D3B" w:rsidRPr="00DD4D3B" w14:paraId="54A2FAD1" w14:textId="77777777" w:rsidTr="00D70428">
        <w:tc>
          <w:tcPr>
            <w:tcW w:w="11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76AD1470"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1</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8F60685" w14:textId="471DD099" w:rsidR="00820EF3" w:rsidRPr="00DD4D3B" w:rsidRDefault="009A0B23" w:rsidP="00D70428">
            <w:pPr>
              <w:spacing w:after="20" w:line="260" w:lineRule="auto"/>
              <w:rPr>
                <w:color w:val="000000" w:themeColor="text1"/>
              </w:rPr>
            </w:pPr>
            <w:r w:rsidRPr="00DD4D3B">
              <w:rPr>
                <w:color w:val="000000" w:themeColor="text1"/>
                <w:sz w:val="20"/>
                <w:szCs w:val="20"/>
              </w:rPr>
              <w:t>Attribute</w:t>
            </w:r>
            <w:r w:rsidR="00985113" w:rsidRPr="00DD4D3B">
              <w:rPr>
                <w:color w:val="000000" w:themeColor="text1"/>
                <w:sz w:val="20"/>
                <w:szCs w:val="20"/>
              </w:rPr>
              <w:t xml:space="preserve"> validation </w:t>
            </w:r>
            <w:r w:rsidRPr="00DD4D3B">
              <w:rPr>
                <w:color w:val="000000" w:themeColor="text1"/>
                <w:sz w:val="20"/>
                <w:szCs w:val="20"/>
              </w:rPr>
              <w:t>vs.</w:t>
            </w:r>
            <w:r w:rsidR="00985113" w:rsidRPr="00DD4D3B">
              <w:rPr>
                <w:color w:val="000000" w:themeColor="text1"/>
                <w:sz w:val="20"/>
                <w:szCs w:val="20"/>
              </w:rPr>
              <w:t xml:space="preserve"> NENA-STA-006.2</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165037E" w14:textId="5DD854DF" w:rsidR="00820EF3" w:rsidRPr="00DD4D3B" w:rsidRDefault="00985113" w:rsidP="00D70428">
            <w:pPr>
              <w:spacing w:after="20" w:line="260" w:lineRule="auto"/>
              <w:rPr>
                <w:color w:val="000000" w:themeColor="text1"/>
              </w:rPr>
            </w:pPr>
            <w:r w:rsidRPr="00DD4D3B">
              <w:rPr>
                <w:color w:val="000000" w:themeColor="text1"/>
                <w:sz w:val="20"/>
                <w:szCs w:val="20"/>
              </w:rPr>
              <w:t>Baseline deficiency report</w:t>
            </w:r>
          </w:p>
        </w:tc>
        <w:tc>
          <w:tcPr>
            <w:tcW w:w="27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B43D72F" w14:textId="4F3CE04D" w:rsidR="00820EF3" w:rsidRPr="00DD4D3B" w:rsidRDefault="00985113" w:rsidP="00D70428">
            <w:pPr>
              <w:spacing w:after="20" w:line="260" w:lineRule="auto"/>
              <w:rPr>
                <w:color w:val="000000" w:themeColor="text1"/>
              </w:rPr>
            </w:pPr>
            <w:r w:rsidRPr="00DD4D3B">
              <w:rPr>
                <w:color w:val="000000" w:themeColor="text1"/>
                <w:sz w:val="20"/>
                <w:szCs w:val="20"/>
              </w:rPr>
              <w:t>ArcGIS Pro, Python</w:t>
            </w:r>
          </w:p>
        </w:tc>
      </w:tr>
      <w:tr w:rsidR="00DD4D3B" w:rsidRPr="00DD4D3B" w14:paraId="0C14F301" w14:textId="77777777" w:rsidTr="00D70428">
        <w:tc>
          <w:tcPr>
            <w:tcW w:w="11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B7D0E7A"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2</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7A11D09" w14:textId="6D75DC63" w:rsidR="00820EF3" w:rsidRPr="00DD4D3B" w:rsidRDefault="00985113" w:rsidP="00D70428">
            <w:pPr>
              <w:spacing w:after="20" w:line="260" w:lineRule="auto"/>
              <w:rPr>
                <w:color w:val="000000" w:themeColor="text1"/>
              </w:rPr>
            </w:pPr>
            <w:r w:rsidRPr="00DD4D3B">
              <w:rPr>
                <w:color w:val="000000" w:themeColor="text1"/>
                <w:sz w:val="20"/>
                <w:szCs w:val="20"/>
              </w:rPr>
              <w:t>MSAG–GIS cross-validation</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5AE3BD62" w14:textId="5D94A9D0" w:rsidR="00820EF3" w:rsidRPr="00DD4D3B" w:rsidRDefault="009A0B23" w:rsidP="00D70428">
            <w:pPr>
              <w:spacing w:after="20" w:line="260" w:lineRule="auto"/>
              <w:rPr>
                <w:color w:val="000000" w:themeColor="text1"/>
              </w:rPr>
            </w:pPr>
            <w:r w:rsidRPr="00DD4D3B">
              <w:rPr>
                <w:color w:val="000000" w:themeColor="text1"/>
                <w:sz w:val="20"/>
                <w:szCs w:val="20"/>
              </w:rPr>
              <w:t>Discrepancy</w:t>
            </w:r>
            <w:r w:rsidR="00985113" w:rsidRPr="00DD4D3B">
              <w:rPr>
                <w:color w:val="000000" w:themeColor="text1"/>
                <w:sz w:val="20"/>
                <w:szCs w:val="20"/>
              </w:rPr>
              <w:t xml:space="preserve"> report</w:t>
            </w:r>
          </w:p>
        </w:tc>
        <w:tc>
          <w:tcPr>
            <w:tcW w:w="27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6DE52DA5" w14:textId="77777777" w:rsidR="00820EF3" w:rsidRPr="00DD4D3B" w:rsidRDefault="00985113" w:rsidP="00D70428">
            <w:pPr>
              <w:spacing w:after="20" w:line="260" w:lineRule="auto"/>
              <w:rPr>
                <w:color w:val="000000" w:themeColor="text1"/>
              </w:rPr>
            </w:pPr>
            <w:r w:rsidRPr="00DD4D3B">
              <w:rPr>
                <w:color w:val="000000" w:themeColor="text1"/>
                <w:sz w:val="20"/>
                <w:szCs w:val="20"/>
              </w:rPr>
              <w:t>Python fuzzy matching</w:t>
            </w:r>
          </w:p>
        </w:tc>
      </w:tr>
      <w:tr w:rsidR="00DD4D3B" w:rsidRPr="00DD4D3B" w14:paraId="1BB5BB66" w14:textId="77777777" w:rsidTr="00D70428">
        <w:tc>
          <w:tcPr>
            <w:tcW w:w="1100"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ABB1B99"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3</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171E72D5" w14:textId="2B438753" w:rsidR="00820EF3" w:rsidRPr="00DD4D3B" w:rsidRDefault="00985113" w:rsidP="00D70428">
            <w:pPr>
              <w:spacing w:after="20" w:line="260" w:lineRule="auto"/>
              <w:rPr>
                <w:color w:val="000000" w:themeColor="text1"/>
              </w:rPr>
            </w:pPr>
            <w:r w:rsidRPr="00DD4D3B">
              <w:rPr>
                <w:color w:val="000000" w:themeColor="text1"/>
                <w:sz w:val="20"/>
                <w:szCs w:val="20"/>
              </w:rPr>
              <w:t>Risk-prioritized correction</w:t>
            </w:r>
          </w:p>
        </w:tc>
        <w:tc>
          <w:tcPr>
            <w:tcW w:w="2753"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06281C57" w14:textId="58AB512B" w:rsidR="00820EF3" w:rsidRPr="00DD4D3B" w:rsidRDefault="00985113" w:rsidP="00D70428">
            <w:pPr>
              <w:spacing w:after="20" w:line="260" w:lineRule="auto"/>
              <w:rPr>
                <w:color w:val="000000" w:themeColor="text1"/>
              </w:rPr>
            </w:pPr>
            <w:r w:rsidRPr="00DD4D3B">
              <w:rPr>
                <w:color w:val="000000" w:themeColor="text1"/>
                <w:sz w:val="20"/>
                <w:szCs w:val="20"/>
              </w:rPr>
              <w:t>Corrected datasets</w:t>
            </w:r>
          </w:p>
        </w:tc>
        <w:tc>
          <w:tcPr>
            <w:tcW w:w="2754" w:type="dxa"/>
            <w:tcBorders>
              <w:top w:val="none" w:sz="0" w:space="0" w:color="FFFFFF"/>
              <w:left w:val="none" w:sz="0" w:space="0" w:color="FFFFFF"/>
              <w:bottom w:val="none" w:sz="0" w:space="0" w:color="FFFFFF"/>
              <w:right w:val="none" w:sz="0" w:space="0" w:color="FFFFFF"/>
            </w:tcBorders>
            <w:tcMar>
              <w:top w:w="30" w:type="dxa"/>
              <w:left w:w="60" w:type="dxa"/>
              <w:bottom w:w="30" w:type="dxa"/>
              <w:right w:w="60" w:type="dxa"/>
            </w:tcMar>
          </w:tcPr>
          <w:p w14:paraId="4BD3E99B" w14:textId="77777777" w:rsidR="00820EF3" w:rsidRPr="00DD4D3B" w:rsidRDefault="00985113" w:rsidP="00D70428">
            <w:pPr>
              <w:spacing w:after="20" w:line="260" w:lineRule="auto"/>
              <w:rPr>
                <w:color w:val="000000" w:themeColor="text1"/>
              </w:rPr>
            </w:pPr>
            <w:r w:rsidRPr="00DD4D3B">
              <w:rPr>
                <w:color w:val="000000" w:themeColor="text1"/>
                <w:sz w:val="20"/>
                <w:szCs w:val="20"/>
              </w:rPr>
              <w:t>ArcGIS Pro/Online, GPS</w:t>
            </w:r>
          </w:p>
        </w:tc>
      </w:tr>
      <w:tr w:rsidR="00DD4D3B" w:rsidRPr="00DD4D3B" w14:paraId="72601C60" w14:textId="77777777" w:rsidTr="00D70428">
        <w:tc>
          <w:tcPr>
            <w:tcW w:w="1100"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25E2F499" w14:textId="77777777" w:rsidR="00820EF3" w:rsidRPr="00DD4D3B" w:rsidRDefault="00985113" w:rsidP="00D70428">
            <w:pPr>
              <w:spacing w:after="20" w:line="260" w:lineRule="auto"/>
              <w:jc w:val="center"/>
              <w:rPr>
                <w:color w:val="000000" w:themeColor="text1"/>
              </w:rPr>
            </w:pPr>
            <w:r w:rsidRPr="00DD4D3B">
              <w:rPr>
                <w:color w:val="000000" w:themeColor="text1"/>
                <w:sz w:val="20"/>
                <w:szCs w:val="20"/>
              </w:rPr>
              <w:t>4</w:t>
            </w:r>
          </w:p>
        </w:tc>
        <w:tc>
          <w:tcPr>
            <w:tcW w:w="2753"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0ECE626F" w14:textId="3F55CC8B" w:rsidR="00820EF3" w:rsidRPr="00DD4D3B" w:rsidRDefault="00985113" w:rsidP="00D70428">
            <w:pPr>
              <w:spacing w:after="20" w:line="260" w:lineRule="auto"/>
              <w:rPr>
                <w:color w:val="000000" w:themeColor="text1"/>
              </w:rPr>
            </w:pPr>
            <w:r w:rsidRPr="00DD4D3B">
              <w:rPr>
                <w:color w:val="000000" w:themeColor="text1"/>
                <w:sz w:val="20"/>
                <w:szCs w:val="20"/>
              </w:rPr>
              <w:t>Recurring QA/QC (quarterly)</w:t>
            </w:r>
          </w:p>
        </w:tc>
        <w:tc>
          <w:tcPr>
            <w:tcW w:w="2753"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1EA2EF6D" w14:textId="5994B5E1" w:rsidR="00820EF3" w:rsidRPr="00DD4D3B" w:rsidRDefault="00985113" w:rsidP="00D70428">
            <w:pPr>
              <w:spacing w:after="20" w:line="260" w:lineRule="auto"/>
              <w:rPr>
                <w:color w:val="000000" w:themeColor="text1"/>
              </w:rPr>
            </w:pPr>
            <w:r w:rsidRPr="00DD4D3B">
              <w:rPr>
                <w:color w:val="000000" w:themeColor="text1"/>
                <w:sz w:val="20"/>
                <w:szCs w:val="20"/>
              </w:rPr>
              <w:t>Quality dashboard</w:t>
            </w:r>
          </w:p>
        </w:tc>
        <w:tc>
          <w:tcPr>
            <w:tcW w:w="2754" w:type="dxa"/>
            <w:tcBorders>
              <w:top w:val="none" w:sz="0" w:space="0" w:color="FFFFFF"/>
              <w:left w:val="none" w:sz="0" w:space="0" w:color="FFFFFF"/>
              <w:bottom w:val="single" w:sz="1" w:space="0" w:color="000000"/>
              <w:right w:val="none" w:sz="0" w:space="0" w:color="FFFFFF"/>
            </w:tcBorders>
            <w:tcMar>
              <w:top w:w="30" w:type="dxa"/>
              <w:left w:w="60" w:type="dxa"/>
              <w:bottom w:w="30" w:type="dxa"/>
              <w:right w:w="60" w:type="dxa"/>
            </w:tcMar>
          </w:tcPr>
          <w:p w14:paraId="6BC7FDCA" w14:textId="101BFC40" w:rsidR="00820EF3" w:rsidRPr="00DD4D3B" w:rsidRDefault="00985113" w:rsidP="00D70428">
            <w:pPr>
              <w:spacing w:after="20" w:line="260" w:lineRule="auto"/>
              <w:rPr>
                <w:color w:val="000000" w:themeColor="text1"/>
              </w:rPr>
            </w:pPr>
            <w:r w:rsidRPr="00DD4D3B">
              <w:rPr>
                <w:color w:val="000000" w:themeColor="text1"/>
                <w:sz w:val="20"/>
                <w:szCs w:val="20"/>
              </w:rPr>
              <w:t>Phase 1 tools + dashboard</w:t>
            </w:r>
          </w:p>
        </w:tc>
      </w:tr>
    </w:tbl>
    <w:p w14:paraId="54723002" w14:textId="1136D992" w:rsidR="004E0918" w:rsidRPr="00DD4D3B" w:rsidRDefault="009A0B23" w:rsidP="00D70428">
      <w:pPr>
        <w:spacing w:before="40" w:after="120" w:line="276" w:lineRule="auto"/>
        <w:rPr>
          <w:color w:val="000000" w:themeColor="text1"/>
        </w:rPr>
      </w:pPr>
      <w:r w:rsidRPr="00DD4D3B">
        <w:rPr>
          <w:i/>
          <w:iCs/>
          <w:color w:val="000000" w:themeColor="text1"/>
          <w:sz w:val="20"/>
          <w:szCs w:val="20"/>
        </w:rPr>
        <w:t xml:space="preserve">Note. </w:t>
      </w:r>
      <w:r w:rsidRPr="00DD4D3B">
        <w:rPr>
          <w:color w:val="000000" w:themeColor="text1"/>
          <w:sz w:val="20"/>
          <w:szCs w:val="20"/>
        </w:rPr>
        <w:t>Framework designed for scalability across jurisdictions of varying size and capacity.</w:t>
      </w:r>
      <w:r w:rsidR="00D70428" w:rsidRPr="00DD4D3B">
        <w:rPr>
          <w:i/>
          <w:iCs/>
          <w:color w:val="000000" w:themeColor="text1"/>
          <w:sz w:val="20"/>
          <w:szCs w:val="20"/>
        </w:rPr>
        <w:t xml:space="preserve"> —source: Authors’ conceptualization based on reviewed literature</w:t>
      </w:r>
      <w:r w:rsidR="00D70428" w:rsidRPr="00DD4D3B">
        <w:rPr>
          <w:i/>
          <w:color w:val="000000" w:themeColor="text1"/>
          <w:sz w:val="20"/>
        </w:rPr>
        <w:t>.</w:t>
      </w:r>
    </w:p>
    <w:p w14:paraId="7DC2BF3A" w14:textId="77777777" w:rsidR="00A761B5" w:rsidRPr="00DD4D3B" w:rsidRDefault="00A761B5" w:rsidP="004E0918">
      <w:pPr>
        <w:spacing w:before="40" w:after="120" w:line="276" w:lineRule="auto"/>
        <w:rPr>
          <w:color w:val="000000" w:themeColor="text1"/>
        </w:rPr>
      </w:pPr>
    </w:p>
    <w:p w14:paraId="28D15B4B" w14:textId="77777777" w:rsidR="00820EF3" w:rsidRPr="00DD4D3B" w:rsidRDefault="00985113" w:rsidP="00D70428">
      <w:pPr>
        <w:pStyle w:val="Heading1"/>
        <w:spacing w:line="276" w:lineRule="auto"/>
        <w:rPr>
          <w:color w:val="000000" w:themeColor="text1"/>
        </w:rPr>
      </w:pPr>
      <w:r w:rsidRPr="00DD4D3B">
        <w:rPr>
          <w:color w:val="000000" w:themeColor="text1"/>
        </w:rPr>
        <w:t>8. Discussion</w:t>
      </w:r>
    </w:p>
    <w:p w14:paraId="02A81335" w14:textId="1F519477" w:rsidR="00820EF3" w:rsidRPr="00DD4D3B" w:rsidRDefault="00985113" w:rsidP="00D70428">
      <w:pPr>
        <w:spacing w:after="120" w:line="276" w:lineRule="auto"/>
        <w:jc w:val="both"/>
        <w:rPr>
          <w:color w:val="000000" w:themeColor="text1"/>
        </w:rPr>
      </w:pPr>
      <w:r w:rsidRPr="00DD4D3B">
        <w:rPr>
          <w:color w:val="000000" w:themeColor="text1"/>
        </w:rPr>
        <w:t>This review reveals a landscape where NG9-1-1 standards are well defined</w:t>
      </w:r>
      <w:r w:rsidR="00A761B5" w:rsidRPr="00DD4D3B">
        <w:rPr>
          <w:color w:val="000000" w:themeColor="text1"/>
        </w:rPr>
        <w:t>,</w:t>
      </w:r>
      <w:r w:rsidRPr="00DD4D3B">
        <w:rPr>
          <w:color w:val="000000" w:themeColor="text1"/>
        </w:rPr>
        <w:t xml:space="preserve"> but the capacity to meet them is deeply uneven. The NENA GIS Data Model provides a solid blueprint, and the literature offers reliable measurement methods. What remains missing is the bridge: practical approaches to achieving compliance at the local level.</w:t>
      </w:r>
    </w:p>
    <w:p w14:paraId="04F58C42" w14:textId="5A5B4D38" w:rsidR="00820EF3" w:rsidRPr="00DD4D3B" w:rsidRDefault="00985113" w:rsidP="00D70428">
      <w:pPr>
        <w:spacing w:after="120" w:line="276" w:lineRule="auto"/>
        <w:ind w:firstLine="540"/>
        <w:jc w:val="both"/>
        <w:rPr>
          <w:color w:val="000000" w:themeColor="text1"/>
        </w:rPr>
      </w:pPr>
      <w:r w:rsidRPr="00DD4D3B">
        <w:rPr>
          <w:color w:val="000000" w:themeColor="text1"/>
        </w:rPr>
        <w:t>First, the rural data quality gap is fundamentally a staffing and resource problem. The tools and standards exist; what is lacking is the human capacity to apply them. Any realistic strategy must either shift quality assurance to state-level programs or invest in training that maximizes the limited productivity of county staff.</w:t>
      </w:r>
    </w:p>
    <w:p w14:paraId="5B1275B3" w14:textId="393F9CA6" w:rsidR="00820EF3" w:rsidRPr="00DD4D3B" w:rsidRDefault="00985113" w:rsidP="00D70428">
      <w:pPr>
        <w:spacing w:after="120" w:line="276" w:lineRule="auto"/>
        <w:ind w:firstLine="540"/>
        <w:jc w:val="both"/>
        <w:rPr>
          <w:color w:val="000000" w:themeColor="text1"/>
        </w:rPr>
      </w:pPr>
      <w:r w:rsidRPr="00DD4D3B">
        <w:rPr>
          <w:color w:val="000000" w:themeColor="text1"/>
        </w:rPr>
        <w:t xml:space="preserve">Second, the absence of standardized county-level benchmarking is a significant gap. Without consistent measurement against NENA requirements, it is not possible to compare readiness across counties or track improvement. Comparable data-driven assessment approaches have proven effective in other public safety domains; for instance, statistical analysis of national surveillance data has been used to identify modifiable risk factors driving health disparities across U.S. communities </w:t>
      </w:r>
      <w:r w:rsidRPr="00DD4D3B">
        <w:rPr>
          <w:b/>
          <w:bCs/>
          <w:color w:val="000000" w:themeColor="text1"/>
        </w:rPr>
        <w:t>(Korang et al., 2025</w:t>
      </w:r>
      <w:r w:rsidRPr="00DD4D3B">
        <w:rPr>
          <w:color w:val="000000" w:themeColor="text1"/>
        </w:rPr>
        <w:t>). The framework proposed here offers one approach but requires empirical validation.</w:t>
      </w:r>
    </w:p>
    <w:p w14:paraId="6E3A4DEE" w14:textId="63FA8226" w:rsidR="00820EF3" w:rsidRPr="00DD4D3B" w:rsidRDefault="00985113" w:rsidP="00D70428">
      <w:pPr>
        <w:spacing w:after="120" w:line="276" w:lineRule="auto"/>
        <w:ind w:firstLine="540"/>
        <w:jc w:val="both"/>
        <w:rPr>
          <w:color w:val="000000" w:themeColor="text1"/>
        </w:rPr>
      </w:pPr>
      <w:r w:rsidRPr="00DD4D3B">
        <w:rPr>
          <w:color w:val="000000" w:themeColor="text1"/>
        </w:rPr>
        <w:t>Third, MSAG–GIS synchronization deserves more attention. As NG9-1-1 expects GIS to assume the MSAG’s routing authority, this gap becomes a critical path issue. More granular measures</w:t>
      </w:r>
      <w:r w:rsidR="00A761B5" w:rsidRPr="00DD4D3B">
        <w:rPr>
          <w:color w:val="000000" w:themeColor="text1"/>
        </w:rPr>
        <w:t xml:space="preserve"> that distinguish</w:t>
      </w:r>
      <w:r w:rsidRPr="00DD4D3B">
        <w:rPr>
          <w:color w:val="000000" w:themeColor="text1"/>
        </w:rPr>
        <w:t xml:space="preserve"> name mismatches, range gaps, and missing records</w:t>
      </w:r>
      <w:r w:rsidR="00647D62" w:rsidRPr="00DD4D3B">
        <w:rPr>
          <w:color w:val="000000" w:themeColor="text1"/>
        </w:rPr>
        <w:t xml:space="preserve"> </w:t>
      </w:r>
      <w:r w:rsidRPr="00DD4D3B">
        <w:rPr>
          <w:color w:val="000000" w:themeColor="text1"/>
        </w:rPr>
        <w:t>would support targeted remediation.</w:t>
      </w:r>
    </w:p>
    <w:p w14:paraId="4DCC89F6" w14:textId="5800FEA9" w:rsidR="00820EF3" w:rsidRPr="00DD4D3B" w:rsidRDefault="00985113" w:rsidP="00D70428">
      <w:pPr>
        <w:spacing w:after="120" w:line="276" w:lineRule="auto"/>
        <w:ind w:firstLine="540"/>
        <w:jc w:val="both"/>
        <w:rPr>
          <w:color w:val="000000" w:themeColor="text1"/>
        </w:rPr>
      </w:pPr>
      <w:r w:rsidRPr="00DD4D3B">
        <w:rPr>
          <w:color w:val="000000" w:themeColor="text1"/>
        </w:rPr>
        <w:t>Fourth, NG9-1-1 funding should explicitly allocate resources to GIS data quality, not only network infrastructure. As GIS data increasingly supports automated decision-making in public safety, data quality becomes inseparable from data governance. Parallel challenges have been documented in healthcare, where AI-driven supply chain optimization depends on accurate, standardized data (</w:t>
      </w:r>
      <w:r w:rsidRPr="00DD4D3B">
        <w:rPr>
          <w:b/>
          <w:bCs/>
          <w:color w:val="000000" w:themeColor="text1"/>
        </w:rPr>
        <w:t>Dada et al., 2024</w:t>
      </w:r>
      <w:r w:rsidRPr="00DD4D3B">
        <w:rPr>
          <w:color w:val="000000" w:themeColor="text1"/>
        </w:rPr>
        <w:t>), and inequitable access to supply chain resources disproportionately affects underserved communities (</w:t>
      </w:r>
      <w:r w:rsidRPr="00DD4D3B">
        <w:rPr>
          <w:b/>
          <w:bCs/>
          <w:color w:val="000000" w:themeColor="text1"/>
        </w:rPr>
        <w:t>Adewumi et al., 2024</w:t>
      </w:r>
      <w:r w:rsidRPr="00DD4D3B">
        <w:rPr>
          <w:color w:val="000000" w:themeColor="text1"/>
        </w:rPr>
        <w:t xml:space="preserve">). </w:t>
      </w:r>
      <w:r w:rsidRPr="00DD4D3B">
        <w:rPr>
          <w:b/>
          <w:color w:val="000000" w:themeColor="text1"/>
        </w:rPr>
        <w:t>Utomi et al. (2024)</w:t>
      </w:r>
      <w:r w:rsidRPr="00DD4D3B">
        <w:rPr>
          <w:color w:val="000000" w:themeColor="text1"/>
        </w:rPr>
        <w:t xml:space="preserve"> </w:t>
      </w:r>
      <w:r w:rsidRPr="00DD4D3B">
        <w:rPr>
          <w:color w:val="000000" w:themeColor="text1"/>
        </w:rPr>
        <w:lastRenderedPageBreak/>
        <w:t>documented how data protection compliance in the U.S. health sector imposes quality standards on data-driven systems</w:t>
      </w:r>
      <w:r w:rsidR="007415E0" w:rsidRPr="00DD4D3B">
        <w:rPr>
          <w:color w:val="000000" w:themeColor="text1"/>
        </w:rPr>
        <w:t xml:space="preserve">, </w:t>
      </w:r>
      <w:r w:rsidRPr="00DD4D3B">
        <w:rPr>
          <w:color w:val="000000" w:themeColor="text1"/>
        </w:rPr>
        <w:t>a parallel that applies to NG9-1-1, where datasets must meet defined accuracy thresholds before routing emergency calls.</w:t>
      </w:r>
    </w:p>
    <w:p w14:paraId="3AD58ECA" w14:textId="77777777" w:rsidR="00820EF3" w:rsidRPr="00DD4D3B" w:rsidRDefault="00985113" w:rsidP="00D70428">
      <w:pPr>
        <w:pStyle w:val="Heading2"/>
        <w:spacing w:line="276" w:lineRule="auto"/>
        <w:rPr>
          <w:color w:val="000000" w:themeColor="text1"/>
        </w:rPr>
      </w:pPr>
      <w:r w:rsidRPr="00DD4D3B">
        <w:rPr>
          <w:color w:val="000000" w:themeColor="text1"/>
        </w:rPr>
        <w:t>8.1 Limitations</w:t>
      </w:r>
    </w:p>
    <w:p w14:paraId="2DD3AEDB" w14:textId="5DC2ACE1" w:rsidR="00820EF3" w:rsidRPr="00DD4D3B" w:rsidRDefault="00985113" w:rsidP="00D70428">
      <w:pPr>
        <w:spacing w:after="120" w:line="276" w:lineRule="auto"/>
        <w:jc w:val="both"/>
        <w:rPr>
          <w:color w:val="000000" w:themeColor="text1"/>
        </w:rPr>
      </w:pPr>
      <w:r w:rsidRPr="00DD4D3B">
        <w:rPr>
          <w:color w:val="000000" w:themeColor="text1"/>
        </w:rPr>
        <w:t>This review is bound by available published literature, which skews toward urban contexts and public health applications. The proposed framework has not been empirically tested. Future research should prioritize implementation studies in diverse rural settings.</w:t>
      </w:r>
    </w:p>
    <w:p w14:paraId="52FEC2EC" w14:textId="77777777" w:rsidR="00820EF3" w:rsidRPr="00DD4D3B" w:rsidRDefault="00985113" w:rsidP="00D70428">
      <w:pPr>
        <w:pStyle w:val="Heading1"/>
        <w:spacing w:line="276" w:lineRule="auto"/>
        <w:rPr>
          <w:color w:val="000000" w:themeColor="text1"/>
        </w:rPr>
      </w:pPr>
      <w:r w:rsidRPr="00DD4D3B">
        <w:rPr>
          <w:color w:val="000000" w:themeColor="text1"/>
        </w:rPr>
        <w:t>9. Conclusion</w:t>
      </w:r>
    </w:p>
    <w:p w14:paraId="1288AC7B" w14:textId="6DE8110F" w:rsidR="00820EF3" w:rsidRPr="00DD4D3B" w:rsidRDefault="00985113" w:rsidP="00D70428">
      <w:pPr>
        <w:spacing w:after="120" w:line="276" w:lineRule="auto"/>
        <w:jc w:val="both"/>
        <w:rPr>
          <w:color w:val="000000" w:themeColor="text1"/>
        </w:rPr>
      </w:pPr>
      <w:r w:rsidRPr="00DD4D3B">
        <w:rPr>
          <w:color w:val="000000" w:themeColor="text1"/>
        </w:rPr>
        <w:t xml:space="preserve">The transition to NG9-1-1 is a generational opportunity to improve emergency response. By replacing tabular databases with geospatial queries, NG9-1-1 promises faster and more accurate location identification. </w:t>
      </w:r>
      <w:r w:rsidR="00A21BFE" w:rsidRPr="00DD4D3B">
        <w:rPr>
          <w:color w:val="000000" w:themeColor="text1"/>
        </w:rPr>
        <w:t>However,</w:t>
      </w:r>
      <w:r w:rsidRPr="00DD4D3B">
        <w:rPr>
          <w:color w:val="000000" w:themeColor="text1"/>
        </w:rPr>
        <w:t xml:space="preserve"> that promise rests on GIS data that, in many rural jurisdictions, is not yet strong enough.</w:t>
      </w:r>
    </w:p>
    <w:p w14:paraId="5D773DAF" w14:textId="387BDBC2" w:rsidR="00820EF3" w:rsidRPr="00DD4D3B" w:rsidRDefault="00985113" w:rsidP="00D70428">
      <w:pPr>
        <w:spacing w:after="120" w:line="276" w:lineRule="auto"/>
        <w:ind w:firstLine="540"/>
        <w:jc w:val="both"/>
        <w:rPr>
          <w:color w:val="000000" w:themeColor="text1"/>
        </w:rPr>
      </w:pPr>
      <w:r w:rsidRPr="00DD4D3B">
        <w:rPr>
          <w:color w:val="000000" w:themeColor="text1"/>
        </w:rPr>
        <w:t>This review identified four connected challenges: the technical demands of the NENA data model, documented attribute and positional deficiencies, structural barriers in rural counties, and available remediation strategies. The metrics presented</w:t>
      </w:r>
      <w:r w:rsidR="00385DAB" w:rsidRPr="00DD4D3B">
        <w:rPr>
          <w:color w:val="000000" w:themeColor="text1"/>
        </w:rPr>
        <w:t xml:space="preserve">, </w:t>
      </w:r>
      <w:r w:rsidRPr="00DD4D3B">
        <w:rPr>
          <w:color w:val="000000" w:themeColor="text1"/>
        </w:rPr>
        <w:t>RMSE, completeness ratio, attribute deficiency rate, and MSAG match rate</w:t>
      </w:r>
      <w:r w:rsidR="00385DAB" w:rsidRPr="00DD4D3B">
        <w:rPr>
          <w:color w:val="000000" w:themeColor="text1"/>
        </w:rPr>
        <w:t xml:space="preserve">, </w:t>
      </w:r>
      <w:r w:rsidRPr="00DD4D3B">
        <w:rPr>
          <w:color w:val="000000" w:themeColor="text1"/>
        </w:rPr>
        <w:t>provide a quantitative vocabulary for tracking improvement. The proposed four-phase framework offers a practical starting point aligned with NENA standards. The people who call 911 in rural America deserve the same expectation of accurate location identification as those in any metropolitan area. Meeting that expectation starts with getting the data right.</w:t>
      </w:r>
    </w:p>
    <w:p w14:paraId="4286379E" w14:textId="77777777" w:rsidR="00820EF3" w:rsidRPr="00DD4D3B" w:rsidRDefault="00985113">
      <w:pPr>
        <w:rPr>
          <w:color w:val="000000" w:themeColor="text1"/>
        </w:rPr>
      </w:pPr>
      <w:r w:rsidRPr="00DD4D3B">
        <w:rPr>
          <w:color w:val="000000" w:themeColor="text1"/>
        </w:rPr>
        <w:br w:type="page"/>
      </w:r>
    </w:p>
    <w:p w14:paraId="32108875" w14:textId="77777777" w:rsidR="00820EF3" w:rsidRPr="00DD4D3B" w:rsidRDefault="00985113" w:rsidP="00D70428">
      <w:pPr>
        <w:pStyle w:val="Heading1"/>
        <w:spacing w:line="276" w:lineRule="auto"/>
        <w:jc w:val="center"/>
        <w:rPr>
          <w:color w:val="000000" w:themeColor="text1"/>
          <w:sz w:val="24"/>
        </w:rPr>
      </w:pPr>
      <w:r w:rsidRPr="00DD4D3B">
        <w:rPr>
          <w:color w:val="000000" w:themeColor="text1"/>
          <w:sz w:val="24"/>
        </w:rPr>
        <w:lastRenderedPageBreak/>
        <w:t>References</w:t>
      </w:r>
    </w:p>
    <w:p w14:paraId="1A000001" w14:textId="77777777" w:rsidR="00820EF3" w:rsidRPr="00DD4D3B" w:rsidRDefault="00985113" w:rsidP="00D70428">
      <w:pPr>
        <w:shd w:val="clear" w:color="auto" w:fill="FFF2CC"/>
        <w:spacing w:after="20" w:line="276" w:lineRule="auto"/>
        <w:ind w:left="540" w:hanging="540"/>
        <w:rPr>
          <w:bCs/>
          <w:color w:val="000000" w:themeColor="text1"/>
        </w:rPr>
      </w:pPr>
      <w:r w:rsidRPr="00DD4D3B">
        <w:rPr>
          <w:bCs/>
          <w:color w:val="000000" w:themeColor="text1"/>
        </w:rPr>
        <w:t>Adewumi, A., Azai, T., Okonkwo, C., &amp; Misszento, J. A. (2024). Equity in healthcare supply chain access: A narrative review of challenges and strategies in the U.S. International Medical Science Research Journal, 4(11), 996–1004. https://doi.org/10.51594/imsrj.v4i11.1711</w:t>
      </w:r>
    </w:p>
    <w:p w14:paraId="3F4FC519" w14:textId="02AA82E3" w:rsidR="00820EF3" w:rsidRPr="00DD4D3B" w:rsidRDefault="00985113" w:rsidP="00D70428">
      <w:pPr>
        <w:spacing w:after="20" w:line="276" w:lineRule="auto"/>
        <w:ind w:left="540" w:hanging="540"/>
        <w:rPr>
          <w:color w:val="000000" w:themeColor="text1"/>
        </w:rPr>
      </w:pPr>
      <w:r w:rsidRPr="00DD4D3B">
        <w:rPr>
          <w:color w:val="000000" w:themeColor="text1"/>
          <w:lang w:val="de-DE"/>
        </w:rPr>
        <w:t xml:space="preserve">Bonner, M. R., Han, D., Nie, J., Rogerson, P., Vena, J. E., &amp; Freudenheim, J. L. (2003). </w:t>
      </w:r>
      <w:r w:rsidRPr="00DD4D3B">
        <w:rPr>
          <w:color w:val="000000" w:themeColor="text1"/>
        </w:rPr>
        <w:t>Positional accuracy of geocoded addresses in epidemiologic research. Epidemiology, 14(4), 408–412.</w:t>
      </w:r>
    </w:p>
    <w:p w14:paraId="72492CB1" w14:textId="62F0F36E" w:rsidR="00820EF3" w:rsidRPr="00DD4D3B" w:rsidRDefault="00985113" w:rsidP="00D70428">
      <w:pPr>
        <w:spacing w:after="20" w:line="276" w:lineRule="auto"/>
        <w:ind w:left="540" w:hanging="540"/>
        <w:rPr>
          <w:color w:val="000000" w:themeColor="text1"/>
        </w:rPr>
      </w:pPr>
      <w:r w:rsidRPr="00DD4D3B">
        <w:rPr>
          <w:color w:val="000000" w:themeColor="text1"/>
        </w:rPr>
        <w:t xml:space="preserve">Boscoe, F. P. (2013). The use of residential address information to evaluate the completeness of address databases. Spatial and </w:t>
      </w:r>
      <w:proofErr w:type="spellStart"/>
      <w:r w:rsidRPr="00DD4D3B">
        <w:rPr>
          <w:color w:val="000000" w:themeColor="text1"/>
        </w:rPr>
        <w:t>Spatio</w:t>
      </w:r>
      <w:proofErr w:type="spellEnd"/>
      <w:r w:rsidRPr="00DD4D3B">
        <w:rPr>
          <w:color w:val="000000" w:themeColor="text1"/>
        </w:rPr>
        <w:t>-Temporal Epidemiology, 6, 31–37.</w:t>
      </w:r>
    </w:p>
    <w:p w14:paraId="7C446F9E" w14:textId="50B7A7AA" w:rsidR="00820EF3" w:rsidRPr="00DD4D3B" w:rsidRDefault="00985113" w:rsidP="00D70428">
      <w:pPr>
        <w:spacing w:after="20" w:line="276" w:lineRule="auto"/>
        <w:ind w:left="540" w:hanging="540"/>
        <w:rPr>
          <w:color w:val="000000" w:themeColor="text1"/>
        </w:rPr>
      </w:pPr>
      <w:r w:rsidRPr="00DD4D3B">
        <w:rPr>
          <w:color w:val="000000" w:themeColor="text1"/>
        </w:rPr>
        <w:t>Cayo, M. R., &amp; Talbot, T. O. (2003). Positional error in automated geocoding of residential addresses. International Journal of Health Geographics, 2(1), Article 10.</w:t>
      </w:r>
    </w:p>
    <w:p w14:paraId="687B0133" w14:textId="3896FCFA" w:rsidR="00820EF3" w:rsidRPr="00DD4D3B" w:rsidRDefault="00985113" w:rsidP="00D70428">
      <w:pPr>
        <w:spacing w:after="20" w:line="276" w:lineRule="auto"/>
        <w:ind w:left="540" w:hanging="540"/>
        <w:rPr>
          <w:color w:val="000000" w:themeColor="text1"/>
        </w:rPr>
      </w:pPr>
      <w:r w:rsidRPr="00DD4D3B">
        <w:rPr>
          <w:color w:val="000000" w:themeColor="text1"/>
        </w:rPr>
        <w:t>Chow, T. E., Dede-Bamfo, N., &amp; Dahal, K. R. (2016). Geographic disparity of positional errors among geocoding solutions. Annals of GIS, 22(1), 29–42.</w:t>
      </w:r>
    </w:p>
    <w:p w14:paraId="51E9E4A8" w14:textId="5F8BC990" w:rsidR="00820EF3" w:rsidRPr="00DD4D3B" w:rsidRDefault="00985113" w:rsidP="00D70428">
      <w:pPr>
        <w:spacing w:after="20" w:line="276" w:lineRule="auto"/>
        <w:ind w:left="540" w:hanging="540"/>
        <w:rPr>
          <w:color w:val="000000" w:themeColor="text1"/>
        </w:rPr>
      </w:pPr>
      <w:r w:rsidRPr="00DD4D3B">
        <w:rPr>
          <w:color w:val="000000" w:themeColor="text1"/>
        </w:rPr>
        <w:t>Coetzee, S., &amp; Bishop, J. (2009). Address databases for national SDI. International Journal of Geographical Information Science, 23(11), 1507–1523.</w:t>
      </w:r>
    </w:p>
    <w:p w14:paraId="1A000002" w14:textId="77777777" w:rsidR="00820EF3" w:rsidRPr="00DD4D3B" w:rsidRDefault="00985113" w:rsidP="00D70428">
      <w:pPr>
        <w:shd w:val="clear" w:color="auto" w:fill="FFF2CC"/>
        <w:spacing w:after="20" w:line="276" w:lineRule="auto"/>
        <w:ind w:left="540" w:hanging="540"/>
        <w:rPr>
          <w:bCs/>
          <w:color w:val="000000" w:themeColor="text1"/>
        </w:rPr>
      </w:pPr>
      <w:r w:rsidRPr="00DD4D3B">
        <w:rPr>
          <w:bCs/>
          <w:color w:val="000000" w:themeColor="text1"/>
        </w:rPr>
        <w:t>Dada, S. A., Korang, A., Umoren, J., &amp; Donkor, A. A. (2024). The role of artificial intelligence and machine learning in optimizing U.S. healthcare supply chain management. World Journal of Advanced Research and Reviews, 24(02), 1996–2002. https://doi.org/10.30574/wjarr.2024.24.2.3343</w:t>
      </w:r>
    </w:p>
    <w:p w14:paraId="14F5E6C9" w14:textId="77777777" w:rsidR="00820EF3" w:rsidRPr="00DD4D3B" w:rsidRDefault="00985113" w:rsidP="00D70428">
      <w:pPr>
        <w:spacing w:after="20" w:line="276" w:lineRule="auto"/>
        <w:ind w:left="540" w:hanging="540"/>
        <w:rPr>
          <w:color w:val="000000" w:themeColor="text1"/>
        </w:rPr>
      </w:pPr>
      <w:proofErr w:type="spellStart"/>
      <w:r w:rsidRPr="00DD4D3B">
        <w:rPr>
          <w:color w:val="000000" w:themeColor="text1"/>
        </w:rPr>
        <w:t>Devillers</w:t>
      </w:r>
      <w:proofErr w:type="spellEnd"/>
      <w:r w:rsidRPr="00DD4D3B">
        <w:rPr>
          <w:color w:val="000000" w:themeColor="text1"/>
        </w:rPr>
        <w:t xml:space="preserve">, R., &amp; </w:t>
      </w:r>
      <w:proofErr w:type="spellStart"/>
      <w:r w:rsidRPr="00DD4D3B">
        <w:rPr>
          <w:color w:val="000000" w:themeColor="text1"/>
        </w:rPr>
        <w:t>Jeansoulin</w:t>
      </w:r>
      <w:proofErr w:type="spellEnd"/>
      <w:r w:rsidRPr="00DD4D3B">
        <w:rPr>
          <w:color w:val="000000" w:themeColor="text1"/>
        </w:rPr>
        <w:t>, R. (Eds.). (2006). Fundamentals of spatial data quality. ISTE Publishing.</w:t>
      </w:r>
    </w:p>
    <w:p w14:paraId="38A37A1F" w14:textId="10C0903A" w:rsidR="00820EF3" w:rsidRPr="00DD4D3B" w:rsidRDefault="00985113" w:rsidP="00D70428">
      <w:pPr>
        <w:spacing w:after="20" w:line="276" w:lineRule="auto"/>
        <w:ind w:left="540" w:hanging="540"/>
        <w:rPr>
          <w:color w:val="000000" w:themeColor="text1"/>
        </w:rPr>
      </w:pPr>
      <w:r w:rsidRPr="00DD4D3B">
        <w:rPr>
          <w:color w:val="000000" w:themeColor="text1"/>
        </w:rPr>
        <w:t>Federal Communications Commission. (2019). Eighth annual report to Congress on 911 fees and charges. FCC.</w:t>
      </w:r>
    </w:p>
    <w:p w14:paraId="7290CD94" w14:textId="4669BEA9" w:rsidR="00820EF3" w:rsidRPr="00DD4D3B" w:rsidRDefault="00985113" w:rsidP="00D70428">
      <w:pPr>
        <w:spacing w:after="20" w:line="276" w:lineRule="auto"/>
        <w:ind w:left="540" w:hanging="540"/>
        <w:rPr>
          <w:color w:val="000000" w:themeColor="text1"/>
        </w:rPr>
      </w:pPr>
      <w:r w:rsidRPr="00DD4D3B">
        <w:rPr>
          <w:color w:val="000000" w:themeColor="text1"/>
        </w:rPr>
        <w:t>Federal Communications Commission. (2024). Report and order: Location-based routing for wireless 911 calls (FCC 24-4). Federal Register.</w:t>
      </w:r>
    </w:p>
    <w:p w14:paraId="382B8A32" w14:textId="77777777" w:rsidR="00820EF3" w:rsidRPr="00DD4D3B" w:rsidRDefault="00985113" w:rsidP="00D70428">
      <w:pPr>
        <w:spacing w:after="20" w:line="276" w:lineRule="auto"/>
        <w:ind w:left="540" w:hanging="540"/>
        <w:rPr>
          <w:color w:val="000000" w:themeColor="text1"/>
        </w:rPr>
      </w:pPr>
      <w:r w:rsidRPr="00DD4D3B">
        <w:rPr>
          <w:color w:val="000000" w:themeColor="text1"/>
        </w:rPr>
        <w:t>Goldberg, D. W., Wilson, J. P., &amp; Knoblock, C. A. (2007). From text to geographic coordinates: The current state of geocoding. URISA Journal, 19(1), 33–46.</w:t>
      </w:r>
    </w:p>
    <w:p w14:paraId="79617B80" w14:textId="77777777" w:rsidR="00820EF3" w:rsidRPr="00DD4D3B" w:rsidRDefault="00985113" w:rsidP="00D70428">
      <w:pPr>
        <w:spacing w:after="20" w:line="276" w:lineRule="auto"/>
        <w:ind w:left="540" w:hanging="540"/>
        <w:rPr>
          <w:color w:val="000000" w:themeColor="text1"/>
        </w:rPr>
      </w:pPr>
      <w:r w:rsidRPr="00DD4D3B">
        <w:rPr>
          <w:color w:val="000000" w:themeColor="text1"/>
        </w:rPr>
        <w:t>Guptill, S. C., &amp; Morrison, J. L. (Eds.). (1995). Elements of spatial data quality. Elsevier.</w:t>
      </w:r>
    </w:p>
    <w:p w14:paraId="2BCBC773" w14:textId="77777777" w:rsidR="00820EF3" w:rsidRPr="00DD4D3B" w:rsidRDefault="00985113" w:rsidP="00D70428">
      <w:pPr>
        <w:shd w:val="clear" w:color="auto" w:fill="FFF2CC"/>
        <w:spacing w:after="20" w:line="276" w:lineRule="auto"/>
        <w:ind w:left="540" w:hanging="540"/>
        <w:rPr>
          <w:bCs/>
          <w:color w:val="000000" w:themeColor="text1"/>
        </w:rPr>
      </w:pPr>
      <w:r w:rsidRPr="00DD4D3B">
        <w:rPr>
          <w:bCs/>
          <w:color w:val="000000" w:themeColor="text1"/>
        </w:rPr>
        <w:t>Gyang, P. A.-M., Akomolafe, O., Panful, B., &amp; Yowetu, I. A. (2025). A review of integrated use of machine learning algorithms, GIS and remote sensing techniques in the prediction of rainfall patterns and floods in the U.S. World Journal of Advanced Engineering Technology and Sciences, 14(01), 159–167. https://doi.org/10.30574/wjaets.2025.14.1.0025</w:t>
      </w:r>
    </w:p>
    <w:p w14:paraId="1A000003" w14:textId="77777777" w:rsidR="00820EF3" w:rsidRPr="00DD4D3B" w:rsidRDefault="00985113" w:rsidP="00D70428">
      <w:pPr>
        <w:shd w:val="clear" w:color="auto" w:fill="FFF2CC"/>
        <w:spacing w:after="20" w:line="276" w:lineRule="auto"/>
        <w:ind w:left="540" w:hanging="540"/>
        <w:rPr>
          <w:bCs/>
          <w:color w:val="000000" w:themeColor="text1"/>
        </w:rPr>
      </w:pPr>
      <w:r w:rsidRPr="00DD4D3B">
        <w:rPr>
          <w:bCs/>
          <w:color w:val="000000" w:themeColor="text1"/>
          <w:lang w:val="de-DE"/>
        </w:rPr>
        <w:t xml:space="preserve">Korang, A., Ugwu, D., Ajayi, A. A., &amp; Yowetu, I. A. (2025). </w:t>
      </w:r>
      <w:r w:rsidRPr="00DD4D3B">
        <w:rPr>
          <w:bCs/>
          <w:color w:val="000000" w:themeColor="text1"/>
        </w:rPr>
        <w:t>Investigating the role of modifiable risk factors in cardiovascular disease outcomes: A statistical analysis using BRFSS data. Magna Scientia Advanced Research and Reviews, 13, 170–178.</w:t>
      </w:r>
    </w:p>
    <w:p w14:paraId="43AF5A79" w14:textId="61C43F12" w:rsidR="00820EF3" w:rsidRPr="00DD4D3B" w:rsidRDefault="00985113" w:rsidP="00D70428">
      <w:pPr>
        <w:spacing w:after="20" w:line="276" w:lineRule="auto"/>
        <w:ind w:left="540" w:hanging="540"/>
        <w:rPr>
          <w:color w:val="000000" w:themeColor="text1"/>
        </w:rPr>
      </w:pPr>
      <w:r w:rsidRPr="00DD4D3B">
        <w:rPr>
          <w:color w:val="000000" w:themeColor="text1"/>
        </w:rPr>
        <w:t>National Association of Counties. (2019). County GIS technology survey. NACo.</w:t>
      </w:r>
    </w:p>
    <w:p w14:paraId="392EA9AD" w14:textId="40B48209" w:rsidR="00820EF3" w:rsidRPr="00DD4D3B" w:rsidRDefault="00985113" w:rsidP="00D70428">
      <w:pPr>
        <w:spacing w:after="20" w:line="276" w:lineRule="auto"/>
        <w:ind w:left="540" w:hanging="540"/>
        <w:rPr>
          <w:color w:val="000000" w:themeColor="text1"/>
        </w:rPr>
      </w:pPr>
      <w:r w:rsidRPr="00DD4D3B">
        <w:rPr>
          <w:color w:val="000000" w:themeColor="text1"/>
        </w:rPr>
        <w:lastRenderedPageBreak/>
        <w:t>National Emergency Number Association. (2020). NG9-1-1 GIS data quality observations (NENA-INF-014). NENA.</w:t>
      </w:r>
    </w:p>
    <w:p w14:paraId="4E3023E5" w14:textId="67ED6DB5" w:rsidR="00820EF3" w:rsidRPr="00DD4D3B" w:rsidRDefault="00985113" w:rsidP="00D70428">
      <w:pPr>
        <w:spacing w:after="20" w:line="276" w:lineRule="auto"/>
        <w:ind w:left="540" w:hanging="540"/>
        <w:rPr>
          <w:color w:val="000000" w:themeColor="text1"/>
        </w:rPr>
      </w:pPr>
      <w:r w:rsidRPr="00DD4D3B">
        <w:rPr>
          <w:color w:val="000000" w:themeColor="text1"/>
        </w:rPr>
        <w:t>National Emergency Number Association. (2022a). NENA i3 standard for NG9-1-1 (NENA-STA-010.3a-2022). NENA.</w:t>
      </w:r>
    </w:p>
    <w:p w14:paraId="27DDDE10" w14:textId="77777777" w:rsidR="00820EF3" w:rsidRPr="00DD4D3B" w:rsidRDefault="00985113" w:rsidP="00D70428">
      <w:pPr>
        <w:spacing w:after="20" w:line="276" w:lineRule="auto"/>
        <w:ind w:left="540" w:hanging="540"/>
        <w:rPr>
          <w:color w:val="000000" w:themeColor="text1"/>
        </w:rPr>
      </w:pPr>
      <w:r w:rsidRPr="00DD4D3B">
        <w:rPr>
          <w:color w:val="000000" w:themeColor="text1"/>
        </w:rPr>
        <w:t>National Emergency Number Association. (2022b). NENA standard for NG9-1-1 GIS data model (NENA-STA-006.2-2022). NENA.</w:t>
      </w:r>
    </w:p>
    <w:p w14:paraId="059CC570" w14:textId="77777777" w:rsidR="00820EF3" w:rsidRPr="00DD4D3B" w:rsidRDefault="00985113" w:rsidP="00D70428">
      <w:pPr>
        <w:spacing w:after="20" w:line="276" w:lineRule="auto"/>
        <w:ind w:left="540" w:hanging="540"/>
        <w:rPr>
          <w:color w:val="000000" w:themeColor="text1"/>
        </w:rPr>
      </w:pPr>
      <w:r w:rsidRPr="00DD4D3B">
        <w:rPr>
          <w:color w:val="000000" w:themeColor="text1"/>
        </w:rPr>
        <w:t>National Emergency Number Association. (2023). NENA addressing for NG9-1-1 (NENA-ADR-001). NENA.</w:t>
      </w:r>
    </w:p>
    <w:p w14:paraId="6A4F00F3" w14:textId="1EE432FC" w:rsidR="00820EF3" w:rsidRPr="00DD4D3B" w:rsidRDefault="00985113" w:rsidP="00D70428">
      <w:pPr>
        <w:spacing w:after="20" w:line="276" w:lineRule="auto"/>
        <w:ind w:left="540" w:hanging="540"/>
        <w:rPr>
          <w:color w:val="000000" w:themeColor="text1"/>
        </w:rPr>
      </w:pPr>
      <w:r w:rsidRPr="00DD4D3B">
        <w:rPr>
          <w:color w:val="000000" w:themeColor="text1"/>
        </w:rPr>
        <w:t>National Research Council. (2007). Successful response starts with a map. The National Academies Press.</w:t>
      </w:r>
    </w:p>
    <w:p w14:paraId="73E44B02" w14:textId="78849F2D" w:rsidR="00820EF3" w:rsidRPr="00DD4D3B" w:rsidRDefault="00985113" w:rsidP="00D70428">
      <w:pPr>
        <w:spacing w:after="20" w:line="276" w:lineRule="auto"/>
        <w:ind w:left="540" w:hanging="540"/>
        <w:rPr>
          <w:color w:val="000000" w:themeColor="text1"/>
        </w:rPr>
      </w:pPr>
      <w:r w:rsidRPr="00DD4D3B">
        <w:rPr>
          <w:color w:val="000000" w:themeColor="text1"/>
        </w:rPr>
        <w:t xml:space="preserve">Severinsen, J., de </w:t>
      </w:r>
      <w:proofErr w:type="spellStart"/>
      <w:r w:rsidRPr="00DD4D3B">
        <w:rPr>
          <w:color w:val="000000" w:themeColor="text1"/>
        </w:rPr>
        <w:t>Roiste</w:t>
      </w:r>
      <w:proofErr w:type="spellEnd"/>
      <w:r w:rsidRPr="00DD4D3B">
        <w:rPr>
          <w:color w:val="000000" w:themeColor="text1"/>
        </w:rPr>
        <w:t xml:space="preserve">, M., Reitsma, F., &amp; </w:t>
      </w:r>
      <w:proofErr w:type="spellStart"/>
      <w:r w:rsidRPr="00DD4D3B">
        <w:rPr>
          <w:color w:val="000000" w:themeColor="text1"/>
        </w:rPr>
        <w:t>Hartato</w:t>
      </w:r>
      <w:proofErr w:type="spellEnd"/>
      <w:r w:rsidRPr="00DD4D3B">
        <w:rPr>
          <w:color w:val="000000" w:themeColor="text1"/>
        </w:rPr>
        <w:t>, E. (2019). A practical framework for evaluation of address data quality. Transactions in GIS, 23(2), 372–396.</w:t>
      </w:r>
    </w:p>
    <w:p w14:paraId="181E78AD" w14:textId="77777777" w:rsidR="00820EF3" w:rsidRPr="00DD4D3B" w:rsidRDefault="00985113" w:rsidP="00D70428">
      <w:pPr>
        <w:spacing w:after="20" w:line="276" w:lineRule="auto"/>
        <w:ind w:left="540" w:hanging="540"/>
        <w:rPr>
          <w:color w:val="000000" w:themeColor="text1"/>
        </w:rPr>
      </w:pPr>
      <w:r w:rsidRPr="00DD4D3B">
        <w:rPr>
          <w:color w:val="000000" w:themeColor="text1"/>
        </w:rPr>
        <w:t>Tennessee Emergency Communications Board. (2021). Tennessee NG9-1-1 GIS data quality program: Annual report. TECB.</w:t>
      </w:r>
    </w:p>
    <w:p w14:paraId="64083C5E" w14:textId="77777777" w:rsidR="00820EF3" w:rsidRPr="00DD4D3B" w:rsidRDefault="00985113" w:rsidP="00D70428">
      <w:pPr>
        <w:shd w:val="clear" w:color="auto" w:fill="FFF2CC"/>
        <w:spacing w:after="20" w:line="276" w:lineRule="auto"/>
        <w:ind w:left="540" w:hanging="540"/>
        <w:rPr>
          <w:bCs/>
          <w:color w:val="000000" w:themeColor="text1"/>
        </w:rPr>
      </w:pPr>
      <w:r w:rsidRPr="00DD4D3B">
        <w:rPr>
          <w:bCs/>
          <w:color w:val="000000" w:themeColor="text1"/>
        </w:rPr>
        <w:t xml:space="preserve">Utomi, E., </w:t>
      </w:r>
      <w:proofErr w:type="spellStart"/>
      <w:r w:rsidRPr="00DD4D3B">
        <w:rPr>
          <w:bCs/>
          <w:color w:val="000000" w:themeColor="text1"/>
        </w:rPr>
        <w:t>Osifowokan</w:t>
      </w:r>
      <w:proofErr w:type="spellEnd"/>
      <w:r w:rsidRPr="00DD4D3B">
        <w:rPr>
          <w:bCs/>
          <w:color w:val="000000" w:themeColor="text1"/>
        </w:rPr>
        <w:t>, A. S., Donkor, A. A., &amp; Yowetu, I. A. (2024). Evaluating the impact of data protection compliance on AI development and deployment in the U.S. health sector. World Journal of Advanced Research and Reviews, 24(02), 1100–1110. https://doi.org/10.30574/wjarr.2024.24.2.3398</w:t>
      </w:r>
    </w:p>
    <w:p w14:paraId="2B00D2D8" w14:textId="3412114A" w:rsidR="00820EF3" w:rsidRPr="00DD4D3B" w:rsidRDefault="00985113" w:rsidP="00D70428">
      <w:pPr>
        <w:spacing w:after="20" w:line="276" w:lineRule="auto"/>
        <w:ind w:left="540" w:hanging="540"/>
        <w:rPr>
          <w:color w:val="000000" w:themeColor="text1"/>
        </w:rPr>
      </w:pPr>
      <w:r w:rsidRPr="00DD4D3B">
        <w:rPr>
          <w:color w:val="000000" w:themeColor="text1"/>
        </w:rPr>
        <w:t>U.S. Department of Transportation. (2022). Do</w:t>
      </w:r>
      <w:r w:rsidR="00A21BFE" w:rsidRPr="00DD4D3B">
        <w:rPr>
          <w:color w:val="000000" w:themeColor="text1"/>
        </w:rPr>
        <w:t xml:space="preserve"> no</w:t>
      </w:r>
      <w:r w:rsidRPr="00DD4D3B">
        <w:rPr>
          <w:color w:val="000000" w:themeColor="text1"/>
        </w:rPr>
        <w:t>t take shortcuts when developing GIS data for NG911 [White paper]</w:t>
      </w:r>
      <w:r w:rsidR="00A21BFE" w:rsidRPr="00DD4D3B">
        <w:rPr>
          <w:color w:val="000000" w:themeColor="text1"/>
        </w:rPr>
        <w:t>—</w:t>
      </w:r>
      <w:r w:rsidRPr="00DD4D3B">
        <w:rPr>
          <w:color w:val="000000" w:themeColor="text1"/>
        </w:rPr>
        <w:t>National 911 Program.</w:t>
      </w:r>
    </w:p>
    <w:p w14:paraId="59A56323" w14:textId="651DB792" w:rsidR="00820EF3" w:rsidRPr="00DD4D3B" w:rsidRDefault="00985113" w:rsidP="00D70428">
      <w:pPr>
        <w:spacing w:after="20" w:line="276" w:lineRule="auto"/>
        <w:ind w:left="540" w:hanging="540"/>
        <w:rPr>
          <w:color w:val="000000" w:themeColor="text1"/>
        </w:rPr>
      </w:pPr>
      <w:r w:rsidRPr="00DD4D3B">
        <w:rPr>
          <w:color w:val="000000" w:themeColor="text1"/>
        </w:rPr>
        <w:t>U.S. Department of Transportation. (2023). Current status of 911 GIS technologies: Final report. National 911 Program.</w:t>
      </w:r>
    </w:p>
    <w:p w14:paraId="38D9182C" w14:textId="40184E4E" w:rsidR="00820EF3" w:rsidRPr="00DD4D3B" w:rsidRDefault="00985113" w:rsidP="00D70428">
      <w:pPr>
        <w:spacing w:after="20" w:line="276" w:lineRule="auto"/>
        <w:ind w:left="540" w:hanging="540"/>
        <w:rPr>
          <w:color w:val="000000" w:themeColor="text1"/>
        </w:rPr>
      </w:pPr>
      <w:r w:rsidRPr="00DD4D3B">
        <w:rPr>
          <w:color w:val="000000" w:themeColor="text1"/>
        </w:rPr>
        <w:t>Vermont Enhanced 911 Board. (2020). Vermont NG9-1-1 GIS data quality assessment. Vermont Dept. of Public Safety.</w:t>
      </w:r>
    </w:p>
    <w:p w14:paraId="7B811D62" w14:textId="0E27CFE5" w:rsidR="00820EF3" w:rsidRPr="00DD4D3B" w:rsidRDefault="00985113" w:rsidP="00D70428">
      <w:pPr>
        <w:spacing w:after="20" w:line="276" w:lineRule="auto"/>
        <w:ind w:left="540" w:hanging="540"/>
        <w:rPr>
          <w:color w:val="000000" w:themeColor="text1"/>
        </w:rPr>
      </w:pPr>
      <w:r w:rsidRPr="00DD4D3B">
        <w:rPr>
          <w:color w:val="000000" w:themeColor="text1"/>
        </w:rPr>
        <w:t>Ward, M. H., et al. (2005). Positional accuracy of two methods of geocoding. Epidemiology, 16(4), 542–547.</w:t>
      </w:r>
    </w:p>
    <w:p w14:paraId="23512ACB" w14:textId="285F332C" w:rsidR="00820EF3" w:rsidRPr="00DD4D3B" w:rsidRDefault="00985113" w:rsidP="00D70428">
      <w:pPr>
        <w:spacing w:after="20" w:line="276" w:lineRule="auto"/>
        <w:ind w:left="540" w:hanging="540"/>
        <w:rPr>
          <w:color w:val="000000" w:themeColor="text1"/>
        </w:rPr>
      </w:pPr>
      <w:r w:rsidRPr="00DD4D3B">
        <w:rPr>
          <w:color w:val="000000" w:themeColor="text1"/>
        </w:rPr>
        <w:t>Zandbergen, P. A. (2008). A comparison of address point, parcel, and street geocoding techniques. Computers, Environment and Urban Systems, 32(3), 214–232.</w:t>
      </w:r>
    </w:p>
    <w:p w14:paraId="7BE380B0" w14:textId="673AF48D" w:rsidR="00820EF3" w:rsidRPr="00DD4D3B" w:rsidRDefault="00985113" w:rsidP="00D70428">
      <w:pPr>
        <w:spacing w:after="20" w:line="276" w:lineRule="auto"/>
        <w:ind w:left="540" w:hanging="540"/>
        <w:rPr>
          <w:color w:val="000000" w:themeColor="text1"/>
          <w:lang w:val="de-DE"/>
        </w:rPr>
      </w:pPr>
      <w:r w:rsidRPr="00DD4D3B">
        <w:rPr>
          <w:color w:val="000000" w:themeColor="text1"/>
        </w:rPr>
        <w:t xml:space="preserve">Zandbergen, P. A. (2009). Geocoding quality and implications for spatial analysis. </w:t>
      </w:r>
      <w:r w:rsidRPr="00DD4D3B">
        <w:rPr>
          <w:color w:val="000000" w:themeColor="text1"/>
          <w:lang w:val="de-DE"/>
        </w:rPr>
        <w:t>Geography Compass, 3(2), 647–680.</w:t>
      </w:r>
    </w:p>
    <w:p w14:paraId="61CCE30F" w14:textId="51545EAD" w:rsidR="00820EF3" w:rsidRPr="00DD4D3B" w:rsidRDefault="00985113" w:rsidP="00D70428">
      <w:pPr>
        <w:spacing w:after="20" w:line="276" w:lineRule="auto"/>
        <w:ind w:left="540" w:hanging="540"/>
        <w:rPr>
          <w:color w:val="000000" w:themeColor="text1"/>
        </w:rPr>
      </w:pPr>
      <w:r w:rsidRPr="00DD4D3B">
        <w:rPr>
          <w:color w:val="000000" w:themeColor="text1"/>
          <w:lang w:val="de-DE"/>
        </w:rPr>
        <w:t xml:space="preserve">Zimmerman, D. L., Fang, X., Mazumdar, S., &amp; Rushton, G. (2010). </w:t>
      </w:r>
      <w:r w:rsidRPr="00DD4D3B">
        <w:rPr>
          <w:color w:val="000000" w:themeColor="text1"/>
        </w:rPr>
        <w:t>Effects of local street network on positional accuracy</w:t>
      </w:r>
      <w:r w:rsidR="00A21BFE" w:rsidRPr="00DD4D3B">
        <w:rPr>
          <w:color w:val="000000" w:themeColor="text1"/>
        </w:rPr>
        <w:t>—</w:t>
      </w:r>
      <w:r w:rsidRPr="00DD4D3B">
        <w:rPr>
          <w:color w:val="000000" w:themeColor="text1"/>
        </w:rPr>
        <w:t>International Journal of Health Geographics, 9, Article 10.</w:t>
      </w:r>
    </w:p>
    <w:sectPr w:rsidR="00820EF3" w:rsidRPr="00DD4D3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A086" w14:textId="77777777" w:rsidR="00EE1A3F" w:rsidRDefault="00EE1A3F">
      <w:r>
        <w:separator/>
      </w:r>
    </w:p>
  </w:endnote>
  <w:endnote w:type="continuationSeparator" w:id="0">
    <w:p w14:paraId="4EE998D5" w14:textId="77777777" w:rsidR="00EE1A3F" w:rsidRDefault="00EE1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D152" w14:textId="77777777" w:rsidR="00476E42" w:rsidRDefault="00476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10568" w14:textId="77777777" w:rsidR="00D70428" w:rsidRDefault="00D70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BC1A8" w14:textId="77777777" w:rsidR="00476E42" w:rsidRDefault="00476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EFBE5" w14:textId="77777777" w:rsidR="00EE1A3F" w:rsidRDefault="00EE1A3F">
      <w:r>
        <w:separator/>
      </w:r>
    </w:p>
  </w:footnote>
  <w:footnote w:type="continuationSeparator" w:id="0">
    <w:p w14:paraId="02E09DA3" w14:textId="77777777" w:rsidR="00EE1A3F" w:rsidRDefault="00EE1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DA070" w14:textId="5EDD665D" w:rsidR="00476E42" w:rsidRDefault="00476E42">
    <w:pPr>
      <w:pStyle w:val="Header"/>
    </w:pPr>
    <w:r>
      <w:rPr>
        <w:noProof/>
      </w:rPr>
      <w:pict w14:anchorId="77324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65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29BF" w14:textId="63C22219" w:rsidR="00820EF3" w:rsidRDefault="00476E42">
    <w:pPr>
      <w:jc w:val="right"/>
    </w:pPr>
    <w:r>
      <w:rPr>
        <w:noProof/>
      </w:rPr>
      <w:pict w14:anchorId="59711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6548"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DCF9D" w14:textId="4B4A6DDC" w:rsidR="00476E42" w:rsidRDefault="00476E42">
    <w:pPr>
      <w:pStyle w:val="Header"/>
    </w:pPr>
    <w:r>
      <w:rPr>
        <w:noProof/>
      </w:rPr>
      <w:pict w14:anchorId="353B9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654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05E10"/>
    <w:multiLevelType w:val="hybridMultilevel"/>
    <w:tmpl w:val="A45E51A6"/>
    <w:lvl w:ilvl="0" w:tplc="B52C0F4C">
      <w:start w:val="1"/>
      <w:numFmt w:val="bullet"/>
      <w:lvlText w:val="●"/>
      <w:lvlJc w:val="left"/>
      <w:pPr>
        <w:ind w:left="720" w:hanging="360"/>
      </w:pPr>
    </w:lvl>
    <w:lvl w:ilvl="1" w:tplc="474803BA">
      <w:start w:val="1"/>
      <w:numFmt w:val="bullet"/>
      <w:lvlText w:val="○"/>
      <w:lvlJc w:val="left"/>
      <w:pPr>
        <w:ind w:left="1440" w:hanging="360"/>
      </w:pPr>
    </w:lvl>
    <w:lvl w:ilvl="2" w:tplc="74100D9A">
      <w:start w:val="1"/>
      <w:numFmt w:val="bullet"/>
      <w:lvlText w:val="■"/>
      <w:lvlJc w:val="left"/>
      <w:pPr>
        <w:ind w:left="2160" w:hanging="360"/>
      </w:pPr>
    </w:lvl>
    <w:lvl w:ilvl="3" w:tplc="43DE2D96">
      <w:start w:val="1"/>
      <w:numFmt w:val="bullet"/>
      <w:lvlText w:val="●"/>
      <w:lvlJc w:val="left"/>
      <w:pPr>
        <w:ind w:left="2880" w:hanging="360"/>
      </w:pPr>
    </w:lvl>
    <w:lvl w:ilvl="4" w:tplc="2D2C6940">
      <w:start w:val="1"/>
      <w:numFmt w:val="bullet"/>
      <w:lvlText w:val="○"/>
      <w:lvlJc w:val="left"/>
      <w:pPr>
        <w:ind w:left="3600" w:hanging="360"/>
      </w:pPr>
    </w:lvl>
    <w:lvl w:ilvl="5" w:tplc="4DC625FA">
      <w:start w:val="1"/>
      <w:numFmt w:val="bullet"/>
      <w:lvlText w:val="■"/>
      <w:lvlJc w:val="left"/>
      <w:pPr>
        <w:ind w:left="4320" w:hanging="360"/>
      </w:pPr>
    </w:lvl>
    <w:lvl w:ilvl="6" w:tplc="3736A474">
      <w:start w:val="1"/>
      <w:numFmt w:val="bullet"/>
      <w:lvlText w:val="●"/>
      <w:lvlJc w:val="left"/>
      <w:pPr>
        <w:ind w:left="5040" w:hanging="360"/>
      </w:pPr>
    </w:lvl>
    <w:lvl w:ilvl="7" w:tplc="8C506A6E">
      <w:start w:val="1"/>
      <w:numFmt w:val="bullet"/>
      <w:lvlText w:val="●"/>
      <w:lvlJc w:val="left"/>
      <w:pPr>
        <w:ind w:left="5760" w:hanging="360"/>
      </w:pPr>
    </w:lvl>
    <w:lvl w:ilvl="8" w:tplc="5A108BB8">
      <w:start w:val="1"/>
      <w:numFmt w:val="bullet"/>
      <w:lvlText w:val="●"/>
      <w:lvlJc w:val="left"/>
      <w:pPr>
        <w:ind w:left="6480" w:hanging="360"/>
      </w:pPr>
    </w:lvl>
  </w:abstractNum>
  <w:abstractNum w:abstractNumId="1" w15:restartNumberingAfterBreak="0">
    <w:nsid w:val="458C47D8"/>
    <w:multiLevelType w:val="hybridMultilevel"/>
    <w:tmpl w:val="FA3C884E"/>
    <w:lvl w:ilvl="0" w:tplc="904408C6">
      <w:start w:val="1"/>
      <w:numFmt w:val="bullet"/>
      <w:lvlText w:val="●"/>
      <w:lvlJc w:val="left"/>
      <w:pPr>
        <w:ind w:left="720" w:hanging="360"/>
      </w:pPr>
    </w:lvl>
    <w:lvl w:ilvl="1" w:tplc="DFB00134">
      <w:start w:val="1"/>
      <w:numFmt w:val="bullet"/>
      <w:lvlText w:val="○"/>
      <w:lvlJc w:val="left"/>
      <w:pPr>
        <w:ind w:left="1440" w:hanging="360"/>
      </w:pPr>
    </w:lvl>
    <w:lvl w:ilvl="2" w:tplc="75D2563A">
      <w:start w:val="1"/>
      <w:numFmt w:val="bullet"/>
      <w:lvlText w:val="■"/>
      <w:lvlJc w:val="left"/>
      <w:pPr>
        <w:ind w:left="2160" w:hanging="360"/>
      </w:pPr>
    </w:lvl>
    <w:lvl w:ilvl="3" w:tplc="5B24C88A">
      <w:start w:val="1"/>
      <w:numFmt w:val="bullet"/>
      <w:lvlText w:val="●"/>
      <w:lvlJc w:val="left"/>
      <w:pPr>
        <w:ind w:left="2880" w:hanging="360"/>
      </w:pPr>
    </w:lvl>
    <w:lvl w:ilvl="4" w:tplc="09380C34">
      <w:start w:val="1"/>
      <w:numFmt w:val="bullet"/>
      <w:lvlText w:val="○"/>
      <w:lvlJc w:val="left"/>
      <w:pPr>
        <w:ind w:left="3600" w:hanging="360"/>
      </w:pPr>
    </w:lvl>
    <w:lvl w:ilvl="5" w:tplc="972268F4">
      <w:start w:val="1"/>
      <w:numFmt w:val="bullet"/>
      <w:lvlText w:val="■"/>
      <w:lvlJc w:val="left"/>
      <w:pPr>
        <w:ind w:left="4320" w:hanging="360"/>
      </w:pPr>
    </w:lvl>
    <w:lvl w:ilvl="6" w:tplc="C49C1858">
      <w:start w:val="1"/>
      <w:numFmt w:val="bullet"/>
      <w:lvlText w:val="●"/>
      <w:lvlJc w:val="left"/>
      <w:pPr>
        <w:ind w:left="5040" w:hanging="360"/>
      </w:pPr>
    </w:lvl>
    <w:lvl w:ilvl="7" w:tplc="31A4E48C">
      <w:start w:val="1"/>
      <w:numFmt w:val="bullet"/>
      <w:lvlText w:val="●"/>
      <w:lvlJc w:val="left"/>
      <w:pPr>
        <w:ind w:left="5760" w:hanging="360"/>
      </w:pPr>
    </w:lvl>
    <w:lvl w:ilvl="8" w:tplc="5AB8AFC0">
      <w:start w:val="1"/>
      <w:numFmt w:val="bullet"/>
      <w:lvlText w:val="●"/>
      <w:lvlJc w:val="left"/>
      <w:pPr>
        <w:ind w:left="6480" w:hanging="360"/>
      </w:p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3"/>
    <w:rsid w:val="000061DD"/>
    <w:rsid w:val="00030CBD"/>
    <w:rsid w:val="00052F44"/>
    <w:rsid w:val="000A1ECF"/>
    <w:rsid w:val="000A2F1D"/>
    <w:rsid w:val="00100249"/>
    <w:rsid w:val="001375A8"/>
    <w:rsid w:val="00137F05"/>
    <w:rsid w:val="00142B19"/>
    <w:rsid w:val="0014563D"/>
    <w:rsid w:val="00146A55"/>
    <w:rsid w:val="0014717D"/>
    <w:rsid w:val="00163E5B"/>
    <w:rsid w:val="0017197B"/>
    <w:rsid w:val="00171E2F"/>
    <w:rsid w:val="00195F43"/>
    <w:rsid w:val="001A6AF1"/>
    <w:rsid w:val="001F31E9"/>
    <w:rsid w:val="0020193D"/>
    <w:rsid w:val="002040FE"/>
    <w:rsid w:val="00204439"/>
    <w:rsid w:val="002101BB"/>
    <w:rsid w:val="00220233"/>
    <w:rsid w:val="00224698"/>
    <w:rsid w:val="00231C9F"/>
    <w:rsid w:val="00287C17"/>
    <w:rsid w:val="002B39F8"/>
    <w:rsid w:val="002C46B1"/>
    <w:rsid w:val="002E2FBA"/>
    <w:rsid w:val="00306D44"/>
    <w:rsid w:val="00343C1A"/>
    <w:rsid w:val="0035207D"/>
    <w:rsid w:val="00363CCE"/>
    <w:rsid w:val="00385DAB"/>
    <w:rsid w:val="003B7410"/>
    <w:rsid w:val="003C6397"/>
    <w:rsid w:val="003F416C"/>
    <w:rsid w:val="00416BC1"/>
    <w:rsid w:val="004235B4"/>
    <w:rsid w:val="004254F0"/>
    <w:rsid w:val="00476E42"/>
    <w:rsid w:val="0048230E"/>
    <w:rsid w:val="00484BB4"/>
    <w:rsid w:val="0049638F"/>
    <w:rsid w:val="004A1EBB"/>
    <w:rsid w:val="004E0241"/>
    <w:rsid w:val="004E0918"/>
    <w:rsid w:val="00537CB2"/>
    <w:rsid w:val="005B5D65"/>
    <w:rsid w:val="005F377F"/>
    <w:rsid w:val="00647D62"/>
    <w:rsid w:val="00677E7F"/>
    <w:rsid w:val="006F24C2"/>
    <w:rsid w:val="007415E0"/>
    <w:rsid w:val="00783AD2"/>
    <w:rsid w:val="007A67F4"/>
    <w:rsid w:val="007E1EA1"/>
    <w:rsid w:val="007F37AE"/>
    <w:rsid w:val="00804BFA"/>
    <w:rsid w:val="00814696"/>
    <w:rsid w:val="00820EF3"/>
    <w:rsid w:val="0083138C"/>
    <w:rsid w:val="00865914"/>
    <w:rsid w:val="008717EA"/>
    <w:rsid w:val="00883DCF"/>
    <w:rsid w:val="008C15F9"/>
    <w:rsid w:val="008D01B6"/>
    <w:rsid w:val="008D3F7A"/>
    <w:rsid w:val="008D4638"/>
    <w:rsid w:val="00982BDC"/>
    <w:rsid w:val="00985113"/>
    <w:rsid w:val="00986E15"/>
    <w:rsid w:val="00992F10"/>
    <w:rsid w:val="009A0B23"/>
    <w:rsid w:val="009F329B"/>
    <w:rsid w:val="009F520D"/>
    <w:rsid w:val="00A20570"/>
    <w:rsid w:val="00A21BFE"/>
    <w:rsid w:val="00A43E0E"/>
    <w:rsid w:val="00A4669A"/>
    <w:rsid w:val="00A510FD"/>
    <w:rsid w:val="00A51409"/>
    <w:rsid w:val="00A53EFE"/>
    <w:rsid w:val="00A65546"/>
    <w:rsid w:val="00A761B5"/>
    <w:rsid w:val="00A92322"/>
    <w:rsid w:val="00B5015D"/>
    <w:rsid w:val="00C228A5"/>
    <w:rsid w:val="00C25268"/>
    <w:rsid w:val="00CA327C"/>
    <w:rsid w:val="00CC01B7"/>
    <w:rsid w:val="00CC3E83"/>
    <w:rsid w:val="00CD5BF7"/>
    <w:rsid w:val="00CE2FA8"/>
    <w:rsid w:val="00D002F2"/>
    <w:rsid w:val="00D70428"/>
    <w:rsid w:val="00DD4D3B"/>
    <w:rsid w:val="00E376BC"/>
    <w:rsid w:val="00E95043"/>
    <w:rsid w:val="00EE1A3F"/>
    <w:rsid w:val="00F133C1"/>
    <w:rsid w:val="00F20698"/>
    <w:rsid w:val="00F94A7E"/>
    <w:rsid w:val="00FA20F8"/>
    <w:rsid w:val="00FA7994"/>
    <w:rsid w:val="00FD634C"/>
    <w:rsid w:val="00FF4629"/>
    <w:rsid w:val="09A8A2B2"/>
    <w:rsid w:val="2F4E292F"/>
    <w:rsid w:val="396B33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B4E5DD"/>
  <w15:docId w15:val="{899494C9-4F6C-3140-A895-A7DD649C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240" w:after="80"/>
      <w:outlineLvl w:val="0"/>
    </w:pPr>
    <w:rPr>
      <w:b/>
      <w:bCs/>
      <w:sz w:val="26"/>
      <w:szCs w:val="26"/>
    </w:rPr>
  </w:style>
  <w:style w:type="paragraph" w:styleId="Heading2">
    <w:name w:val="heading 2"/>
    <w:uiPriority w:val="9"/>
    <w:unhideWhenUsed/>
    <w:qFormat/>
    <w:pPr>
      <w:spacing w:before="200" w:after="60"/>
      <w:outlineLvl w:val="1"/>
    </w:pPr>
    <w:rPr>
      <w:b/>
      <w:bCs/>
      <w:i/>
      <w:i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CommentReference">
    <w:name w:val="annotation reference"/>
    <w:basedOn w:val="DefaultParagraphFont"/>
    <w:uiPriority w:val="99"/>
    <w:semiHidden/>
    <w:unhideWhenUsed/>
    <w:rsid w:val="00CD5BF7"/>
    <w:rPr>
      <w:sz w:val="16"/>
      <w:szCs w:val="16"/>
    </w:rPr>
  </w:style>
  <w:style w:type="paragraph" w:styleId="CommentText">
    <w:name w:val="annotation text"/>
    <w:basedOn w:val="Normal"/>
    <w:link w:val="CommentTextChar"/>
    <w:uiPriority w:val="99"/>
    <w:unhideWhenUsed/>
    <w:rsid w:val="00CD5BF7"/>
    <w:rPr>
      <w:sz w:val="20"/>
      <w:szCs w:val="20"/>
    </w:rPr>
  </w:style>
  <w:style w:type="character" w:customStyle="1" w:styleId="CommentTextChar">
    <w:name w:val="Comment Text Char"/>
    <w:basedOn w:val="DefaultParagraphFont"/>
    <w:link w:val="CommentText"/>
    <w:uiPriority w:val="99"/>
    <w:rsid w:val="00CD5BF7"/>
    <w:rPr>
      <w:sz w:val="20"/>
      <w:szCs w:val="20"/>
    </w:rPr>
  </w:style>
  <w:style w:type="paragraph" w:styleId="CommentSubject">
    <w:name w:val="annotation subject"/>
    <w:basedOn w:val="CommentText"/>
    <w:next w:val="CommentText"/>
    <w:link w:val="CommentSubjectChar"/>
    <w:uiPriority w:val="99"/>
    <w:semiHidden/>
    <w:unhideWhenUsed/>
    <w:rsid w:val="00CD5BF7"/>
    <w:rPr>
      <w:b/>
      <w:bCs/>
    </w:rPr>
  </w:style>
  <w:style w:type="character" w:customStyle="1" w:styleId="CommentSubjectChar">
    <w:name w:val="Comment Subject Char"/>
    <w:basedOn w:val="CommentTextChar"/>
    <w:link w:val="CommentSubject"/>
    <w:uiPriority w:val="99"/>
    <w:semiHidden/>
    <w:rsid w:val="00CD5BF7"/>
    <w:rPr>
      <w:b/>
      <w:bCs/>
      <w:sz w:val="20"/>
      <w:szCs w:val="20"/>
    </w:rPr>
  </w:style>
  <w:style w:type="character" w:styleId="UnresolvedMention">
    <w:name w:val="Unresolved Mention"/>
    <w:basedOn w:val="DefaultParagraphFont"/>
    <w:uiPriority w:val="99"/>
    <w:semiHidden/>
    <w:unhideWhenUsed/>
    <w:rsid w:val="00814696"/>
    <w:rPr>
      <w:color w:val="605E5C"/>
      <w:shd w:val="clear" w:color="auto" w:fill="E1DFDD"/>
    </w:rPr>
  </w:style>
  <w:style w:type="paragraph" w:styleId="Revision">
    <w:name w:val="Revision"/>
    <w:hidden/>
    <w:uiPriority w:val="99"/>
    <w:semiHidden/>
    <w:rsid w:val="00FA20F8"/>
  </w:style>
  <w:style w:type="paragraph" w:styleId="Header">
    <w:name w:val="header"/>
    <w:basedOn w:val="Normal"/>
    <w:link w:val="HeaderChar"/>
    <w:uiPriority w:val="99"/>
    <w:unhideWhenUsed/>
    <w:rsid w:val="00D70428"/>
    <w:pPr>
      <w:tabs>
        <w:tab w:val="center" w:pos="4680"/>
        <w:tab w:val="right" w:pos="9360"/>
      </w:tabs>
    </w:pPr>
  </w:style>
  <w:style w:type="character" w:customStyle="1" w:styleId="HeaderChar">
    <w:name w:val="Header Char"/>
    <w:basedOn w:val="DefaultParagraphFont"/>
    <w:link w:val="Header"/>
    <w:uiPriority w:val="99"/>
    <w:rsid w:val="00D70428"/>
  </w:style>
  <w:style w:type="paragraph" w:styleId="Footer">
    <w:name w:val="footer"/>
    <w:basedOn w:val="Normal"/>
    <w:link w:val="FooterChar"/>
    <w:uiPriority w:val="99"/>
    <w:unhideWhenUsed/>
    <w:rsid w:val="00D70428"/>
    <w:pPr>
      <w:tabs>
        <w:tab w:val="center" w:pos="4680"/>
        <w:tab w:val="right" w:pos="9360"/>
      </w:tabs>
    </w:pPr>
  </w:style>
  <w:style w:type="character" w:customStyle="1" w:styleId="FooterChar">
    <w:name w:val="Footer Char"/>
    <w:basedOn w:val="DefaultParagraphFont"/>
    <w:link w:val="Footer"/>
    <w:uiPriority w:val="99"/>
    <w:rsid w:val="00D70428"/>
  </w:style>
  <w:style w:type="character" w:styleId="PlaceholderText">
    <w:name w:val="Placeholder Text"/>
    <w:basedOn w:val="DefaultParagraphFont"/>
    <w:uiPriority w:val="99"/>
    <w:semiHidden/>
    <w:rsid w:val="004E02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1B828461B2204884F2232A4DF5403E" ma:contentTypeVersion="13" ma:contentTypeDescription="Create a new document." ma:contentTypeScope="" ma:versionID="5f0f3825adff01f575bc396b62093fa8">
  <xsd:schema xmlns:xsd="http://www.w3.org/2001/XMLSchema" xmlns:xs="http://www.w3.org/2001/XMLSchema" xmlns:p="http://schemas.microsoft.com/office/2006/metadata/properties" xmlns:ns2="e424fb49-ba50-448a-9f0a-895990ed0b47" xmlns:ns3="de9e19ce-b3b2-4ddf-ade6-b2e79f248764" targetNamespace="http://schemas.microsoft.com/office/2006/metadata/properties" ma:root="true" ma:fieldsID="40089037c5a6223559788bbb9b361a3f" ns2:_="" ns3:_="">
    <xsd:import namespace="e424fb49-ba50-448a-9f0a-895990ed0b47"/>
    <xsd:import namespace="de9e19ce-b3b2-4ddf-ade6-b2e79f2487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fb49-ba50-448a-9f0a-895990ed0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8041e-c971-4c5d-9654-76d6a51c1f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9e19ce-b3b2-4ddf-ade6-b2e79f2487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83c20d-864e-4e33-b303-baa3a535b2c9}" ma:internalName="TaxCatchAll" ma:showField="CatchAllData" ma:web="de9e19ce-b3b2-4ddf-ade6-b2e79f2487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9e19ce-b3b2-4ddf-ade6-b2e79f248764" xsi:nil="true"/>
    <lcf76f155ced4ddcb4097134ff3c332f xmlns="e424fb49-ba50-448a-9f0a-895990ed0b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139A-FB0A-40A6-A222-2D8303F7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fb49-ba50-448a-9f0a-895990ed0b47"/>
    <ds:schemaRef ds:uri="de9e19ce-b3b2-4ddf-ade6-b2e79f248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BD256E-7A17-4364-B56E-29FFAFA7F59E}">
  <ds:schemaRefs>
    <ds:schemaRef ds:uri="http://schemas.microsoft.com/office/2006/metadata/properties"/>
    <ds:schemaRef ds:uri="http://schemas.microsoft.com/office/infopath/2007/PartnerControls"/>
    <ds:schemaRef ds:uri="de9e19ce-b3b2-4ddf-ade6-b2e79f248764"/>
    <ds:schemaRef ds:uri="e424fb49-ba50-448a-9f0a-895990ed0b47"/>
  </ds:schemaRefs>
</ds:datastoreItem>
</file>

<file path=customXml/itemProps3.xml><?xml version="1.0" encoding="utf-8"?>
<ds:datastoreItem xmlns:ds="http://schemas.openxmlformats.org/officeDocument/2006/customXml" ds:itemID="{0AE5704E-1EA5-4C4D-B91A-73B3D6895AAC}">
  <ds:schemaRefs>
    <ds:schemaRef ds:uri="http://schemas.microsoft.com/sharepoint/v3/contenttype/forms"/>
  </ds:schemaRefs>
</ds:datastoreItem>
</file>

<file path=customXml/itemProps4.xml><?xml version="1.0" encoding="utf-8"?>
<ds:datastoreItem xmlns:ds="http://schemas.openxmlformats.org/officeDocument/2006/customXml" ds:itemID="{73ABA90A-A90A-47B9-86A4-9ACDBC46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3917</Words>
  <Characters>22329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31</cp:revision>
  <cp:lastPrinted>2026-03-04T10:07:00Z</cp:lastPrinted>
  <dcterms:created xsi:type="dcterms:W3CDTF">2026-03-24T18:21:00Z</dcterms:created>
  <dcterms:modified xsi:type="dcterms:W3CDTF">2026-04-23T12:54:00Z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0x0101002E1B828461B2204884F2232A4DF5403E</vt:lpwstr>
  </property>
  <property fmtid="{D5CDD505-2E9C-101B-9397-08002B2CF9AE}" pid="3" name="MediaServiceImageTags">
    <vt:lpwstr/>
  </property>
  <property fmtid="{D5CDD505-2E9C-101B-9397-08002B2CF9AE}" pid="4" name="GrammarlyDocumentId">
    <vt:lpwstr>df01f3de-24a0-4209-8c4f-2fa035225298</vt:lpwstr>
  </property>
</Properties>
</file>