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F2D" w:rsidRPr="00EA1C0A" w:rsidRDefault="004D1574">
      <w:pPr>
        <w:rPr>
          <w:rFonts w:ascii="Times New Roman" w:hAnsi="Times New Roman" w:cs="Times New Roman"/>
          <w:sz w:val="24"/>
          <w:szCs w:val="24"/>
        </w:rPr>
      </w:pPr>
      <w:bookmarkStart w:id="0" w:name="_GoBack"/>
      <w:r w:rsidRPr="00EA1C0A">
        <w:rPr>
          <w:rFonts w:ascii="Times New Roman" w:hAnsi="Times New Roman" w:cs="Times New Roman"/>
          <w:sz w:val="24"/>
          <w:szCs w:val="24"/>
        </w:rPr>
        <w:t>Response to Editor’s Comments</w:t>
      </w:r>
      <w:r w:rsidR="00EA1C0A" w:rsidRPr="00EA1C0A">
        <w:rPr>
          <w:rFonts w:ascii="Times New Roman" w:hAnsi="Times New Roman" w:cs="Times New Roman"/>
          <w:sz w:val="24"/>
          <w:szCs w:val="24"/>
        </w:rPr>
        <w:t>_</w:t>
      </w:r>
      <w:r w:rsidR="00EA1C0A" w:rsidRPr="00EA1C0A">
        <w:rPr>
          <w:rFonts w:ascii="Times New Roman" w:hAnsi="Times New Roman" w:cs="Times New Roman"/>
          <w:bCs/>
          <w:color w:val="242424"/>
          <w:sz w:val="24"/>
          <w:szCs w:val="24"/>
          <w:shd w:val="clear" w:color="auto" w:fill="FFFFFF"/>
        </w:rPr>
        <w:t xml:space="preserve"> </w:t>
      </w:r>
      <w:r w:rsidR="00EA1C0A" w:rsidRPr="00EA1C0A">
        <w:rPr>
          <w:rFonts w:ascii="Times New Roman" w:hAnsi="Times New Roman" w:cs="Times New Roman"/>
          <w:bCs/>
          <w:color w:val="242424"/>
          <w:sz w:val="24"/>
          <w:szCs w:val="24"/>
          <w:shd w:val="clear" w:color="auto" w:fill="FFFFFF"/>
        </w:rPr>
        <w:t>2026/JIRMEPS/14900</w:t>
      </w:r>
    </w:p>
    <w:tbl>
      <w:tblPr>
        <w:tblStyle w:val="TableGrid"/>
        <w:tblW w:w="9985" w:type="dxa"/>
        <w:tblLook w:val="04A0" w:firstRow="1" w:lastRow="0" w:firstColumn="1" w:lastColumn="0" w:noHBand="0" w:noVBand="1"/>
      </w:tblPr>
      <w:tblGrid>
        <w:gridCol w:w="3116"/>
        <w:gridCol w:w="6869"/>
      </w:tblGrid>
      <w:tr w:rsidR="004D1574" w:rsidRPr="00EA1C0A" w:rsidTr="004D1574">
        <w:tc>
          <w:tcPr>
            <w:tcW w:w="3116" w:type="dxa"/>
          </w:tcPr>
          <w:bookmarkEnd w:id="0"/>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Editorial Comment</w:t>
            </w:r>
          </w:p>
        </w:tc>
        <w:tc>
          <w:tcPr>
            <w:tcW w:w="6869"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Authors’ Response</w:t>
            </w:r>
          </w:p>
          <w:p w:rsidR="00BE03AF" w:rsidRPr="00EA1C0A" w:rsidRDefault="00BE03AF" w:rsidP="00862A7E">
            <w:pPr>
              <w:rPr>
                <w:rFonts w:ascii="Times New Roman" w:hAnsi="Times New Roman" w:cs="Times New Roman"/>
                <w:sz w:val="24"/>
                <w:szCs w:val="24"/>
              </w:rPr>
            </w:pPr>
          </w:p>
        </w:tc>
      </w:tr>
      <w:tr w:rsidR="00BE03AF" w:rsidRPr="00EA1C0A" w:rsidTr="000739E0">
        <w:tc>
          <w:tcPr>
            <w:tcW w:w="9985" w:type="dxa"/>
            <w:gridSpan w:val="2"/>
          </w:tcPr>
          <w:p w:rsidR="00BE03AF" w:rsidRPr="00EA1C0A" w:rsidRDefault="00BE03AF" w:rsidP="00862A7E">
            <w:pPr>
              <w:rPr>
                <w:rFonts w:ascii="Times New Roman" w:hAnsi="Times New Roman" w:cs="Times New Roman"/>
                <w:sz w:val="24"/>
                <w:szCs w:val="24"/>
              </w:rPr>
            </w:pPr>
            <w:r w:rsidRPr="00EA1C0A">
              <w:rPr>
                <w:rFonts w:ascii="Times New Roman" w:hAnsi="Times New Roman" w:cs="Times New Roman"/>
                <w:sz w:val="24"/>
                <w:szCs w:val="24"/>
              </w:rPr>
              <w:t>General comments:</w:t>
            </w:r>
          </w:p>
          <w:p w:rsidR="00BE03AF" w:rsidRPr="00EA1C0A" w:rsidRDefault="00BE03AF" w:rsidP="00862A7E">
            <w:pPr>
              <w:rPr>
                <w:rFonts w:ascii="Times New Roman" w:hAnsi="Times New Roman" w:cs="Times New Roman"/>
                <w:sz w:val="24"/>
                <w:szCs w:val="24"/>
              </w:rPr>
            </w:pP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1. Vague methodology with very confusing objective (evaluate?)</w:t>
            </w:r>
          </w:p>
        </w:tc>
        <w:tc>
          <w:tcPr>
            <w:tcW w:w="6869" w:type="dxa"/>
          </w:tcPr>
          <w:p w:rsidR="004D1574" w:rsidRPr="00EA1C0A" w:rsidRDefault="004D1574" w:rsidP="0084641D">
            <w:pPr>
              <w:jc w:val="both"/>
              <w:rPr>
                <w:rFonts w:ascii="Times New Roman" w:hAnsi="Times New Roman" w:cs="Times New Roman"/>
                <w:sz w:val="24"/>
                <w:szCs w:val="24"/>
              </w:rPr>
            </w:pPr>
            <w:r w:rsidRPr="00EA1C0A">
              <w:rPr>
                <w:rFonts w:ascii="Times New Roman" w:hAnsi="Times New Roman" w:cs="Times New Roman"/>
                <w:sz w:val="24"/>
                <w:szCs w:val="24"/>
              </w:rPr>
              <w:t>Accepted. We have revised the objective to: “To assess the effect of exposure to social media campaigns on antibiotic resistance awareness and antibiotic use behaviors among undergraduates.” The Methods section has been rewritten to clearly describe the study design, sampling, data collection, and analysis steps.</w:t>
            </w: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2. The statistical analysis is inappropriate</w:t>
            </w:r>
          </w:p>
        </w:tc>
        <w:tc>
          <w:tcPr>
            <w:tcW w:w="6869" w:type="dxa"/>
          </w:tcPr>
          <w:p w:rsidR="004D1574" w:rsidRPr="00EA1C0A" w:rsidRDefault="004D1574" w:rsidP="0084641D">
            <w:pPr>
              <w:jc w:val="both"/>
              <w:rPr>
                <w:rFonts w:ascii="Times New Roman" w:hAnsi="Times New Roman" w:cs="Times New Roman"/>
                <w:sz w:val="24"/>
                <w:szCs w:val="24"/>
              </w:rPr>
            </w:pPr>
            <w:r w:rsidRPr="00EA1C0A">
              <w:rPr>
                <w:rFonts w:ascii="Times New Roman" w:hAnsi="Times New Roman" w:cs="Times New Roman"/>
                <w:sz w:val="24"/>
                <w:szCs w:val="24"/>
              </w:rPr>
              <w:t xml:space="preserve">Accepted. We agree. We have removed the exclusive reliance on chi-square tests. Binary logistic regression models have now been conducted to identify independent predictors of perceived negative behavioral influence and perceived positive campaign effect, adjusting for age, faculty, residence, and prior formal education. Tables </w:t>
            </w:r>
            <w:r w:rsidR="0084641D" w:rsidRPr="00EA1C0A">
              <w:rPr>
                <w:rFonts w:ascii="Times New Roman" w:hAnsi="Times New Roman" w:cs="Times New Roman"/>
                <w:sz w:val="24"/>
                <w:szCs w:val="24"/>
              </w:rPr>
              <w:t>8</w:t>
            </w:r>
            <w:r w:rsidRPr="00EA1C0A">
              <w:rPr>
                <w:rFonts w:ascii="Times New Roman" w:hAnsi="Times New Roman" w:cs="Times New Roman"/>
                <w:sz w:val="24"/>
                <w:szCs w:val="24"/>
              </w:rPr>
              <w:t xml:space="preserve"> and </w:t>
            </w:r>
            <w:r w:rsidR="0084641D" w:rsidRPr="00EA1C0A">
              <w:rPr>
                <w:rFonts w:ascii="Times New Roman" w:hAnsi="Times New Roman" w:cs="Times New Roman"/>
                <w:sz w:val="24"/>
                <w:szCs w:val="24"/>
              </w:rPr>
              <w:t>9</w:t>
            </w:r>
            <w:r w:rsidRPr="00EA1C0A">
              <w:rPr>
                <w:rFonts w:ascii="Times New Roman" w:hAnsi="Times New Roman" w:cs="Times New Roman"/>
                <w:sz w:val="24"/>
                <w:szCs w:val="24"/>
              </w:rPr>
              <w:t xml:space="preserve"> have been </w:t>
            </w:r>
            <w:r w:rsidR="0084641D" w:rsidRPr="00EA1C0A">
              <w:rPr>
                <w:rFonts w:ascii="Times New Roman" w:hAnsi="Times New Roman" w:cs="Times New Roman"/>
                <w:sz w:val="24"/>
                <w:szCs w:val="24"/>
              </w:rPr>
              <w:t>added</w:t>
            </w:r>
            <w:r w:rsidRPr="00EA1C0A">
              <w:rPr>
                <w:rFonts w:ascii="Times New Roman" w:hAnsi="Times New Roman" w:cs="Times New Roman"/>
                <w:sz w:val="24"/>
                <w:szCs w:val="24"/>
              </w:rPr>
              <w:t xml:space="preserve"> with regression outputs.</w:t>
            </w: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3. The primary outcome(s) is/are not clear</w:t>
            </w:r>
          </w:p>
        </w:tc>
        <w:tc>
          <w:tcPr>
            <w:tcW w:w="6869" w:type="dxa"/>
          </w:tcPr>
          <w:p w:rsidR="004D1574" w:rsidRPr="00EA1C0A" w:rsidRDefault="004D1574" w:rsidP="000449FF">
            <w:pPr>
              <w:jc w:val="both"/>
              <w:rPr>
                <w:rFonts w:ascii="Times New Roman" w:hAnsi="Times New Roman" w:cs="Times New Roman"/>
                <w:sz w:val="24"/>
                <w:szCs w:val="24"/>
              </w:rPr>
            </w:pPr>
            <w:r w:rsidRPr="00EA1C0A">
              <w:rPr>
                <w:rFonts w:ascii="Times New Roman" w:hAnsi="Times New Roman" w:cs="Times New Roman"/>
                <w:sz w:val="24"/>
                <w:szCs w:val="24"/>
              </w:rPr>
              <w:t>Accepted. We have explicitly stated the primary outcomes in the Methods section: 1) Perceived influence of social media on antibiotic use behavior, dichotomized as “good” vs “bad” influence; and 2) Perceived effect of social media campaigns on AR awareness, dichotomized as “positive” vs “negative” effect. The scoring method is</w:t>
            </w:r>
            <w:r w:rsidR="00F25577" w:rsidRPr="00EA1C0A">
              <w:rPr>
                <w:rFonts w:ascii="Times New Roman" w:hAnsi="Times New Roman" w:cs="Times New Roman"/>
                <w:sz w:val="24"/>
                <w:szCs w:val="24"/>
              </w:rPr>
              <w:t xml:space="preserve"> also</w:t>
            </w:r>
            <w:r w:rsidRPr="00EA1C0A">
              <w:rPr>
                <w:rFonts w:ascii="Times New Roman" w:hAnsi="Times New Roman" w:cs="Times New Roman"/>
                <w:sz w:val="24"/>
                <w:szCs w:val="24"/>
              </w:rPr>
              <w:t xml:space="preserve"> now described </w:t>
            </w:r>
            <w:r w:rsidR="000449FF" w:rsidRPr="00EA1C0A">
              <w:rPr>
                <w:rFonts w:ascii="Times New Roman" w:hAnsi="Times New Roman" w:cs="Times New Roman"/>
                <w:sz w:val="24"/>
                <w:szCs w:val="24"/>
              </w:rPr>
              <w:t>under Data analysis.</w:t>
            </w: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4. “an online survey” which should be clearly stated in the title, authors should mention all the precautionary measures of using online data collection (including several types of biases).</w:t>
            </w:r>
          </w:p>
        </w:tc>
        <w:tc>
          <w:tcPr>
            <w:tcW w:w="6869" w:type="dxa"/>
          </w:tcPr>
          <w:p w:rsidR="004D1574" w:rsidRPr="00EA1C0A" w:rsidRDefault="004D1574" w:rsidP="000449FF">
            <w:pPr>
              <w:spacing w:after="120"/>
              <w:jc w:val="both"/>
              <w:rPr>
                <w:rFonts w:ascii="Times New Roman" w:hAnsi="Times New Roman" w:cs="Times New Roman"/>
                <w:sz w:val="24"/>
                <w:szCs w:val="24"/>
              </w:rPr>
            </w:pPr>
            <w:r w:rsidRPr="00EA1C0A">
              <w:rPr>
                <w:rFonts w:ascii="Times New Roman" w:hAnsi="Times New Roman" w:cs="Times New Roman"/>
                <w:sz w:val="24"/>
                <w:szCs w:val="24"/>
              </w:rPr>
              <w:t xml:space="preserve">Accepted. The title has been revised to: “Social Media and Antibiotic Resistance: </w:t>
            </w:r>
            <w:r w:rsidR="00A90A49" w:rsidRPr="00EA1C0A">
              <w:rPr>
                <w:rFonts w:ascii="Times New Roman" w:hAnsi="Times New Roman" w:cs="Times New Roman"/>
                <w:sz w:val="24"/>
                <w:szCs w:val="24"/>
              </w:rPr>
              <w:t xml:space="preserve">An Online </w:t>
            </w:r>
            <w:r w:rsidRPr="00EA1C0A">
              <w:rPr>
                <w:rFonts w:ascii="Times New Roman" w:hAnsi="Times New Roman" w:cs="Times New Roman"/>
                <w:sz w:val="24"/>
                <w:szCs w:val="24"/>
              </w:rPr>
              <w:t>S</w:t>
            </w:r>
            <w:r w:rsidR="00A90A49" w:rsidRPr="00EA1C0A">
              <w:rPr>
                <w:rFonts w:ascii="Times New Roman" w:hAnsi="Times New Roman" w:cs="Times New Roman"/>
                <w:sz w:val="24"/>
                <w:szCs w:val="24"/>
              </w:rPr>
              <w:t>urvey of</w:t>
            </w:r>
            <w:r w:rsidRPr="00EA1C0A">
              <w:rPr>
                <w:rFonts w:ascii="Times New Roman" w:hAnsi="Times New Roman" w:cs="Times New Roman"/>
                <w:sz w:val="24"/>
                <w:szCs w:val="24"/>
              </w:rPr>
              <w:t xml:space="preserve"> Awareness and Behavior Among Undergraduate Students at Kwara State University, </w:t>
            </w:r>
            <w:proofErr w:type="spellStart"/>
            <w:r w:rsidRPr="00EA1C0A">
              <w:rPr>
                <w:rFonts w:ascii="Times New Roman" w:hAnsi="Times New Roman" w:cs="Times New Roman"/>
                <w:sz w:val="24"/>
                <w:szCs w:val="24"/>
              </w:rPr>
              <w:t>Malete</w:t>
            </w:r>
            <w:proofErr w:type="spellEnd"/>
            <w:r w:rsidRPr="00EA1C0A">
              <w:rPr>
                <w:rFonts w:ascii="Times New Roman" w:hAnsi="Times New Roman" w:cs="Times New Roman"/>
                <w:sz w:val="24"/>
                <w:szCs w:val="24"/>
              </w:rPr>
              <w:t xml:space="preserve">, Nigeria”. </w:t>
            </w:r>
            <w:r w:rsidR="000449FF" w:rsidRPr="00EA1C0A">
              <w:rPr>
                <w:rFonts w:ascii="Times New Roman" w:hAnsi="Times New Roman" w:cs="Times New Roman"/>
                <w:sz w:val="24"/>
                <w:szCs w:val="24"/>
              </w:rPr>
              <w:t xml:space="preserve">The </w:t>
            </w:r>
            <w:r w:rsidRPr="00EA1C0A">
              <w:rPr>
                <w:rFonts w:ascii="Times New Roman" w:hAnsi="Times New Roman" w:cs="Times New Roman"/>
                <w:sz w:val="24"/>
                <w:szCs w:val="24"/>
              </w:rPr>
              <w:t xml:space="preserve">subsection </w:t>
            </w:r>
            <w:r w:rsidR="00A90A49" w:rsidRPr="00EA1C0A">
              <w:rPr>
                <w:rFonts w:ascii="Times New Roman" w:hAnsi="Times New Roman" w:cs="Times New Roman"/>
                <w:sz w:val="24"/>
                <w:szCs w:val="24"/>
              </w:rPr>
              <w:t>on</w:t>
            </w:r>
            <w:r w:rsidRPr="00EA1C0A">
              <w:rPr>
                <w:rFonts w:ascii="Times New Roman" w:hAnsi="Times New Roman" w:cs="Times New Roman"/>
                <w:sz w:val="24"/>
                <w:szCs w:val="24"/>
              </w:rPr>
              <w:t xml:space="preserve"> “</w:t>
            </w:r>
            <w:r w:rsidR="00A90A49" w:rsidRPr="00EA1C0A">
              <w:rPr>
                <w:rFonts w:ascii="Times New Roman" w:eastAsia="Times New Roman" w:hAnsi="Times New Roman" w:cs="Times New Roman"/>
              </w:rPr>
              <w:t>Limitations, Mitigation Steps, and Suggestions for Future Studies</w:t>
            </w:r>
            <w:r w:rsidR="00A90A49" w:rsidRPr="00EA1C0A">
              <w:rPr>
                <w:rFonts w:ascii="Times New Roman" w:eastAsia="Times New Roman" w:hAnsi="Times New Roman" w:cs="Times New Roman"/>
              </w:rPr>
              <w:t xml:space="preserve">’’ </w:t>
            </w:r>
            <w:r w:rsidRPr="00EA1C0A">
              <w:rPr>
                <w:rFonts w:ascii="Times New Roman" w:hAnsi="Times New Roman" w:cs="Times New Roman"/>
                <w:sz w:val="24"/>
                <w:szCs w:val="24"/>
              </w:rPr>
              <w:t xml:space="preserve">has been </w:t>
            </w:r>
            <w:r w:rsidR="000449FF" w:rsidRPr="00EA1C0A">
              <w:rPr>
                <w:rFonts w:ascii="Times New Roman" w:hAnsi="Times New Roman" w:cs="Times New Roman"/>
                <w:sz w:val="24"/>
                <w:szCs w:val="24"/>
              </w:rPr>
              <w:t>revised</w:t>
            </w:r>
            <w:r w:rsidRPr="00EA1C0A">
              <w:rPr>
                <w:rFonts w:ascii="Times New Roman" w:hAnsi="Times New Roman" w:cs="Times New Roman"/>
                <w:sz w:val="24"/>
                <w:szCs w:val="24"/>
              </w:rPr>
              <w:t>. We discuss selection bias, non-response bias, social desirability bias, and steps taken: anonymity, pretesting, attention checks, and restriction to institutional emails/WhatsApp groups.</w:t>
            </w: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5. “Content validity… by two experts… this is merely face validity… use content validity ratio”</w:t>
            </w:r>
          </w:p>
        </w:tc>
        <w:tc>
          <w:tcPr>
            <w:tcW w:w="6869" w:type="dxa"/>
          </w:tcPr>
          <w:p w:rsidR="004D1574" w:rsidRPr="00EA1C0A" w:rsidRDefault="004D1574" w:rsidP="000449FF">
            <w:pPr>
              <w:rPr>
                <w:rFonts w:ascii="Times New Roman" w:hAnsi="Times New Roman" w:cs="Times New Roman"/>
                <w:sz w:val="24"/>
                <w:szCs w:val="24"/>
              </w:rPr>
            </w:pPr>
            <w:r w:rsidRPr="00EA1C0A">
              <w:rPr>
                <w:rFonts w:ascii="Times New Roman" w:hAnsi="Times New Roman" w:cs="Times New Roman"/>
                <w:sz w:val="24"/>
                <w:szCs w:val="24"/>
              </w:rPr>
              <w:t xml:space="preserve">Accepted. We have recalculated content validity using </w:t>
            </w:r>
            <w:proofErr w:type="spellStart"/>
            <w:r w:rsidRPr="00EA1C0A">
              <w:rPr>
                <w:rFonts w:ascii="Times New Roman" w:hAnsi="Times New Roman" w:cs="Times New Roman"/>
                <w:sz w:val="24"/>
                <w:szCs w:val="24"/>
              </w:rPr>
              <w:t>Lawshe’s</w:t>
            </w:r>
            <w:proofErr w:type="spellEnd"/>
            <w:r w:rsidRPr="00EA1C0A">
              <w:rPr>
                <w:rFonts w:ascii="Times New Roman" w:hAnsi="Times New Roman" w:cs="Times New Roman"/>
                <w:sz w:val="24"/>
                <w:szCs w:val="24"/>
              </w:rPr>
              <w:t xml:space="preserve"> Content Validity Ratio. Three additional experts rated each item for essentiality.</w:t>
            </w:r>
            <w:r w:rsidR="000449FF" w:rsidRPr="00EA1C0A">
              <w:rPr>
                <w:rFonts w:ascii="Times New Roman" w:hAnsi="Times New Roman" w:cs="Times New Roman"/>
                <w:sz w:val="24"/>
                <w:szCs w:val="24"/>
              </w:rPr>
              <w:t xml:space="preserve"> </w:t>
            </w:r>
            <w:r w:rsidRPr="00EA1C0A">
              <w:rPr>
                <w:rFonts w:ascii="Times New Roman" w:hAnsi="Times New Roman" w:cs="Times New Roman"/>
                <w:sz w:val="24"/>
                <w:szCs w:val="24"/>
              </w:rPr>
              <w:t>This is now reported in S</w:t>
            </w:r>
            <w:r w:rsidR="000449FF" w:rsidRPr="00EA1C0A">
              <w:rPr>
                <w:rFonts w:ascii="Times New Roman" w:hAnsi="Times New Roman" w:cs="Times New Roman"/>
                <w:sz w:val="24"/>
                <w:szCs w:val="24"/>
              </w:rPr>
              <w:t>tudy Instrument and Data Collection Procedure</w:t>
            </w:r>
            <w:r w:rsidRPr="00EA1C0A">
              <w:rPr>
                <w:rFonts w:ascii="Times New Roman" w:hAnsi="Times New Roman" w:cs="Times New Roman"/>
                <w:sz w:val="24"/>
                <w:szCs w:val="24"/>
              </w:rPr>
              <w:t>. We acknowledge that the original process was limited to face validity.</w:t>
            </w: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6. Methods used to score the responses were not given anywhere?</w:t>
            </w:r>
          </w:p>
        </w:tc>
        <w:tc>
          <w:tcPr>
            <w:tcW w:w="6869" w:type="dxa"/>
          </w:tcPr>
          <w:p w:rsidR="004D1574" w:rsidRPr="00EA1C0A" w:rsidRDefault="004D1574" w:rsidP="000449FF">
            <w:pPr>
              <w:rPr>
                <w:rFonts w:ascii="Times New Roman" w:hAnsi="Times New Roman" w:cs="Times New Roman"/>
                <w:sz w:val="24"/>
                <w:szCs w:val="24"/>
              </w:rPr>
            </w:pPr>
            <w:r w:rsidRPr="00EA1C0A">
              <w:rPr>
                <w:rFonts w:ascii="Times New Roman" w:hAnsi="Times New Roman" w:cs="Times New Roman"/>
                <w:sz w:val="24"/>
                <w:szCs w:val="24"/>
              </w:rPr>
              <w:t xml:space="preserve">Accepted. We have added a detailed scoring </w:t>
            </w:r>
            <w:r w:rsidR="000449FF" w:rsidRPr="00EA1C0A">
              <w:rPr>
                <w:rFonts w:ascii="Times New Roman" w:hAnsi="Times New Roman" w:cs="Times New Roman"/>
                <w:sz w:val="24"/>
                <w:szCs w:val="24"/>
              </w:rPr>
              <w:t>under Data Analysis sub</w:t>
            </w:r>
            <w:r w:rsidRPr="00EA1C0A">
              <w:rPr>
                <w:rFonts w:ascii="Times New Roman" w:hAnsi="Times New Roman" w:cs="Times New Roman"/>
                <w:sz w:val="24"/>
                <w:szCs w:val="24"/>
              </w:rPr>
              <w:t>section. Knowledge items were scored 1 for correct, 0 for incorrect. Behavior and perception items used a 4-point Likert scale. Composite scores were dichotomized at the median to create binary outcomes for regression analysis.</w:t>
            </w: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7. Associations based only on Chi-square are not acceptable, multivariate regression should be conducted</w:t>
            </w:r>
          </w:p>
        </w:tc>
        <w:tc>
          <w:tcPr>
            <w:tcW w:w="6869" w:type="dxa"/>
          </w:tcPr>
          <w:p w:rsidR="004D1574" w:rsidRPr="00EA1C0A" w:rsidRDefault="004D1574" w:rsidP="000449FF">
            <w:pPr>
              <w:rPr>
                <w:rFonts w:ascii="Times New Roman" w:hAnsi="Times New Roman" w:cs="Times New Roman"/>
                <w:sz w:val="24"/>
                <w:szCs w:val="24"/>
              </w:rPr>
            </w:pPr>
            <w:r w:rsidRPr="00EA1C0A">
              <w:rPr>
                <w:rFonts w:ascii="Times New Roman" w:hAnsi="Times New Roman" w:cs="Times New Roman"/>
                <w:sz w:val="24"/>
                <w:szCs w:val="24"/>
              </w:rPr>
              <w:t xml:space="preserve">Accepted. All significant variables from bivariate analysis were entered into multivariable logistic regression models. Adjusted Odds Ratios, 95% CI, and p-values are now reported in revised Tables </w:t>
            </w:r>
            <w:r w:rsidR="000449FF" w:rsidRPr="00EA1C0A">
              <w:rPr>
                <w:rFonts w:ascii="Times New Roman" w:hAnsi="Times New Roman" w:cs="Times New Roman"/>
                <w:sz w:val="24"/>
                <w:szCs w:val="24"/>
              </w:rPr>
              <w:t>8</w:t>
            </w:r>
            <w:r w:rsidRPr="00EA1C0A">
              <w:rPr>
                <w:rFonts w:ascii="Times New Roman" w:hAnsi="Times New Roman" w:cs="Times New Roman"/>
                <w:sz w:val="24"/>
                <w:szCs w:val="24"/>
              </w:rPr>
              <w:t xml:space="preserve"> and </w:t>
            </w:r>
            <w:r w:rsidR="000449FF" w:rsidRPr="00EA1C0A">
              <w:rPr>
                <w:rFonts w:ascii="Times New Roman" w:hAnsi="Times New Roman" w:cs="Times New Roman"/>
                <w:sz w:val="24"/>
                <w:szCs w:val="24"/>
              </w:rPr>
              <w:t>9</w:t>
            </w:r>
            <w:r w:rsidRPr="00EA1C0A">
              <w:rPr>
                <w:rFonts w:ascii="Times New Roman" w:hAnsi="Times New Roman" w:cs="Times New Roman"/>
                <w:sz w:val="24"/>
                <w:szCs w:val="24"/>
              </w:rPr>
              <w:t>.</w:t>
            </w:r>
          </w:p>
          <w:p w:rsidR="000449FF" w:rsidRPr="00EA1C0A" w:rsidRDefault="000449FF" w:rsidP="000449FF">
            <w:pPr>
              <w:rPr>
                <w:rFonts w:ascii="Times New Roman" w:hAnsi="Times New Roman" w:cs="Times New Roman"/>
                <w:sz w:val="24"/>
                <w:szCs w:val="24"/>
              </w:rPr>
            </w:pPr>
          </w:p>
          <w:p w:rsidR="000449FF" w:rsidRPr="00EA1C0A" w:rsidRDefault="000449FF" w:rsidP="000449FF">
            <w:pPr>
              <w:rPr>
                <w:rFonts w:ascii="Times New Roman" w:hAnsi="Times New Roman" w:cs="Times New Roman"/>
                <w:sz w:val="24"/>
                <w:szCs w:val="24"/>
              </w:rPr>
            </w:pPr>
          </w:p>
          <w:p w:rsidR="000449FF" w:rsidRPr="00EA1C0A" w:rsidRDefault="000449FF" w:rsidP="000449FF">
            <w:pPr>
              <w:rPr>
                <w:rFonts w:ascii="Times New Roman" w:hAnsi="Times New Roman" w:cs="Times New Roman"/>
                <w:sz w:val="24"/>
                <w:szCs w:val="24"/>
              </w:rPr>
            </w:pPr>
          </w:p>
        </w:tc>
      </w:tr>
      <w:tr w:rsidR="00BE03AF" w:rsidRPr="00EA1C0A" w:rsidTr="00490399">
        <w:tc>
          <w:tcPr>
            <w:tcW w:w="9985" w:type="dxa"/>
            <w:gridSpan w:val="2"/>
          </w:tcPr>
          <w:p w:rsidR="00BE03AF" w:rsidRPr="00EA1C0A" w:rsidRDefault="00BE03AF" w:rsidP="00862A7E">
            <w:pPr>
              <w:rPr>
                <w:rFonts w:ascii="Times New Roman" w:hAnsi="Times New Roman" w:cs="Times New Roman"/>
                <w:sz w:val="24"/>
                <w:szCs w:val="24"/>
              </w:rPr>
            </w:pPr>
            <w:r w:rsidRPr="00EA1C0A">
              <w:rPr>
                <w:rFonts w:ascii="Times New Roman" w:hAnsi="Times New Roman" w:cs="Times New Roman"/>
                <w:sz w:val="24"/>
                <w:szCs w:val="24"/>
              </w:rPr>
              <w:lastRenderedPageBreak/>
              <w:t>Abstract:</w:t>
            </w:r>
          </w:p>
          <w:p w:rsidR="00BE03AF" w:rsidRPr="00EA1C0A" w:rsidRDefault="00BE03AF" w:rsidP="00862A7E">
            <w:pPr>
              <w:rPr>
                <w:rFonts w:ascii="Times New Roman" w:hAnsi="Times New Roman" w:cs="Times New Roman"/>
                <w:sz w:val="24"/>
                <w:szCs w:val="24"/>
              </w:rPr>
            </w:pP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8. What were the primary outcome variable(s)?</w:t>
            </w:r>
          </w:p>
        </w:tc>
        <w:tc>
          <w:tcPr>
            <w:tcW w:w="6869"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Revised. The abstract now states: “Primary outcomes were perceived influence of social media on antibiotic use behavior and perceived effect of campaigns on AR awareness.”</w:t>
            </w: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9. The 400 undergraduates included (what were their colleges?)</w:t>
            </w:r>
          </w:p>
        </w:tc>
        <w:tc>
          <w:tcPr>
            <w:tcW w:w="6869" w:type="dxa"/>
          </w:tcPr>
          <w:p w:rsidR="004D1574" w:rsidRPr="00EA1C0A" w:rsidRDefault="004D1574" w:rsidP="00A85785">
            <w:pPr>
              <w:rPr>
                <w:rFonts w:ascii="Times New Roman" w:hAnsi="Times New Roman" w:cs="Times New Roman"/>
                <w:sz w:val="24"/>
                <w:szCs w:val="24"/>
              </w:rPr>
            </w:pPr>
            <w:r w:rsidRPr="00EA1C0A">
              <w:rPr>
                <w:rFonts w:ascii="Times New Roman" w:hAnsi="Times New Roman" w:cs="Times New Roman"/>
                <w:sz w:val="24"/>
                <w:szCs w:val="24"/>
              </w:rPr>
              <w:t xml:space="preserve">Revised. Added: “…400 undergraduates from </w:t>
            </w:r>
            <w:r w:rsidR="007470C2" w:rsidRPr="00EA1C0A">
              <w:rPr>
                <w:rFonts w:ascii="Times New Roman" w:hAnsi="Times New Roman" w:cs="Times New Roman"/>
                <w:sz w:val="24"/>
                <w:szCs w:val="24"/>
              </w:rPr>
              <w:t xml:space="preserve">six selected faculties……the limitation of </w:t>
            </w:r>
            <w:r w:rsidR="00A85785" w:rsidRPr="00EA1C0A">
              <w:rPr>
                <w:rFonts w:ascii="Times New Roman" w:hAnsi="Times New Roman" w:cs="Times New Roman"/>
                <w:sz w:val="24"/>
                <w:szCs w:val="24"/>
              </w:rPr>
              <w:t xml:space="preserve">abstract </w:t>
            </w:r>
            <w:r w:rsidR="007470C2" w:rsidRPr="00EA1C0A">
              <w:rPr>
                <w:rFonts w:ascii="Times New Roman" w:hAnsi="Times New Roman" w:cs="Times New Roman"/>
                <w:sz w:val="24"/>
                <w:szCs w:val="24"/>
              </w:rPr>
              <w:t>word count did not permit listing the faculties</w:t>
            </w:r>
            <w:r w:rsidR="00A85785" w:rsidRPr="00EA1C0A">
              <w:rPr>
                <w:rFonts w:ascii="Times New Roman" w:hAnsi="Times New Roman" w:cs="Times New Roman"/>
                <w:sz w:val="24"/>
                <w:szCs w:val="24"/>
              </w:rPr>
              <w:t xml:space="preserve"> here</w:t>
            </w:r>
            <w:r w:rsidR="007470C2" w:rsidRPr="00EA1C0A">
              <w:rPr>
                <w:rFonts w:ascii="Times New Roman" w:hAnsi="Times New Roman" w:cs="Times New Roman"/>
                <w:sz w:val="24"/>
                <w:szCs w:val="24"/>
              </w:rPr>
              <w:t xml:space="preserve">, but were </w:t>
            </w:r>
            <w:r w:rsidR="00A85785" w:rsidRPr="00EA1C0A">
              <w:rPr>
                <w:rFonts w:ascii="Times New Roman" w:hAnsi="Times New Roman" w:cs="Times New Roman"/>
                <w:sz w:val="24"/>
                <w:szCs w:val="24"/>
              </w:rPr>
              <w:t>rightly listed under the subsection on Sampling technique.</w:t>
            </w: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10. How data was collected?</w:t>
            </w:r>
          </w:p>
        </w:tc>
        <w:tc>
          <w:tcPr>
            <w:tcW w:w="6869"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Revised. Added: “Data were collected using a validated, self-administered online questionnaire distributed via Google Forms.”</w:t>
            </w: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11. What types of social media were studied, how was each influence the results?</w:t>
            </w:r>
          </w:p>
        </w:tc>
        <w:tc>
          <w:tcPr>
            <w:tcW w:w="6869" w:type="dxa"/>
          </w:tcPr>
          <w:p w:rsidR="004D1574" w:rsidRPr="00EA1C0A" w:rsidRDefault="00A85785" w:rsidP="00794E34">
            <w:pPr>
              <w:rPr>
                <w:rFonts w:ascii="Times New Roman" w:hAnsi="Times New Roman" w:cs="Times New Roman"/>
                <w:sz w:val="24"/>
                <w:szCs w:val="24"/>
              </w:rPr>
            </w:pPr>
            <w:r w:rsidRPr="00EA1C0A">
              <w:rPr>
                <w:rFonts w:ascii="Times New Roman" w:hAnsi="Times New Roman" w:cs="Times New Roman"/>
                <w:sz w:val="24"/>
                <w:szCs w:val="24"/>
              </w:rPr>
              <w:t xml:space="preserve">The type of </w:t>
            </w:r>
            <w:r w:rsidR="004D1574" w:rsidRPr="00EA1C0A">
              <w:rPr>
                <w:rFonts w:ascii="Times New Roman" w:hAnsi="Times New Roman" w:cs="Times New Roman"/>
                <w:sz w:val="24"/>
                <w:szCs w:val="24"/>
              </w:rPr>
              <w:t>platform</w:t>
            </w:r>
            <w:r w:rsidRPr="00EA1C0A">
              <w:rPr>
                <w:rFonts w:ascii="Times New Roman" w:hAnsi="Times New Roman" w:cs="Times New Roman"/>
                <w:sz w:val="24"/>
                <w:szCs w:val="24"/>
              </w:rPr>
              <w:t>s studied is reported in Table 3. However, platform</w:t>
            </w:r>
            <w:r w:rsidR="004D1574" w:rsidRPr="00EA1C0A">
              <w:rPr>
                <w:rFonts w:ascii="Times New Roman" w:hAnsi="Times New Roman" w:cs="Times New Roman"/>
                <w:sz w:val="24"/>
                <w:szCs w:val="24"/>
              </w:rPr>
              <w:t xml:space="preserve">-specific exposure </w:t>
            </w:r>
            <w:r w:rsidRPr="00EA1C0A">
              <w:rPr>
                <w:rFonts w:ascii="Times New Roman" w:hAnsi="Times New Roman" w:cs="Times New Roman"/>
                <w:sz w:val="24"/>
                <w:szCs w:val="24"/>
              </w:rPr>
              <w:t xml:space="preserve">and </w:t>
            </w:r>
            <w:r w:rsidR="00794E34" w:rsidRPr="00EA1C0A">
              <w:rPr>
                <w:rFonts w:ascii="Times New Roman" w:hAnsi="Times New Roman" w:cs="Times New Roman"/>
                <w:sz w:val="24"/>
                <w:szCs w:val="24"/>
              </w:rPr>
              <w:t xml:space="preserve">their influence </w:t>
            </w:r>
            <w:r w:rsidRPr="00EA1C0A">
              <w:rPr>
                <w:rFonts w:ascii="Times New Roman" w:hAnsi="Times New Roman" w:cs="Times New Roman"/>
                <w:sz w:val="24"/>
                <w:szCs w:val="24"/>
              </w:rPr>
              <w:t>was not within the scope of this study and may be suggested for future studies</w:t>
            </w:r>
            <w:r w:rsidR="004D1574" w:rsidRPr="00EA1C0A">
              <w:rPr>
                <w:rFonts w:ascii="Times New Roman" w:hAnsi="Times New Roman" w:cs="Times New Roman"/>
                <w:sz w:val="24"/>
                <w:szCs w:val="24"/>
              </w:rPr>
              <w:t>.</w:t>
            </w: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12. What campaigns on social media being evaluated?</w:t>
            </w:r>
          </w:p>
        </w:tc>
        <w:tc>
          <w:tcPr>
            <w:tcW w:w="6869" w:type="dxa"/>
          </w:tcPr>
          <w:p w:rsidR="004D1574" w:rsidRPr="00EA1C0A" w:rsidRDefault="004D1574" w:rsidP="00794E34">
            <w:pPr>
              <w:rPr>
                <w:rFonts w:ascii="Times New Roman" w:hAnsi="Times New Roman" w:cs="Times New Roman"/>
                <w:sz w:val="24"/>
                <w:szCs w:val="24"/>
              </w:rPr>
            </w:pPr>
            <w:r w:rsidRPr="00EA1C0A">
              <w:rPr>
                <w:rFonts w:ascii="Times New Roman" w:hAnsi="Times New Roman" w:cs="Times New Roman"/>
                <w:sz w:val="24"/>
                <w:szCs w:val="24"/>
              </w:rPr>
              <w:t xml:space="preserve">Clarified. We assessed exposure to any AMR-related campaigns on social media in the last 6 months, regardless of source. </w:t>
            </w:r>
            <w:r w:rsidR="004F2B9F" w:rsidRPr="00EA1C0A">
              <w:rPr>
                <w:rFonts w:ascii="Times New Roman" w:hAnsi="Times New Roman" w:cs="Times New Roman"/>
                <w:sz w:val="24"/>
                <w:szCs w:val="24"/>
              </w:rPr>
              <w:t>(Table 5)</w:t>
            </w: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13. Age, type of residence, and previous formal education… what do you mean? How each can affect the results? What type of tests used?</w:t>
            </w:r>
          </w:p>
        </w:tc>
        <w:tc>
          <w:tcPr>
            <w:tcW w:w="6869"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Clarified. We have rewritten this sentence for clarity and reported adjusted odds ratios from logistic regression. Example: “Students aged ≥24 years had 1.8 times higher odds of reporting negative behavioral influence compared to younger students, AOR 1.82, 95% CI 1.15-2.89, p=0.011.”</w:t>
            </w:r>
          </w:p>
        </w:tc>
      </w:tr>
      <w:tr w:rsidR="004D1574" w:rsidRPr="00EA1C0A" w:rsidTr="00304A74">
        <w:trPr>
          <w:trHeight w:val="242"/>
        </w:trPr>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14. Conclusion is not backed by results</w:t>
            </w:r>
          </w:p>
        </w:tc>
        <w:tc>
          <w:tcPr>
            <w:tcW w:w="6869"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Revised. The conclusion now directly reflects regression findings: “Exposure to short video campaigns was independently associated with positive perceived effect, while prior formal education reduced the risk of negative behavioral influence.”</w:t>
            </w:r>
          </w:p>
        </w:tc>
      </w:tr>
      <w:tr w:rsidR="00BE03AF" w:rsidRPr="00EA1C0A" w:rsidTr="007C28D1">
        <w:tc>
          <w:tcPr>
            <w:tcW w:w="9985" w:type="dxa"/>
            <w:gridSpan w:val="2"/>
          </w:tcPr>
          <w:p w:rsidR="00BE03AF" w:rsidRPr="00EA1C0A" w:rsidRDefault="00BE03AF" w:rsidP="00862A7E">
            <w:pPr>
              <w:rPr>
                <w:rFonts w:ascii="Times New Roman" w:hAnsi="Times New Roman" w:cs="Times New Roman"/>
                <w:sz w:val="24"/>
                <w:szCs w:val="24"/>
              </w:rPr>
            </w:pPr>
            <w:r w:rsidRPr="00EA1C0A">
              <w:rPr>
                <w:rFonts w:ascii="Times New Roman" w:hAnsi="Times New Roman" w:cs="Times New Roman"/>
                <w:sz w:val="24"/>
                <w:szCs w:val="24"/>
              </w:rPr>
              <w:t>Introduction:</w:t>
            </w:r>
          </w:p>
          <w:p w:rsidR="00BE03AF" w:rsidRPr="00EA1C0A" w:rsidRDefault="00BE03AF" w:rsidP="00862A7E">
            <w:pPr>
              <w:rPr>
                <w:rFonts w:ascii="Times New Roman" w:hAnsi="Times New Roman" w:cs="Times New Roman"/>
                <w:sz w:val="24"/>
                <w:szCs w:val="24"/>
              </w:rPr>
            </w:pP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15. Many sections lacking references</w:t>
            </w:r>
          </w:p>
        </w:tc>
        <w:tc>
          <w:tcPr>
            <w:tcW w:w="6869" w:type="dxa"/>
          </w:tcPr>
          <w:p w:rsidR="004D1574" w:rsidRPr="00EA1C0A" w:rsidRDefault="004D1574" w:rsidP="004608B0">
            <w:pPr>
              <w:rPr>
                <w:rFonts w:ascii="Times New Roman" w:hAnsi="Times New Roman" w:cs="Times New Roman"/>
                <w:sz w:val="24"/>
                <w:szCs w:val="24"/>
              </w:rPr>
            </w:pPr>
            <w:r w:rsidRPr="00EA1C0A">
              <w:rPr>
                <w:rFonts w:ascii="Times New Roman" w:hAnsi="Times New Roman" w:cs="Times New Roman"/>
                <w:sz w:val="24"/>
                <w:szCs w:val="24"/>
              </w:rPr>
              <w:t>Revised. All claims now</w:t>
            </w:r>
            <w:r w:rsidR="004608B0" w:rsidRPr="00EA1C0A">
              <w:rPr>
                <w:rFonts w:ascii="Times New Roman" w:hAnsi="Times New Roman" w:cs="Times New Roman"/>
                <w:sz w:val="24"/>
                <w:szCs w:val="24"/>
              </w:rPr>
              <w:t xml:space="preserve"> have citations. We have added 4</w:t>
            </w:r>
            <w:r w:rsidRPr="00EA1C0A">
              <w:rPr>
                <w:rFonts w:ascii="Times New Roman" w:hAnsi="Times New Roman" w:cs="Times New Roman"/>
                <w:sz w:val="24"/>
                <w:szCs w:val="24"/>
              </w:rPr>
              <w:t xml:space="preserve"> new references from 2021-202</w:t>
            </w:r>
            <w:r w:rsidR="004608B0" w:rsidRPr="00EA1C0A">
              <w:rPr>
                <w:rFonts w:ascii="Times New Roman" w:hAnsi="Times New Roman" w:cs="Times New Roman"/>
                <w:sz w:val="24"/>
                <w:szCs w:val="24"/>
              </w:rPr>
              <w:t>5</w:t>
            </w:r>
            <w:r w:rsidRPr="00EA1C0A">
              <w:rPr>
                <w:rFonts w:ascii="Times New Roman" w:hAnsi="Times New Roman" w:cs="Times New Roman"/>
                <w:sz w:val="24"/>
                <w:szCs w:val="24"/>
              </w:rPr>
              <w:t>.</w:t>
            </w: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16. More updated GBD data on AMR</w:t>
            </w:r>
          </w:p>
        </w:tc>
        <w:tc>
          <w:tcPr>
            <w:tcW w:w="6869" w:type="dxa"/>
          </w:tcPr>
          <w:p w:rsidR="004D1574" w:rsidRPr="00EA1C0A" w:rsidRDefault="004D1574" w:rsidP="004608B0">
            <w:pPr>
              <w:rPr>
                <w:rFonts w:ascii="Times New Roman" w:hAnsi="Times New Roman" w:cs="Times New Roman"/>
                <w:sz w:val="24"/>
                <w:szCs w:val="24"/>
              </w:rPr>
            </w:pPr>
            <w:r w:rsidRPr="00EA1C0A">
              <w:rPr>
                <w:rFonts w:ascii="Times New Roman" w:hAnsi="Times New Roman" w:cs="Times New Roman"/>
                <w:sz w:val="24"/>
                <w:szCs w:val="24"/>
              </w:rPr>
              <w:t>Accepted. We have updated the AMR burden figures to GBD</w:t>
            </w:r>
            <w:r w:rsidR="004608B0" w:rsidRPr="00EA1C0A">
              <w:rPr>
                <w:rFonts w:ascii="Times New Roman" w:hAnsi="Times New Roman" w:cs="Times New Roman"/>
                <w:sz w:val="24"/>
                <w:szCs w:val="24"/>
              </w:rPr>
              <w:t xml:space="preserve"> 2021 data in the </w:t>
            </w:r>
            <w:r w:rsidR="00EA1C0A">
              <w:rPr>
                <w:rFonts w:ascii="Times New Roman" w:hAnsi="Times New Roman" w:cs="Times New Roman"/>
                <w:sz w:val="24"/>
                <w:szCs w:val="24"/>
              </w:rPr>
              <w:t>Introduction</w:t>
            </w:r>
            <w:r w:rsidRPr="00EA1C0A">
              <w:rPr>
                <w:rFonts w:ascii="Times New Roman" w:hAnsi="Times New Roman" w:cs="Times New Roman"/>
                <w:sz w:val="24"/>
                <w:szCs w:val="24"/>
              </w:rPr>
              <w:t>.</w:t>
            </w:r>
          </w:p>
        </w:tc>
      </w:tr>
      <w:tr w:rsidR="004D1574" w:rsidRPr="00EA1C0A" w:rsidTr="004D1574">
        <w:tc>
          <w:tcPr>
            <w:tcW w:w="3116"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17. Rationale for recruiting undergraduates not concrete</w:t>
            </w:r>
          </w:p>
        </w:tc>
        <w:tc>
          <w:tcPr>
            <w:tcW w:w="6869" w:type="dxa"/>
          </w:tcPr>
          <w:p w:rsidR="004D1574" w:rsidRPr="00EA1C0A" w:rsidRDefault="004D1574" w:rsidP="00862A7E">
            <w:pPr>
              <w:rPr>
                <w:rFonts w:ascii="Times New Roman" w:hAnsi="Times New Roman" w:cs="Times New Roman"/>
                <w:sz w:val="24"/>
                <w:szCs w:val="24"/>
              </w:rPr>
            </w:pPr>
            <w:r w:rsidRPr="00EA1C0A">
              <w:rPr>
                <w:rFonts w:ascii="Times New Roman" w:hAnsi="Times New Roman" w:cs="Times New Roman"/>
                <w:sz w:val="24"/>
                <w:szCs w:val="24"/>
              </w:rPr>
              <w:t>Revised. We added a paragraph justifying the focus on undergraduates: high social media use, future prescribers, and gap in Nigeria-specific evidence.</w:t>
            </w:r>
          </w:p>
        </w:tc>
      </w:tr>
      <w:tr w:rsidR="004608B0" w:rsidRPr="00EA1C0A" w:rsidTr="004D1574">
        <w:tc>
          <w:tcPr>
            <w:tcW w:w="3116" w:type="dxa"/>
          </w:tcPr>
          <w:p w:rsidR="004608B0" w:rsidRPr="00EA1C0A" w:rsidRDefault="004608B0" w:rsidP="004608B0">
            <w:pPr>
              <w:rPr>
                <w:rFonts w:ascii="Times New Roman" w:hAnsi="Times New Roman" w:cs="Times New Roman"/>
                <w:sz w:val="24"/>
                <w:szCs w:val="24"/>
              </w:rPr>
            </w:pPr>
            <w:r w:rsidRPr="00EA1C0A">
              <w:rPr>
                <w:rFonts w:ascii="Times New Roman" w:hAnsi="Times New Roman" w:cs="Times New Roman"/>
                <w:sz w:val="24"/>
                <w:szCs w:val="24"/>
              </w:rPr>
              <w:t>Methods and Results:</w:t>
            </w:r>
          </w:p>
        </w:tc>
        <w:tc>
          <w:tcPr>
            <w:tcW w:w="6869" w:type="dxa"/>
          </w:tcPr>
          <w:p w:rsidR="004608B0" w:rsidRPr="00EA1C0A" w:rsidRDefault="004608B0" w:rsidP="004608B0">
            <w:pPr>
              <w:rPr>
                <w:rFonts w:ascii="Times New Roman" w:hAnsi="Times New Roman" w:cs="Times New Roman"/>
                <w:sz w:val="24"/>
                <w:szCs w:val="24"/>
              </w:rPr>
            </w:pPr>
          </w:p>
        </w:tc>
      </w:tr>
      <w:tr w:rsidR="00FC73A4" w:rsidRPr="00EA1C0A" w:rsidTr="004D1574">
        <w:tc>
          <w:tcPr>
            <w:tcW w:w="3116" w:type="dxa"/>
          </w:tcPr>
          <w:p w:rsidR="00FC73A4" w:rsidRPr="00EA1C0A" w:rsidRDefault="00FC73A4" w:rsidP="00FC73A4">
            <w:pPr>
              <w:rPr>
                <w:rFonts w:ascii="Times New Roman" w:hAnsi="Times New Roman" w:cs="Times New Roman"/>
                <w:sz w:val="24"/>
                <w:szCs w:val="24"/>
              </w:rPr>
            </w:pPr>
            <w:r w:rsidRPr="00EA1C0A">
              <w:rPr>
                <w:rFonts w:ascii="Times New Roman" w:hAnsi="Times New Roman" w:cs="Times New Roman"/>
                <w:sz w:val="24"/>
                <w:szCs w:val="24"/>
              </w:rPr>
              <w:t>18</w:t>
            </w:r>
            <w:r w:rsidRPr="00EA1C0A">
              <w:rPr>
                <w:rFonts w:ascii="Times New Roman" w:hAnsi="Times New Roman" w:cs="Times New Roman"/>
                <w:sz w:val="24"/>
                <w:szCs w:val="24"/>
              </w:rPr>
              <w:t>. Validity of instruments should be given in detail</w:t>
            </w:r>
          </w:p>
        </w:tc>
        <w:tc>
          <w:tcPr>
            <w:tcW w:w="6869" w:type="dxa"/>
          </w:tcPr>
          <w:p w:rsidR="00FC73A4" w:rsidRPr="00EA1C0A" w:rsidRDefault="00FC73A4" w:rsidP="00FC73A4">
            <w:pPr>
              <w:rPr>
                <w:rFonts w:ascii="Times New Roman" w:hAnsi="Times New Roman" w:cs="Times New Roman"/>
                <w:sz w:val="24"/>
                <w:szCs w:val="24"/>
              </w:rPr>
            </w:pPr>
            <w:r w:rsidRPr="00EA1C0A">
              <w:rPr>
                <w:rFonts w:ascii="Times New Roman" w:hAnsi="Times New Roman" w:cs="Times New Roman"/>
                <w:sz w:val="24"/>
                <w:szCs w:val="24"/>
              </w:rPr>
              <w:t>Revised. Detailed content validity ratio, Cronbach’s alpha for each domain, and pretest results are now provided under methodology section.</w:t>
            </w:r>
          </w:p>
        </w:tc>
      </w:tr>
      <w:tr w:rsidR="000A2AC8" w:rsidRPr="00EA1C0A" w:rsidTr="004D1574">
        <w:tc>
          <w:tcPr>
            <w:tcW w:w="3116" w:type="dxa"/>
          </w:tcPr>
          <w:p w:rsidR="000A2AC8" w:rsidRPr="00EA1C0A" w:rsidRDefault="000A2AC8" w:rsidP="000A2AC8">
            <w:pPr>
              <w:rPr>
                <w:rFonts w:ascii="Times New Roman" w:hAnsi="Times New Roman" w:cs="Times New Roman"/>
                <w:sz w:val="24"/>
                <w:szCs w:val="24"/>
              </w:rPr>
            </w:pPr>
            <w:r w:rsidRPr="00EA1C0A">
              <w:rPr>
                <w:rFonts w:ascii="Times New Roman" w:hAnsi="Times New Roman" w:cs="Times New Roman"/>
                <w:sz w:val="24"/>
                <w:szCs w:val="24"/>
              </w:rPr>
              <w:t xml:space="preserve">19. </w:t>
            </w:r>
            <w:r w:rsidRPr="00EA1C0A">
              <w:rPr>
                <w:rFonts w:ascii="Times New Roman" w:hAnsi="Times New Roman" w:cs="Times New Roman"/>
                <w:sz w:val="24"/>
                <w:szCs w:val="24"/>
              </w:rPr>
              <w:t>Methods used to measure exposure to social media</w:t>
            </w:r>
          </w:p>
        </w:tc>
        <w:tc>
          <w:tcPr>
            <w:tcW w:w="6869" w:type="dxa"/>
          </w:tcPr>
          <w:p w:rsidR="000A2AC8" w:rsidRPr="00EA1C0A" w:rsidRDefault="000A2AC8" w:rsidP="000A2AC8">
            <w:pPr>
              <w:rPr>
                <w:rFonts w:ascii="Times New Roman" w:hAnsi="Times New Roman" w:cs="Times New Roman"/>
                <w:sz w:val="24"/>
                <w:szCs w:val="24"/>
              </w:rPr>
            </w:pPr>
            <w:r w:rsidRPr="00EA1C0A">
              <w:rPr>
                <w:rFonts w:ascii="Times New Roman" w:hAnsi="Times New Roman" w:cs="Times New Roman"/>
                <w:sz w:val="24"/>
                <w:szCs w:val="24"/>
              </w:rPr>
              <w:t>Exposure was measured by frequency, duration, platform used, and type of content seen. This is in Table 3.</w:t>
            </w:r>
          </w:p>
        </w:tc>
      </w:tr>
      <w:tr w:rsidR="000A2AC8" w:rsidRPr="00EA1C0A" w:rsidTr="004D1574">
        <w:tc>
          <w:tcPr>
            <w:tcW w:w="3116" w:type="dxa"/>
          </w:tcPr>
          <w:p w:rsidR="000A2AC8" w:rsidRPr="00EA1C0A" w:rsidRDefault="000A2AC8" w:rsidP="000A2AC8">
            <w:pPr>
              <w:rPr>
                <w:rFonts w:ascii="Times New Roman" w:hAnsi="Times New Roman" w:cs="Times New Roman"/>
                <w:sz w:val="24"/>
                <w:szCs w:val="24"/>
              </w:rPr>
            </w:pPr>
            <w:r w:rsidRPr="00EA1C0A">
              <w:rPr>
                <w:rFonts w:ascii="Times New Roman" w:hAnsi="Times New Roman" w:cs="Times New Roman"/>
                <w:sz w:val="24"/>
                <w:szCs w:val="24"/>
              </w:rPr>
              <w:t xml:space="preserve">20. </w:t>
            </w:r>
            <w:r w:rsidRPr="00EA1C0A">
              <w:rPr>
                <w:rFonts w:ascii="Times New Roman" w:hAnsi="Times New Roman" w:cs="Times New Roman"/>
                <w:sz w:val="24"/>
                <w:szCs w:val="24"/>
              </w:rPr>
              <w:t>Those aged &gt;24 years, are they still undergraduate?</w:t>
            </w:r>
          </w:p>
        </w:tc>
        <w:tc>
          <w:tcPr>
            <w:tcW w:w="6869" w:type="dxa"/>
          </w:tcPr>
          <w:p w:rsidR="000A2AC8" w:rsidRPr="00EA1C0A" w:rsidRDefault="000A2AC8" w:rsidP="000A2AC8">
            <w:pPr>
              <w:rPr>
                <w:rFonts w:ascii="Times New Roman" w:hAnsi="Times New Roman" w:cs="Times New Roman"/>
                <w:sz w:val="24"/>
                <w:szCs w:val="24"/>
              </w:rPr>
            </w:pPr>
            <w:r w:rsidRPr="00EA1C0A">
              <w:rPr>
                <w:rFonts w:ascii="Times New Roman" w:hAnsi="Times New Roman" w:cs="Times New Roman"/>
                <w:sz w:val="24"/>
                <w:szCs w:val="24"/>
              </w:rPr>
              <w:t>Clarified. Yes, in Nigeria many students enter university later or repeat years. We have added a footnote in Table 1 explaining this.</w:t>
            </w:r>
          </w:p>
        </w:tc>
      </w:tr>
      <w:tr w:rsidR="000A2AC8" w:rsidRPr="00EA1C0A" w:rsidTr="004D1574">
        <w:tc>
          <w:tcPr>
            <w:tcW w:w="3116" w:type="dxa"/>
          </w:tcPr>
          <w:p w:rsidR="000A2AC8" w:rsidRPr="00EA1C0A" w:rsidRDefault="000A2AC8" w:rsidP="000A2AC8">
            <w:pPr>
              <w:rPr>
                <w:rFonts w:ascii="Times New Roman" w:hAnsi="Times New Roman" w:cs="Times New Roman"/>
                <w:sz w:val="24"/>
                <w:szCs w:val="24"/>
              </w:rPr>
            </w:pPr>
            <w:r w:rsidRPr="00EA1C0A">
              <w:rPr>
                <w:rFonts w:ascii="Times New Roman" w:hAnsi="Times New Roman" w:cs="Times New Roman"/>
                <w:sz w:val="24"/>
                <w:szCs w:val="24"/>
              </w:rPr>
              <w:lastRenderedPageBreak/>
              <w:t>21. Selection bias in Table 1</w:t>
            </w:r>
          </w:p>
        </w:tc>
        <w:tc>
          <w:tcPr>
            <w:tcW w:w="6869" w:type="dxa"/>
          </w:tcPr>
          <w:p w:rsidR="000A2AC8" w:rsidRPr="00EA1C0A" w:rsidRDefault="000A2AC8" w:rsidP="000A2AC8">
            <w:pPr>
              <w:rPr>
                <w:rFonts w:ascii="Times New Roman" w:hAnsi="Times New Roman" w:cs="Times New Roman"/>
                <w:sz w:val="24"/>
                <w:szCs w:val="24"/>
              </w:rPr>
            </w:pPr>
            <w:r w:rsidRPr="00EA1C0A">
              <w:rPr>
                <w:rFonts w:ascii="Times New Roman" w:hAnsi="Times New Roman" w:cs="Times New Roman"/>
                <w:sz w:val="24"/>
                <w:szCs w:val="24"/>
              </w:rPr>
              <w:t>Acknowledged. We agree. This is now discussed as a limitation.</w:t>
            </w:r>
            <w:r w:rsidR="00EA1C0A">
              <w:rPr>
                <w:rFonts w:ascii="Times New Roman" w:hAnsi="Times New Roman" w:cs="Times New Roman"/>
                <w:sz w:val="24"/>
                <w:szCs w:val="24"/>
              </w:rPr>
              <w:t xml:space="preserve"> </w:t>
            </w:r>
            <w:r w:rsidRPr="00EA1C0A">
              <w:rPr>
                <w:rFonts w:ascii="Times New Roman" w:hAnsi="Times New Roman" w:cs="Times New Roman"/>
                <w:sz w:val="24"/>
                <w:szCs w:val="24"/>
              </w:rPr>
              <w:t>The over-representation of males and Pure and Applied Sciences reflects differential WhatsApp group activity and response rates.</w:t>
            </w:r>
          </w:p>
        </w:tc>
      </w:tr>
      <w:tr w:rsidR="000A2AC8" w:rsidRPr="00EA1C0A" w:rsidTr="004D1574">
        <w:tc>
          <w:tcPr>
            <w:tcW w:w="3116" w:type="dxa"/>
          </w:tcPr>
          <w:p w:rsidR="000A2AC8" w:rsidRPr="00EA1C0A" w:rsidRDefault="000A2AC8" w:rsidP="00BE03AF">
            <w:pPr>
              <w:rPr>
                <w:rFonts w:ascii="Times New Roman" w:hAnsi="Times New Roman" w:cs="Times New Roman"/>
                <w:sz w:val="24"/>
                <w:szCs w:val="24"/>
              </w:rPr>
            </w:pPr>
            <w:r w:rsidRPr="00EA1C0A">
              <w:rPr>
                <w:rFonts w:ascii="Times New Roman" w:hAnsi="Times New Roman" w:cs="Times New Roman"/>
                <w:sz w:val="24"/>
                <w:szCs w:val="24"/>
              </w:rPr>
              <w:t>2</w:t>
            </w:r>
            <w:r w:rsidR="00BE03AF" w:rsidRPr="00EA1C0A">
              <w:rPr>
                <w:rFonts w:ascii="Times New Roman" w:hAnsi="Times New Roman" w:cs="Times New Roman"/>
                <w:sz w:val="24"/>
                <w:szCs w:val="24"/>
              </w:rPr>
              <w:t>2</w:t>
            </w:r>
            <w:r w:rsidRPr="00EA1C0A">
              <w:rPr>
                <w:rFonts w:ascii="Times New Roman" w:hAnsi="Times New Roman" w:cs="Times New Roman"/>
                <w:sz w:val="24"/>
                <w:szCs w:val="24"/>
              </w:rPr>
              <w:t>. Table 2: mix of knowledge and attitude items? Social desirability bias?</w:t>
            </w:r>
          </w:p>
        </w:tc>
        <w:tc>
          <w:tcPr>
            <w:tcW w:w="6869" w:type="dxa"/>
          </w:tcPr>
          <w:p w:rsidR="000A2AC8" w:rsidRPr="00EA1C0A" w:rsidRDefault="000A2AC8" w:rsidP="000A2AC8">
            <w:pPr>
              <w:rPr>
                <w:rFonts w:ascii="Times New Roman" w:hAnsi="Times New Roman" w:cs="Times New Roman"/>
                <w:sz w:val="24"/>
                <w:szCs w:val="24"/>
              </w:rPr>
            </w:pPr>
            <w:r w:rsidRPr="00EA1C0A">
              <w:rPr>
                <w:rFonts w:ascii="Times New Roman" w:hAnsi="Times New Roman" w:cs="Times New Roman"/>
                <w:sz w:val="24"/>
                <w:szCs w:val="24"/>
              </w:rPr>
              <w:t>Clarified. Table 2 now only includes behavior and perception items. We have added a statement acknowledging social desirability bias and mitigation through anonymity.</w:t>
            </w:r>
          </w:p>
        </w:tc>
      </w:tr>
      <w:tr w:rsidR="000A2AC8" w:rsidRPr="00EA1C0A" w:rsidTr="004D1574">
        <w:tc>
          <w:tcPr>
            <w:tcW w:w="3116" w:type="dxa"/>
          </w:tcPr>
          <w:p w:rsidR="000A2AC8" w:rsidRPr="00EA1C0A" w:rsidRDefault="000A2AC8" w:rsidP="00BE03AF">
            <w:pPr>
              <w:rPr>
                <w:rFonts w:ascii="Times New Roman" w:hAnsi="Times New Roman" w:cs="Times New Roman"/>
                <w:sz w:val="24"/>
                <w:szCs w:val="24"/>
              </w:rPr>
            </w:pPr>
            <w:r w:rsidRPr="00EA1C0A">
              <w:rPr>
                <w:rFonts w:ascii="Times New Roman" w:hAnsi="Times New Roman" w:cs="Times New Roman"/>
                <w:sz w:val="24"/>
                <w:szCs w:val="24"/>
              </w:rPr>
              <w:t>2</w:t>
            </w:r>
            <w:r w:rsidR="00BE03AF" w:rsidRPr="00EA1C0A">
              <w:rPr>
                <w:rFonts w:ascii="Times New Roman" w:hAnsi="Times New Roman" w:cs="Times New Roman"/>
                <w:sz w:val="24"/>
                <w:szCs w:val="24"/>
              </w:rPr>
              <w:t>3</w:t>
            </w:r>
            <w:r w:rsidRPr="00EA1C0A">
              <w:rPr>
                <w:rFonts w:ascii="Times New Roman" w:hAnsi="Times New Roman" w:cs="Times New Roman"/>
                <w:sz w:val="24"/>
                <w:szCs w:val="24"/>
              </w:rPr>
              <w:t>. How bad and good influence was estimated?</w:t>
            </w:r>
          </w:p>
        </w:tc>
        <w:tc>
          <w:tcPr>
            <w:tcW w:w="6869" w:type="dxa"/>
          </w:tcPr>
          <w:p w:rsidR="000A2AC8" w:rsidRPr="00EA1C0A" w:rsidRDefault="000A2AC8" w:rsidP="000A2AC8">
            <w:pPr>
              <w:rPr>
                <w:rFonts w:ascii="Times New Roman" w:hAnsi="Times New Roman" w:cs="Times New Roman"/>
                <w:sz w:val="24"/>
                <w:szCs w:val="24"/>
              </w:rPr>
            </w:pPr>
            <w:r w:rsidRPr="00EA1C0A">
              <w:rPr>
                <w:rFonts w:ascii="Times New Roman" w:hAnsi="Times New Roman" w:cs="Times New Roman"/>
                <w:sz w:val="24"/>
                <w:szCs w:val="24"/>
              </w:rPr>
              <w:t xml:space="preserve">Added. Section </w:t>
            </w:r>
            <w:r w:rsidRPr="00EA1C0A">
              <w:rPr>
                <w:rFonts w:ascii="Times New Roman" w:hAnsi="Times New Roman" w:cs="Times New Roman"/>
                <w:sz w:val="24"/>
                <w:szCs w:val="24"/>
              </w:rPr>
              <w:t>on Data Analysis</w:t>
            </w:r>
            <w:r w:rsidRPr="00EA1C0A">
              <w:rPr>
                <w:rFonts w:ascii="Times New Roman" w:hAnsi="Times New Roman" w:cs="Times New Roman"/>
                <w:sz w:val="24"/>
                <w:szCs w:val="24"/>
              </w:rPr>
              <w:t xml:space="preserve"> explains that responses to 5 behavior items were summed and dichotomized at the median.</w:t>
            </w:r>
          </w:p>
        </w:tc>
      </w:tr>
      <w:tr w:rsidR="000A2AC8" w:rsidRPr="00EA1C0A" w:rsidTr="004D1574">
        <w:tc>
          <w:tcPr>
            <w:tcW w:w="3116" w:type="dxa"/>
          </w:tcPr>
          <w:p w:rsidR="000A2AC8" w:rsidRPr="00EA1C0A" w:rsidRDefault="000A2AC8" w:rsidP="00BE03AF">
            <w:pPr>
              <w:rPr>
                <w:rFonts w:ascii="Times New Roman" w:hAnsi="Times New Roman" w:cs="Times New Roman"/>
                <w:sz w:val="24"/>
                <w:szCs w:val="24"/>
              </w:rPr>
            </w:pPr>
            <w:r w:rsidRPr="00EA1C0A">
              <w:rPr>
                <w:rFonts w:ascii="Times New Roman" w:hAnsi="Times New Roman" w:cs="Times New Roman"/>
                <w:sz w:val="24"/>
                <w:szCs w:val="24"/>
              </w:rPr>
              <w:t>2</w:t>
            </w:r>
            <w:r w:rsidR="00BE03AF" w:rsidRPr="00EA1C0A">
              <w:rPr>
                <w:rFonts w:ascii="Times New Roman" w:hAnsi="Times New Roman" w:cs="Times New Roman"/>
                <w:sz w:val="24"/>
                <w:szCs w:val="24"/>
              </w:rPr>
              <w:t>4</w:t>
            </w:r>
            <w:r w:rsidRPr="00EA1C0A">
              <w:rPr>
                <w:rFonts w:ascii="Times New Roman" w:hAnsi="Times New Roman" w:cs="Times New Roman"/>
                <w:sz w:val="24"/>
                <w:szCs w:val="24"/>
              </w:rPr>
              <w:t>. Logistic regression needed instead of Tables 6 and 7</w:t>
            </w:r>
          </w:p>
        </w:tc>
        <w:tc>
          <w:tcPr>
            <w:tcW w:w="6869" w:type="dxa"/>
          </w:tcPr>
          <w:p w:rsidR="000A2AC8" w:rsidRPr="00EA1C0A" w:rsidRDefault="000A2AC8" w:rsidP="000A2AC8">
            <w:pPr>
              <w:rPr>
                <w:rFonts w:ascii="Times New Roman" w:hAnsi="Times New Roman" w:cs="Times New Roman"/>
                <w:sz w:val="24"/>
                <w:szCs w:val="24"/>
              </w:rPr>
            </w:pPr>
            <w:r w:rsidRPr="00EA1C0A">
              <w:rPr>
                <w:rFonts w:ascii="Times New Roman" w:hAnsi="Times New Roman" w:cs="Times New Roman"/>
                <w:sz w:val="24"/>
                <w:szCs w:val="24"/>
              </w:rPr>
              <w:t xml:space="preserve">Done. Tables </w:t>
            </w:r>
            <w:r w:rsidRPr="00EA1C0A">
              <w:rPr>
                <w:rFonts w:ascii="Times New Roman" w:hAnsi="Times New Roman" w:cs="Times New Roman"/>
                <w:sz w:val="24"/>
                <w:szCs w:val="24"/>
              </w:rPr>
              <w:t>8</w:t>
            </w:r>
            <w:r w:rsidRPr="00EA1C0A">
              <w:rPr>
                <w:rFonts w:ascii="Times New Roman" w:hAnsi="Times New Roman" w:cs="Times New Roman"/>
                <w:sz w:val="24"/>
                <w:szCs w:val="24"/>
              </w:rPr>
              <w:t xml:space="preserve"> and </w:t>
            </w:r>
            <w:r w:rsidRPr="00EA1C0A">
              <w:rPr>
                <w:rFonts w:ascii="Times New Roman" w:hAnsi="Times New Roman" w:cs="Times New Roman"/>
                <w:sz w:val="24"/>
                <w:szCs w:val="24"/>
              </w:rPr>
              <w:t>9</w:t>
            </w:r>
            <w:r w:rsidRPr="00EA1C0A">
              <w:rPr>
                <w:rFonts w:ascii="Times New Roman" w:hAnsi="Times New Roman" w:cs="Times New Roman"/>
                <w:sz w:val="24"/>
                <w:szCs w:val="24"/>
              </w:rPr>
              <w:t xml:space="preserve"> </w:t>
            </w:r>
            <w:r w:rsidRPr="00EA1C0A">
              <w:rPr>
                <w:rFonts w:ascii="Times New Roman" w:hAnsi="Times New Roman" w:cs="Times New Roman"/>
                <w:sz w:val="24"/>
                <w:szCs w:val="24"/>
              </w:rPr>
              <w:t xml:space="preserve">on </w:t>
            </w:r>
            <w:r w:rsidRPr="00EA1C0A">
              <w:rPr>
                <w:rFonts w:ascii="Times New Roman" w:hAnsi="Times New Roman" w:cs="Times New Roman"/>
                <w:sz w:val="24"/>
                <w:szCs w:val="24"/>
              </w:rPr>
              <w:t>multivariable logistic regression</w:t>
            </w:r>
            <w:r w:rsidRPr="00EA1C0A">
              <w:rPr>
                <w:rFonts w:ascii="Times New Roman" w:hAnsi="Times New Roman" w:cs="Times New Roman"/>
                <w:sz w:val="24"/>
                <w:szCs w:val="24"/>
              </w:rPr>
              <w:t xml:space="preserve"> </w:t>
            </w:r>
            <w:r w:rsidRPr="00EA1C0A">
              <w:rPr>
                <w:rFonts w:ascii="Times New Roman" w:hAnsi="Times New Roman" w:cs="Times New Roman"/>
                <w:sz w:val="24"/>
                <w:szCs w:val="24"/>
              </w:rPr>
              <w:t xml:space="preserve">have been </w:t>
            </w:r>
            <w:r w:rsidRPr="00EA1C0A">
              <w:rPr>
                <w:rFonts w:ascii="Times New Roman" w:hAnsi="Times New Roman" w:cs="Times New Roman"/>
                <w:sz w:val="24"/>
                <w:szCs w:val="24"/>
              </w:rPr>
              <w:t>added</w:t>
            </w:r>
            <w:r w:rsidRPr="00EA1C0A">
              <w:rPr>
                <w:rFonts w:ascii="Times New Roman" w:hAnsi="Times New Roman" w:cs="Times New Roman"/>
                <w:sz w:val="24"/>
                <w:szCs w:val="24"/>
              </w:rPr>
              <w:t xml:space="preserve"> with adjustment for confounders.</w:t>
            </w:r>
          </w:p>
        </w:tc>
      </w:tr>
      <w:tr w:rsidR="000A2AC8" w:rsidRPr="00EA1C0A" w:rsidTr="004D1574">
        <w:tc>
          <w:tcPr>
            <w:tcW w:w="3116" w:type="dxa"/>
          </w:tcPr>
          <w:p w:rsidR="000A2AC8" w:rsidRPr="00EA1C0A" w:rsidRDefault="000A2AC8" w:rsidP="00BE03AF">
            <w:pPr>
              <w:rPr>
                <w:rFonts w:ascii="Times New Roman" w:hAnsi="Times New Roman" w:cs="Times New Roman"/>
                <w:sz w:val="24"/>
                <w:szCs w:val="24"/>
              </w:rPr>
            </w:pPr>
            <w:r w:rsidRPr="00EA1C0A">
              <w:rPr>
                <w:rFonts w:ascii="Times New Roman" w:hAnsi="Times New Roman" w:cs="Times New Roman"/>
                <w:sz w:val="24"/>
                <w:szCs w:val="24"/>
              </w:rPr>
              <w:t>2</w:t>
            </w:r>
            <w:r w:rsidR="00BE03AF" w:rsidRPr="00EA1C0A">
              <w:rPr>
                <w:rFonts w:ascii="Times New Roman" w:hAnsi="Times New Roman" w:cs="Times New Roman"/>
                <w:sz w:val="24"/>
                <w:szCs w:val="24"/>
              </w:rPr>
              <w:t>5</w:t>
            </w:r>
            <w:r w:rsidRPr="00EA1C0A">
              <w:rPr>
                <w:rFonts w:ascii="Times New Roman" w:hAnsi="Times New Roman" w:cs="Times New Roman"/>
                <w:sz w:val="24"/>
                <w:szCs w:val="24"/>
              </w:rPr>
              <w:t>. Linkage between exposure and behavior change unclear</w:t>
            </w:r>
          </w:p>
        </w:tc>
        <w:tc>
          <w:tcPr>
            <w:tcW w:w="6869" w:type="dxa"/>
          </w:tcPr>
          <w:p w:rsidR="000A2AC8" w:rsidRPr="00EA1C0A" w:rsidRDefault="000A2AC8" w:rsidP="000A2AC8">
            <w:pPr>
              <w:rPr>
                <w:rFonts w:ascii="Times New Roman" w:hAnsi="Times New Roman" w:cs="Times New Roman"/>
                <w:sz w:val="24"/>
                <w:szCs w:val="24"/>
              </w:rPr>
            </w:pPr>
            <w:r w:rsidRPr="00EA1C0A">
              <w:rPr>
                <w:rFonts w:ascii="Times New Roman" w:hAnsi="Times New Roman" w:cs="Times New Roman"/>
                <w:sz w:val="24"/>
                <w:szCs w:val="24"/>
              </w:rPr>
              <w:t>Revised. We have rewritten the Discussion to explicitly link exposure type to outcomes using the Health Belief Model. We now report that short videos had the strongest adjusted association with positive outcomes.</w:t>
            </w:r>
          </w:p>
        </w:tc>
      </w:tr>
      <w:tr w:rsidR="000A2AC8" w:rsidRPr="00F55B89" w:rsidTr="00BF52A0">
        <w:tc>
          <w:tcPr>
            <w:tcW w:w="9985" w:type="dxa"/>
            <w:gridSpan w:val="2"/>
          </w:tcPr>
          <w:p w:rsidR="00EA1C0A" w:rsidRDefault="00EA1C0A" w:rsidP="000A2AC8">
            <w:pPr>
              <w:rPr>
                <w:rFonts w:ascii="Times New Roman" w:hAnsi="Times New Roman" w:cs="Times New Roman"/>
                <w:sz w:val="24"/>
                <w:szCs w:val="24"/>
              </w:rPr>
            </w:pPr>
          </w:p>
          <w:p w:rsidR="000A2AC8" w:rsidRDefault="000A2AC8" w:rsidP="000A2AC8">
            <w:pPr>
              <w:rPr>
                <w:rFonts w:ascii="Times New Roman" w:hAnsi="Times New Roman" w:cs="Times New Roman"/>
                <w:sz w:val="24"/>
                <w:szCs w:val="24"/>
              </w:rPr>
            </w:pPr>
            <w:r w:rsidRPr="00EA1C0A">
              <w:rPr>
                <w:rFonts w:ascii="Times New Roman" w:hAnsi="Times New Roman" w:cs="Times New Roman"/>
                <w:sz w:val="24"/>
                <w:szCs w:val="24"/>
              </w:rPr>
              <w:t xml:space="preserve">We thank the editor and reviewers for the thorough and constructive feedback. All </w:t>
            </w:r>
            <w:r w:rsidRPr="00EA1C0A">
              <w:rPr>
                <w:rFonts w:ascii="Times New Roman" w:hAnsi="Times New Roman" w:cs="Times New Roman"/>
                <w:sz w:val="24"/>
                <w:szCs w:val="24"/>
              </w:rPr>
              <w:t xml:space="preserve">the above </w:t>
            </w:r>
            <w:r w:rsidRPr="00EA1C0A">
              <w:rPr>
                <w:rFonts w:ascii="Times New Roman" w:hAnsi="Times New Roman" w:cs="Times New Roman"/>
                <w:sz w:val="24"/>
                <w:szCs w:val="24"/>
              </w:rPr>
              <w:t xml:space="preserve">changes have been </w:t>
            </w:r>
            <w:r w:rsidRPr="00EA1C0A">
              <w:rPr>
                <w:rFonts w:ascii="Times New Roman" w:hAnsi="Times New Roman" w:cs="Times New Roman"/>
                <w:sz w:val="24"/>
                <w:szCs w:val="24"/>
              </w:rPr>
              <w:t xml:space="preserve">highlighted in green </w:t>
            </w:r>
            <w:r w:rsidRPr="00EA1C0A">
              <w:rPr>
                <w:rFonts w:ascii="Times New Roman" w:hAnsi="Times New Roman" w:cs="Times New Roman"/>
                <w:sz w:val="24"/>
                <w:szCs w:val="24"/>
              </w:rPr>
              <w:t>in the revised manuscript version 2</w:t>
            </w:r>
            <w:r w:rsidRPr="00EA1C0A">
              <w:rPr>
                <w:rFonts w:ascii="Times New Roman" w:hAnsi="Times New Roman" w:cs="Times New Roman"/>
                <w:sz w:val="24"/>
                <w:szCs w:val="24"/>
              </w:rPr>
              <w:t xml:space="preserve"> for ease of reference</w:t>
            </w:r>
            <w:r w:rsidRPr="00EA1C0A">
              <w:rPr>
                <w:rFonts w:ascii="Times New Roman" w:hAnsi="Times New Roman" w:cs="Times New Roman"/>
                <w:sz w:val="24"/>
                <w:szCs w:val="24"/>
              </w:rPr>
              <w:t>. We believe these revisions have substantially improved the rigor and clarity of the paper.</w:t>
            </w:r>
          </w:p>
          <w:p w:rsidR="00EA1C0A" w:rsidRPr="00F55B89" w:rsidRDefault="00EA1C0A" w:rsidP="000A2AC8">
            <w:pPr>
              <w:rPr>
                <w:rFonts w:ascii="Times New Roman" w:hAnsi="Times New Roman" w:cs="Times New Roman"/>
                <w:sz w:val="24"/>
                <w:szCs w:val="24"/>
              </w:rPr>
            </w:pPr>
          </w:p>
        </w:tc>
      </w:tr>
    </w:tbl>
    <w:p w:rsidR="004D1574" w:rsidRDefault="004D1574"/>
    <w:sectPr w:rsidR="004D1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74"/>
    <w:rsid w:val="000449FF"/>
    <w:rsid w:val="000A2AC8"/>
    <w:rsid w:val="00304A74"/>
    <w:rsid w:val="004608B0"/>
    <w:rsid w:val="004D1574"/>
    <w:rsid w:val="004F2B9F"/>
    <w:rsid w:val="007470C2"/>
    <w:rsid w:val="00794E34"/>
    <w:rsid w:val="0084641D"/>
    <w:rsid w:val="00A85785"/>
    <w:rsid w:val="00A90A49"/>
    <w:rsid w:val="00BE03AF"/>
    <w:rsid w:val="00CF0F2D"/>
    <w:rsid w:val="00EA1C0A"/>
    <w:rsid w:val="00F25577"/>
    <w:rsid w:val="00FC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8FC0"/>
  <w15:chartTrackingRefBased/>
  <w15:docId w15:val="{CBDBD258-4866-444E-B521-994C697F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33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2026-05-19T02:51:00Z</dcterms:created>
  <dcterms:modified xsi:type="dcterms:W3CDTF">2026-05-19T16:49:00Z</dcterms:modified>
</cp:coreProperties>
</file>