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51288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920BD33">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8070A72">
            <w:pPr>
              <w:rPr>
                <w:b/>
                <w:bCs/>
                <w:color w:val="0000FF"/>
                <w:sz w:val="20"/>
                <w:szCs w:val="20"/>
                <w:lang w:val="en-GB"/>
              </w:rPr>
            </w:pPr>
            <w:r>
              <w:fldChar w:fldCharType="begin"/>
            </w:r>
            <w:r>
              <w:instrText xml:space="preserve"> HYPERLINK "https://r1.reviewerhub.org/ajomcor/journal" </w:instrText>
            </w:r>
            <w:r>
              <w:fldChar w:fldCharType="separate"/>
            </w:r>
            <w:r>
              <w:rPr>
                <w:rFonts w:ascii="Arial" w:hAnsi="Arial" w:cs="Arial"/>
                <w:color w:val="0000FF"/>
                <w:u w:val="single"/>
              </w:rPr>
              <w:t>Asian Journal of Mathematics and Computer Research</w:t>
            </w:r>
            <w:r>
              <w:rPr>
                <w:rFonts w:ascii="Arial" w:hAnsi="Arial" w:cs="Arial"/>
                <w:color w:val="0000FF"/>
                <w:u w:val="single"/>
              </w:rPr>
              <w:fldChar w:fldCharType="end"/>
            </w:r>
          </w:p>
        </w:tc>
      </w:tr>
      <w:tr w14:paraId="3B3D8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A7931E3">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67B822B">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Ms_AJOMCOR_14865</w:t>
            </w:r>
          </w:p>
        </w:tc>
      </w:tr>
      <w:tr w14:paraId="0709A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2978D24">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0E84CE">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Multivariate Time Series Anomaly Detection in IIoT Using Integrated Transformer and Graph Neural Networks</w:t>
            </w:r>
          </w:p>
        </w:tc>
      </w:tr>
      <w:tr w14:paraId="4B408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95D5895">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D1C0E11">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8547606">
            <w:pPr>
              <w:pStyle w:val="7"/>
              <w:spacing w:before="0" w:beforeAutospacing="0" w:after="0" w:afterAutospacing="0"/>
              <w:rPr>
                <w:rFonts w:ascii="Times New Roman" w:hAnsi="Times New Roman" w:cs="Times New Roman"/>
                <w:b/>
                <w:sz w:val="20"/>
                <w:szCs w:val="20"/>
                <w:lang w:val="en-GB"/>
              </w:rPr>
            </w:pPr>
          </w:p>
        </w:tc>
      </w:tr>
    </w:tbl>
    <w:p w14:paraId="04B3C8C4">
      <w:pPr>
        <w:pStyle w:val="4"/>
        <w:rPr>
          <w:rFonts w:ascii="Times New Roman" w:hAnsi="Times New Roman"/>
          <w:i/>
          <w:sz w:val="20"/>
          <w:szCs w:val="20"/>
          <w:u w:val="single"/>
          <w:lang w:val="en-GB"/>
        </w:rPr>
      </w:pPr>
    </w:p>
    <w:p w14:paraId="7F0FDFA2">
      <w:pPr>
        <w:jc w:val="both"/>
        <w:rPr>
          <w:rFonts w:eastAsia="MS Mincho"/>
          <w:sz w:val="20"/>
          <w:szCs w:val="20"/>
          <w:lang w:val="en-GB" w:eastAsia="zh-CN"/>
        </w:rPr>
      </w:pPr>
    </w:p>
    <w:p w14:paraId="1F034124">
      <w:pPr>
        <w:jc w:val="both"/>
        <w:rPr>
          <w:rFonts w:eastAsia="MS Mincho"/>
          <w:sz w:val="20"/>
          <w:szCs w:val="20"/>
          <w:lang w:val="en-GB" w:eastAsia="zh-CN"/>
        </w:rPr>
      </w:pPr>
    </w:p>
    <w:p w14:paraId="5AE6BC25">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60CCCEE0">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4"/>
        <w:gridCol w:w="4627"/>
        <w:gridCol w:w="4627"/>
      </w:tblGrid>
      <w:tr w14:paraId="49C63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C2955BF">
            <w:pPr>
              <w:keepNext/>
              <w:outlineLvl w:val="1"/>
              <w:rPr>
                <w:rFonts w:eastAsia="MS Mincho"/>
                <w:b/>
                <w:bCs/>
                <w:sz w:val="20"/>
                <w:szCs w:val="20"/>
                <w:lang w:val="en-GB"/>
              </w:rPr>
            </w:pPr>
          </w:p>
        </w:tc>
        <w:tc>
          <w:tcPr>
            <w:tcW w:w="1667" w:type="pct"/>
          </w:tcPr>
          <w:p w14:paraId="48CB493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9C4B21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F1513B">
            <w:pPr>
              <w:keepNext/>
              <w:outlineLvl w:val="1"/>
              <w:rPr>
                <w:rFonts w:eastAsia="MS Mincho"/>
                <w:bCs/>
                <w:sz w:val="20"/>
                <w:szCs w:val="20"/>
                <w:lang w:val="en-GB"/>
              </w:rPr>
            </w:pPr>
          </w:p>
        </w:tc>
      </w:tr>
      <w:tr w14:paraId="13DF6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47554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9FC0EF">
            <w:pPr>
              <w:rPr>
                <w:rFonts w:eastAsia="MS Mincho"/>
                <w:bCs/>
                <w:sz w:val="20"/>
                <w:szCs w:val="20"/>
                <w:lang w:val="en-GB"/>
              </w:rPr>
            </w:pPr>
            <w:r>
              <w:rPr>
                <w:bCs/>
                <w:sz w:val="20"/>
                <w:szCs w:val="20"/>
                <w:lang w:val="en-GB"/>
              </w:rPr>
              <w:t>be required for this part.</w:t>
            </w:r>
          </w:p>
        </w:tc>
        <w:tc>
          <w:tcPr>
            <w:tcW w:w="1667" w:type="pct"/>
          </w:tcPr>
          <w:p w14:paraId="75B994D8">
            <w:pPr>
              <w:contextualSpacing/>
              <w:jc w:val="both"/>
              <w:rPr>
                <w:b/>
                <w:bCs/>
                <w:sz w:val="20"/>
                <w:szCs w:val="20"/>
                <w:lang w:val="en-GB"/>
              </w:rPr>
            </w:pPr>
            <w:r>
              <w:t>This manuscript addresses an important problem in the field of industrial analytics, namely the accurate detection of anomalies in multivariate time series data within Industrial IoT environments. By integrating Transformer models with graph neural networks, the study provides a meaningful approach to jointly capture temporal dependencies and spatial correlations, which are often overlooked when treated separately. The inclusion of data preprocessing and adaptive thresholding further strengthens its practical applicability in real-world industrial systems. Overall, the work contributes to ongoing efforts in improving the reliability, efficiency, and intelligence of predictive maintenance and monitoring systems.</w:t>
            </w:r>
          </w:p>
        </w:tc>
        <w:tc>
          <w:tcPr>
            <w:tcW w:w="1667" w:type="pct"/>
          </w:tcPr>
          <w:p w14:paraId="6B9024C4">
            <w:pPr>
              <w:keepNext/>
              <w:outlineLvl w:val="1"/>
              <w:rPr>
                <w:rFonts w:eastAsia="MS Mincho"/>
                <w:bCs/>
                <w:sz w:val="20"/>
                <w:szCs w:val="20"/>
                <w:lang w:val="en-GB"/>
              </w:rPr>
            </w:pPr>
            <w:r>
              <w:rPr>
                <w:color w:val="404040"/>
                <w:sz w:val="20"/>
                <w:szCs w:val="20"/>
                <w:shd w:val="clear" w:color="auto" w:fill="FFFFFF"/>
                <w:lang w:val="en-GB"/>
              </w:rPr>
              <w:t xml:space="preserve">This manuscript addresses a critical and widely concerned problem in the field of industrial analytics and IIoT intelligent operation: accurate and robust anomaly detection for high-dimensional, strongly coupled multivariate time series data from industrial sensors. By integrating Transformer and graph neural network, this study proposes a hybrid model that can </w:t>
            </w:r>
            <w:bookmarkStart w:id="0" w:name="_GoBack"/>
            <w:bookmarkEnd w:id="0"/>
            <w:r>
              <w:rPr>
                <w:color w:val="404040"/>
                <w:sz w:val="20"/>
                <w:szCs w:val="20"/>
                <w:shd w:val="clear" w:color="auto" w:fill="FFFFFF"/>
                <w:lang w:val="en-GB"/>
              </w:rPr>
              <w:t>jointly capture long-term temporal dependencies and dynamic spatial correlations between sensors, which fills the research gap that existing hybrid models often overlook the lagged dependencies between industrial sensors and the interference of industrial noise. The supplementary validation on two authoritative industrial benchmark datasets (PSM and SWaT) fully proves the generalization performance of the model, and the design of data preprocessing and adaptive thresholding further enhances its practical applicability in real-world industrial systems. Overall, this work not only provides a reliable technical solution for industrial predictive maintenance, but also enriches the research system of spatiotemporal fusion modeling for multivariate time series anomaly detection.</w:t>
            </w:r>
          </w:p>
        </w:tc>
      </w:tr>
    </w:tbl>
    <w:p w14:paraId="7DA336CD">
      <w:pPr>
        <w:rPr>
          <w:sz w:val="20"/>
          <w:szCs w:val="20"/>
          <w:lang w:val="en-GB"/>
        </w:rPr>
      </w:pPr>
    </w:p>
    <w:p w14:paraId="797A5865">
      <w:pPr>
        <w:rPr>
          <w:sz w:val="20"/>
          <w:szCs w:val="20"/>
          <w:lang w:val="en-GB"/>
        </w:rPr>
      </w:pPr>
    </w:p>
    <w:p w14:paraId="659E19B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D4C9701">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5ED6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E49FD4B">
            <w:pPr>
              <w:keepNext/>
              <w:outlineLvl w:val="1"/>
              <w:rPr>
                <w:rFonts w:eastAsia="MS Mincho"/>
                <w:b/>
                <w:bCs/>
                <w:sz w:val="20"/>
                <w:szCs w:val="20"/>
                <w:lang w:val="en-GB"/>
              </w:rPr>
            </w:pPr>
          </w:p>
        </w:tc>
        <w:tc>
          <w:tcPr>
            <w:tcW w:w="1667" w:type="pct"/>
          </w:tcPr>
          <w:p w14:paraId="778710D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39F00C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B17E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F12E337">
            <w:pPr>
              <w:rPr>
                <w:b/>
                <w:bCs/>
                <w:sz w:val="20"/>
                <w:szCs w:val="20"/>
                <w:lang w:val="en-GB"/>
              </w:rPr>
            </w:pPr>
            <w:r>
              <w:rPr>
                <w:b/>
                <w:bCs/>
                <w:sz w:val="20"/>
                <w:szCs w:val="20"/>
                <w:lang w:val="en-GB"/>
              </w:rPr>
              <w:t xml:space="preserve">1. Is the title clear and appropriate for the study? </w:t>
            </w:r>
          </w:p>
          <w:p w14:paraId="62A367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2E3F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B12745">
            <w:pPr>
              <w:ind w:left="360"/>
              <w:rPr>
                <w:b/>
                <w:bCs/>
                <w:sz w:val="20"/>
                <w:szCs w:val="20"/>
                <w:lang w:val="en-GB"/>
              </w:rPr>
            </w:pPr>
            <w:r>
              <w:rPr>
                <w:b/>
                <w:bCs/>
                <w:sz w:val="20"/>
                <w:szCs w:val="20"/>
                <w:lang w:val="en-GB"/>
              </w:rPr>
              <w:t>4</w:t>
            </w:r>
          </w:p>
        </w:tc>
        <w:tc>
          <w:tcPr>
            <w:tcW w:w="1667" w:type="pct"/>
          </w:tcPr>
          <w:p w14:paraId="533C4B0C">
            <w:pPr>
              <w:keepNext/>
              <w:outlineLvl w:val="1"/>
              <w:rPr>
                <w:rFonts w:eastAsia="MS Mincho"/>
                <w:bCs/>
                <w:sz w:val="20"/>
                <w:szCs w:val="20"/>
                <w:lang w:val="en-GB"/>
              </w:rPr>
            </w:pPr>
          </w:p>
        </w:tc>
      </w:tr>
      <w:tr w14:paraId="74C5A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E47ECA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84DC98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386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8D7CB4">
            <w:pPr>
              <w:ind w:left="360" w:firstLine="720"/>
              <w:rPr>
                <w:b/>
                <w:bCs/>
                <w:sz w:val="20"/>
                <w:szCs w:val="20"/>
                <w:lang w:val="en-GB"/>
              </w:rPr>
            </w:pPr>
            <w:r>
              <w:rPr>
                <w:b/>
                <w:bCs/>
                <w:sz w:val="20"/>
                <w:szCs w:val="20"/>
                <w:lang w:val="en-GB"/>
              </w:rPr>
              <w:t>4</w:t>
            </w:r>
          </w:p>
        </w:tc>
        <w:tc>
          <w:tcPr>
            <w:tcW w:w="1667" w:type="pct"/>
          </w:tcPr>
          <w:p w14:paraId="37F6090A">
            <w:pPr>
              <w:keepNext/>
              <w:outlineLvl w:val="1"/>
              <w:rPr>
                <w:rFonts w:eastAsia="MS Mincho"/>
                <w:bCs/>
                <w:sz w:val="20"/>
                <w:szCs w:val="20"/>
                <w:lang w:val="en-GB"/>
              </w:rPr>
            </w:pPr>
          </w:p>
        </w:tc>
      </w:tr>
      <w:tr w14:paraId="78BE5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D32100F">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649EEAC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20A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68B9FCA">
            <w:pPr>
              <w:ind w:left="360"/>
              <w:rPr>
                <w:b/>
                <w:bCs/>
                <w:sz w:val="20"/>
                <w:szCs w:val="20"/>
                <w:lang w:val="en-GB"/>
              </w:rPr>
            </w:pPr>
            <w:r>
              <w:rPr>
                <w:b/>
                <w:bCs/>
                <w:sz w:val="20"/>
                <w:szCs w:val="20"/>
                <w:lang w:val="en-GB"/>
              </w:rPr>
              <w:t>4</w:t>
            </w:r>
          </w:p>
        </w:tc>
        <w:tc>
          <w:tcPr>
            <w:tcW w:w="1667" w:type="pct"/>
          </w:tcPr>
          <w:p w14:paraId="757DDE19">
            <w:pPr>
              <w:keepNext/>
              <w:outlineLvl w:val="1"/>
              <w:rPr>
                <w:rFonts w:eastAsia="MS Mincho"/>
                <w:bCs/>
                <w:sz w:val="20"/>
                <w:szCs w:val="20"/>
                <w:lang w:val="en-GB"/>
              </w:rPr>
            </w:pPr>
          </w:p>
        </w:tc>
      </w:tr>
      <w:tr w14:paraId="423F2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A1580B8">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65F7D3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79F2B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4609A04">
            <w:pPr>
              <w:ind w:left="360"/>
              <w:rPr>
                <w:b/>
                <w:bCs/>
                <w:sz w:val="20"/>
                <w:szCs w:val="20"/>
                <w:lang w:val="en-GB"/>
              </w:rPr>
            </w:pPr>
            <w:r>
              <w:rPr>
                <w:b/>
                <w:bCs/>
                <w:sz w:val="20"/>
                <w:szCs w:val="20"/>
                <w:lang w:val="en-GB"/>
              </w:rPr>
              <w:t>4</w:t>
            </w:r>
          </w:p>
        </w:tc>
        <w:tc>
          <w:tcPr>
            <w:tcW w:w="1667" w:type="pct"/>
          </w:tcPr>
          <w:p w14:paraId="79014EF6">
            <w:pPr>
              <w:keepNext/>
              <w:outlineLvl w:val="1"/>
              <w:rPr>
                <w:rFonts w:eastAsia="MS Mincho"/>
                <w:bCs/>
                <w:sz w:val="20"/>
                <w:szCs w:val="20"/>
                <w:lang w:val="en-GB"/>
              </w:rPr>
            </w:pPr>
          </w:p>
        </w:tc>
      </w:tr>
      <w:tr w14:paraId="6BD6C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BB33059">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745271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E79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6F9ED66">
            <w:pPr>
              <w:ind w:left="360"/>
              <w:rPr>
                <w:b/>
                <w:bCs/>
                <w:sz w:val="20"/>
                <w:szCs w:val="20"/>
                <w:lang w:val="en-GB"/>
              </w:rPr>
            </w:pPr>
            <w:r>
              <w:rPr>
                <w:b/>
                <w:bCs/>
                <w:sz w:val="20"/>
                <w:szCs w:val="20"/>
                <w:lang w:val="en-GB"/>
              </w:rPr>
              <w:t>3</w:t>
            </w:r>
          </w:p>
        </w:tc>
        <w:tc>
          <w:tcPr>
            <w:tcW w:w="1667" w:type="pct"/>
          </w:tcPr>
          <w:p w14:paraId="3D150E6A">
            <w:pPr>
              <w:keepNext/>
              <w:outlineLvl w:val="1"/>
              <w:rPr>
                <w:rFonts w:eastAsia="MS Mincho"/>
                <w:bCs/>
                <w:sz w:val="20"/>
                <w:szCs w:val="20"/>
                <w:lang w:val="en-GB"/>
              </w:rPr>
            </w:pPr>
            <w:r>
              <w:rPr>
                <w:color w:val="404040"/>
                <w:sz w:val="20"/>
                <w:szCs w:val="20"/>
                <w:shd w:val="clear" w:color="auto" w:fill="FFFFFF"/>
                <w:lang w:val="en-GB"/>
              </w:rPr>
              <w:t>We have clarified the research objectives and core innovations of this study in the introduction section of the revised manuscript, making the research objectives clearer and more explicit.</w:t>
            </w:r>
          </w:p>
        </w:tc>
      </w:tr>
      <w:tr w14:paraId="1CC06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89E910B">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662F24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A6E6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EBAC395">
            <w:pPr>
              <w:ind w:left="360"/>
              <w:rPr>
                <w:b/>
                <w:bCs/>
                <w:sz w:val="20"/>
                <w:szCs w:val="20"/>
                <w:lang w:val="en-GB"/>
              </w:rPr>
            </w:pPr>
            <w:r>
              <w:rPr>
                <w:b/>
                <w:bCs/>
                <w:sz w:val="20"/>
                <w:szCs w:val="20"/>
                <w:lang w:val="en-GB"/>
              </w:rPr>
              <w:t>4</w:t>
            </w:r>
          </w:p>
        </w:tc>
        <w:tc>
          <w:tcPr>
            <w:tcW w:w="1667" w:type="pct"/>
          </w:tcPr>
          <w:p w14:paraId="2DEDF443">
            <w:pPr>
              <w:keepNext/>
              <w:outlineLvl w:val="1"/>
              <w:rPr>
                <w:rFonts w:eastAsia="MS Mincho"/>
                <w:bCs/>
                <w:sz w:val="20"/>
                <w:szCs w:val="20"/>
                <w:lang w:val="en-GB"/>
              </w:rPr>
            </w:pPr>
          </w:p>
        </w:tc>
      </w:tr>
      <w:tr w14:paraId="635A5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D134DFA">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08A3373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A89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D86676">
            <w:pPr>
              <w:ind w:left="360"/>
              <w:rPr>
                <w:b/>
                <w:bCs/>
                <w:sz w:val="20"/>
                <w:szCs w:val="20"/>
                <w:lang w:val="en-GB"/>
              </w:rPr>
            </w:pPr>
            <w:r>
              <w:rPr>
                <w:b/>
                <w:bCs/>
                <w:sz w:val="20"/>
                <w:szCs w:val="20"/>
                <w:lang w:val="en-GB"/>
              </w:rPr>
              <w:t>4</w:t>
            </w:r>
          </w:p>
        </w:tc>
        <w:tc>
          <w:tcPr>
            <w:tcW w:w="1667" w:type="pct"/>
          </w:tcPr>
          <w:p w14:paraId="09DFA219">
            <w:pPr>
              <w:keepNext/>
              <w:outlineLvl w:val="1"/>
              <w:rPr>
                <w:rFonts w:eastAsia="MS Mincho"/>
                <w:bCs/>
                <w:sz w:val="20"/>
                <w:szCs w:val="20"/>
                <w:lang w:val="en-GB"/>
              </w:rPr>
            </w:pPr>
          </w:p>
        </w:tc>
      </w:tr>
      <w:tr w14:paraId="0CACD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C82413E">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4C0D9D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D5BC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B65F7B9">
            <w:pPr>
              <w:ind w:left="360"/>
              <w:rPr>
                <w:b/>
                <w:bCs/>
                <w:sz w:val="20"/>
                <w:szCs w:val="20"/>
                <w:lang w:val="en-GB"/>
              </w:rPr>
            </w:pPr>
            <w:r>
              <w:rPr>
                <w:b/>
                <w:bCs/>
                <w:sz w:val="20"/>
                <w:szCs w:val="20"/>
                <w:lang w:val="en-GB"/>
              </w:rPr>
              <w:t>N/A</w:t>
            </w:r>
          </w:p>
        </w:tc>
        <w:tc>
          <w:tcPr>
            <w:tcW w:w="1667" w:type="pct"/>
          </w:tcPr>
          <w:p w14:paraId="31DD2A4E">
            <w:pPr>
              <w:keepNext/>
              <w:outlineLvl w:val="1"/>
              <w:rPr>
                <w:rFonts w:eastAsia="MS Mincho"/>
                <w:bCs/>
                <w:sz w:val="20"/>
                <w:szCs w:val="20"/>
                <w:lang w:val="en-GB"/>
              </w:rPr>
            </w:pPr>
          </w:p>
        </w:tc>
      </w:tr>
      <w:tr w14:paraId="2E87C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CF66273">
            <w:pPr>
              <w:rPr>
                <w:b/>
                <w:sz w:val="20"/>
                <w:szCs w:val="20"/>
                <w:lang w:val="en-GB"/>
              </w:rPr>
            </w:pPr>
            <w:r>
              <w:rPr>
                <w:b/>
                <w:sz w:val="20"/>
                <w:szCs w:val="20"/>
                <w:lang w:val="en-GB"/>
              </w:rPr>
              <w:t xml:space="preserve">9. Are the results presented clearly? </w:t>
            </w:r>
          </w:p>
          <w:p w14:paraId="732BB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68F7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2B5BE4">
            <w:pPr>
              <w:contextualSpacing/>
              <w:rPr>
                <w:bCs/>
                <w:sz w:val="20"/>
                <w:szCs w:val="20"/>
                <w:lang w:val="en-GB"/>
              </w:rPr>
            </w:pPr>
            <w:r>
              <w:rPr>
                <w:bCs/>
                <w:sz w:val="20"/>
                <w:szCs w:val="20"/>
                <w:lang w:val="en-GB"/>
              </w:rPr>
              <w:t>4</w:t>
            </w:r>
          </w:p>
        </w:tc>
        <w:tc>
          <w:tcPr>
            <w:tcW w:w="1667" w:type="pct"/>
          </w:tcPr>
          <w:p w14:paraId="20711D8F">
            <w:pPr>
              <w:keepNext/>
              <w:outlineLvl w:val="1"/>
              <w:rPr>
                <w:rFonts w:eastAsia="MS Mincho"/>
                <w:bCs/>
                <w:sz w:val="20"/>
                <w:szCs w:val="20"/>
                <w:lang w:val="en-GB"/>
              </w:rPr>
            </w:pPr>
          </w:p>
        </w:tc>
      </w:tr>
      <w:tr w14:paraId="51F0E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A05D6B4">
            <w:pPr>
              <w:rPr>
                <w:b/>
                <w:sz w:val="20"/>
                <w:szCs w:val="20"/>
                <w:lang w:val="en-GB"/>
              </w:rPr>
            </w:pPr>
            <w:r>
              <w:rPr>
                <w:b/>
                <w:sz w:val="20"/>
                <w:szCs w:val="20"/>
                <w:lang w:val="en-GB"/>
              </w:rPr>
              <w:t>10. Are tables and figures clear, relevant, and necessary?</w:t>
            </w:r>
          </w:p>
          <w:p w14:paraId="3D0A90B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E370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E713DF7">
            <w:pPr>
              <w:rPr>
                <w:color w:val="404040"/>
                <w:sz w:val="20"/>
                <w:szCs w:val="20"/>
                <w:shd w:val="clear" w:color="auto" w:fill="FFFFFF"/>
                <w:lang w:val="en-GB"/>
              </w:rPr>
            </w:pPr>
          </w:p>
          <w:p w14:paraId="2962F856">
            <w:pPr>
              <w:rPr>
                <w:sz w:val="20"/>
                <w:szCs w:val="20"/>
                <w:lang w:val="en-GB"/>
              </w:rPr>
            </w:pPr>
          </w:p>
        </w:tc>
        <w:tc>
          <w:tcPr>
            <w:tcW w:w="1667" w:type="pct"/>
          </w:tcPr>
          <w:p w14:paraId="54DDB948">
            <w:pPr>
              <w:contextualSpacing/>
              <w:rPr>
                <w:bCs/>
                <w:sz w:val="20"/>
                <w:szCs w:val="20"/>
                <w:lang w:val="en-GB"/>
              </w:rPr>
            </w:pPr>
            <w:r>
              <w:rPr>
                <w:bCs/>
                <w:sz w:val="20"/>
                <w:szCs w:val="20"/>
                <w:lang w:val="en-GB"/>
              </w:rPr>
              <w:t>4</w:t>
            </w:r>
          </w:p>
        </w:tc>
        <w:tc>
          <w:tcPr>
            <w:tcW w:w="1667" w:type="pct"/>
          </w:tcPr>
          <w:p w14:paraId="5919E848">
            <w:pPr>
              <w:keepNext/>
              <w:outlineLvl w:val="1"/>
              <w:rPr>
                <w:rFonts w:eastAsia="MS Mincho"/>
                <w:bCs/>
                <w:sz w:val="20"/>
                <w:szCs w:val="20"/>
                <w:lang w:val="en-GB"/>
              </w:rPr>
            </w:pPr>
          </w:p>
        </w:tc>
      </w:tr>
      <w:tr w14:paraId="4A037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1B191C9">
            <w:pPr>
              <w:rPr>
                <w:b/>
                <w:sz w:val="20"/>
                <w:szCs w:val="20"/>
                <w:lang w:val="en-GB"/>
              </w:rPr>
            </w:pPr>
            <w:r>
              <w:rPr>
                <w:b/>
                <w:sz w:val="20"/>
                <w:szCs w:val="20"/>
                <w:lang w:val="en-GB"/>
              </w:rPr>
              <w:t>11. Does the discussion relate findings to existing literature?</w:t>
            </w:r>
          </w:p>
          <w:p w14:paraId="343299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8AF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746DFE">
            <w:pPr>
              <w:contextualSpacing/>
              <w:rPr>
                <w:bCs/>
                <w:sz w:val="20"/>
                <w:szCs w:val="20"/>
                <w:lang w:val="en-GB"/>
              </w:rPr>
            </w:pPr>
            <w:r>
              <w:rPr>
                <w:bCs/>
                <w:sz w:val="20"/>
                <w:szCs w:val="20"/>
                <w:lang w:val="en-GB"/>
              </w:rPr>
              <w:t>3</w:t>
            </w:r>
          </w:p>
        </w:tc>
        <w:tc>
          <w:tcPr>
            <w:tcW w:w="1667" w:type="pct"/>
          </w:tcPr>
          <w:p w14:paraId="64AC88A8">
            <w:pPr>
              <w:keepNext/>
              <w:outlineLvl w:val="1"/>
              <w:rPr>
                <w:rFonts w:eastAsia="MS Mincho"/>
                <w:bCs/>
                <w:sz w:val="20"/>
                <w:szCs w:val="20"/>
                <w:lang w:val="en-GB"/>
              </w:rPr>
            </w:pPr>
            <w:r>
              <w:rPr>
                <w:color w:val="404040"/>
                <w:sz w:val="20"/>
                <w:szCs w:val="20"/>
                <w:shd w:val="clear" w:color="auto" w:fill="FFFFFF"/>
                <w:lang w:val="en-GB"/>
              </w:rPr>
              <w:t>We have updated the literature review section and added a detailed comparison between our findings and the latest related research in the revised manuscript, strengthening the connection between the discussion and existing literature.</w:t>
            </w:r>
          </w:p>
        </w:tc>
      </w:tr>
      <w:tr w14:paraId="7D05D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211838E">
            <w:pPr>
              <w:rPr>
                <w:b/>
                <w:sz w:val="20"/>
                <w:szCs w:val="20"/>
                <w:lang w:val="en-GB"/>
              </w:rPr>
            </w:pPr>
            <w:r>
              <w:rPr>
                <w:b/>
                <w:sz w:val="20"/>
                <w:szCs w:val="20"/>
                <w:lang w:val="en-GB"/>
              </w:rPr>
              <w:t>12. Are the conclusions supported by the data?</w:t>
            </w:r>
          </w:p>
          <w:p w14:paraId="74F0A22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A4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A010EF">
            <w:pPr>
              <w:contextualSpacing/>
              <w:rPr>
                <w:bCs/>
                <w:sz w:val="20"/>
                <w:szCs w:val="20"/>
                <w:lang w:val="en-GB"/>
              </w:rPr>
            </w:pPr>
            <w:r>
              <w:rPr>
                <w:bCs/>
                <w:sz w:val="20"/>
                <w:szCs w:val="20"/>
                <w:lang w:val="en-GB"/>
              </w:rPr>
              <w:t>4</w:t>
            </w:r>
          </w:p>
        </w:tc>
        <w:tc>
          <w:tcPr>
            <w:tcW w:w="1667" w:type="pct"/>
          </w:tcPr>
          <w:p w14:paraId="7CB669CD">
            <w:pPr>
              <w:keepNext/>
              <w:outlineLvl w:val="1"/>
              <w:rPr>
                <w:rFonts w:eastAsia="MS Mincho"/>
                <w:bCs/>
                <w:sz w:val="20"/>
                <w:szCs w:val="20"/>
                <w:lang w:val="en-GB"/>
              </w:rPr>
            </w:pPr>
          </w:p>
        </w:tc>
      </w:tr>
      <w:tr w14:paraId="4BBC0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49D4D06">
            <w:pPr>
              <w:rPr>
                <w:b/>
                <w:sz w:val="20"/>
                <w:szCs w:val="20"/>
                <w:lang w:val="en-GB"/>
              </w:rPr>
            </w:pPr>
            <w:r>
              <w:rPr>
                <w:b/>
                <w:sz w:val="20"/>
                <w:szCs w:val="20"/>
                <w:lang w:val="en-GB"/>
              </w:rPr>
              <w:t>13. Are the limitations of the study discussed?</w:t>
            </w:r>
          </w:p>
          <w:p w14:paraId="01A0D33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4D9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9E4889">
            <w:pPr>
              <w:contextualSpacing/>
              <w:rPr>
                <w:bCs/>
                <w:sz w:val="20"/>
                <w:szCs w:val="20"/>
                <w:lang w:val="en-GB"/>
              </w:rPr>
            </w:pPr>
            <w:r>
              <w:rPr>
                <w:bCs/>
                <w:sz w:val="20"/>
                <w:szCs w:val="20"/>
                <w:lang w:val="en-GB"/>
              </w:rPr>
              <w:t>2</w:t>
            </w:r>
          </w:p>
        </w:tc>
        <w:tc>
          <w:tcPr>
            <w:tcW w:w="1667" w:type="pct"/>
          </w:tcPr>
          <w:p w14:paraId="2C51732B">
            <w:pPr>
              <w:keepNext/>
              <w:outlineLvl w:val="1"/>
              <w:rPr>
                <w:rFonts w:eastAsia="MS Mincho"/>
                <w:bCs/>
                <w:sz w:val="20"/>
                <w:szCs w:val="20"/>
                <w:lang w:val="en-GB"/>
              </w:rPr>
            </w:pPr>
            <w:r>
              <w:rPr>
                <w:color w:val="404040"/>
                <w:sz w:val="20"/>
                <w:szCs w:val="20"/>
                <w:shd w:val="clear" w:color="auto" w:fill="FFFFFF"/>
                <w:lang w:val="en-GB"/>
              </w:rPr>
              <w:t>We sincerely appreciate the reviewer’s valuable suggestion. We have added a dedicated independent section (Section 3.4 Limitations and Future Work) in the revised manuscript to systematically and comprehensively discuss the limitations of this study. Specifically, we elaborate on the limitations from four core aspects: the model’s adaptability in ultra-high-dimensional industrial scenarios, performance under limited normal sample conditions, lack of anomaly root cause analysis capability, and long-term stability in real-world dynamic industrial fields. Meanwhile, we propose targeted and specific future research directions corresponding to each limitation, making the discussion of limitations comprehensive, in-depth and academically rigorous.</w:t>
            </w:r>
          </w:p>
        </w:tc>
      </w:tr>
      <w:tr w14:paraId="2FCAD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874E21C">
            <w:pPr>
              <w:rPr>
                <w:b/>
                <w:sz w:val="20"/>
                <w:szCs w:val="20"/>
                <w:lang w:val="en-GB"/>
              </w:rPr>
            </w:pPr>
            <w:r>
              <w:rPr>
                <w:b/>
                <w:sz w:val="20"/>
                <w:szCs w:val="20"/>
                <w:lang w:val="en-GB"/>
              </w:rPr>
              <w:t>14. Are the references relevant and sufficient (in number)?</w:t>
            </w:r>
          </w:p>
          <w:p w14:paraId="0712F6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604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286F00">
            <w:pPr>
              <w:rPr>
                <w:sz w:val="20"/>
                <w:szCs w:val="20"/>
                <w:lang w:val="en-GB"/>
              </w:rPr>
            </w:pPr>
            <w:r>
              <w:rPr>
                <w:color w:val="404040"/>
                <w:sz w:val="20"/>
                <w:szCs w:val="20"/>
                <w:shd w:val="clear" w:color="auto" w:fill="FFFFFF"/>
                <w:lang w:val="en-GB"/>
              </w:rPr>
              <w:t>N/A = Not Applicable</w:t>
            </w:r>
          </w:p>
        </w:tc>
        <w:tc>
          <w:tcPr>
            <w:tcW w:w="1667" w:type="pct"/>
          </w:tcPr>
          <w:p w14:paraId="4D37421E">
            <w:pPr>
              <w:contextualSpacing/>
              <w:rPr>
                <w:bCs/>
                <w:sz w:val="20"/>
                <w:szCs w:val="20"/>
                <w:lang w:val="en-GB"/>
              </w:rPr>
            </w:pPr>
            <w:r>
              <w:rPr>
                <w:bCs/>
                <w:sz w:val="20"/>
                <w:szCs w:val="20"/>
                <w:lang w:val="en-GB"/>
              </w:rPr>
              <w:t>4</w:t>
            </w:r>
          </w:p>
        </w:tc>
        <w:tc>
          <w:tcPr>
            <w:tcW w:w="1667" w:type="pct"/>
          </w:tcPr>
          <w:p w14:paraId="5BF0611F">
            <w:pPr>
              <w:keepNext/>
              <w:outlineLvl w:val="1"/>
              <w:rPr>
                <w:rFonts w:eastAsia="MS Mincho"/>
                <w:bCs/>
                <w:sz w:val="20"/>
                <w:szCs w:val="20"/>
                <w:lang w:val="en-GB"/>
              </w:rPr>
            </w:pPr>
          </w:p>
        </w:tc>
      </w:tr>
      <w:tr w14:paraId="72627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6D7747">
            <w:pPr>
              <w:rPr>
                <w:b/>
                <w:sz w:val="20"/>
                <w:szCs w:val="20"/>
                <w:lang w:val="en-GB"/>
              </w:rPr>
            </w:pPr>
            <w:r>
              <w:rPr>
                <w:b/>
                <w:sz w:val="20"/>
                <w:szCs w:val="20"/>
                <w:lang w:val="en-GB"/>
              </w:rPr>
              <w:t>15. Is the manuscript written in clear and understandable language?</w:t>
            </w:r>
          </w:p>
          <w:p w14:paraId="6985A83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36C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C38803">
            <w:pPr>
              <w:rPr>
                <w:sz w:val="20"/>
                <w:szCs w:val="20"/>
                <w:lang w:val="en-GB"/>
              </w:rPr>
            </w:pPr>
            <w:r>
              <w:rPr>
                <w:color w:val="404040"/>
                <w:sz w:val="20"/>
                <w:szCs w:val="20"/>
                <w:shd w:val="clear" w:color="auto" w:fill="FFFFFF"/>
                <w:lang w:val="en-GB"/>
              </w:rPr>
              <w:t>N/A = Not Applicable</w:t>
            </w:r>
          </w:p>
        </w:tc>
        <w:tc>
          <w:tcPr>
            <w:tcW w:w="1667" w:type="pct"/>
          </w:tcPr>
          <w:p w14:paraId="5145CA5C">
            <w:pPr>
              <w:contextualSpacing/>
              <w:rPr>
                <w:bCs/>
                <w:sz w:val="20"/>
                <w:szCs w:val="20"/>
                <w:lang w:val="en-GB"/>
              </w:rPr>
            </w:pPr>
            <w:r>
              <w:rPr>
                <w:bCs/>
                <w:sz w:val="20"/>
                <w:szCs w:val="20"/>
                <w:lang w:val="en-GB"/>
              </w:rPr>
              <w:t>3</w:t>
            </w:r>
          </w:p>
        </w:tc>
        <w:tc>
          <w:tcPr>
            <w:tcW w:w="1667" w:type="pct"/>
          </w:tcPr>
          <w:p w14:paraId="7D70FB38">
            <w:pPr>
              <w:keepNext/>
              <w:outlineLvl w:val="1"/>
              <w:rPr>
                <w:rFonts w:eastAsia="MS Mincho"/>
                <w:bCs/>
                <w:sz w:val="20"/>
                <w:szCs w:val="20"/>
                <w:lang w:val="en-GB"/>
              </w:rPr>
            </w:pPr>
            <w:r>
              <w:rPr>
                <w:color w:val="404040"/>
                <w:sz w:val="20"/>
                <w:szCs w:val="20"/>
                <w:shd w:val="clear" w:color="auto" w:fill="FFFFFF"/>
                <w:lang w:val="en-GB"/>
              </w:rPr>
              <w:t>The full manuscript has undergone professional academic English polishing and strict proofreading to improve the language clarity and fluency, fully in line with the academic writing norms of the journal.</w:t>
            </w:r>
          </w:p>
        </w:tc>
      </w:tr>
    </w:tbl>
    <w:p w14:paraId="4795B821">
      <w:pPr>
        <w:jc w:val="both"/>
        <w:rPr>
          <w:rFonts w:eastAsia="MS Mincho"/>
          <w:b/>
          <w:bCs/>
          <w:sz w:val="20"/>
          <w:szCs w:val="20"/>
          <w:u w:val="single"/>
          <w:lang w:val="en-GB" w:eastAsia="zh-CN"/>
        </w:rPr>
      </w:pPr>
    </w:p>
    <w:p w14:paraId="55C5B2D0">
      <w:pPr>
        <w:jc w:val="both"/>
        <w:rPr>
          <w:rFonts w:eastAsia="MS Mincho"/>
          <w:b/>
          <w:bCs/>
          <w:sz w:val="20"/>
          <w:szCs w:val="20"/>
          <w:u w:val="single"/>
          <w:lang w:val="en-GB" w:eastAsia="zh-CN"/>
        </w:rPr>
      </w:pPr>
    </w:p>
    <w:p w14:paraId="1C69B3D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E246C76">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4E258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661B74B">
            <w:pPr>
              <w:keepNext/>
              <w:outlineLvl w:val="1"/>
              <w:rPr>
                <w:rFonts w:eastAsia="MS Mincho"/>
                <w:b/>
                <w:bCs/>
                <w:sz w:val="20"/>
                <w:szCs w:val="20"/>
                <w:lang w:val="en-GB"/>
              </w:rPr>
            </w:pPr>
          </w:p>
        </w:tc>
        <w:tc>
          <w:tcPr>
            <w:tcW w:w="1667" w:type="pct"/>
          </w:tcPr>
          <w:p w14:paraId="1DC19C94">
            <w:pPr>
              <w:keepNext/>
              <w:outlineLvl w:val="1"/>
              <w:rPr>
                <w:rFonts w:eastAsia="MS Mincho"/>
                <w:b/>
                <w:bCs/>
                <w:sz w:val="20"/>
                <w:szCs w:val="20"/>
                <w:lang w:val="en-GB"/>
              </w:rPr>
            </w:pPr>
            <w:r>
              <w:rPr>
                <w:rFonts w:eastAsia="MS Mincho"/>
                <w:b/>
                <w:bCs/>
                <w:sz w:val="20"/>
                <w:szCs w:val="20"/>
                <w:lang w:val="en-GB"/>
              </w:rPr>
              <w:t>Reviewer’s comment</w:t>
            </w:r>
          </w:p>
          <w:p w14:paraId="27A095A3">
            <w:pPr>
              <w:rPr>
                <w:sz w:val="20"/>
                <w:szCs w:val="20"/>
                <w:lang w:val="en-GB"/>
              </w:rPr>
            </w:pPr>
          </w:p>
        </w:tc>
        <w:tc>
          <w:tcPr>
            <w:tcW w:w="1667" w:type="pct"/>
          </w:tcPr>
          <w:p w14:paraId="569946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3A8C4F">
            <w:pPr>
              <w:keepNext/>
              <w:outlineLvl w:val="1"/>
              <w:rPr>
                <w:rFonts w:eastAsia="MS Mincho"/>
                <w:bCs/>
                <w:sz w:val="20"/>
                <w:szCs w:val="20"/>
                <w:lang w:val="en-GB"/>
              </w:rPr>
            </w:pPr>
          </w:p>
        </w:tc>
      </w:tr>
      <w:tr w14:paraId="58D60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059C9A5">
            <w:pPr>
              <w:rPr>
                <w:b/>
                <w:bCs/>
                <w:sz w:val="20"/>
                <w:szCs w:val="20"/>
                <w:lang w:val="en-GB"/>
              </w:rPr>
            </w:pPr>
            <w:r>
              <w:rPr>
                <w:b/>
                <w:bCs/>
                <w:sz w:val="20"/>
                <w:szCs w:val="20"/>
                <w:lang w:val="en-GB"/>
              </w:rPr>
              <w:t>Is the title of the article suitable?</w:t>
            </w:r>
          </w:p>
          <w:p w14:paraId="5F9984EC">
            <w:pPr>
              <w:rPr>
                <w:bCs/>
                <w:sz w:val="20"/>
                <w:szCs w:val="20"/>
                <w:lang w:val="en-GB"/>
              </w:rPr>
            </w:pPr>
          </w:p>
          <w:p w14:paraId="1F8D449A">
            <w:pPr>
              <w:rPr>
                <w:bCs/>
                <w:sz w:val="20"/>
                <w:szCs w:val="20"/>
                <w:lang w:val="en-GB"/>
              </w:rPr>
            </w:pPr>
            <w:r>
              <w:rPr>
                <w:bCs/>
                <w:sz w:val="20"/>
                <w:szCs w:val="20"/>
                <w:lang w:val="en-GB"/>
              </w:rPr>
              <w:t>If your answer is NO, please provide a brief, clear suggestion for improvement.</w:t>
            </w:r>
          </w:p>
          <w:p w14:paraId="098D8CE2">
            <w:pPr>
              <w:rPr>
                <w:sz w:val="20"/>
                <w:szCs w:val="20"/>
                <w:u w:val="single"/>
                <w:lang w:val="en-GB"/>
              </w:rPr>
            </w:pPr>
          </w:p>
        </w:tc>
        <w:tc>
          <w:tcPr>
            <w:tcW w:w="1667" w:type="pct"/>
          </w:tcPr>
          <w:p w14:paraId="166271C7">
            <w:pPr>
              <w:ind w:left="360"/>
              <w:rPr>
                <w:b/>
                <w:bCs/>
                <w:sz w:val="20"/>
                <w:szCs w:val="20"/>
                <w:lang w:val="en-GB"/>
              </w:rPr>
            </w:pPr>
          </w:p>
        </w:tc>
        <w:tc>
          <w:tcPr>
            <w:tcW w:w="1667" w:type="pct"/>
          </w:tcPr>
          <w:p w14:paraId="59B39132">
            <w:pPr>
              <w:keepNext/>
              <w:outlineLvl w:val="1"/>
              <w:rPr>
                <w:rFonts w:eastAsia="MS Mincho"/>
                <w:bCs/>
                <w:sz w:val="20"/>
                <w:szCs w:val="20"/>
                <w:lang w:val="en-GB"/>
              </w:rPr>
            </w:pPr>
          </w:p>
        </w:tc>
      </w:tr>
      <w:tr w14:paraId="3DAE7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25628AD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0756D30">
            <w:pPr>
              <w:rPr>
                <w:bCs/>
                <w:sz w:val="20"/>
                <w:szCs w:val="20"/>
                <w:lang w:val="en-GB"/>
              </w:rPr>
            </w:pPr>
            <w:r>
              <w:rPr>
                <w:bCs/>
                <w:sz w:val="20"/>
                <w:szCs w:val="20"/>
                <w:lang w:val="en-GB"/>
              </w:rPr>
              <w:t>s</w:t>
            </w:r>
          </w:p>
          <w:p w14:paraId="43EAB9C8">
            <w:pPr>
              <w:rPr>
                <w:bCs/>
                <w:sz w:val="20"/>
                <w:szCs w:val="20"/>
                <w:lang w:val="en-GB"/>
              </w:rPr>
            </w:pPr>
            <w:r>
              <w:rPr>
                <w:bCs/>
                <w:sz w:val="20"/>
                <w:szCs w:val="20"/>
                <w:lang w:val="en-GB"/>
              </w:rPr>
              <w:t>If your answer is NO, please provide a brief, clear suggestion for improvement.</w:t>
            </w:r>
          </w:p>
          <w:p w14:paraId="1EE6045A">
            <w:pPr>
              <w:rPr>
                <w:sz w:val="20"/>
                <w:szCs w:val="20"/>
                <w:lang w:val="en-GB"/>
              </w:rPr>
            </w:pPr>
          </w:p>
        </w:tc>
        <w:tc>
          <w:tcPr>
            <w:tcW w:w="1667" w:type="pct"/>
          </w:tcPr>
          <w:p w14:paraId="7941AA3D">
            <w:pPr>
              <w:ind w:left="360"/>
              <w:rPr>
                <w:b/>
                <w:bCs/>
                <w:sz w:val="20"/>
                <w:szCs w:val="20"/>
                <w:lang w:val="en-GB"/>
              </w:rPr>
            </w:pPr>
            <w:r>
              <w:rPr>
                <w:b/>
                <w:bCs/>
                <w:sz w:val="20"/>
                <w:szCs w:val="20"/>
                <w:lang w:val="en-GB"/>
              </w:rPr>
              <w:t>YES</w:t>
            </w:r>
          </w:p>
        </w:tc>
        <w:tc>
          <w:tcPr>
            <w:tcW w:w="1667" w:type="pct"/>
          </w:tcPr>
          <w:p w14:paraId="672CD32E">
            <w:pPr>
              <w:keepNext/>
              <w:outlineLvl w:val="1"/>
              <w:rPr>
                <w:rFonts w:eastAsia="MS Mincho"/>
                <w:bCs/>
                <w:sz w:val="20"/>
                <w:szCs w:val="20"/>
                <w:lang w:val="en-GB"/>
              </w:rPr>
            </w:pPr>
          </w:p>
        </w:tc>
      </w:tr>
      <w:tr w14:paraId="2A9DA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682410C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4AA39966">
            <w:pPr>
              <w:rPr>
                <w:bCs/>
                <w:sz w:val="20"/>
                <w:szCs w:val="20"/>
                <w:lang w:val="en-GB"/>
              </w:rPr>
            </w:pPr>
            <w:r>
              <w:rPr>
                <w:bCs/>
                <w:sz w:val="20"/>
                <w:szCs w:val="20"/>
                <w:lang w:val="en-GB"/>
              </w:rPr>
              <w:t>If your answer is NO, please provide a brief, clear suggestion for improvement</w:t>
            </w:r>
          </w:p>
          <w:p w14:paraId="0140BD5E">
            <w:pPr>
              <w:rPr>
                <w:b/>
                <w:sz w:val="20"/>
                <w:szCs w:val="20"/>
                <w:lang w:val="en-GB"/>
              </w:rPr>
            </w:pPr>
            <w:r>
              <w:rPr>
                <w:bCs/>
                <w:sz w:val="20"/>
                <w:szCs w:val="20"/>
                <w:lang w:val="en-GB"/>
              </w:rPr>
              <w:t>.</w:t>
            </w:r>
          </w:p>
        </w:tc>
        <w:tc>
          <w:tcPr>
            <w:tcW w:w="1667" w:type="pct"/>
          </w:tcPr>
          <w:p w14:paraId="2BAD746D">
            <w:pPr>
              <w:contextualSpacing/>
              <w:rPr>
                <w:bCs/>
                <w:sz w:val="20"/>
                <w:szCs w:val="20"/>
                <w:lang w:val="en-GB"/>
              </w:rPr>
            </w:pPr>
            <w:r>
              <w:rPr>
                <w:bCs/>
                <w:sz w:val="20"/>
                <w:szCs w:val="20"/>
                <w:lang w:val="en-GB"/>
              </w:rPr>
              <w:t>YES</w:t>
            </w:r>
          </w:p>
        </w:tc>
        <w:tc>
          <w:tcPr>
            <w:tcW w:w="1667" w:type="pct"/>
          </w:tcPr>
          <w:p w14:paraId="385832B2">
            <w:pPr>
              <w:keepNext/>
              <w:outlineLvl w:val="1"/>
              <w:rPr>
                <w:rFonts w:eastAsia="MS Mincho"/>
                <w:bCs/>
                <w:sz w:val="20"/>
                <w:szCs w:val="20"/>
                <w:lang w:val="en-GB"/>
              </w:rPr>
            </w:pPr>
          </w:p>
        </w:tc>
      </w:tr>
      <w:tr w14:paraId="59F49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CDE39C6">
            <w:pPr>
              <w:rPr>
                <w:b/>
                <w:bCs/>
                <w:sz w:val="20"/>
                <w:szCs w:val="20"/>
                <w:lang w:val="en-GB"/>
              </w:rPr>
            </w:pPr>
            <w:r>
              <w:rPr>
                <w:b/>
                <w:bCs/>
                <w:sz w:val="20"/>
                <w:szCs w:val="20"/>
                <w:lang w:val="en-GB"/>
              </w:rPr>
              <w:t xml:space="preserve">Are the references sufficient and recent? </w:t>
            </w:r>
          </w:p>
          <w:p w14:paraId="745B6254">
            <w:pPr>
              <w:rPr>
                <w:bCs/>
                <w:sz w:val="20"/>
                <w:szCs w:val="20"/>
                <w:lang w:val="en-GB"/>
              </w:rPr>
            </w:pPr>
            <w:r>
              <w:rPr>
                <w:bCs/>
                <w:sz w:val="20"/>
                <w:szCs w:val="20"/>
                <w:lang w:val="en-GB"/>
              </w:rPr>
              <w:t>(YES or NO)</w:t>
            </w:r>
          </w:p>
          <w:p w14:paraId="70D82507">
            <w:pPr>
              <w:rPr>
                <w:bCs/>
                <w:sz w:val="20"/>
                <w:szCs w:val="20"/>
                <w:lang w:val="en-GB"/>
              </w:rPr>
            </w:pPr>
          </w:p>
          <w:p w14:paraId="2F1168C4">
            <w:pPr>
              <w:rPr>
                <w:bCs/>
                <w:sz w:val="20"/>
                <w:szCs w:val="20"/>
                <w:lang w:val="en-GB"/>
              </w:rPr>
            </w:pPr>
            <w:r>
              <w:rPr>
                <w:bCs/>
                <w:sz w:val="20"/>
                <w:szCs w:val="20"/>
                <w:lang w:val="en-GB"/>
              </w:rPr>
              <w:t>If your answer is NO, please provide clear suggestion for improvement.</w:t>
            </w:r>
          </w:p>
          <w:p w14:paraId="49ECFE58">
            <w:pPr>
              <w:rPr>
                <w:b/>
                <w:bCs/>
                <w:sz w:val="20"/>
                <w:szCs w:val="20"/>
                <w:lang w:val="en-GB"/>
              </w:rPr>
            </w:pPr>
          </w:p>
        </w:tc>
        <w:tc>
          <w:tcPr>
            <w:tcW w:w="1667" w:type="pct"/>
          </w:tcPr>
          <w:p w14:paraId="23E65953">
            <w:pPr>
              <w:contextualSpacing/>
              <w:rPr>
                <w:bCs/>
                <w:sz w:val="20"/>
                <w:szCs w:val="20"/>
                <w:lang w:val="en-GB"/>
              </w:rPr>
            </w:pPr>
            <w:r>
              <w:rPr>
                <w:bCs/>
                <w:sz w:val="20"/>
                <w:szCs w:val="20"/>
                <w:lang w:val="en-GB"/>
              </w:rPr>
              <w:t>NO</w:t>
            </w:r>
          </w:p>
        </w:tc>
        <w:tc>
          <w:tcPr>
            <w:tcW w:w="1667" w:type="pct"/>
          </w:tcPr>
          <w:p w14:paraId="56FD9972">
            <w:pPr>
              <w:keepNext/>
              <w:outlineLvl w:val="1"/>
              <w:rPr>
                <w:rFonts w:eastAsia="MS Mincho"/>
                <w:bCs/>
                <w:sz w:val="20"/>
                <w:szCs w:val="20"/>
                <w:lang w:val="en-GB"/>
              </w:rPr>
            </w:pPr>
            <w:r>
              <w:rPr>
                <w:bCs/>
                <w:sz w:val="20"/>
                <w:szCs w:val="20"/>
                <w:lang w:val="en-GB"/>
              </w:rPr>
              <w:t>We fully accept the reviewer’s professional comment and have completed the supplementary revision of the references as required. We have added 11 new high-relevance, up-to-date references (published from 2021 to 2024) in the revised manuscript, covering the latest research progress in Transformer-based time series modeling, GNN-based spatial correlation modeling, and multivariate time series anomaly detection in IIoT. The total number of references has been increased from 19 to 30, and all added references are closely aligned with the core research content of our study, ensuring the reference list is sufficient, highly relevant, and up-to-date.</w:t>
            </w:r>
          </w:p>
        </w:tc>
      </w:tr>
      <w:tr w14:paraId="023CA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67F4C66">
            <w:pPr>
              <w:rPr>
                <w:b/>
                <w:bCs/>
                <w:sz w:val="20"/>
                <w:szCs w:val="20"/>
                <w:lang w:val="en-GB"/>
              </w:rPr>
            </w:pPr>
            <w:r>
              <w:rPr>
                <w:b/>
                <w:bCs/>
                <w:sz w:val="20"/>
                <w:szCs w:val="20"/>
                <w:lang w:val="en-GB"/>
              </w:rPr>
              <w:t>Are there ethical issues in this manuscript?</w:t>
            </w:r>
          </w:p>
          <w:p w14:paraId="2CA2978F">
            <w:pPr>
              <w:rPr>
                <w:bCs/>
                <w:sz w:val="20"/>
                <w:szCs w:val="20"/>
                <w:lang w:val="en-GB"/>
              </w:rPr>
            </w:pPr>
            <w:r>
              <w:rPr>
                <w:bCs/>
                <w:sz w:val="20"/>
                <w:szCs w:val="20"/>
                <w:lang w:val="en-GB"/>
              </w:rPr>
              <w:t>(YES or NO)</w:t>
            </w:r>
          </w:p>
          <w:p w14:paraId="749D0CC2">
            <w:pPr>
              <w:rPr>
                <w:bCs/>
                <w:sz w:val="20"/>
                <w:szCs w:val="20"/>
                <w:lang w:val="en-GB"/>
              </w:rPr>
            </w:pPr>
          </w:p>
          <w:p w14:paraId="47FF5714">
            <w:pPr>
              <w:rPr>
                <w:bCs/>
                <w:sz w:val="20"/>
                <w:szCs w:val="20"/>
                <w:lang w:val="en-GB"/>
              </w:rPr>
            </w:pPr>
            <w:r>
              <w:rPr>
                <w:bCs/>
                <w:sz w:val="20"/>
                <w:szCs w:val="20"/>
                <w:lang w:val="en-GB"/>
              </w:rPr>
              <w:t>(If yes, kindly please write down the ethical issues here in details)</w:t>
            </w:r>
          </w:p>
          <w:p w14:paraId="29BC639F">
            <w:pPr>
              <w:rPr>
                <w:bCs/>
                <w:sz w:val="20"/>
                <w:szCs w:val="20"/>
                <w:lang w:val="en-GB"/>
              </w:rPr>
            </w:pPr>
          </w:p>
        </w:tc>
        <w:tc>
          <w:tcPr>
            <w:tcW w:w="1667" w:type="pct"/>
          </w:tcPr>
          <w:p w14:paraId="3B469DEF">
            <w:pPr>
              <w:contextualSpacing/>
              <w:rPr>
                <w:bCs/>
                <w:sz w:val="20"/>
                <w:szCs w:val="20"/>
                <w:lang w:val="en-GB"/>
              </w:rPr>
            </w:pPr>
            <w:r>
              <w:rPr>
                <w:bCs/>
                <w:sz w:val="20"/>
                <w:szCs w:val="20"/>
                <w:lang w:val="en-GB"/>
              </w:rPr>
              <w:t>NO</w:t>
            </w:r>
          </w:p>
        </w:tc>
        <w:tc>
          <w:tcPr>
            <w:tcW w:w="1667" w:type="pct"/>
          </w:tcPr>
          <w:p w14:paraId="1F25A521">
            <w:pPr>
              <w:keepNext/>
              <w:outlineLvl w:val="1"/>
              <w:rPr>
                <w:rFonts w:eastAsia="MS Mincho"/>
                <w:bCs/>
                <w:sz w:val="20"/>
                <w:szCs w:val="20"/>
                <w:lang w:val="en-GB"/>
              </w:rPr>
            </w:pPr>
          </w:p>
        </w:tc>
      </w:tr>
    </w:tbl>
    <w:p w14:paraId="6C8CE08F">
      <w:pPr>
        <w:keepNext/>
        <w:outlineLvl w:val="1"/>
        <w:rPr>
          <w:rFonts w:eastAsia="MS Mincho"/>
          <w:b/>
          <w:bCs/>
          <w:sz w:val="20"/>
          <w:szCs w:val="20"/>
          <w:highlight w:val="yellow"/>
          <w:lang w:val="en-GB"/>
        </w:rPr>
      </w:pPr>
    </w:p>
    <w:p w14:paraId="738FC695">
      <w:pPr>
        <w:rPr>
          <w:sz w:val="20"/>
          <w:szCs w:val="20"/>
          <w:highlight w:val="yellow"/>
          <w:lang w:val="en-GB"/>
        </w:rPr>
      </w:pPr>
    </w:p>
    <w:p w14:paraId="7933CA86">
      <w:pPr>
        <w:spacing w:after="160" w:line="259" w:lineRule="auto"/>
        <w:rPr>
          <w:rFonts w:ascii="Calibri" w:hAnsi="Calibri" w:eastAsia="Calibri" w:cs="Gautami"/>
          <w:sz w:val="22"/>
          <w:szCs w:val="22"/>
          <w:lang w:val="en-IN"/>
        </w:rPr>
      </w:pPr>
    </w:p>
    <w:p w14:paraId="52ED6712">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7898090F">
      <w:pPr>
        <w:rPr>
          <w:lang w:val="en-GB"/>
        </w:rPr>
      </w:pPr>
    </w:p>
    <w:tbl>
      <w:tblPr>
        <w:tblStyle w:val="8"/>
        <w:tblW w:w="492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505"/>
        <w:gridCol w:w="6443"/>
      </w:tblGrid>
      <w:tr w14:paraId="65BB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7BA07763">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6110361">
            <w:pPr>
              <w:rPr>
                <w:rFonts w:eastAsia="Arial Unicode MS"/>
                <w:b/>
                <w:bCs/>
                <w:sz w:val="20"/>
                <w:szCs w:val="20"/>
                <w:u w:val="single"/>
                <w:lang w:val="en-GB"/>
              </w:rPr>
            </w:pPr>
          </w:p>
        </w:tc>
      </w:tr>
      <w:tr w14:paraId="44BD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2" w:type="pct"/>
            <w:shd w:val="clear" w:color="auto" w:fill="EBFFFF"/>
            <w:noWrap/>
            <w:tcMar>
              <w:top w:w="0" w:type="dxa"/>
              <w:left w:w="108" w:type="dxa"/>
              <w:bottom w:w="0" w:type="dxa"/>
              <w:right w:w="108" w:type="dxa"/>
            </w:tcMar>
            <w:vAlign w:val="center"/>
          </w:tcPr>
          <w:p w14:paraId="66638A9F">
            <w:pPr>
              <w:rPr>
                <w:rFonts w:eastAsia="Arial Unicode MS"/>
                <w:sz w:val="20"/>
                <w:szCs w:val="20"/>
                <w:lang w:val="en-GB"/>
              </w:rPr>
            </w:pPr>
          </w:p>
        </w:tc>
        <w:tc>
          <w:tcPr>
            <w:tcW w:w="2268" w:type="pct"/>
            <w:shd w:val="clear" w:color="auto" w:fill="EBFFFF"/>
            <w:tcMar>
              <w:top w:w="0" w:type="dxa"/>
              <w:left w:w="108" w:type="dxa"/>
              <w:bottom w:w="0" w:type="dxa"/>
              <w:right w:w="108" w:type="dxa"/>
            </w:tcMar>
            <w:vAlign w:val="center"/>
          </w:tcPr>
          <w:p w14:paraId="13C9EE06">
            <w:pPr>
              <w:rPr>
                <w:rFonts w:eastAsia="Arial Unicode MS"/>
                <w:b/>
                <w:bCs/>
                <w:sz w:val="20"/>
                <w:szCs w:val="20"/>
                <w:lang w:val="en-GB"/>
              </w:rPr>
            </w:pPr>
            <w:r>
              <w:rPr>
                <w:rFonts w:eastAsia="Arial Unicode MS"/>
                <w:sz w:val="20"/>
                <w:szCs w:val="20"/>
                <w:lang w:val="en-GB"/>
              </w:rPr>
              <w:t>Author’s Feedback</w:t>
            </w:r>
          </w:p>
        </w:tc>
      </w:tr>
      <w:tr w14:paraId="30B1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2" w:type="pct"/>
            <w:shd w:val="clear" w:color="auto" w:fill="EBFFFF"/>
            <w:noWrap/>
            <w:tcMar>
              <w:top w:w="0" w:type="dxa"/>
              <w:left w:w="108" w:type="dxa"/>
              <w:bottom w:w="0" w:type="dxa"/>
              <w:right w:w="108" w:type="dxa"/>
            </w:tcMar>
            <w:vAlign w:val="center"/>
          </w:tcPr>
          <w:p w14:paraId="271F2E66">
            <w:pPr>
              <w:rPr>
                <w:rFonts w:eastAsia="Arial Unicode MS"/>
                <w:sz w:val="20"/>
                <w:szCs w:val="20"/>
                <w:lang w:val="en-GB"/>
              </w:rPr>
            </w:pPr>
          </w:p>
          <w:p w14:paraId="1EB8E9C3">
            <w:pPr>
              <w:rPr>
                <w:rFonts w:eastAsia="Arial Unicode MS"/>
                <w:sz w:val="20"/>
                <w:szCs w:val="20"/>
                <w:lang w:val="en-GB"/>
              </w:rPr>
            </w:pPr>
            <w:r>
              <w:rPr>
                <w:rFonts w:eastAsia="Arial Unicode MS"/>
                <w:sz w:val="20"/>
                <w:szCs w:val="20"/>
                <w:lang w:val="en-GB"/>
              </w:rPr>
              <w:t>The manuscript proposes a solid hybrid GNN–Transformer approach for IIoT anomaly detection and shows improved performance over baselines. However,the evaluation could be strengthened with more datasets and clearer positioning against recent work. Language clarity and discussion of limitations should also be improved.</w:t>
            </w:r>
          </w:p>
          <w:p w14:paraId="7243CBEE">
            <w:pPr>
              <w:rPr>
                <w:rFonts w:eastAsia="Arial Unicode MS"/>
                <w:sz w:val="20"/>
                <w:szCs w:val="20"/>
                <w:lang w:val="en-GB"/>
              </w:rPr>
            </w:pPr>
          </w:p>
          <w:p w14:paraId="2DF3513D">
            <w:pPr>
              <w:rPr>
                <w:rFonts w:eastAsia="Arial Unicode MS"/>
                <w:sz w:val="20"/>
                <w:szCs w:val="20"/>
                <w:lang w:val="en-GB"/>
              </w:rPr>
            </w:pPr>
          </w:p>
          <w:p w14:paraId="6A805AAA">
            <w:pPr>
              <w:rPr>
                <w:rFonts w:eastAsia="Arial Unicode MS"/>
                <w:sz w:val="20"/>
                <w:szCs w:val="20"/>
                <w:lang w:val="en-GB"/>
              </w:rPr>
            </w:pPr>
          </w:p>
        </w:tc>
        <w:tc>
          <w:tcPr>
            <w:tcW w:w="2268" w:type="pct"/>
            <w:shd w:val="clear" w:color="auto" w:fill="EBFFFF"/>
            <w:tcMar>
              <w:top w:w="0" w:type="dxa"/>
              <w:left w:w="108" w:type="dxa"/>
              <w:bottom w:w="0" w:type="dxa"/>
              <w:right w:w="108" w:type="dxa"/>
            </w:tcMar>
            <w:vAlign w:val="center"/>
          </w:tcPr>
          <w:p w14:paraId="7CE94014">
            <w:pPr>
              <w:rPr>
                <w:rFonts w:eastAsia="Arial Unicode MS"/>
                <w:sz w:val="20"/>
                <w:szCs w:val="20"/>
                <w:lang w:val="en-GB"/>
              </w:rPr>
            </w:pPr>
            <w:r>
              <w:rPr>
                <w:rFonts w:eastAsia="Arial Unicode MS"/>
                <w:sz w:val="20"/>
                <w:szCs w:val="20"/>
                <w:lang w:val="en-US" w:eastAsia="zh-CN"/>
              </w:rPr>
              <w:t>We sincerely appreciate the editor’s constructive and professional comments on our manuscript. We have fully revised the manuscript in strict accordance with all the suggestions, with details as follows:</w:t>
            </w:r>
          </w:p>
          <w:p w14:paraId="0401F3F1">
            <w:pPr>
              <w:rPr>
                <w:rFonts w:eastAsia="Arial Unicode MS"/>
                <w:sz w:val="20"/>
                <w:szCs w:val="20"/>
                <w:lang w:val="en-GB"/>
              </w:rPr>
            </w:pPr>
            <w:r>
              <w:rPr>
                <w:rFonts w:eastAsia="Arial Unicode MS"/>
                <w:sz w:val="20"/>
                <w:szCs w:val="20"/>
                <w:lang w:val="en-GB"/>
              </w:rPr>
              <w:t>For strengthening the evaluation with more datasets: We have supplemented complete validation experiments on the widely recognized SWaT industrial benchmark dataset, and added detailed dataset information and comparative experimental results in the revised manuscript to verify the generalization performance of our model.</w:t>
            </w:r>
          </w:p>
          <w:p w14:paraId="68E4D884">
            <w:pPr>
              <w:rPr>
                <w:rFonts w:eastAsia="Arial Unicode MS"/>
                <w:sz w:val="20"/>
                <w:szCs w:val="20"/>
                <w:lang w:val="en-GB"/>
              </w:rPr>
            </w:pPr>
            <w:r>
              <w:rPr>
                <w:rFonts w:eastAsia="Arial Unicode MS"/>
                <w:sz w:val="20"/>
                <w:szCs w:val="20"/>
                <w:lang w:val="en-GB"/>
              </w:rPr>
              <w:t>For clearer positioning against recent work: We have comprehensively updated the literature review section, systematically analyzed the latest related studies in this field, and clearly clarified the research gaps, core innovations and academic positioning of our work compared with recent advances.</w:t>
            </w:r>
          </w:p>
          <w:p w14:paraId="52E2F34A">
            <w:pPr>
              <w:rPr>
                <w:rFonts w:eastAsia="Arial Unicode MS"/>
                <w:sz w:val="20"/>
                <w:szCs w:val="20"/>
                <w:lang w:val="en-GB"/>
              </w:rPr>
            </w:pPr>
            <w:r>
              <w:rPr>
                <w:rFonts w:eastAsia="Arial Unicode MS"/>
                <w:sz w:val="20"/>
                <w:szCs w:val="20"/>
                <w:lang w:val="en-GB"/>
              </w:rPr>
              <w:t>For language clarity: The full manuscript has undergone professional academic English polishing and strict proofreading to ensure the language is accurate, fluent, and fully in line with the academic writing norms of the journal.</w:t>
            </w:r>
          </w:p>
          <w:p w14:paraId="03C1C915">
            <w:pPr>
              <w:rPr>
                <w:rFonts w:eastAsia="Arial Unicode MS"/>
                <w:sz w:val="20"/>
                <w:szCs w:val="20"/>
                <w:lang w:val="en-GB"/>
              </w:rPr>
            </w:pPr>
            <w:r>
              <w:rPr>
                <w:rFonts w:eastAsia="Arial Unicode MS"/>
                <w:sz w:val="20"/>
                <w:szCs w:val="20"/>
                <w:lang w:val="en-GB"/>
              </w:rPr>
              <w:t>For the discussion of limitations: We have added a dedicated independent section (Section 3.4 Limitations and Future Work) in the revised manuscript to systematically and comprehensively discuss the limitations of this study, and proposed targeted and feasible future research directions corresponding to each limitation.</w:t>
            </w:r>
          </w:p>
          <w:p w14:paraId="59230CDD">
            <w:pPr>
              <w:rPr>
                <w:rFonts w:eastAsia="Arial Unicode MS"/>
                <w:b/>
                <w:bCs/>
                <w:sz w:val="20"/>
                <w:szCs w:val="20"/>
                <w:lang w:val="en-GB"/>
              </w:rPr>
            </w:pPr>
          </w:p>
        </w:tc>
      </w:tr>
    </w:tbl>
    <w:p w14:paraId="3E51E8C0">
      <w:pPr>
        <w:spacing w:after="160" w:line="259" w:lineRule="auto"/>
        <w:rPr>
          <w:i/>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Gautami">
    <w:altName w:val="Cambria Math"/>
    <w:panose1 w:val="02000500000000000000"/>
    <w:charset w:val="00"/>
    <w:family w:val="swiss"/>
    <w:pitch w:val="default"/>
    <w:sig w:usb0="00000000" w:usb1="00000000" w:usb2="00000000" w:usb3="00000000" w:csb0="00000001" w:csb1="00000000"/>
  </w:font>
  <w:font w:name="Cambria Math">
    <w:panose1 w:val="02040503050406030204"/>
    <w:charset w:val="00"/>
    <w:family w:val="auto"/>
    <w:pitch w:val="default"/>
    <w:sig w:usb0="E00006FF" w:usb1="420024FF" w:usb2="02000000" w:usb3="00000000" w:csb0="2000019F" w:csb1="00000000"/>
  </w:font>
  <w:font w:name="Segoe UI Emoji">
    <w:panose1 w:val="020B0502040204020203"/>
    <w:charset w:val="00"/>
    <w:family w:val="auto"/>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613A4">
    <w:pPr>
      <w:pStyle w:val="5"/>
      <w:jc w:val="right"/>
    </w:pPr>
  </w:p>
  <w:p w14:paraId="1CEC68E0">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34801B3D">
    <w:pPr>
      <w:pStyle w:val="5"/>
      <w:jc w:val="right"/>
      <w:rPr>
        <w:b/>
        <w:sz w:val="20"/>
      </w:rPr>
    </w:pPr>
    <w:r>
      <w:rPr>
        <w:b/>
        <w:sz w:val="20"/>
      </w:rPr>
      <w:t>V240326</w:t>
    </w:r>
  </w:p>
  <w:p w14:paraId="31A1C00A">
    <w:pPr>
      <w:pStyle w:val="5"/>
      <w:jc w:val="right"/>
    </w:pPr>
  </w:p>
  <w:p w14:paraId="2551010C">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DFB4">
    <w:pPr>
      <w:spacing w:before="100" w:beforeAutospacing="1" w:after="100" w:afterAutospacing="1"/>
      <w:jc w:val="center"/>
      <w:rPr>
        <w:b/>
        <w:bCs/>
        <w:color w:val="003399"/>
        <w:szCs w:val="20"/>
        <w:u w:val="single"/>
        <w:lang w:val="en-GB"/>
      </w:rPr>
    </w:pPr>
  </w:p>
  <w:p w14:paraId="3DBDE45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93"/>
    <w:rsid w:val="000C0E89"/>
    <w:rsid w:val="00122422"/>
    <w:rsid w:val="00284DFF"/>
    <w:rsid w:val="004E2B62"/>
    <w:rsid w:val="00760BBA"/>
    <w:rsid w:val="008E7E93"/>
    <w:rsid w:val="00AF5545"/>
    <w:rsid w:val="00D305B3"/>
    <w:rsid w:val="00EC0590"/>
    <w:rsid w:val="19A3683E"/>
    <w:rsid w:val="49DC5B65"/>
    <w:rsid w:val="57F30C49"/>
    <w:rsid w:val="5BF705DC"/>
    <w:rsid w:val="71A16BC9"/>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99"/>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837</Words>
  <Characters>4148</Characters>
  <Lines>36</Lines>
  <Paragraphs>10</Paragraphs>
  <TotalTime>123</TotalTime>
  <ScaleCrop>false</ScaleCrop>
  <LinksUpToDate>false</LinksUpToDate>
  <CharactersWithSpaces>4909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2026-04-30T09:32:00Z</dcterms:created>
  <dc:creator>Surojit Bera</dc:creator>
  <cp:lastModifiedBy>3K</cp:lastModifiedBy>
  <dcterms:modified xsi:type="dcterms:W3CDTF">2026-05-02T09:07:07Z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eyJoZGlkIjoiYTdhYmJkNjllZDAwNjkzZDExMmRjOTU4NGVjYzI3NzAiLCJ1c2VySWQiOiI4NzYyNTY5NDcifQ==</vt:lpwstr>
  </property>
  <property fmtid="{D5CDD505-2E9C-101B-9397-08002B2CF9AE}" pid="4" name="KSOProductBuildVer">
    <vt:lpwstr>2052-12.1.0.25225</vt:lpwstr>
  </property>
  <property fmtid="{D5CDD505-2E9C-101B-9397-08002B2CF9AE}" pid="5" name="ICV">
    <vt:lpwstr>A6AE18787C494975BFEB31F44358FA07_12</vt:lpwstr>
  </property>
</Properties>
</file>