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F2E1B" w14:textId="77777777" w:rsidR="005828EB" w:rsidRPr="005828EB" w:rsidRDefault="005828EB" w:rsidP="005828EB">
      <w:pPr>
        <w:pStyle w:val="NoSpacing"/>
        <w:jc w:val="right"/>
        <w:rPr>
          <w:rFonts w:ascii="Times New Roman" w:hAnsi="Times New Roman" w:cs="Times New Roman"/>
          <w:b/>
          <w:bCs/>
          <w:i/>
          <w:iCs/>
          <w:sz w:val="28"/>
          <w:szCs w:val="28"/>
          <w:highlight w:val="yellow"/>
          <w:u w:val="single"/>
        </w:rPr>
      </w:pPr>
      <w:r w:rsidRPr="005828EB">
        <w:rPr>
          <w:rFonts w:ascii="Times New Roman" w:hAnsi="Times New Roman" w:cs="Times New Roman"/>
          <w:b/>
          <w:bCs/>
          <w:i/>
          <w:iCs/>
          <w:sz w:val="28"/>
          <w:szCs w:val="28"/>
          <w:highlight w:val="yellow"/>
          <w:u w:val="single"/>
        </w:rPr>
        <w:t>Review article</w:t>
      </w:r>
    </w:p>
    <w:p w14:paraId="3D189C2C" w14:textId="77777777" w:rsidR="005828EB" w:rsidRPr="005828EB" w:rsidRDefault="005828EB" w:rsidP="005828EB">
      <w:pPr>
        <w:pStyle w:val="NoSpacing"/>
        <w:rPr>
          <w:sz w:val="20"/>
          <w:szCs w:val="20"/>
          <w:highlight w:val="yellow"/>
        </w:rPr>
      </w:pPr>
    </w:p>
    <w:p w14:paraId="742C2012" w14:textId="77777777" w:rsidR="005828EB" w:rsidRPr="005828EB" w:rsidRDefault="005828EB" w:rsidP="005828EB">
      <w:pPr>
        <w:pStyle w:val="NoSpacing"/>
        <w:jc w:val="right"/>
        <w:rPr>
          <w:rFonts w:ascii="Times New Roman" w:hAnsi="Times New Roman" w:cs="Times New Roman"/>
          <w:b/>
          <w:bCs/>
          <w:sz w:val="28"/>
          <w:szCs w:val="28"/>
          <w:highlight w:val="yellow"/>
        </w:rPr>
      </w:pPr>
      <w:r w:rsidRPr="005828EB">
        <w:rPr>
          <w:rFonts w:ascii="Times New Roman" w:hAnsi="Times New Roman" w:cs="Times New Roman"/>
          <w:b/>
          <w:bCs/>
          <w:sz w:val="28"/>
          <w:szCs w:val="28"/>
          <w:highlight w:val="yellow"/>
        </w:rPr>
        <w:t>Next-Generation Breeding: Integrating Multi-Omics and Artificial Intelligence for Advancing Nutritional and Food Security</w:t>
      </w:r>
    </w:p>
    <w:p w14:paraId="5BD73571" w14:textId="77777777" w:rsidR="005828EB" w:rsidRPr="005828EB" w:rsidRDefault="005828EB" w:rsidP="005828EB">
      <w:pPr>
        <w:pStyle w:val="NoSpacing"/>
        <w:rPr>
          <w:highlight w:val="yellow"/>
        </w:rPr>
      </w:pPr>
    </w:p>
    <w:p w14:paraId="6A2A2742" w14:textId="77777777" w:rsidR="005828EB" w:rsidRPr="005828EB" w:rsidRDefault="005828EB" w:rsidP="005828EB">
      <w:pPr>
        <w:pStyle w:val="NoSpacing"/>
        <w:jc w:val="right"/>
        <w:rPr>
          <w:rFonts w:ascii="Times New Roman" w:hAnsi="Times New Roman" w:cs="Times New Roman"/>
          <w:b/>
          <w:bCs/>
          <w:sz w:val="24"/>
          <w:szCs w:val="24"/>
          <w:highlight w:val="yellow"/>
          <w:vertAlign w:val="superscript"/>
        </w:rPr>
      </w:pPr>
      <w:r w:rsidRPr="005828EB">
        <w:rPr>
          <w:rFonts w:ascii="Times New Roman" w:hAnsi="Times New Roman" w:cs="Times New Roman"/>
          <w:b/>
          <w:bCs/>
          <w:sz w:val="24"/>
          <w:szCs w:val="24"/>
          <w:highlight w:val="yellow"/>
        </w:rPr>
        <w:t>Sreeram Harshitha</w:t>
      </w:r>
      <w:r w:rsidRPr="005828EB">
        <w:rPr>
          <w:rFonts w:ascii="Times New Roman" w:hAnsi="Times New Roman" w:cs="Times New Roman"/>
          <w:b/>
          <w:bCs/>
          <w:sz w:val="24"/>
          <w:szCs w:val="24"/>
          <w:highlight w:val="yellow"/>
          <w:vertAlign w:val="superscript"/>
        </w:rPr>
        <w:t xml:space="preserve"> a</w:t>
      </w:r>
      <w:r w:rsidRPr="005828EB">
        <w:rPr>
          <w:rFonts w:ascii="Times New Roman" w:hAnsi="Times New Roman" w:cs="Times New Roman"/>
          <w:b/>
          <w:bCs/>
          <w:sz w:val="24"/>
          <w:szCs w:val="24"/>
          <w:highlight w:val="yellow"/>
        </w:rPr>
        <w:t xml:space="preserve"> and Rubby Sandhu </w:t>
      </w:r>
      <w:r w:rsidRPr="005828EB">
        <w:rPr>
          <w:rFonts w:ascii="Times New Roman" w:hAnsi="Times New Roman" w:cs="Times New Roman"/>
          <w:b/>
          <w:bCs/>
          <w:sz w:val="24"/>
          <w:szCs w:val="24"/>
          <w:highlight w:val="yellow"/>
          <w:vertAlign w:val="superscript"/>
        </w:rPr>
        <w:t>a*</w:t>
      </w:r>
    </w:p>
    <w:p w14:paraId="6E310ECD" w14:textId="77777777" w:rsidR="005828EB" w:rsidRPr="005828EB" w:rsidRDefault="005828EB" w:rsidP="005828EB">
      <w:pPr>
        <w:pStyle w:val="NoSpacing"/>
        <w:rPr>
          <w:highlight w:val="yellow"/>
        </w:rPr>
      </w:pPr>
    </w:p>
    <w:p w14:paraId="6B11CA07" w14:textId="77777777" w:rsidR="005828EB" w:rsidRPr="005828EB" w:rsidRDefault="005828EB" w:rsidP="005828EB">
      <w:pPr>
        <w:pStyle w:val="NoSpacing"/>
        <w:jc w:val="right"/>
        <w:rPr>
          <w:rFonts w:ascii="Times New Roman" w:hAnsi="Times New Roman" w:cs="Times New Roman"/>
          <w:i/>
          <w:iCs/>
          <w:sz w:val="20"/>
          <w:szCs w:val="20"/>
          <w:highlight w:val="yellow"/>
        </w:rPr>
      </w:pPr>
      <w:r w:rsidRPr="005828EB">
        <w:rPr>
          <w:rFonts w:ascii="Times New Roman" w:hAnsi="Times New Roman" w:cs="Times New Roman"/>
          <w:i/>
          <w:iCs/>
          <w:sz w:val="20"/>
          <w:szCs w:val="20"/>
          <w:highlight w:val="yellow"/>
          <w:vertAlign w:val="superscript"/>
        </w:rPr>
        <w:t>a</w:t>
      </w:r>
      <w:r w:rsidRPr="005828EB">
        <w:rPr>
          <w:rFonts w:ascii="Times New Roman" w:hAnsi="Times New Roman" w:cs="Times New Roman"/>
          <w:i/>
          <w:iCs/>
          <w:sz w:val="20"/>
          <w:szCs w:val="20"/>
          <w:highlight w:val="yellow"/>
        </w:rPr>
        <w:t xml:space="preserve"> Department of Genetics and Plant breeding, School of Agriculture, Lovely Professional University, Phagwara- 144411, Punjab, India.</w:t>
      </w:r>
    </w:p>
    <w:p w14:paraId="24805C9D" w14:textId="77777777" w:rsidR="005828EB" w:rsidRPr="005828EB" w:rsidRDefault="005828EB" w:rsidP="005828EB">
      <w:pPr>
        <w:pStyle w:val="NoSpacing"/>
        <w:jc w:val="right"/>
        <w:rPr>
          <w:rFonts w:ascii="Times New Roman" w:hAnsi="Times New Roman" w:cs="Times New Roman"/>
          <w:i/>
          <w:iCs/>
          <w:sz w:val="20"/>
          <w:szCs w:val="20"/>
          <w:highlight w:val="yellow"/>
        </w:rPr>
      </w:pPr>
    </w:p>
    <w:p w14:paraId="6B6DC66E" w14:textId="77777777" w:rsidR="005828EB" w:rsidRPr="005828EB" w:rsidRDefault="005828EB" w:rsidP="005828EB">
      <w:pPr>
        <w:pStyle w:val="NoSpacing"/>
        <w:jc w:val="right"/>
        <w:rPr>
          <w:rFonts w:ascii="Times New Roman" w:hAnsi="Times New Roman" w:cs="Times New Roman"/>
          <w:i/>
          <w:iCs/>
          <w:sz w:val="20"/>
          <w:szCs w:val="20"/>
        </w:rPr>
      </w:pPr>
      <w:r w:rsidRPr="005828EB">
        <w:rPr>
          <w:rFonts w:ascii="Times New Roman" w:hAnsi="Times New Roman" w:cs="Times New Roman"/>
          <w:b/>
          <w:bCs/>
          <w:i/>
          <w:iCs/>
          <w:sz w:val="20"/>
          <w:szCs w:val="20"/>
          <w:highlight w:val="yellow"/>
        </w:rPr>
        <w:t>*Corresponding author mail:</w:t>
      </w:r>
      <w:r w:rsidRPr="005828EB">
        <w:rPr>
          <w:rFonts w:ascii="Times New Roman" w:hAnsi="Times New Roman" w:cs="Times New Roman"/>
          <w:i/>
          <w:iCs/>
          <w:sz w:val="20"/>
          <w:szCs w:val="20"/>
          <w:highlight w:val="yellow"/>
        </w:rPr>
        <w:t xml:space="preserve"> </w:t>
      </w:r>
      <w:hyperlink r:id="rId7" w:history="1">
        <w:r w:rsidRPr="005828EB">
          <w:rPr>
            <w:rStyle w:val="Hyperlink"/>
            <w:rFonts w:ascii="Times New Roman" w:hAnsi="Times New Roman" w:cs="Times New Roman"/>
            <w:i/>
            <w:iCs/>
            <w:sz w:val="20"/>
            <w:szCs w:val="20"/>
            <w:highlight w:val="yellow"/>
          </w:rPr>
          <w:t>rubby.28211@lpu.co.in</w:t>
        </w:r>
      </w:hyperlink>
      <w:r w:rsidRPr="005828EB">
        <w:rPr>
          <w:rFonts w:ascii="Times New Roman" w:hAnsi="Times New Roman" w:cs="Times New Roman"/>
          <w:i/>
          <w:iCs/>
          <w:sz w:val="20"/>
          <w:szCs w:val="20"/>
        </w:rPr>
        <w:t xml:space="preserve"> </w:t>
      </w:r>
    </w:p>
    <w:p w14:paraId="2C57C530" w14:textId="77777777" w:rsidR="00223189" w:rsidRPr="00223189" w:rsidRDefault="00223189" w:rsidP="00223189">
      <w:pPr>
        <w:pStyle w:val="NoSpacing"/>
      </w:pPr>
    </w:p>
    <w:p w14:paraId="56C685D8" w14:textId="7EBAE673" w:rsidR="00223189" w:rsidRDefault="00223189" w:rsidP="00223189">
      <w:pPr>
        <w:pStyle w:val="NoSpacing"/>
        <w:jc w:val="right"/>
        <w:rPr>
          <w:rFonts w:ascii="Times New Roman" w:hAnsi="Times New Roman" w:cs="Times New Roman"/>
        </w:rPr>
      </w:pPr>
    </w:p>
    <w:p w14:paraId="1D80D1E6" w14:textId="6B4B9684" w:rsidR="00223189" w:rsidRPr="005828EB" w:rsidRDefault="00223189" w:rsidP="005828EB">
      <w:pPr>
        <w:pStyle w:val="NoSpacing"/>
        <w:jc w:val="center"/>
        <w:rPr>
          <w:rFonts w:ascii="Times New Roman" w:hAnsi="Times New Roman" w:cs="Times New Roman"/>
          <w:b/>
          <w:bCs/>
          <w:sz w:val="20"/>
          <w:szCs w:val="20"/>
        </w:rPr>
      </w:pPr>
      <w:r w:rsidRPr="005828EB">
        <w:rPr>
          <w:rFonts w:ascii="Times New Roman" w:hAnsi="Times New Roman" w:cs="Times New Roman"/>
          <w:b/>
          <w:bCs/>
          <w:sz w:val="20"/>
          <w:szCs w:val="20"/>
        </w:rPr>
        <w:t>Abstract</w:t>
      </w:r>
    </w:p>
    <w:p w14:paraId="5789C984" w14:textId="50E27269" w:rsidR="00CF5704" w:rsidRPr="005828EB" w:rsidRDefault="00CF5704"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Global food and nutritional security are increasingly challenged by rapid population growth, climate change, and the prevalence of micronutrient deficiencies, commonly referred to as hidden hunger. Conventional plant breeding approaches, although successful in improving crop productivity, are often limited by low precision, long breeding cycles, and inefficiency in dissecting complex traits such as yield, stress tolerance, and nutritional quality. In recent years, the integration of multi-omics technologies encompassing genomics, transcriptomics, proteomics, metabolomics, phenomics, and epigenomics has revolutionized crop improvement by enabling a comprehensive understanding of biological systems at multiple regulatory levels. These approaches facilitate the identification of key genes, pathways, and molecular interactions underlying agronomically important traits. Simultaneously, advances in artificial intelligence (AI) and machine learning (ML) have provided powerful tools for analyzing large-scale, high-dimensional datasets generated through omics platforms. AI-driven models enhance predictive accuracy, enable genomic selection, and support data-driven decision-making in breeding programs. The integration of multi-omics with AI has significantly improved the efficiency of biofortification strategies aimed at enhancing micronutrients such as iron, zinc, and protein in staple crops, while also contributing to yield improvement and climate resilience. This review synthesizes recent advancements in multi-omics and AI applications in plant breeding, with a particular focus on their role in improving nutritional traits and ensuring sustainable food systems. It also discusses key challenges, including data integration complexities, computational limitations, and phenotyping bottlenecks, along with future prospects for precision breeding. The convergence of these technologies represents a paradigm shift toward predictive, efficient, and sustainable crop improvement strategies.</w:t>
      </w:r>
    </w:p>
    <w:p w14:paraId="5C04A4EB" w14:textId="703F49CC" w:rsidR="00CF5704" w:rsidRPr="005828EB" w:rsidRDefault="00CF5704" w:rsidP="005828EB">
      <w:pPr>
        <w:pStyle w:val="NoSpacing"/>
        <w:rPr>
          <w:sz w:val="20"/>
          <w:szCs w:val="20"/>
        </w:rPr>
      </w:pPr>
    </w:p>
    <w:p w14:paraId="283409FF" w14:textId="0C5FC397" w:rsidR="00CF5704" w:rsidRPr="005828EB" w:rsidRDefault="00CF5704" w:rsidP="005828EB">
      <w:pPr>
        <w:pStyle w:val="NoSpacing"/>
        <w:rPr>
          <w:rFonts w:ascii="Times New Roman" w:hAnsi="Times New Roman" w:cs="Times New Roman"/>
          <w:i/>
          <w:iCs/>
          <w:sz w:val="20"/>
          <w:szCs w:val="20"/>
        </w:rPr>
      </w:pPr>
      <w:r w:rsidRPr="005828EB">
        <w:rPr>
          <w:rFonts w:ascii="Times New Roman" w:hAnsi="Times New Roman" w:cs="Times New Roman"/>
          <w:b/>
          <w:bCs/>
          <w:i/>
          <w:iCs/>
          <w:sz w:val="20"/>
          <w:szCs w:val="20"/>
        </w:rPr>
        <w:t xml:space="preserve">Keywords: </w:t>
      </w:r>
      <w:r w:rsidRPr="005828EB">
        <w:rPr>
          <w:rFonts w:ascii="Times New Roman" w:hAnsi="Times New Roman" w:cs="Times New Roman"/>
          <w:i/>
          <w:iCs/>
          <w:sz w:val="20"/>
          <w:szCs w:val="20"/>
        </w:rPr>
        <w:t>Multi-omics, Artificial intelligence, Machine learning, Genomics, Phenomics, Biofortification, Nutritional security, Precision breeding</w:t>
      </w:r>
    </w:p>
    <w:p w14:paraId="79517C66" w14:textId="175D4FCB" w:rsidR="003F7F22" w:rsidRPr="005828EB" w:rsidRDefault="003F7F22" w:rsidP="005828EB">
      <w:pPr>
        <w:pStyle w:val="NoSpacing"/>
        <w:rPr>
          <w:rFonts w:ascii="Times New Roman" w:hAnsi="Times New Roman" w:cs="Times New Roman"/>
          <w:sz w:val="20"/>
          <w:szCs w:val="20"/>
        </w:rPr>
      </w:pPr>
    </w:p>
    <w:p w14:paraId="5C83B780" w14:textId="77777777" w:rsidR="004A3020" w:rsidRPr="005828EB" w:rsidRDefault="004A3020"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1. Introduction</w:t>
      </w:r>
    </w:p>
    <w:p w14:paraId="44238955" w14:textId="77777777" w:rsidR="004A3020" w:rsidRPr="005828EB" w:rsidRDefault="004A3020"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1.1 Global Food and Nutritional Security Challenges</w:t>
      </w:r>
    </w:p>
    <w:p w14:paraId="225867EF" w14:textId="77777777"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Global food and nutritional security remain critical challenges in the context of rapid population growth, environmental degradation, and changing climatic conditions. It is projected that the global population will surpass 9.7 billion by 2050, significantly increasing the demand for food and nutrient-rich agricultural products (FAO, 2021). Despite substantial gains in crop productivity during the Green Revolution, malnutrition persists, particularly in the form of </w:t>
      </w:r>
      <w:r w:rsidRPr="005828EB">
        <w:rPr>
          <w:rFonts w:ascii="Times New Roman" w:hAnsi="Times New Roman" w:cs="Times New Roman"/>
          <w:i/>
          <w:iCs/>
          <w:sz w:val="20"/>
          <w:szCs w:val="20"/>
        </w:rPr>
        <w:t>hidden hunger</w:t>
      </w:r>
      <w:r w:rsidRPr="005828EB">
        <w:rPr>
          <w:rFonts w:ascii="Times New Roman" w:hAnsi="Times New Roman" w:cs="Times New Roman"/>
          <w:sz w:val="20"/>
          <w:szCs w:val="20"/>
        </w:rPr>
        <w:t>, which is characterized by deficiencies in essential micronutrients such as iron, zinc, and vitamin A (Ritchie &amp; Roser, 2020). This issue is especially pronounced in developing regions where diets are heavily dependent on staple crops with low nutritional diversity.</w:t>
      </w:r>
    </w:p>
    <w:p w14:paraId="3497FE70" w14:textId="77777777"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Simultaneously, climate change is emerging as a major threat to agricultural sustainability. Increasing temperatures, erratic precipitation patterns, and the frequency of extreme weather events are negatively impacting crop productivity and stability. These environmental stresses not only reduce yields but also alter crop nutritional composition. Elevated atmospheric CO₂ levels, for instance, have been shown to reduce protein, iron, and zinc concentrations in major cereal crops (Myers et al., 2014). Therefore, there is an urgent need to develop climate-resilient and nutritionally enhanced crop varieties to ensure sustainable food systems.</w:t>
      </w:r>
    </w:p>
    <w:p w14:paraId="4608D485" w14:textId="4748B4C4" w:rsidR="004A3020" w:rsidRPr="005828EB" w:rsidRDefault="004A3020" w:rsidP="005828EB">
      <w:pPr>
        <w:pStyle w:val="NoSpacing"/>
        <w:rPr>
          <w:rFonts w:ascii="Times New Roman" w:hAnsi="Times New Roman" w:cs="Times New Roman"/>
          <w:sz w:val="20"/>
          <w:szCs w:val="20"/>
        </w:rPr>
      </w:pPr>
    </w:p>
    <w:p w14:paraId="5BCDD73E" w14:textId="77777777" w:rsidR="004A3020" w:rsidRPr="005828EB" w:rsidRDefault="004A3020"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1.2 Limitations of Conventional Breeding</w:t>
      </w:r>
    </w:p>
    <w:p w14:paraId="02C75911" w14:textId="77777777"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Conventional plant breeding has played a pivotal role in improving crop yield and adaptability. However, traditional breeding approaches rely primarily on phenotypic selection, which is inherently time-consuming and influenced by environmental variability. The process often requires multiple breeding cycles to achieve </w:t>
      </w:r>
      <w:r w:rsidRPr="005828EB">
        <w:rPr>
          <w:rFonts w:ascii="Times New Roman" w:hAnsi="Times New Roman" w:cs="Times New Roman"/>
          <w:sz w:val="20"/>
          <w:szCs w:val="20"/>
        </w:rPr>
        <w:lastRenderedPageBreak/>
        <w:t>desirable genetic gains, making it less efficient in addressing rapidly evolving agricultural challenges (Hickey et al., 2019).</w:t>
      </w:r>
    </w:p>
    <w:p w14:paraId="34B09819" w14:textId="77777777"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Moreover, complex traits such as yield, nutritional quality, and stress tolerance are typically controlled by multiple genes with small effects and strong genotype × environment interactions. Conventional breeding methods have limited capacity to dissect such traits at the molecular level, leading to lower precision and slower progress. The inability to effectively capture underlying genetic architecture further constrains selection efficiency. As a result, there is a growing need for advanced approaches that can enhance precision, reduce breeding cycles, and improve selection accuracy.</w:t>
      </w:r>
    </w:p>
    <w:p w14:paraId="75C7D664" w14:textId="4943C0D0" w:rsidR="004A3020" w:rsidRPr="005828EB" w:rsidRDefault="004A3020" w:rsidP="005828EB">
      <w:pPr>
        <w:pStyle w:val="NoSpacing"/>
        <w:rPr>
          <w:rFonts w:ascii="Times New Roman" w:hAnsi="Times New Roman" w:cs="Times New Roman"/>
          <w:sz w:val="20"/>
          <w:szCs w:val="20"/>
        </w:rPr>
      </w:pPr>
    </w:p>
    <w:p w14:paraId="0E78ACF9" w14:textId="77777777" w:rsidR="004A3020" w:rsidRPr="005828EB" w:rsidRDefault="004A3020"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1.3 Emergence of Omics Technologies</w:t>
      </w:r>
    </w:p>
    <w:p w14:paraId="46907CA3" w14:textId="5E3FC268"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The advent of high-throughput omics technologies has revolutionized plant science by enabling comprehensive analysis of biological </w:t>
      </w:r>
      <w:r w:rsidRPr="00AB0BF3">
        <w:rPr>
          <w:rFonts w:ascii="Times New Roman" w:hAnsi="Times New Roman" w:cs="Times New Roman"/>
          <w:sz w:val="20"/>
          <w:szCs w:val="20"/>
          <w:highlight w:val="yellow"/>
        </w:rPr>
        <w:t>systems. Omics approaches</w:t>
      </w:r>
      <w:r w:rsidR="00AB0BF3" w:rsidRPr="00AB0BF3">
        <w:rPr>
          <w:rFonts w:ascii="Times New Roman" w:hAnsi="Times New Roman" w:cs="Times New Roman"/>
          <w:sz w:val="20"/>
          <w:szCs w:val="20"/>
          <w:highlight w:val="yellow"/>
        </w:rPr>
        <w:t xml:space="preserve"> </w:t>
      </w:r>
      <w:r w:rsidRPr="00AB0BF3">
        <w:rPr>
          <w:rFonts w:ascii="Times New Roman" w:hAnsi="Times New Roman" w:cs="Times New Roman"/>
          <w:sz w:val="20"/>
          <w:szCs w:val="20"/>
          <w:highlight w:val="yellow"/>
        </w:rPr>
        <w:t>including genomics, transcriptomics, proteomics, metabolomics, and phenomics</w:t>
      </w:r>
      <w:r w:rsidR="00AB0BF3" w:rsidRPr="00AB0BF3">
        <w:rPr>
          <w:rFonts w:ascii="Times New Roman" w:hAnsi="Times New Roman" w:cs="Times New Roman"/>
          <w:sz w:val="20"/>
          <w:szCs w:val="20"/>
          <w:highlight w:val="yellow"/>
        </w:rPr>
        <w:t xml:space="preserve"> </w:t>
      </w:r>
      <w:r w:rsidRPr="00AB0BF3">
        <w:rPr>
          <w:rFonts w:ascii="Times New Roman" w:hAnsi="Times New Roman" w:cs="Times New Roman"/>
          <w:sz w:val="20"/>
          <w:szCs w:val="20"/>
          <w:highlight w:val="yellow"/>
        </w:rPr>
        <w:t>provide insights into different layers of biological organization, from DNA sequences to phenotypic traits (Yang et al., 2021).</w:t>
      </w:r>
    </w:p>
    <w:p w14:paraId="300A4B30" w14:textId="77777777"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Genomics facilitates the identification of genetic variations associated with important agronomic traits through tools such as genome-wide association studies (GWAS) and genomic selection. Transcriptomics provides information on gene expression dynamics under various conditions, while proteomics and metabolomics offer insights into functional and biochemical pathways influencing plant growth and nutritional composition. Phenomics, particularly high-throughput phenotyping, enables precise measurement of plant traits across large populations.</w:t>
      </w:r>
    </w:p>
    <w:p w14:paraId="15F33F57" w14:textId="77777777"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integration of these omics layers has shifted plant breeding from a reductionist approach to a systems biology framework, allowing for a more comprehensive understanding of genotype–phenotype relationships. This transition enhances the ability to dissect complex traits and accelerates crop improvement (Weckwerth, 2019).</w:t>
      </w:r>
    </w:p>
    <w:p w14:paraId="2FD1AA59" w14:textId="5645A7D0" w:rsidR="004A3020" w:rsidRPr="005828EB" w:rsidRDefault="004A3020" w:rsidP="005828EB">
      <w:pPr>
        <w:pStyle w:val="NoSpacing"/>
        <w:rPr>
          <w:rFonts w:ascii="Times New Roman" w:hAnsi="Times New Roman" w:cs="Times New Roman"/>
          <w:sz w:val="20"/>
          <w:szCs w:val="20"/>
        </w:rPr>
      </w:pPr>
    </w:p>
    <w:p w14:paraId="1980E596" w14:textId="77777777" w:rsidR="004A3020" w:rsidRPr="005828EB" w:rsidRDefault="004A3020"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1.4 Role of Artificial Intelligence in Agriculture</w:t>
      </w:r>
    </w:p>
    <w:p w14:paraId="00F46963" w14:textId="77777777"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rapid generation of large-scale omics datasets has introduced significant challenges in data analysis and interpretation. Artificial Intelligence (AI), including machine learning (ML) and deep learning (DL), has emerged as a powerful tool to address these challenges. AI algorithms are capable of analyzing high-dimensional datasets, identifying hidden patterns, and generating predictive models with high accuracy (van Dijk et al., 2021).</w:t>
      </w:r>
    </w:p>
    <w:p w14:paraId="3B7BAFCA" w14:textId="77777777"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plant breeding, AI is increasingly used for genomic prediction, trait classification, and high-throughput phenotyping. Machine learning models such as Random Forest, Support Vector Machines, and neural networks enable accurate prediction of breeding values and complex trait associations. Deep learning approaches, particularly convolutional neural networks (CNNs), are widely used for image-based phenotyping and disease detection (Singh et al., 2020).</w:t>
      </w:r>
    </w:p>
    <w:p w14:paraId="1313B466" w14:textId="77777777" w:rsidR="004A3020" w:rsidRPr="005828EB" w:rsidRDefault="004A3020"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Furthermore, AI facilitates the integration of multi-omics datasets through advanced data fusion and network modeling techniques. This integration enhances the understanding of biological systems and supports data-driven decision-making in breeding programs. By improving prediction accuracy and reducing breeding cycles, AI-driven approaches are transforming agriculture into a more precise and efficient discipline.</w:t>
      </w:r>
    </w:p>
    <w:p w14:paraId="4C517083" w14:textId="310ACAED" w:rsidR="001F610D" w:rsidRPr="005828EB" w:rsidRDefault="001F610D" w:rsidP="005828EB">
      <w:pPr>
        <w:pStyle w:val="NoSpacing"/>
        <w:rPr>
          <w:rFonts w:ascii="Times New Roman" w:hAnsi="Times New Roman" w:cs="Times New Roman"/>
          <w:sz w:val="20"/>
          <w:szCs w:val="20"/>
        </w:rPr>
      </w:pPr>
    </w:p>
    <w:p w14:paraId="6B562C53"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1.5 Scope and Objectives of the Review</w:t>
      </w:r>
    </w:p>
    <w:p w14:paraId="63EF6B14"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Given the growing complexity of challenges associated with food and nutritional security, there is a critical need for innovative and integrative approaches in crop improvement. This review aims to provide a comprehensive overview of the convergence of multi-omics technologies and artificial intelligence in advancing plant breeding strategies.</w:t>
      </w:r>
    </w:p>
    <w:p w14:paraId="70CD24B4" w14:textId="77777777" w:rsidR="00CF5704"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Specifically, the objectives of this review are to:</w:t>
      </w:r>
    </w:p>
    <w:p w14:paraId="72EBD313" w14:textId="7DD0CAD0"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 summarize the current advancements in multi-omics approaches and their applications in crop improvement;</w:t>
      </w:r>
      <w:r w:rsidRPr="005828EB">
        <w:rPr>
          <w:rFonts w:ascii="Times New Roman" w:hAnsi="Times New Roman" w:cs="Times New Roman"/>
          <w:sz w:val="20"/>
          <w:szCs w:val="20"/>
        </w:rPr>
        <w:br/>
        <w:t>(ii) elucidate the role of AI and machine learning in analyzing complex biological datasets;</w:t>
      </w:r>
      <w:r w:rsidRPr="005828EB">
        <w:rPr>
          <w:rFonts w:ascii="Times New Roman" w:hAnsi="Times New Roman" w:cs="Times New Roman"/>
          <w:sz w:val="20"/>
          <w:szCs w:val="20"/>
        </w:rPr>
        <w:br/>
        <w:t>(iii) explore the integration of multi-omics and AI for enhancing nutritional traits and overall crop productivity</w:t>
      </w:r>
      <w:r w:rsidR="00CF5704" w:rsidRPr="005828EB">
        <w:rPr>
          <w:rFonts w:ascii="Times New Roman" w:hAnsi="Times New Roman" w:cs="Times New Roman"/>
          <w:sz w:val="20"/>
          <w:szCs w:val="20"/>
        </w:rPr>
        <w:t>;</w:t>
      </w:r>
      <w:r w:rsidRPr="005828EB">
        <w:rPr>
          <w:rFonts w:ascii="Times New Roman" w:hAnsi="Times New Roman" w:cs="Times New Roman"/>
          <w:sz w:val="20"/>
          <w:szCs w:val="20"/>
        </w:rPr>
        <w:br/>
        <w:t>(iv) highlight key challenges, opportunities, and future directions in this rapidly evolving field.</w:t>
      </w:r>
    </w:p>
    <w:p w14:paraId="5C0D86EC"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review places particular emphasis on applications relevant to Genetics and Plant Breeding (GPB), with a focus on improving nutritional quality and ensuring sustainable food systems. By synthesizing recent developments, this work aims to provide a conceptual and methodological framework for researchers and breeders seeking to harness the full potential of omics and AI technologies in crop improvement programs.</w:t>
      </w:r>
    </w:p>
    <w:p w14:paraId="5946D5D8" w14:textId="77777777" w:rsidR="00F34AD8" w:rsidRPr="005828EB" w:rsidRDefault="00F34AD8" w:rsidP="005828EB">
      <w:pPr>
        <w:pStyle w:val="NoSpacing"/>
        <w:rPr>
          <w:rFonts w:ascii="Times New Roman" w:hAnsi="Times New Roman" w:cs="Times New Roman"/>
          <w:sz w:val="20"/>
          <w:szCs w:val="20"/>
        </w:rPr>
      </w:pPr>
    </w:p>
    <w:p w14:paraId="7110877E"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2. Overview of Multi-Omics Approaches in Crop Improvement</w:t>
      </w:r>
    </w:p>
    <w:p w14:paraId="222ADD05"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lastRenderedPageBreak/>
        <w:t xml:space="preserve">The rapid evolution of high-throughput biological technologies has ushered in a new paradigm in crop improvement, wherein plant systems are analyzed at multiple molecular and phenotypic layers collectively referred to as </w:t>
      </w:r>
      <w:r w:rsidRPr="005828EB">
        <w:rPr>
          <w:rFonts w:ascii="Times New Roman" w:hAnsi="Times New Roman" w:cs="Times New Roman"/>
          <w:i/>
          <w:iCs/>
          <w:sz w:val="20"/>
          <w:szCs w:val="20"/>
        </w:rPr>
        <w:t>multi-omics</w:t>
      </w:r>
      <w:r w:rsidRPr="005828EB">
        <w:rPr>
          <w:rFonts w:ascii="Times New Roman" w:hAnsi="Times New Roman" w:cs="Times New Roman"/>
          <w:sz w:val="20"/>
          <w:szCs w:val="20"/>
        </w:rPr>
        <w:t>. Unlike conventional approaches that focus on single traits or genes, multi-omics enables a comprehensive understanding of biological processes from genotype to phenotype. This systems-level perspective is particularly critical for dissecting complex traits such as yield, stress tolerance, and nutritional quality, which are governed by intricate gene networks and environmental interactions. The integration of diverse omics platforms—genomics, transcriptomics, proteomics, metabolomics, phenomics, and epigenomics—has significantly enhanced the precision, efficiency, and predictive capacity of modern plant breeding programs.</w:t>
      </w:r>
    </w:p>
    <w:p w14:paraId="616DC030" w14:textId="36568A77" w:rsidR="001F610D" w:rsidRPr="005828EB" w:rsidRDefault="001F610D" w:rsidP="005828EB">
      <w:pPr>
        <w:pStyle w:val="NoSpacing"/>
        <w:rPr>
          <w:rFonts w:ascii="Times New Roman" w:hAnsi="Times New Roman" w:cs="Times New Roman"/>
          <w:sz w:val="20"/>
          <w:szCs w:val="20"/>
        </w:rPr>
      </w:pPr>
    </w:p>
    <w:p w14:paraId="4A72D431"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2.1 Genomics</w:t>
      </w:r>
    </w:p>
    <w:p w14:paraId="616A9233" w14:textId="77777777" w:rsidR="00CF5704"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Genomics constitutes the cornerstone of multi-omics approaches and has revolutionized plant breeding through the generation and utilization of genome-wide information. The advent of next-generation sequencing (NGS) and, more recently, third-generation sequencing technologies has enabled the rapid sequencing of complex plant genomes, including those of major cereals, legumes, and orphan crops. High-quality reference genomes, pan-genomes, and re-sequencing datasets have provided unprecedented insights into genetic diversity, structural variation, and evolutionary relationships among crop species (Varshney et al., 2021).</w:t>
      </w:r>
    </w:p>
    <w:p w14:paraId="47A5A00D" w14:textId="77777777" w:rsidR="00CF5704" w:rsidRPr="005828EB" w:rsidRDefault="001F610D" w:rsidP="005828EB">
      <w:pPr>
        <w:pStyle w:val="NoSpacing"/>
        <w:ind w:firstLine="636"/>
        <w:rPr>
          <w:rFonts w:ascii="Times New Roman" w:hAnsi="Times New Roman" w:cs="Times New Roman"/>
          <w:sz w:val="20"/>
          <w:szCs w:val="20"/>
        </w:rPr>
      </w:pPr>
      <w:r w:rsidRPr="005828EB">
        <w:rPr>
          <w:rFonts w:ascii="Times New Roman" w:hAnsi="Times New Roman" w:cs="Times New Roman"/>
          <w:sz w:val="20"/>
          <w:szCs w:val="20"/>
        </w:rPr>
        <w:t>Whole genome sequencing facilitates the identification of genome-wide polymorphisms such as single nucleotide polymorphisms (SNPs), insertions/deletions (InDels), and copy number variations, which serve as essential markers for genetic analysis. Genome-wide association studies (GWAS) have emerged as a powerful approach to exploit natural genetic variation for identifying loci associated with complex traits. By leveraging historical recombination events in diverse germplasm panels, GWAS offers high-resolution mapping of trait-associated genomic regions (Huang and Han, 2014). Complementarily, quantitative trait loci (QTL) mapping in biparental populations remains a robust method for detecting genomic regions controlling specific traits, albeit at relatively lower resolution.</w:t>
      </w:r>
    </w:p>
    <w:p w14:paraId="6138F41D" w14:textId="096A21F6" w:rsidR="001F610D" w:rsidRPr="005828EB" w:rsidRDefault="001F610D" w:rsidP="005828EB">
      <w:pPr>
        <w:pStyle w:val="NoSpacing"/>
        <w:ind w:firstLine="636"/>
        <w:rPr>
          <w:rFonts w:ascii="Times New Roman" w:hAnsi="Times New Roman" w:cs="Times New Roman"/>
          <w:sz w:val="20"/>
          <w:szCs w:val="20"/>
        </w:rPr>
      </w:pPr>
      <w:r w:rsidRPr="005828EB">
        <w:rPr>
          <w:rFonts w:ascii="Times New Roman" w:hAnsi="Times New Roman" w:cs="Times New Roman"/>
          <w:sz w:val="20"/>
          <w:szCs w:val="20"/>
        </w:rPr>
        <w:t>The application of genomic information in breeding has been substantially enhanced through marker-assisted selection (MAS) and genomic selection (GS). MAS enables the targeted introgression of desirable alleles linked to major genes or QTLs, particularly for traits with high heritability. However, for polygenic traits controlled by numerous loci with small effects, genomic selection has proven more effective. GS utilizes genome-wide marker profiles to predict genomic estimated breeding values (GEBVs), thereby allowing early and accurate selection of superior genotypes without extensive phenotyping (Meuwissen et al., 2001). Recent advancements integrating high-density genotyping platforms and statistical models have further improved prediction accuracy, making genomics an indispensable tool for accelerating genetic gain in crop improvement.</w:t>
      </w:r>
    </w:p>
    <w:p w14:paraId="60F9F192" w14:textId="0D0C9255" w:rsidR="001F610D" w:rsidRPr="005828EB" w:rsidRDefault="001F610D" w:rsidP="005828EB">
      <w:pPr>
        <w:pStyle w:val="NoSpacing"/>
        <w:rPr>
          <w:rFonts w:ascii="Times New Roman" w:hAnsi="Times New Roman" w:cs="Times New Roman"/>
          <w:sz w:val="20"/>
          <w:szCs w:val="20"/>
        </w:rPr>
      </w:pPr>
    </w:p>
    <w:p w14:paraId="6FB56399"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2.2 Transcriptomics</w:t>
      </w:r>
    </w:p>
    <w:p w14:paraId="1CBAE490"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While genomics provides a static blueprint of genetic potential, transcriptomics offers dynamic insights into gene expression under specific developmental and environmental contexts. The advent of RNA sequencing (RNA-Seq) has transformed transcriptomic studies by enabling high-resolution, quantitative, and comprehensive profiling of transcriptomes across different tissues and conditions (Wang et al., 2009).</w:t>
      </w:r>
    </w:p>
    <w:p w14:paraId="48DF2514"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Transcriptomic analyses facilitate the identification of differentially expressed genes (DEGs), alternative splicing events, and regulatory RNAs, including microRNAs and long non-coding RNAs. These insights are crucial for understanding gene function and regulatory networks underlying complex traits. For instance, transcriptome profiling has been extensively used to elucidate pathways involved in micronutrient uptake, transport, and accumulation, particularly for iron and zinc biofortification in staple crops.</w:t>
      </w:r>
    </w:p>
    <w:p w14:paraId="339E5605"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Comparative transcriptomics between contrasting genotypes, such as stress-tolerant versus susceptible lines, enables the identification of candidate genes and key regulatory pathways associated with adaptive traits. Moreover, co-expression network analysis has been employed to identify gene modules and hub genes that play central roles in trait regulation. Integrating transcriptomics with genomics enhances the functional annotation of candidate loci identified through GWAS and QTL mapping, thereby improving the efficiency of marker development and trait dissection (Kremling et al., 2019).</w:t>
      </w:r>
    </w:p>
    <w:p w14:paraId="5C56CAEB" w14:textId="09F16717" w:rsidR="001F610D" w:rsidRPr="005828EB" w:rsidRDefault="001F610D" w:rsidP="005828EB">
      <w:pPr>
        <w:pStyle w:val="NoSpacing"/>
        <w:rPr>
          <w:rFonts w:ascii="Times New Roman" w:hAnsi="Times New Roman" w:cs="Times New Roman"/>
          <w:sz w:val="20"/>
          <w:szCs w:val="20"/>
        </w:rPr>
      </w:pPr>
    </w:p>
    <w:p w14:paraId="08B36FB1"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2.3 Proteomics</w:t>
      </w:r>
    </w:p>
    <w:p w14:paraId="66D0965E"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Proteomics provides a functional perspective of the genome by analyzing the complete set of proteins expressed in a cell, tissue, or organism under specific conditions. Since proteins are the primary effectors of biological processes, proteomics offers direct insights into cellular function, bridging the gap between genotype and phenotype.</w:t>
      </w:r>
    </w:p>
    <w:p w14:paraId="6B256F69"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Advances in proteomic technologies, particularly mass spectrometry-based approaches such as liquid chromatography–tandem mass spectrometry (LC-MS/MS), have enabled high-throughput identification and </w:t>
      </w:r>
      <w:r w:rsidRPr="005828EB">
        <w:rPr>
          <w:rFonts w:ascii="Times New Roman" w:hAnsi="Times New Roman" w:cs="Times New Roman"/>
          <w:sz w:val="20"/>
          <w:szCs w:val="20"/>
        </w:rPr>
        <w:lastRenderedPageBreak/>
        <w:t>quantification of proteins. These techniques also facilitate the analysis of post-translational modifications (PTMs), including phosphorylation, glycosylation, and ubiquitination, which are critical for regulating protein activity and signaling pathways (Jorrín-Novo et al., 2015).</w:t>
      </w:r>
    </w:p>
    <w:p w14:paraId="162FF221"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crop improvement, proteomics has been widely applied to investigate plant responses to abiotic stresses such as drought, salinity, and heat, as well as biotic stresses including pathogen infection. By identifying stress-responsive proteins and signaling components, proteomic studies contribute to the development of resilient crop varieties. Furthermore, proteomics plays a vital role in validating candidate genes identified through genomic and transcriptomic analyses, ensuring that transcriptional changes are reflected at the functional protein level. This integrative approach enhances the reliability of trait-associated markers and supports precision breeding strategies.</w:t>
      </w:r>
    </w:p>
    <w:p w14:paraId="48688D84" w14:textId="71D816D9" w:rsidR="001F610D" w:rsidRPr="005828EB" w:rsidRDefault="001F610D" w:rsidP="005828EB">
      <w:pPr>
        <w:pStyle w:val="NoSpacing"/>
        <w:rPr>
          <w:rFonts w:ascii="Times New Roman" w:hAnsi="Times New Roman" w:cs="Times New Roman"/>
          <w:sz w:val="20"/>
          <w:szCs w:val="20"/>
        </w:rPr>
      </w:pPr>
    </w:p>
    <w:p w14:paraId="6E09DD43"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2.4 Metabolomics</w:t>
      </w:r>
    </w:p>
    <w:p w14:paraId="0B7A4B27"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Metabolomics represents the terminal layer of the omics cascade, focusing on the comprehensive profiling of metabolites that directly determine plant phenotype. As the end products of gene expression and enzymatic activity, metabolites provide a close representation of the physiological state of the plant.</w:t>
      </w:r>
    </w:p>
    <w:p w14:paraId="6DA1DBBA"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Advanced analytical platforms such as gas chromatography–mass spectrometry (GC-MS), liquid chromatography–mass spectrometry (LC-MS), and nuclear magnetic resonance (NMR) spectroscopy are employed for metabolite detection and quantification. These techniques enable the analysis of a wide range of primary metabolites, including sugars, amino acids, and organic acids, as well as secondary metabolites such as flavonoids, alkaloids, and phenolic compounds (Fiehn, 2002).</w:t>
      </w:r>
    </w:p>
    <w:p w14:paraId="75775020"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Metabolomics plays a crucial role in nutritional improvement and biofortification of crops. It enables the identification of metabolic pathways associated with the accumulation of essential micronutrients and bioactive compounds. For example, metabolomic studies have contributed to enhancing provitamin A content in crops such as rice and maize, as well as improving iron and zinc concentrations in legumes and cereals. Additionally, metabolomics provides insights into plant responses to environmental stresses by revealing metabolic adjustments that confer tolerance.</w:t>
      </w:r>
    </w:p>
    <w:p w14:paraId="7D49C8A4"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integration of metabolomics with other omics layers allows for the reconstruction of metabolic networks and the identification of key regulatory nodes, facilitating targeted manipulation of metabolic pathways for crop improvement.</w:t>
      </w:r>
    </w:p>
    <w:p w14:paraId="12A346DF" w14:textId="598F846C" w:rsidR="001F610D" w:rsidRPr="005828EB" w:rsidRDefault="001F610D" w:rsidP="005828EB">
      <w:pPr>
        <w:pStyle w:val="NoSpacing"/>
        <w:rPr>
          <w:rFonts w:ascii="Times New Roman" w:hAnsi="Times New Roman" w:cs="Times New Roman"/>
          <w:sz w:val="20"/>
          <w:szCs w:val="20"/>
        </w:rPr>
      </w:pPr>
    </w:p>
    <w:p w14:paraId="1CE2A644"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2.5 Phenomics</w:t>
      </w:r>
    </w:p>
    <w:p w14:paraId="3E113C98"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Phenomics is a critical component of multi-omics approaches, focusing on the large-scale measurement of phenotypic traits. It serves as the bridge between molecular data and observable plant characteristics, enabling the validation and application of omics-based discoveries in breeding programs.</w:t>
      </w:r>
    </w:p>
    <w:p w14:paraId="364E6E68"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Traditional phenotyping methods are often limited by low throughput, subjectivity, and environmental variability. In contrast, high-throughput phenotyping (HTP) platforms employ advanced imaging technologies and sensor-based systems to capture precise and quantitative trait data. These platforms utilize a range of imaging modalities, including visible (RGB), hyperspectral, thermal, and fluorescence imaging, as well as technologies such as LiDAR and unmanned aerial vehicles (UAVs) for field-based phenotyping (Fiorani and Schurr, 2013).</w:t>
      </w:r>
    </w:p>
    <w:p w14:paraId="01B4E9D4" w14:textId="4B5085B2" w:rsidR="00CF5704" w:rsidRPr="005828EB" w:rsidRDefault="001F610D" w:rsidP="005828EB">
      <w:pPr>
        <w:pStyle w:val="NoSpacing"/>
        <w:rPr>
          <w:sz w:val="20"/>
          <w:szCs w:val="20"/>
        </w:rPr>
      </w:pPr>
      <w:r w:rsidRPr="005828EB">
        <w:rPr>
          <w:rFonts w:ascii="Times New Roman" w:hAnsi="Times New Roman" w:cs="Times New Roman"/>
          <w:sz w:val="20"/>
          <w:szCs w:val="20"/>
        </w:rPr>
        <w:t>Phenomics enables the measurement of complex traits such as plant architecture, biomass, photosynthetic efficiency, water-use efficiency, and stress responses in a non-destructive and time-resolved manner. The integration of phenomic data with genomic information enhances the accuracy of genomic selection models and facilitates the identification of genotype–phenotype associations. Moreover, phenomics plays a pivotal role in addressing the “phenotyping bottleneck,” which has historically limited the application of genomics in breeding.</w:t>
      </w:r>
      <w:r w:rsidR="00CF5704" w:rsidRPr="005828EB">
        <w:rPr>
          <w:sz w:val="20"/>
          <w:szCs w:val="20"/>
        </w:rPr>
        <w:t xml:space="preserve"> </w:t>
      </w:r>
    </w:p>
    <w:p w14:paraId="28A360B0" w14:textId="77777777" w:rsidR="00CF5704" w:rsidRPr="005828EB" w:rsidRDefault="00CF5704" w:rsidP="005828EB">
      <w:pPr>
        <w:pStyle w:val="NoSpacing"/>
        <w:rPr>
          <w:rFonts w:ascii="Times New Roman" w:hAnsi="Times New Roman" w:cs="Times New Roman"/>
          <w:b/>
          <w:bCs/>
          <w:sz w:val="20"/>
          <w:szCs w:val="20"/>
        </w:rPr>
      </w:pPr>
    </w:p>
    <w:p w14:paraId="7DA3B89D"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2.6 Epigenomics</w:t>
      </w:r>
    </w:p>
    <w:p w14:paraId="30B70E40" w14:textId="726E1F91"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Epigenomics adds an additional layer of complexity to the understanding of plant traits by examining heritable changes in gene expression that are not associated with alterations in DNA sequence. Key epigenetic mechanisms include DNA methylation, histone modifications, and chromatin remodeling, all of which influence gene accessibility and transcriptional activity.</w:t>
      </w:r>
      <w:r w:rsidR="00CF5704" w:rsidRPr="005828EB">
        <w:rPr>
          <w:rFonts w:ascii="Times New Roman" w:hAnsi="Times New Roman" w:cs="Times New Roman"/>
          <w:sz w:val="20"/>
          <w:szCs w:val="20"/>
        </w:rPr>
        <w:t xml:space="preserve"> </w:t>
      </w:r>
      <w:r w:rsidRPr="005828EB">
        <w:rPr>
          <w:rFonts w:ascii="Times New Roman" w:hAnsi="Times New Roman" w:cs="Times New Roman"/>
          <w:sz w:val="20"/>
          <w:szCs w:val="20"/>
        </w:rPr>
        <w:t>Recent research has demonstrated that epigenetic modifications play a crucial role in plant adaptation to environmental stresses, including drought, salinity, and temperature extremes. These modifications can regulate genes involved in stress responses, nutrient uptake, and metabolic pathways, thereby contributing to phenotypic plasticity and resilience (Zhang et al., 2018).</w:t>
      </w:r>
    </w:p>
    <w:p w14:paraId="1EC10E64" w14:textId="299FE2EB" w:rsidR="00CF5704" w:rsidRPr="005828EB" w:rsidRDefault="001F610D" w:rsidP="005828EB">
      <w:pPr>
        <w:pStyle w:val="NoSpacing"/>
        <w:ind w:firstLine="363"/>
        <w:rPr>
          <w:rFonts w:ascii="Times New Roman" w:hAnsi="Times New Roman" w:cs="Times New Roman"/>
          <w:sz w:val="20"/>
          <w:szCs w:val="20"/>
        </w:rPr>
      </w:pPr>
      <w:r w:rsidRPr="005828EB">
        <w:rPr>
          <w:rFonts w:ascii="Times New Roman" w:hAnsi="Times New Roman" w:cs="Times New Roman"/>
          <w:sz w:val="20"/>
          <w:szCs w:val="20"/>
        </w:rPr>
        <w:t xml:space="preserve">Importantly, some epigenetic changes can be stably inherited across generations, offering new opportunities for crop improvement through epigenetic breeding. The integration of epigenomic data with other omics layers provides a more comprehensive understanding of gene regulation and trait expression. This holistic approach is particularly valuable for improving complex traits that are influenced by both genetic </w:t>
      </w:r>
      <w:r w:rsidRPr="005828EB">
        <w:rPr>
          <w:rFonts w:ascii="Times New Roman" w:hAnsi="Times New Roman" w:cs="Times New Roman"/>
          <w:sz w:val="20"/>
          <w:szCs w:val="20"/>
        </w:rPr>
        <w:lastRenderedPageBreak/>
        <w:t>and environmental factors.</w:t>
      </w:r>
      <w:r w:rsidR="00CF5704" w:rsidRPr="005828EB">
        <w:rPr>
          <w:rFonts w:ascii="Times New Roman" w:hAnsi="Times New Roman" w:cs="Times New Roman"/>
          <w:sz w:val="20"/>
          <w:szCs w:val="20"/>
        </w:rPr>
        <w:t xml:space="preserve"> A comprehensive summary of major omics approaches, their methodologies, and applications in crop improvement is presented in Table 1.</w:t>
      </w:r>
    </w:p>
    <w:p w14:paraId="6F51CC9F" w14:textId="77777777" w:rsidR="00CF5704" w:rsidRPr="005828EB" w:rsidRDefault="00CF5704"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Table 1. Overview of Multi-Omics Approaches and Their Applications in Crop Improvement</w:t>
      </w:r>
    </w:p>
    <w:tbl>
      <w:tblPr>
        <w:tblStyle w:val="TableGrid"/>
        <w:tblW w:w="0" w:type="auto"/>
        <w:tblInd w:w="357" w:type="dxa"/>
        <w:tblLook w:val="04A0" w:firstRow="1" w:lastRow="0" w:firstColumn="1" w:lastColumn="0" w:noHBand="0" w:noVBand="1"/>
      </w:tblPr>
      <w:tblGrid>
        <w:gridCol w:w="1627"/>
        <w:gridCol w:w="1910"/>
        <w:gridCol w:w="1696"/>
        <w:gridCol w:w="2004"/>
        <w:gridCol w:w="1422"/>
      </w:tblGrid>
      <w:tr w:rsidR="00CF5704" w:rsidRPr="005828EB" w14:paraId="2E8DDECA" w14:textId="77777777" w:rsidTr="00AA6022">
        <w:tc>
          <w:tcPr>
            <w:tcW w:w="1627" w:type="dxa"/>
            <w:vAlign w:val="center"/>
          </w:tcPr>
          <w:p w14:paraId="3023D5BE"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Omics Layer</w:t>
            </w:r>
          </w:p>
        </w:tc>
        <w:tc>
          <w:tcPr>
            <w:tcW w:w="1910" w:type="dxa"/>
            <w:vAlign w:val="center"/>
          </w:tcPr>
          <w:p w14:paraId="69CB95BD"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Key Techniques</w:t>
            </w:r>
          </w:p>
        </w:tc>
        <w:tc>
          <w:tcPr>
            <w:tcW w:w="0" w:type="auto"/>
            <w:vAlign w:val="center"/>
          </w:tcPr>
          <w:p w14:paraId="423C6AF2"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Type of Data Generated</w:t>
            </w:r>
          </w:p>
        </w:tc>
        <w:tc>
          <w:tcPr>
            <w:tcW w:w="0" w:type="auto"/>
            <w:vAlign w:val="center"/>
          </w:tcPr>
          <w:p w14:paraId="22DFA659"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Major Applications in Crop Improvement</w:t>
            </w:r>
          </w:p>
        </w:tc>
        <w:tc>
          <w:tcPr>
            <w:tcW w:w="0" w:type="auto"/>
            <w:vAlign w:val="center"/>
          </w:tcPr>
          <w:p w14:paraId="78FD7567"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References</w:t>
            </w:r>
          </w:p>
        </w:tc>
      </w:tr>
      <w:tr w:rsidR="00CF5704" w:rsidRPr="005828EB" w14:paraId="1CE755EC" w14:textId="77777777" w:rsidTr="00AA6022">
        <w:tc>
          <w:tcPr>
            <w:tcW w:w="1627" w:type="dxa"/>
            <w:vAlign w:val="center"/>
          </w:tcPr>
          <w:p w14:paraId="13A8B44B"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Genomics</w:t>
            </w:r>
          </w:p>
        </w:tc>
        <w:tc>
          <w:tcPr>
            <w:tcW w:w="1910" w:type="dxa"/>
            <w:vAlign w:val="center"/>
          </w:tcPr>
          <w:p w14:paraId="4A194A9B"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Whole genome sequencing, GWAS, QTL mapping, SNP genotyping</w:t>
            </w:r>
          </w:p>
        </w:tc>
        <w:tc>
          <w:tcPr>
            <w:tcW w:w="0" w:type="auto"/>
            <w:vAlign w:val="center"/>
          </w:tcPr>
          <w:p w14:paraId="47500056"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DNA sequence variation (SNPs, InDels)</w:t>
            </w:r>
          </w:p>
        </w:tc>
        <w:tc>
          <w:tcPr>
            <w:tcW w:w="0" w:type="auto"/>
            <w:vAlign w:val="center"/>
          </w:tcPr>
          <w:p w14:paraId="6329CFE3"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Marker-assisted selection, genomic selection, gene discovery</w:t>
            </w:r>
          </w:p>
        </w:tc>
        <w:tc>
          <w:tcPr>
            <w:tcW w:w="0" w:type="auto"/>
            <w:vAlign w:val="center"/>
          </w:tcPr>
          <w:p w14:paraId="56191FD7"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Varshney et al., 2021; Crossa et al., 2017</w:t>
            </w:r>
          </w:p>
        </w:tc>
      </w:tr>
      <w:tr w:rsidR="00CF5704" w:rsidRPr="005828EB" w14:paraId="33CF564B" w14:textId="77777777" w:rsidTr="00AA6022">
        <w:tc>
          <w:tcPr>
            <w:tcW w:w="1627" w:type="dxa"/>
            <w:vAlign w:val="center"/>
          </w:tcPr>
          <w:p w14:paraId="71D7F7E7"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Transcriptomics</w:t>
            </w:r>
          </w:p>
        </w:tc>
        <w:tc>
          <w:tcPr>
            <w:tcW w:w="1910" w:type="dxa"/>
            <w:vAlign w:val="center"/>
          </w:tcPr>
          <w:p w14:paraId="054E4977"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RNA-Seq, microarray analysis</w:t>
            </w:r>
          </w:p>
        </w:tc>
        <w:tc>
          <w:tcPr>
            <w:tcW w:w="0" w:type="auto"/>
            <w:vAlign w:val="center"/>
          </w:tcPr>
          <w:p w14:paraId="2765071D"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Gene expression profiles</w:t>
            </w:r>
          </w:p>
        </w:tc>
        <w:tc>
          <w:tcPr>
            <w:tcW w:w="0" w:type="auto"/>
            <w:vAlign w:val="center"/>
          </w:tcPr>
          <w:p w14:paraId="69CEB5CE"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Identification of candidate genes, regulatory pathways</w:t>
            </w:r>
          </w:p>
        </w:tc>
        <w:tc>
          <w:tcPr>
            <w:tcW w:w="0" w:type="auto"/>
            <w:vAlign w:val="center"/>
          </w:tcPr>
          <w:p w14:paraId="3A218A9C"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Wang et al., 2009; Kremling et al., 2019</w:t>
            </w:r>
          </w:p>
        </w:tc>
      </w:tr>
      <w:tr w:rsidR="00CF5704" w:rsidRPr="005828EB" w14:paraId="30D89E1C" w14:textId="77777777" w:rsidTr="00AA6022">
        <w:tc>
          <w:tcPr>
            <w:tcW w:w="1627" w:type="dxa"/>
            <w:vAlign w:val="center"/>
          </w:tcPr>
          <w:p w14:paraId="342E49FF"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Proteomics</w:t>
            </w:r>
          </w:p>
        </w:tc>
        <w:tc>
          <w:tcPr>
            <w:tcW w:w="1910" w:type="dxa"/>
            <w:vAlign w:val="center"/>
          </w:tcPr>
          <w:p w14:paraId="6ED991CD"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LC-MS/MS, 2-DE, mass spectrometry</w:t>
            </w:r>
          </w:p>
        </w:tc>
        <w:tc>
          <w:tcPr>
            <w:tcW w:w="0" w:type="auto"/>
            <w:vAlign w:val="center"/>
          </w:tcPr>
          <w:p w14:paraId="2BBB6155"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Protein abundance, post-translational modifications</w:t>
            </w:r>
          </w:p>
        </w:tc>
        <w:tc>
          <w:tcPr>
            <w:tcW w:w="0" w:type="auto"/>
            <w:vAlign w:val="center"/>
          </w:tcPr>
          <w:p w14:paraId="4E91B718"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Functional validation, stress response analysis</w:t>
            </w:r>
          </w:p>
        </w:tc>
        <w:tc>
          <w:tcPr>
            <w:tcW w:w="0" w:type="auto"/>
            <w:vAlign w:val="center"/>
          </w:tcPr>
          <w:p w14:paraId="4729FCEB"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Jorrín-Novo et al., 2015</w:t>
            </w:r>
          </w:p>
        </w:tc>
      </w:tr>
      <w:tr w:rsidR="00CF5704" w:rsidRPr="005828EB" w14:paraId="09F73287" w14:textId="77777777" w:rsidTr="00AA6022">
        <w:tc>
          <w:tcPr>
            <w:tcW w:w="1627" w:type="dxa"/>
            <w:vAlign w:val="center"/>
          </w:tcPr>
          <w:p w14:paraId="013670BE"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Metabolomics</w:t>
            </w:r>
          </w:p>
        </w:tc>
        <w:tc>
          <w:tcPr>
            <w:tcW w:w="1910" w:type="dxa"/>
            <w:vAlign w:val="center"/>
          </w:tcPr>
          <w:p w14:paraId="208FD0F6"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GC-MS, LC-MS, NMR spectroscopy</w:t>
            </w:r>
          </w:p>
        </w:tc>
        <w:tc>
          <w:tcPr>
            <w:tcW w:w="0" w:type="auto"/>
            <w:vAlign w:val="center"/>
          </w:tcPr>
          <w:p w14:paraId="48504017"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Metabolite profiles (primary &amp; secondary metabolites)</w:t>
            </w:r>
          </w:p>
        </w:tc>
        <w:tc>
          <w:tcPr>
            <w:tcW w:w="0" w:type="auto"/>
            <w:vAlign w:val="center"/>
          </w:tcPr>
          <w:p w14:paraId="49B785B7"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Nutritional trait analysis, biofortification, metabolic pathway elucidation</w:t>
            </w:r>
          </w:p>
        </w:tc>
        <w:tc>
          <w:tcPr>
            <w:tcW w:w="0" w:type="auto"/>
            <w:vAlign w:val="center"/>
          </w:tcPr>
          <w:p w14:paraId="20918710"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Fiehn, 2002</w:t>
            </w:r>
          </w:p>
        </w:tc>
      </w:tr>
      <w:tr w:rsidR="00CF5704" w:rsidRPr="005828EB" w14:paraId="0FDFEAC9" w14:textId="77777777" w:rsidTr="00AA6022">
        <w:tc>
          <w:tcPr>
            <w:tcW w:w="1627" w:type="dxa"/>
            <w:vAlign w:val="center"/>
          </w:tcPr>
          <w:p w14:paraId="6B5A23FB"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Phenomics</w:t>
            </w:r>
          </w:p>
        </w:tc>
        <w:tc>
          <w:tcPr>
            <w:tcW w:w="1910" w:type="dxa"/>
            <w:vAlign w:val="center"/>
          </w:tcPr>
          <w:p w14:paraId="7C234433"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Imaging (RGB, hyperspectral), UAVs, sensors</w:t>
            </w:r>
          </w:p>
        </w:tc>
        <w:tc>
          <w:tcPr>
            <w:tcW w:w="0" w:type="auto"/>
            <w:vAlign w:val="center"/>
          </w:tcPr>
          <w:p w14:paraId="6FFC47A5"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High-throughput phenotypic data</w:t>
            </w:r>
          </w:p>
        </w:tc>
        <w:tc>
          <w:tcPr>
            <w:tcW w:w="0" w:type="auto"/>
            <w:vAlign w:val="center"/>
          </w:tcPr>
          <w:p w14:paraId="3C556D2B"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Trait evaluation, stress phenotyping, yield prediction</w:t>
            </w:r>
          </w:p>
        </w:tc>
        <w:tc>
          <w:tcPr>
            <w:tcW w:w="0" w:type="auto"/>
            <w:vAlign w:val="center"/>
          </w:tcPr>
          <w:p w14:paraId="3449D793"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Fiorani &amp; Schurr, 2013</w:t>
            </w:r>
          </w:p>
        </w:tc>
      </w:tr>
      <w:tr w:rsidR="00CF5704" w:rsidRPr="005828EB" w14:paraId="23FDE60E" w14:textId="77777777" w:rsidTr="00AA6022">
        <w:tc>
          <w:tcPr>
            <w:tcW w:w="1627" w:type="dxa"/>
            <w:vAlign w:val="center"/>
          </w:tcPr>
          <w:p w14:paraId="1C3EE655"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b/>
                <w:bCs/>
                <w:sz w:val="20"/>
                <w:szCs w:val="20"/>
              </w:rPr>
              <w:t>Epigenomics</w:t>
            </w:r>
          </w:p>
        </w:tc>
        <w:tc>
          <w:tcPr>
            <w:tcW w:w="1910" w:type="dxa"/>
            <w:vAlign w:val="center"/>
          </w:tcPr>
          <w:p w14:paraId="3416FF08"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DNA methylation analysis, ChIP-Seq</w:t>
            </w:r>
          </w:p>
        </w:tc>
        <w:tc>
          <w:tcPr>
            <w:tcW w:w="0" w:type="auto"/>
            <w:vAlign w:val="center"/>
          </w:tcPr>
          <w:p w14:paraId="71429990"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Epigenetic modifications</w:t>
            </w:r>
          </w:p>
        </w:tc>
        <w:tc>
          <w:tcPr>
            <w:tcW w:w="0" w:type="auto"/>
            <w:vAlign w:val="center"/>
          </w:tcPr>
          <w:p w14:paraId="230A2A57"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Stress adaptation, gene regulation, trait plasticity</w:t>
            </w:r>
          </w:p>
        </w:tc>
        <w:tc>
          <w:tcPr>
            <w:tcW w:w="0" w:type="auto"/>
            <w:vAlign w:val="center"/>
          </w:tcPr>
          <w:p w14:paraId="58071D5A" w14:textId="77777777" w:rsidR="00CF5704" w:rsidRPr="005828EB" w:rsidRDefault="00CF5704" w:rsidP="005828EB">
            <w:pPr>
              <w:pStyle w:val="NoSpacing"/>
              <w:ind w:left="0"/>
              <w:jc w:val="center"/>
              <w:rPr>
                <w:rFonts w:ascii="Times New Roman" w:hAnsi="Times New Roman" w:cs="Times New Roman"/>
                <w:b/>
                <w:bCs/>
                <w:sz w:val="20"/>
                <w:szCs w:val="20"/>
              </w:rPr>
            </w:pPr>
            <w:r w:rsidRPr="005828EB">
              <w:rPr>
                <w:rFonts w:ascii="Times New Roman" w:hAnsi="Times New Roman" w:cs="Times New Roman"/>
                <w:sz w:val="20"/>
                <w:szCs w:val="20"/>
              </w:rPr>
              <w:t>Zhang et al., 2018</w:t>
            </w:r>
          </w:p>
        </w:tc>
      </w:tr>
    </w:tbl>
    <w:p w14:paraId="17408698"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3. Integration of Multi-Omics Data</w:t>
      </w:r>
    </w:p>
    <w:p w14:paraId="21782181"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rapid accumulation of high-throughput datasets across multiple biological layers has necessitated the development of integrative frameworks that can effectively combine and interpret diverse omics information. While individual omics approaches provide valuable insights, their isolated application often fails to capture the full complexity of biological systems. Integration of multi-omics data enables a holistic understanding of plant traits by linking molecular variation to phenotypic outcomes through interconnected regulatory networks. This systems-level approach is particularly critical in crop improvement, where complex traits such as yield, stress tolerance, and nutritional quality are governed by multilayered interactions among genes, proteins, metabolites, and environmental factors.</w:t>
      </w:r>
    </w:p>
    <w:p w14:paraId="18AA12C1" w14:textId="21D8CEA4" w:rsidR="001F610D" w:rsidRPr="005828EB" w:rsidRDefault="001F610D" w:rsidP="005828EB">
      <w:pPr>
        <w:pStyle w:val="NoSpacing"/>
        <w:rPr>
          <w:rFonts w:ascii="Times New Roman" w:hAnsi="Times New Roman" w:cs="Times New Roman"/>
          <w:sz w:val="20"/>
          <w:szCs w:val="20"/>
        </w:rPr>
      </w:pPr>
    </w:p>
    <w:p w14:paraId="4F9E3521"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3.1 Need for Multi-Omics Integration</w:t>
      </w:r>
    </w:p>
    <w:p w14:paraId="0369039D"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Complex Trait Architecture</w:t>
      </w:r>
    </w:p>
    <w:p w14:paraId="6EBC6298"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Most agronomically important traits in crops, including productivity, nutritional composition, and abiotic stress tolerance, are quantitatively inherited and controlled by multiple genes with small additive effects. These traits exhibit intricate genetic architectures involving epistatic interactions, pleiotropy, and strong genotype × environment (G×E) interactions. Traditional single-omics approaches are often insufficient to fully dissect such complexity, as they capture only a partial view of the biological system.</w:t>
      </w:r>
    </w:p>
    <w:p w14:paraId="4C1F42C6"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Multi-omics integration allows simultaneous interrogation of multiple regulatory layers, thereby enabling the identification of key drivers and interactions underlying complex traits. For example, while genomics may identify loci associated with a trait, transcriptomics and proteomics can reveal how these loci are expressed and regulated, and metabolomics can demonstrate their functional consequences. This layered understanding enhances the precision of trait dissection and improves the efficiency of breeding strategies.</w:t>
      </w:r>
    </w:p>
    <w:p w14:paraId="665192F3"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Linking Genotype to Phenotype</w:t>
      </w:r>
    </w:p>
    <w:p w14:paraId="627F5921"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One of the central challenges in plant biology is bridging the gap between genotype and phenotype. Although genomic data provide extensive information on genetic variation, translating this information into phenotypic predictions remains challenging due to intermediate regulatory processes. Gene expression, protein activity, metabolic fluxes, and environmental influences collectively determine the final phenotype.</w:t>
      </w:r>
    </w:p>
    <w:p w14:paraId="4A8B338F"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Multi-omics integration facilitates the reconstruction of genotype–phenotype relationships by connecting these intermediate layers. For instance, integrating genomic markers with transcriptomic profiles (e.g., expression QTLs or eQTLs) can identify regulatory variants influencing gene expression. Similarly, combining transcriptomics with metabolomics can elucidate pathways that directly impact nutritional traits. </w:t>
      </w:r>
      <w:r w:rsidRPr="005828EB">
        <w:rPr>
          <w:rFonts w:ascii="Times New Roman" w:hAnsi="Times New Roman" w:cs="Times New Roman"/>
          <w:sz w:val="20"/>
          <w:szCs w:val="20"/>
        </w:rPr>
        <w:lastRenderedPageBreak/>
        <w:t>Such integrative analyses improve predictive accuracy and provide mechanistic insights, which are essential for precision breeding and crop improvement.</w:t>
      </w:r>
    </w:p>
    <w:p w14:paraId="5945D65B" w14:textId="1DA36EA7" w:rsidR="001F610D" w:rsidRPr="005828EB" w:rsidRDefault="001F610D" w:rsidP="005828EB">
      <w:pPr>
        <w:pStyle w:val="NoSpacing"/>
        <w:rPr>
          <w:rFonts w:ascii="Times New Roman" w:hAnsi="Times New Roman" w:cs="Times New Roman"/>
          <w:sz w:val="20"/>
          <w:szCs w:val="20"/>
        </w:rPr>
      </w:pPr>
    </w:p>
    <w:p w14:paraId="673D3FFE"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3.2 Strategies for Multi-Omics Integration</w:t>
      </w:r>
    </w:p>
    <w:p w14:paraId="33CCD26F"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integration of multi-omics datasets requires robust computational and statistical frameworks capable of handling heterogeneous data types, scales, and structures. Broadly, integration strategies can be categorized into horizontal and vertical approaches, complemented by network-based methodologies.</w:t>
      </w:r>
    </w:p>
    <w:p w14:paraId="53B1BA06"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Horizontal vs. Vertical Integration</w:t>
      </w:r>
    </w:p>
    <w:p w14:paraId="643A5FE1"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b/>
          <w:bCs/>
          <w:sz w:val="20"/>
          <w:szCs w:val="20"/>
        </w:rPr>
        <w:t>Horizontal integration</w:t>
      </w:r>
      <w:r w:rsidRPr="005828EB">
        <w:rPr>
          <w:rFonts w:ascii="Times New Roman" w:hAnsi="Times New Roman" w:cs="Times New Roman"/>
          <w:sz w:val="20"/>
          <w:szCs w:val="20"/>
        </w:rPr>
        <w:t xml:space="preserve"> refers to the combination of datasets from the same omics layer across different conditions, populations, or time points. For example, integrating transcriptomic datasets from multiple environments can help identify stable gene expression patterns associated with stress tolerance. This approach is useful for increasing statistical power and identifying conserved biological signals.</w:t>
      </w:r>
    </w:p>
    <w:p w14:paraId="2E7D2390"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In contrast, </w:t>
      </w:r>
      <w:r w:rsidRPr="005828EB">
        <w:rPr>
          <w:rFonts w:ascii="Times New Roman" w:hAnsi="Times New Roman" w:cs="Times New Roman"/>
          <w:b/>
          <w:bCs/>
          <w:sz w:val="20"/>
          <w:szCs w:val="20"/>
        </w:rPr>
        <w:t>vertical integration</w:t>
      </w:r>
      <w:r w:rsidRPr="005828EB">
        <w:rPr>
          <w:rFonts w:ascii="Times New Roman" w:hAnsi="Times New Roman" w:cs="Times New Roman"/>
          <w:sz w:val="20"/>
          <w:szCs w:val="20"/>
        </w:rPr>
        <w:t xml:space="preserve"> involves combining datasets from different omics layers (e.g., genomics, transcriptomics, proteomics, and metabolomics) for the same biological samples. This approach provides a comprehensive view of biological systems by capturing interactions across molecular hierarchies. Vertical integration is particularly valuable for elucidating causal relationships, such as how genetic variation influences gene expression, which in turn affects protein function and metabolic outcomes.</w:t>
      </w:r>
    </w:p>
    <w:p w14:paraId="11CA2993"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Several statistical and computational methods have been developed to facilitate vertical integration, including multi-block data analysis, Bayesian models, matrix factorization techniques, and machine learning algorithms. Methods such as multi-omics factor analysis (MOFA), canonical correlation analysis (CCA), and partial least squares (PLS) regression are commonly used to identify shared patterns across datasets.</w:t>
      </w:r>
    </w:p>
    <w:p w14:paraId="13A9B336"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Network Biology Approaches</w:t>
      </w:r>
    </w:p>
    <w:p w14:paraId="704CEB0B"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Network-based approaches have emerged as powerful tools for multi-omics integration by representing biological systems as interconnected networks of genes, proteins, and metabolites. These networks capture complex interactions and enable the identification of key regulatory nodes, pathways, and modules associated with specific traits.</w:t>
      </w:r>
    </w:p>
    <w:p w14:paraId="51E1E953"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Gene co-expression networks, protein–protein interaction networks, and metabolic networks are widely used to integrate omics data. Techniques such as weighted gene co-expression network analysis (WGCNA) allow the identification of gene modules correlated with phenotypic traits. Integration of multi-omics data into unified networks facilitates the identification of hub genes or master regulators that play central roles in trait expression.</w:t>
      </w:r>
    </w:p>
    <w:p w14:paraId="62C0F762"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crop improvement, network biology approaches have been successfully applied to identify candidate genes for stress tolerance and nutritional traits, thereby providing targets for genetic manipulation and marker development. These approaches also support the discovery of novel pathways and regulatory mechanisms that may not be evident through single-omics analyses.</w:t>
      </w:r>
    </w:p>
    <w:p w14:paraId="1FDF4977" w14:textId="400BBECC" w:rsidR="001F610D" w:rsidRPr="005828EB" w:rsidRDefault="001F610D" w:rsidP="005828EB">
      <w:pPr>
        <w:pStyle w:val="NoSpacing"/>
        <w:rPr>
          <w:rFonts w:ascii="Times New Roman" w:hAnsi="Times New Roman" w:cs="Times New Roman"/>
          <w:sz w:val="20"/>
          <w:szCs w:val="20"/>
        </w:rPr>
      </w:pPr>
    </w:p>
    <w:p w14:paraId="54120C0F"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3.3 Multi-Omics Data Platforms and Databases</w:t>
      </w:r>
    </w:p>
    <w:p w14:paraId="53656D45"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successful integration of multi-omics data relies heavily on the availability of robust data platforms, repositories, and standardized data formats. Over the past decade, numerous public databases have been developed to store, curate, and share omics datasets, facilitating data accessibility and reproducibility.</w:t>
      </w:r>
    </w:p>
    <w:p w14:paraId="751DD764"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Public Repositories</w:t>
      </w:r>
    </w:p>
    <w:p w14:paraId="14DD03AD"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Several international repositories host large-scale omics datasets across plant species. Genomic data are commonly stored in databases such as GenBank and Ensembl Plants, while transcriptomic data are available through platforms like the Gene Expression Omnibus (GEO) and the Sequence Read Archive (SRA). Proteomic data are deposited in repositories such as PRIDE, and metabolomic datasets are available in databases like MetaboLights and the Human Metabolome Database (adapted for plant studies). In addition, crop-specific databases, such as Gramene and the Legume Information System, provide integrated resources tailored to plant breeding and genetics.</w:t>
      </w:r>
    </w:p>
    <w:p w14:paraId="7DE2D07F"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These repositories enable researchers to access high-quality datasets for comparative analysis, meta-analysis, and model development. The increasing availability of multi-omics datasets has accelerated research in crop improvement and facilitated collaborative efforts across institutions and countries.</w:t>
      </w:r>
    </w:p>
    <w:p w14:paraId="01659160" w14:textId="77777777" w:rsidR="001F610D" w:rsidRPr="005828EB" w:rsidRDefault="001F610D"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Data Standardization Challenges</w:t>
      </w:r>
    </w:p>
    <w:p w14:paraId="3086BF75"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Despite the growing availability of omics data, several challenges hinder effective integration. One of the primary issues is the lack of standardized protocols for data generation, processing, and annotation. Variability in experimental design, sample preparation, sequencing platforms, and data analysis pipelines can introduce inconsistencies, making cross-study comparisons difficult.</w:t>
      </w:r>
    </w:p>
    <w:p w14:paraId="3C6BAC18" w14:textId="77777777"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Data heterogeneity, including differences in scale, dimensionality, and noise levels, further complicates integration efforts. Additionally, incomplete metadata and inconsistent annotation standards limit data reusability and interoperability. To address these challenges, international initiatives such as FAIR (Findable, </w:t>
      </w:r>
      <w:r w:rsidRPr="005828EB">
        <w:rPr>
          <w:rFonts w:ascii="Times New Roman" w:hAnsi="Times New Roman" w:cs="Times New Roman"/>
          <w:sz w:val="20"/>
          <w:szCs w:val="20"/>
        </w:rPr>
        <w:lastRenderedPageBreak/>
        <w:t>Accessible, Interoperable, and Reusable) data principles have been proposed to promote standardized data management practices.</w:t>
      </w:r>
    </w:p>
    <w:p w14:paraId="09B5E9BB" w14:textId="2A4A2B9B" w:rsidR="001F610D" w:rsidRPr="005828EB" w:rsidRDefault="001F610D"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Advancements in bioinformatics tools, data harmonization techniques, and cloud-based platforms are gradually improving the integration of multi-omics datasets. However, continued efforts in standardization, data sharing, and capacity building are essential to fully realize the potential of multi-omics integration in crop improvement.</w:t>
      </w:r>
      <w:r w:rsidR="002450B7" w:rsidRPr="005828EB">
        <w:rPr>
          <w:sz w:val="20"/>
          <w:szCs w:val="20"/>
        </w:rPr>
        <w:t xml:space="preserve"> </w:t>
      </w:r>
      <w:r w:rsidR="002450B7" w:rsidRPr="005828EB">
        <w:rPr>
          <w:rFonts w:ascii="Times New Roman" w:hAnsi="Times New Roman" w:cs="Times New Roman"/>
          <w:sz w:val="20"/>
          <w:szCs w:val="20"/>
        </w:rPr>
        <w:t>The multi-layer integration of omics data, coupled with advanced computational approaches, facilitates the transition from genotype to phenotype, as illustrated in Fig. 1.</w:t>
      </w:r>
    </w:p>
    <w:p w14:paraId="5A9127F6" w14:textId="1EF5F63C" w:rsidR="002450B7" w:rsidRPr="005828EB" w:rsidRDefault="002450B7" w:rsidP="005828EB">
      <w:pPr>
        <w:pStyle w:val="NoSpacing"/>
        <w:rPr>
          <w:rFonts w:ascii="Times New Roman" w:hAnsi="Times New Roman" w:cs="Times New Roman"/>
          <w:sz w:val="20"/>
          <w:szCs w:val="20"/>
        </w:rPr>
      </w:pPr>
      <w:r w:rsidRPr="005828EB">
        <w:rPr>
          <w:rFonts w:ascii="Times New Roman" w:hAnsi="Times New Roman" w:cs="Times New Roman"/>
          <w:noProof/>
          <w:sz w:val="20"/>
          <w:szCs w:val="20"/>
        </w:rPr>
        <w:drawing>
          <wp:inline distT="0" distB="0" distL="0" distR="0" wp14:anchorId="60AF5674" wp14:editId="7E288401">
            <wp:extent cx="5731510" cy="3811905"/>
            <wp:effectExtent l="19050" t="19050" r="21590" b="17145"/>
            <wp:docPr id="161392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11905"/>
                    </a:xfrm>
                    <a:prstGeom prst="rect">
                      <a:avLst/>
                    </a:prstGeom>
                    <a:noFill/>
                    <a:ln w="3175">
                      <a:solidFill>
                        <a:schemeClr val="tx1"/>
                      </a:solidFill>
                    </a:ln>
                  </pic:spPr>
                </pic:pic>
              </a:graphicData>
            </a:graphic>
          </wp:inline>
        </w:drawing>
      </w:r>
    </w:p>
    <w:p w14:paraId="5AD0808E" w14:textId="621F5853" w:rsidR="002450B7" w:rsidRPr="005828EB" w:rsidRDefault="00CA1052" w:rsidP="005828EB">
      <w:pPr>
        <w:pStyle w:val="NoSpacing"/>
        <w:jc w:val="center"/>
        <w:rPr>
          <w:rFonts w:ascii="Times New Roman" w:hAnsi="Times New Roman" w:cs="Times New Roman"/>
          <w:sz w:val="20"/>
          <w:szCs w:val="20"/>
        </w:rPr>
      </w:pPr>
      <w:r w:rsidRPr="005828EB">
        <w:rPr>
          <w:rFonts w:ascii="Times New Roman" w:hAnsi="Times New Roman" w:cs="Times New Roman"/>
          <w:b/>
          <w:bCs/>
          <w:sz w:val="20"/>
          <w:szCs w:val="20"/>
        </w:rPr>
        <w:t>Fig. 1.</w:t>
      </w:r>
      <w:r w:rsidRPr="005828EB">
        <w:rPr>
          <w:rFonts w:ascii="Times New Roman" w:hAnsi="Times New Roman" w:cs="Times New Roman"/>
          <w:sz w:val="20"/>
          <w:szCs w:val="20"/>
        </w:rPr>
        <w:t xml:space="preserve"> Integrated framework illustrating the convergence of multi-omics approaches and artificial intelligence for crop improvement and nutritional security.</w:t>
      </w:r>
    </w:p>
    <w:p w14:paraId="2D55E4F6" w14:textId="191D724F" w:rsidR="003F7F22" w:rsidRPr="005828EB" w:rsidRDefault="003F7F22" w:rsidP="005828EB">
      <w:pPr>
        <w:pStyle w:val="NoSpacing"/>
        <w:rPr>
          <w:rFonts w:ascii="Times New Roman" w:hAnsi="Times New Roman" w:cs="Times New Roman"/>
          <w:sz w:val="20"/>
          <w:szCs w:val="20"/>
        </w:rPr>
      </w:pPr>
    </w:p>
    <w:p w14:paraId="45357181"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4. Role of Artificial Intelligence and Machine Learning</w:t>
      </w:r>
    </w:p>
    <w:p w14:paraId="2E503EB3"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exponential growth of high-throughput biological data generated through multi-omics platforms has necessitated the adoption of advanced computational approaches for effective data analysis and interpretation. Artificial Intelligence (AI), encompassing machine learning (ML) and deep learning (DL), has emerged as a transformative tool in plant sciences, enabling the extraction of meaningful patterns from complex, high-dimensional datasets. In crop improvement, AI facilitates predictive modeling, trait dissection, and decision-making, thereby enhancing the efficiency and precision of breeding programs. By integrating diverse data types and capturing non-linear relationships, AI-driven approaches are redefining modern Genetics and Plant Breeding (GPB).</w:t>
      </w:r>
    </w:p>
    <w:p w14:paraId="578234E3" w14:textId="0B93CC28" w:rsidR="004053EB" w:rsidRPr="005828EB" w:rsidRDefault="004053EB" w:rsidP="005828EB">
      <w:pPr>
        <w:pStyle w:val="NoSpacing"/>
        <w:rPr>
          <w:rFonts w:ascii="Times New Roman" w:hAnsi="Times New Roman" w:cs="Times New Roman"/>
          <w:sz w:val="20"/>
          <w:szCs w:val="20"/>
        </w:rPr>
      </w:pPr>
    </w:p>
    <w:p w14:paraId="3933DCD4"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4.1 Overview of AI in Plant Sciences</w:t>
      </w:r>
    </w:p>
    <w:p w14:paraId="15AB8E3B"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Artificial Intelligence refers to computational systems capable of performing tasks that typically require human intelligence, such as pattern recognition, prediction, and decision-making. Within AI, machine learning involves algorithms that learn from data to improve performance without explicit programming, while deep learning represents a subset of ML that uses multi-layered neural networks to model complex relationships.</w:t>
      </w:r>
    </w:p>
    <w:p w14:paraId="717C1F68"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Machine learning approaches in plant sciences can be broadly categorized into:</w:t>
      </w:r>
    </w:p>
    <w:p w14:paraId="41CDDEE7" w14:textId="77777777" w:rsidR="004053EB" w:rsidRPr="005828EB" w:rsidRDefault="004053EB" w:rsidP="005828EB">
      <w:pPr>
        <w:pStyle w:val="NoSpacing"/>
        <w:numPr>
          <w:ilvl w:val="0"/>
          <w:numId w:val="1"/>
        </w:numPr>
        <w:rPr>
          <w:rFonts w:ascii="Times New Roman" w:hAnsi="Times New Roman" w:cs="Times New Roman"/>
          <w:sz w:val="20"/>
          <w:szCs w:val="20"/>
        </w:rPr>
      </w:pPr>
      <w:r w:rsidRPr="005828EB">
        <w:rPr>
          <w:rFonts w:ascii="Times New Roman" w:hAnsi="Times New Roman" w:cs="Times New Roman"/>
          <w:sz w:val="20"/>
          <w:szCs w:val="20"/>
        </w:rPr>
        <w:t>Supervised learning, where models are trained on labeled datasets to predict outcomes such as yield, disease resistance, or nutrient content. Common tasks include regression and classification.</w:t>
      </w:r>
    </w:p>
    <w:p w14:paraId="11ED2328" w14:textId="77777777" w:rsidR="004053EB" w:rsidRPr="005828EB" w:rsidRDefault="004053EB" w:rsidP="005828EB">
      <w:pPr>
        <w:pStyle w:val="NoSpacing"/>
        <w:numPr>
          <w:ilvl w:val="0"/>
          <w:numId w:val="1"/>
        </w:numPr>
        <w:rPr>
          <w:rFonts w:ascii="Times New Roman" w:hAnsi="Times New Roman" w:cs="Times New Roman"/>
          <w:sz w:val="20"/>
          <w:szCs w:val="20"/>
        </w:rPr>
      </w:pPr>
      <w:r w:rsidRPr="005828EB">
        <w:rPr>
          <w:rFonts w:ascii="Times New Roman" w:hAnsi="Times New Roman" w:cs="Times New Roman"/>
          <w:sz w:val="20"/>
          <w:szCs w:val="20"/>
        </w:rPr>
        <w:t>Unsupervised learning, which identifies hidden structures or patterns in unlabeled data, such as clustering genotypes based on similarity or identifying latent variables in omics datasets.</w:t>
      </w:r>
    </w:p>
    <w:p w14:paraId="516A63D6" w14:textId="77777777" w:rsidR="004053EB" w:rsidRPr="005828EB" w:rsidRDefault="004053EB" w:rsidP="005828EB">
      <w:pPr>
        <w:pStyle w:val="NoSpacing"/>
        <w:numPr>
          <w:ilvl w:val="0"/>
          <w:numId w:val="1"/>
        </w:numPr>
        <w:rPr>
          <w:rFonts w:ascii="Times New Roman" w:hAnsi="Times New Roman" w:cs="Times New Roman"/>
          <w:sz w:val="20"/>
          <w:szCs w:val="20"/>
        </w:rPr>
      </w:pPr>
      <w:r w:rsidRPr="005828EB">
        <w:rPr>
          <w:rFonts w:ascii="Times New Roman" w:hAnsi="Times New Roman" w:cs="Times New Roman"/>
          <w:sz w:val="20"/>
          <w:szCs w:val="20"/>
        </w:rPr>
        <w:t>Deep learning, which employs artificial neural networks with multiple hidden layers to automatically learn hierarchical features from large datasets, particularly useful in image analysis and complex trait prediction.</w:t>
      </w:r>
    </w:p>
    <w:p w14:paraId="7984EC52"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lastRenderedPageBreak/>
        <w:t>The application of AI in plant sciences has expanded rapidly due to increased computational power, availability of large datasets, and advances in algorithm development. These approaches enable the integration of genomic, phenotypic, and environmental data, thereby facilitating data-driven crop improvement strategies (Liakos et al., 2018; Ma et al., 2020).</w:t>
      </w:r>
    </w:p>
    <w:p w14:paraId="7B6AEEFC" w14:textId="2F3E7ED0" w:rsidR="004053EB" w:rsidRPr="005828EB" w:rsidRDefault="004053EB" w:rsidP="005828EB">
      <w:pPr>
        <w:pStyle w:val="NoSpacing"/>
        <w:rPr>
          <w:rFonts w:ascii="Times New Roman" w:hAnsi="Times New Roman" w:cs="Times New Roman"/>
          <w:sz w:val="20"/>
          <w:szCs w:val="20"/>
        </w:rPr>
      </w:pPr>
    </w:p>
    <w:p w14:paraId="505F3AA6"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4.2 Machine Learning Algorithms in Breeding</w:t>
      </w:r>
    </w:p>
    <w:p w14:paraId="7059CAF1"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 wide range of machine learning algorithms have been successfully applied in plant breeding to improve prediction accuracy and selection efficiency. Among these, Random Forest (RF), Support Vector Machines (SVM), and Artificial Neural Networks (ANNs) are particularly prominent.</w:t>
      </w:r>
    </w:p>
    <w:p w14:paraId="3FCB7B2F"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Random Forest is an ensemble learning method that constructs multiple decision trees and aggregates their outputs to improve prediction accuracy and reduce overfitting. It is highly effective in handling high-dimensional data and identifying important variables influencing complex traits. RF has been widely used in genomic prediction, trait classification, and marker selection.</w:t>
      </w:r>
    </w:p>
    <w:p w14:paraId="7C4188D2"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Support Vector Machines are powerful supervised learning models that perform classification and regression by identifying optimal hyperplanes that separate data points in high-dimensional space. SVMs are particularly useful for analyzing non-linear relationships and have been applied in disease detection, genotype classification, and stress response prediction.</w:t>
      </w:r>
    </w:p>
    <w:p w14:paraId="792ADCD1"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Artificial Neural Networks mimic the structure and function of biological neural systems, consisting of interconnected nodes (neurons) organized in layers. ANNs are capable of modeling complex, non-linear interactions among variables and have been used for yield prediction, genotype evaluation, and environmental response modeling.</w:t>
      </w:r>
    </w:p>
    <w:p w14:paraId="7C6639EE"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These machine learning algorithms offer significant advantages over traditional statistical methods by accommodating complex interactions, handling large datasets, and improving predictive performance. Their application in breeding programs has led to more accurate selection decisions and accelerated genetic gain (Crossa et al., 2017).</w:t>
      </w:r>
    </w:p>
    <w:p w14:paraId="78C950F9" w14:textId="4145D664" w:rsidR="004053EB" w:rsidRPr="005828EB" w:rsidRDefault="004053EB" w:rsidP="005828EB">
      <w:pPr>
        <w:pStyle w:val="NoSpacing"/>
        <w:rPr>
          <w:rFonts w:ascii="Times New Roman" w:hAnsi="Times New Roman" w:cs="Times New Roman"/>
          <w:sz w:val="20"/>
          <w:szCs w:val="20"/>
        </w:rPr>
      </w:pPr>
    </w:p>
    <w:p w14:paraId="5E3467DA"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4.3 Deep Learning Applications</w:t>
      </w:r>
    </w:p>
    <w:p w14:paraId="1B80F8BB"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Deep learning has emerged as a powerful extension of machine learning, particularly suited for analyzing large-scale and unstructured data such as images, videos, and high-dimensional omics datasets. Convolutional Neural Networks (CNNs), Recurrent Neural Networks (RNNs), and deep feedforward networks are among the most widely used architectures in plant science applications.</w:t>
      </w:r>
    </w:p>
    <w:p w14:paraId="3DD2CBF1"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One of the most significant applications of deep learning in agriculture is image-based phenotyping. CNNs are capable of automatically extracting features from images and have been successfully used for plant disease detection, leaf area estimation, biomass prediction, and stress assessment. High-throughput phenotyping platforms equipped with RGB, hyperspectral, and thermal imaging generate large volumes of image data, which can be efficiently analyzed using deep learning models (Mohanty et al., 2016).</w:t>
      </w:r>
    </w:p>
    <w:p w14:paraId="5AE6A441"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Deep learning is also increasingly used for trait prediction, where complex relationships between genotype, phenotype, and environment are modeled to predict outcomes such as yield, nutrient content, and stress tolerance. These models can integrate diverse data types and capture non-linear interactions that are difficult to model using conventional approaches.</w:t>
      </w:r>
    </w:p>
    <w:p w14:paraId="5D384B4C" w14:textId="27EE89DC"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Furthermore, deep learning facilitates time-series analysis of plant growth and development, enabling dynamic trait monitoring and early stress detection. The ability of deep learning models to learn hierarchical representations makes them particularly suitable for capturing complex biological patterns.</w:t>
      </w:r>
      <w:r w:rsidR="00F023C5" w:rsidRPr="005828EB">
        <w:rPr>
          <w:sz w:val="20"/>
          <w:szCs w:val="20"/>
        </w:rPr>
        <w:t xml:space="preserve"> </w:t>
      </w:r>
      <w:r w:rsidR="00F023C5" w:rsidRPr="005828EB">
        <w:rPr>
          <w:rFonts w:ascii="Times New Roman" w:hAnsi="Times New Roman" w:cs="Times New Roman"/>
          <w:sz w:val="20"/>
          <w:szCs w:val="20"/>
        </w:rPr>
        <w:t>A summary of major artificial intelligence and machine learning techniques and their applications in crop improvement is presented in Table 2.</w:t>
      </w:r>
    </w:p>
    <w:p w14:paraId="630DC979" w14:textId="77777777" w:rsidR="00F023C5" w:rsidRPr="005828EB" w:rsidRDefault="00F023C5" w:rsidP="005828EB">
      <w:pPr>
        <w:pStyle w:val="NoSpacing"/>
        <w:rPr>
          <w:rFonts w:ascii="Times New Roman" w:hAnsi="Times New Roman" w:cs="Times New Roman"/>
          <w:sz w:val="20"/>
          <w:szCs w:val="20"/>
        </w:rPr>
        <w:sectPr w:rsidR="00F023C5" w:rsidRPr="005828EB" w:rsidSect="00223189">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pPr>
    </w:p>
    <w:p w14:paraId="71BCC59B" w14:textId="5BD6957F" w:rsidR="00F023C5" w:rsidRPr="005828EB" w:rsidRDefault="00F023C5" w:rsidP="005828EB">
      <w:pPr>
        <w:pStyle w:val="NoSpacing"/>
        <w:jc w:val="center"/>
        <w:rPr>
          <w:rFonts w:ascii="Times New Roman" w:hAnsi="Times New Roman" w:cs="Times New Roman"/>
          <w:b/>
          <w:bCs/>
          <w:sz w:val="20"/>
          <w:szCs w:val="20"/>
        </w:rPr>
      </w:pPr>
      <w:r w:rsidRPr="005828EB">
        <w:rPr>
          <w:rFonts w:ascii="Times New Roman" w:hAnsi="Times New Roman" w:cs="Times New Roman"/>
          <w:b/>
          <w:bCs/>
          <w:sz w:val="20"/>
          <w:szCs w:val="20"/>
        </w:rPr>
        <w:lastRenderedPageBreak/>
        <w:t>Table 2. Artificial Intelligence and Machine Learning Techniques and Their Applications in Crop Improvement</w:t>
      </w:r>
    </w:p>
    <w:tbl>
      <w:tblPr>
        <w:tblStyle w:val="TableGrid"/>
        <w:tblW w:w="15040" w:type="dxa"/>
        <w:jc w:val="center"/>
        <w:tblLook w:val="04A0" w:firstRow="1" w:lastRow="0" w:firstColumn="1" w:lastColumn="0" w:noHBand="0" w:noVBand="1"/>
      </w:tblPr>
      <w:tblGrid>
        <w:gridCol w:w="2663"/>
        <w:gridCol w:w="2890"/>
        <w:gridCol w:w="3330"/>
        <w:gridCol w:w="4106"/>
        <w:gridCol w:w="2051"/>
      </w:tblGrid>
      <w:tr w:rsidR="00F023C5" w:rsidRPr="005828EB" w14:paraId="3BAE3478" w14:textId="77777777" w:rsidTr="00F023C5">
        <w:trPr>
          <w:trHeight w:val="456"/>
          <w:jc w:val="center"/>
        </w:trPr>
        <w:tc>
          <w:tcPr>
            <w:tcW w:w="0" w:type="auto"/>
            <w:vAlign w:val="center"/>
          </w:tcPr>
          <w:p w14:paraId="5EEE824D" w14:textId="184074A9"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AI/ML Technique</w:t>
            </w:r>
          </w:p>
        </w:tc>
        <w:tc>
          <w:tcPr>
            <w:tcW w:w="2890" w:type="dxa"/>
            <w:vAlign w:val="center"/>
          </w:tcPr>
          <w:p w14:paraId="7F09BA6E" w14:textId="7BC838F4"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Algorithm Type</w:t>
            </w:r>
          </w:p>
        </w:tc>
        <w:tc>
          <w:tcPr>
            <w:tcW w:w="3330" w:type="dxa"/>
            <w:vAlign w:val="center"/>
          </w:tcPr>
          <w:p w14:paraId="334214D5" w14:textId="4B3DE65F"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Input Data Type</w:t>
            </w:r>
          </w:p>
        </w:tc>
        <w:tc>
          <w:tcPr>
            <w:tcW w:w="4106" w:type="dxa"/>
            <w:vAlign w:val="center"/>
          </w:tcPr>
          <w:p w14:paraId="0926076C" w14:textId="20BB9C8F"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Key Applications in Crop Improvement</w:t>
            </w:r>
          </w:p>
        </w:tc>
        <w:tc>
          <w:tcPr>
            <w:tcW w:w="0" w:type="auto"/>
            <w:vAlign w:val="center"/>
          </w:tcPr>
          <w:p w14:paraId="12F77E1F" w14:textId="5871EFD1"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References</w:t>
            </w:r>
          </w:p>
        </w:tc>
      </w:tr>
      <w:tr w:rsidR="00F023C5" w:rsidRPr="005828EB" w14:paraId="7A83255D" w14:textId="77777777" w:rsidTr="00F023C5">
        <w:trPr>
          <w:trHeight w:val="682"/>
          <w:jc w:val="center"/>
        </w:trPr>
        <w:tc>
          <w:tcPr>
            <w:tcW w:w="0" w:type="auto"/>
            <w:vAlign w:val="center"/>
          </w:tcPr>
          <w:p w14:paraId="251FA4D4" w14:textId="260A04E9"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Random Forest (RF)</w:t>
            </w:r>
          </w:p>
        </w:tc>
        <w:tc>
          <w:tcPr>
            <w:tcW w:w="2890" w:type="dxa"/>
            <w:vAlign w:val="center"/>
          </w:tcPr>
          <w:p w14:paraId="4A032C8F" w14:textId="696B2C45"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Supervised (Ensemble learning)</w:t>
            </w:r>
          </w:p>
        </w:tc>
        <w:tc>
          <w:tcPr>
            <w:tcW w:w="3330" w:type="dxa"/>
            <w:vAlign w:val="center"/>
          </w:tcPr>
          <w:p w14:paraId="76D15817" w14:textId="4F8E33CC"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Genomic, phenotypic, environmental data</w:t>
            </w:r>
          </w:p>
        </w:tc>
        <w:tc>
          <w:tcPr>
            <w:tcW w:w="4106" w:type="dxa"/>
            <w:vAlign w:val="center"/>
          </w:tcPr>
          <w:p w14:paraId="582D6B02" w14:textId="1D66060F"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Trait prediction, marker importance, genomic selection</w:t>
            </w:r>
          </w:p>
        </w:tc>
        <w:tc>
          <w:tcPr>
            <w:tcW w:w="0" w:type="auto"/>
            <w:vAlign w:val="center"/>
          </w:tcPr>
          <w:p w14:paraId="616F00EB" w14:textId="6E0324F8"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Crossa et al., 2017</w:t>
            </w:r>
          </w:p>
        </w:tc>
      </w:tr>
      <w:tr w:rsidR="00F023C5" w:rsidRPr="005828EB" w14:paraId="7518576F" w14:textId="77777777" w:rsidTr="00F023C5">
        <w:trPr>
          <w:trHeight w:val="687"/>
          <w:jc w:val="center"/>
        </w:trPr>
        <w:tc>
          <w:tcPr>
            <w:tcW w:w="0" w:type="auto"/>
            <w:vAlign w:val="center"/>
          </w:tcPr>
          <w:p w14:paraId="143D5381" w14:textId="09AE2ECA"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Support Vector Machine (SVM)</w:t>
            </w:r>
          </w:p>
        </w:tc>
        <w:tc>
          <w:tcPr>
            <w:tcW w:w="2890" w:type="dxa"/>
            <w:vAlign w:val="center"/>
          </w:tcPr>
          <w:p w14:paraId="0FB932F0" w14:textId="7A45B60C"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Supervised (Classification/Regression)</w:t>
            </w:r>
          </w:p>
        </w:tc>
        <w:tc>
          <w:tcPr>
            <w:tcW w:w="3330" w:type="dxa"/>
            <w:vAlign w:val="center"/>
          </w:tcPr>
          <w:p w14:paraId="4EE3E812" w14:textId="5F65F32D"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Genomic and phenotypic data</w:t>
            </w:r>
          </w:p>
        </w:tc>
        <w:tc>
          <w:tcPr>
            <w:tcW w:w="4106" w:type="dxa"/>
            <w:vAlign w:val="center"/>
          </w:tcPr>
          <w:p w14:paraId="184ACDF0" w14:textId="652EF943"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Disease classification, genotype classification, stress response prediction</w:t>
            </w:r>
          </w:p>
        </w:tc>
        <w:tc>
          <w:tcPr>
            <w:tcW w:w="0" w:type="auto"/>
            <w:vAlign w:val="center"/>
          </w:tcPr>
          <w:p w14:paraId="08CB2A09" w14:textId="561D591A"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Liakos et al., 2018</w:t>
            </w:r>
          </w:p>
        </w:tc>
      </w:tr>
      <w:tr w:rsidR="00F023C5" w:rsidRPr="005828EB" w14:paraId="4B148980" w14:textId="77777777" w:rsidTr="00F023C5">
        <w:trPr>
          <w:trHeight w:val="682"/>
          <w:jc w:val="center"/>
        </w:trPr>
        <w:tc>
          <w:tcPr>
            <w:tcW w:w="0" w:type="auto"/>
            <w:vAlign w:val="center"/>
          </w:tcPr>
          <w:p w14:paraId="41DF380F" w14:textId="3EF02B83"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Artificial Neural Networks (ANN)</w:t>
            </w:r>
          </w:p>
        </w:tc>
        <w:tc>
          <w:tcPr>
            <w:tcW w:w="2890" w:type="dxa"/>
            <w:vAlign w:val="center"/>
          </w:tcPr>
          <w:p w14:paraId="2B765F4F" w14:textId="1EC21E1A"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Supervised (Non-linear modeling)</w:t>
            </w:r>
          </w:p>
        </w:tc>
        <w:tc>
          <w:tcPr>
            <w:tcW w:w="3330" w:type="dxa"/>
            <w:vAlign w:val="center"/>
          </w:tcPr>
          <w:p w14:paraId="77331497" w14:textId="1809994C"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Multi-omics, phenotypic data</w:t>
            </w:r>
          </w:p>
        </w:tc>
        <w:tc>
          <w:tcPr>
            <w:tcW w:w="4106" w:type="dxa"/>
            <w:vAlign w:val="center"/>
          </w:tcPr>
          <w:p w14:paraId="7DA9DC36" w14:textId="434AC7E2"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Yield prediction, trait modeling, environmental response analysis</w:t>
            </w:r>
          </w:p>
        </w:tc>
        <w:tc>
          <w:tcPr>
            <w:tcW w:w="0" w:type="auto"/>
            <w:vAlign w:val="center"/>
          </w:tcPr>
          <w:p w14:paraId="78721174" w14:textId="26E309B0"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Ma et al., 2020</w:t>
            </w:r>
          </w:p>
        </w:tc>
      </w:tr>
      <w:tr w:rsidR="00F023C5" w:rsidRPr="005828EB" w14:paraId="16183EB3" w14:textId="77777777" w:rsidTr="00F023C5">
        <w:trPr>
          <w:trHeight w:val="456"/>
          <w:jc w:val="center"/>
        </w:trPr>
        <w:tc>
          <w:tcPr>
            <w:tcW w:w="0" w:type="auto"/>
            <w:vAlign w:val="center"/>
          </w:tcPr>
          <w:p w14:paraId="6DEBBECD" w14:textId="6EF75D95"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Deep Neural Networks (DNN)</w:t>
            </w:r>
          </w:p>
        </w:tc>
        <w:tc>
          <w:tcPr>
            <w:tcW w:w="2890" w:type="dxa"/>
            <w:vAlign w:val="center"/>
          </w:tcPr>
          <w:p w14:paraId="0803AD5F" w14:textId="22CE0342"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Deep learning</w:t>
            </w:r>
          </w:p>
        </w:tc>
        <w:tc>
          <w:tcPr>
            <w:tcW w:w="3330" w:type="dxa"/>
            <w:vAlign w:val="center"/>
          </w:tcPr>
          <w:p w14:paraId="101EC266" w14:textId="545FC4A1"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Genomic and multi-omics data</w:t>
            </w:r>
          </w:p>
        </w:tc>
        <w:tc>
          <w:tcPr>
            <w:tcW w:w="4106" w:type="dxa"/>
            <w:vAlign w:val="center"/>
          </w:tcPr>
          <w:p w14:paraId="07146EF7" w14:textId="79074387"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Genomic prediction, complex trait modeling</w:t>
            </w:r>
          </w:p>
        </w:tc>
        <w:tc>
          <w:tcPr>
            <w:tcW w:w="0" w:type="auto"/>
            <w:vAlign w:val="center"/>
          </w:tcPr>
          <w:p w14:paraId="35F1BE24" w14:textId="26B69997"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Montesinos-López et al., 2018</w:t>
            </w:r>
          </w:p>
        </w:tc>
      </w:tr>
      <w:tr w:rsidR="00F023C5" w:rsidRPr="005828EB" w14:paraId="368D6660" w14:textId="77777777" w:rsidTr="00F023C5">
        <w:trPr>
          <w:trHeight w:val="342"/>
          <w:jc w:val="center"/>
        </w:trPr>
        <w:tc>
          <w:tcPr>
            <w:tcW w:w="0" w:type="auto"/>
            <w:vAlign w:val="center"/>
          </w:tcPr>
          <w:p w14:paraId="3B2A27C7" w14:textId="462EFFF6"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Convolutional Neural Networks (CNN)</w:t>
            </w:r>
          </w:p>
        </w:tc>
        <w:tc>
          <w:tcPr>
            <w:tcW w:w="2890" w:type="dxa"/>
            <w:vAlign w:val="center"/>
          </w:tcPr>
          <w:p w14:paraId="5B44D376" w14:textId="141E4C7F"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Deep learning (Image analysis)</w:t>
            </w:r>
          </w:p>
        </w:tc>
        <w:tc>
          <w:tcPr>
            <w:tcW w:w="3330" w:type="dxa"/>
            <w:vAlign w:val="center"/>
          </w:tcPr>
          <w:p w14:paraId="7A712B5B" w14:textId="69696C97"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Image data (RGB, hyperspectral, thermal)</w:t>
            </w:r>
          </w:p>
        </w:tc>
        <w:tc>
          <w:tcPr>
            <w:tcW w:w="4106" w:type="dxa"/>
            <w:vAlign w:val="center"/>
          </w:tcPr>
          <w:p w14:paraId="62994BED" w14:textId="0C77CF80"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Disease detection, phenotyping, biomass estimation</w:t>
            </w:r>
          </w:p>
        </w:tc>
        <w:tc>
          <w:tcPr>
            <w:tcW w:w="0" w:type="auto"/>
            <w:vAlign w:val="center"/>
          </w:tcPr>
          <w:p w14:paraId="2E02A554" w14:textId="6B601187"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Mohanty et al., 2016</w:t>
            </w:r>
          </w:p>
        </w:tc>
      </w:tr>
      <w:tr w:rsidR="00F023C5" w:rsidRPr="005828EB" w14:paraId="2D70C47B" w14:textId="77777777" w:rsidTr="00F023C5">
        <w:trPr>
          <w:trHeight w:val="56"/>
          <w:jc w:val="center"/>
        </w:trPr>
        <w:tc>
          <w:tcPr>
            <w:tcW w:w="0" w:type="auto"/>
            <w:vAlign w:val="center"/>
          </w:tcPr>
          <w:p w14:paraId="699D4910" w14:textId="5F8D5271"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Recurrent Neural Networks (RNN)</w:t>
            </w:r>
          </w:p>
        </w:tc>
        <w:tc>
          <w:tcPr>
            <w:tcW w:w="2890" w:type="dxa"/>
            <w:vAlign w:val="center"/>
          </w:tcPr>
          <w:p w14:paraId="5208E2FF" w14:textId="4BA09031"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Deep learning (Time-series analysis)</w:t>
            </w:r>
          </w:p>
        </w:tc>
        <w:tc>
          <w:tcPr>
            <w:tcW w:w="3330" w:type="dxa"/>
            <w:vAlign w:val="center"/>
          </w:tcPr>
          <w:p w14:paraId="39F937F7" w14:textId="69C88B27"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Temporal phenotypic and environmental data</w:t>
            </w:r>
          </w:p>
        </w:tc>
        <w:tc>
          <w:tcPr>
            <w:tcW w:w="4106" w:type="dxa"/>
            <w:vAlign w:val="center"/>
          </w:tcPr>
          <w:p w14:paraId="28E4C4B7" w14:textId="4D8F51D3"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Growth modeling, stress progression analysis</w:t>
            </w:r>
          </w:p>
        </w:tc>
        <w:tc>
          <w:tcPr>
            <w:tcW w:w="0" w:type="auto"/>
            <w:vAlign w:val="center"/>
          </w:tcPr>
          <w:p w14:paraId="6B5B6CFB" w14:textId="0E42F2C2"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Ma et al., 2020</w:t>
            </w:r>
          </w:p>
        </w:tc>
      </w:tr>
      <w:tr w:rsidR="00F023C5" w:rsidRPr="005828EB" w14:paraId="7D4A47D1" w14:textId="77777777" w:rsidTr="00F023C5">
        <w:trPr>
          <w:trHeight w:val="56"/>
          <w:jc w:val="center"/>
        </w:trPr>
        <w:tc>
          <w:tcPr>
            <w:tcW w:w="0" w:type="auto"/>
            <w:vAlign w:val="center"/>
          </w:tcPr>
          <w:p w14:paraId="5A2E80B8" w14:textId="3967AD8E"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Gradient Boosting Machines (GBM)</w:t>
            </w:r>
          </w:p>
        </w:tc>
        <w:tc>
          <w:tcPr>
            <w:tcW w:w="2890" w:type="dxa"/>
            <w:vAlign w:val="center"/>
          </w:tcPr>
          <w:p w14:paraId="450CEB1C" w14:textId="5979F973"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Ensemble learning</w:t>
            </w:r>
          </w:p>
        </w:tc>
        <w:tc>
          <w:tcPr>
            <w:tcW w:w="3330" w:type="dxa"/>
            <w:vAlign w:val="center"/>
          </w:tcPr>
          <w:p w14:paraId="1BA469F7" w14:textId="37639AF4"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Genomic and environmental data</w:t>
            </w:r>
          </w:p>
        </w:tc>
        <w:tc>
          <w:tcPr>
            <w:tcW w:w="4106" w:type="dxa"/>
            <w:vAlign w:val="center"/>
          </w:tcPr>
          <w:p w14:paraId="0D81E593" w14:textId="033C44E2"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Genomic selection, yield prediction</w:t>
            </w:r>
          </w:p>
        </w:tc>
        <w:tc>
          <w:tcPr>
            <w:tcW w:w="0" w:type="auto"/>
            <w:vAlign w:val="center"/>
          </w:tcPr>
          <w:p w14:paraId="4B50FEC2" w14:textId="3A2B3518"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Crossa et al., 2017</w:t>
            </w:r>
          </w:p>
        </w:tc>
      </w:tr>
      <w:tr w:rsidR="00F023C5" w:rsidRPr="005828EB" w14:paraId="63ED05DA" w14:textId="77777777" w:rsidTr="00F023C5">
        <w:trPr>
          <w:trHeight w:val="56"/>
          <w:jc w:val="center"/>
        </w:trPr>
        <w:tc>
          <w:tcPr>
            <w:tcW w:w="0" w:type="auto"/>
            <w:vAlign w:val="center"/>
          </w:tcPr>
          <w:p w14:paraId="25B219FC" w14:textId="26A0ACE5"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K-means Clustering</w:t>
            </w:r>
          </w:p>
        </w:tc>
        <w:tc>
          <w:tcPr>
            <w:tcW w:w="2890" w:type="dxa"/>
            <w:vAlign w:val="center"/>
          </w:tcPr>
          <w:p w14:paraId="3C9B922B" w14:textId="7D158921"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Unsupervised learning</w:t>
            </w:r>
          </w:p>
        </w:tc>
        <w:tc>
          <w:tcPr>
            <w:tcW w:w="3330" w:type="dxa"/>
            <w:vAlign w:val="center"/>
          </w:tcPr>
          <w:p w14:paraId="3743493F" w14:textId="3E3AC32E"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Omics and phenotypic data</w:t>
            </w:r>
          </w:p>
        </w:tc>
        <w:tc>
          <w:tcPr>
            <w:tcW w:w="4106" w:type="dxa"/>
            <w:vAlign w:val="center"/>
          </w:tcPr>
          <w:p w14:paraId="2B5DD69F" w14:textId="6F5E8FDA"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Genotype grouping, diversity analysis</w:t>
            </w:r>
          </w:p>
        </w:tc>
        <w:tc>
          <w:tcPr>
            <w:tcW w:w="0" w:type="auto"/>
            <w:vAlign w:val="center"/>
          </w:tcPr>
          <w:p w14:paraId="49FF5858" w14:textId="19C19DBA"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Liakos et al., 2018</w:t>
            </w:r>
          </w:p>
        </w:tc>
      </w:tr>
      <w:tr w:rsidR="00F023C5" w:rsidRPr="005828EB" w14:paraId="36E8C1BC" w14:textId="77777777" w:rsidTr="00F023C5">
        <w:trPr>
          <w:trHeight w:val="682"/>
          <w:jc w:val="center"/>
        </w:trPr>
        <w:tc>
          <w:tcPr>
            <w:tcW w:w="0" w:type="auto"/>
            <w:vAlign w:val="center"/>
          </w:tcPr>
          <w:p w14:paraId="17066CE4" w14:textId="33CCA20B"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b/>
                <w:bCs/>
                <w:sz w:val="20"/>
                <w:szCs w:val="20"/>
              </w:rPr>
              <w:t>Principal Component Analysis (PCA)</w:t>
            </w:r>
          </w:p>
        </w:tc>
        <w:tc>
          <w:tcPr>
            <w:tcW w:w="2890" w:type="dxa"/>
            <w:vAlign w:val="center"/>
          </w:tcPr>
          <w:p w14:paraId="6C8C217F" w14:textId="4C713FAF"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Unsupervised (Dimensionality reduction)</w:t>
            </w:r>
          </w:p>
        </w:tc>
        <w:tc>
          <w:tcPr>
            <w:tcW w:w="3330" w:type="dxa"/>
            <w:vAlign w:val="center"/>
          </w:tcPr>
          <w:p w14:paraId="56EDE797" w14:textId="2FA5058D"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Multi-omics datasets</w:t>
            </w:r>
          </w:p>
        </w:tc>
        <w:tc>
          <w:tcPr>
            <w:tcW w:w="4106" w:type="dxa"/>
            <w:vAlign w:val="center"/>
          </w:tcPr>
          <w:p w14:paraId="7FDA7FC4" w14:textId="68D2B80E"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Data reduction, pattern recognition, trait association</w:t>
            </w:r>
          </w:p>
        </w:tc>
        <w:tc>
          <w:tcPr>
            <w:tcW w:w="0" w:type="auto"/>
            <w:vAlign w:val="center"/>
          </w:tcPr>
          <w:p w14:paraId="7C648254" w14:textId="76EBD603" w:rsidR="00CF5704" w:rsidRPr="005828EB" w:rsidRDefault="00CF5704" w:rsidP="005828EB">
            <w:pPr>
              <w:pStyle w:val="NoSpacing"/>
              <w:ind w:left="0"/>
              <w:jc w:val="center"/>
              <w:rPr>
                <w:rFonts w:ascii="Times New Roman" w:hAnsi="Times New Roman" w:cs="Times New Roman"/>
                <w:sz w:val="20"/>
                <w:szCs w:val="20"/>
              </w:rPr>
            </w:pPr>
            <w:r w:rsidRPr="005828EB">
              <w:rPr>
                <w:rFonts w:ascii="Times New Roman" w:hAnsi="Times New Roman" w:cs="Times New Roman"/>
                <w:sz w:val="20"/>
                <w:szCs w:val="20"/>
              </w:rPr>
              <w:t>Misra &amp; Langefeld, 2021</w:t>
            </w:r>
          </w:p>
        </w:tc>
      </w:tr>
    </w:tbl>
    <w:p w14:paraId="22F71F12" w14:textId="77777777" w:rsidR="00F023C5" w:rsidRPr="005828EB" w:rsidRDefault="00F023C5" w:rsidP="005828EB">
      <w:pPr>
        <w:pStyle w:val="NoSpacing"/>
        <w:rPr>
          <w:rFonts w:ascii="Times New Roman" w:hAnsi="Times New Roman" w:cs="Times New Roman"/>
          <w:sz w:val="20"/>
          <w:szCs w:val="20"/>
        </w:rPr>
        <w:sectPr w:rsidR="00F023C5" w:rsidRPr="005828EB" w:rsidSect="00F023C5">
          <w:pgSz w:w="16838" w:h="11906" w:orient="landscape"/>
          <w:pgMar w:top="1440" w:right="1440" w:bottom="1440" w:left="1440" w:header="708" w:footer="708" w:gutter="0"/>
          <w:cols w:space="708"/>
          <w:docGrid w:linePitch="360"/>
        </w:sectPr>
      </w:pPr>
    </w:p>
    <w:p w14:paraId="41751A7C"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lastRenderedPageBreak/>
        <w:t>4.4 AI in Genomic Selection</w:t>
      </w:r>
    </w:p>
    <w:p w14:paraId="4485DB0B"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Genomic selection (GS) has become a cornerstone of modern plant breeding, enabling the prediction of breeding values based on genome-wide marker information. Traditional GS models, such as genomic best linear unbiased prediction (GBLUP), assume linear relationships between markers and traits. However, many agronomic traits exhibit non-linear and epistatic interactions that are not fully captured by these models.</w:t>
      </w:r>
    </w:p>
    <w:p w14:paraId="5E310039"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AI-based approaches, particularly machine learning and deep learning models, have been increasingly applied to enhance genomic selection. Algorithms such as Random Forest, Gradient Boosting Machines, and deep neural networks can model complex, non-linear relationships between genotype and phenotype, thereby improving prediction accuracy.</w:t>
      </w:r>
    </w:p>
    <w:p w14:paraId="18E272A3"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AI-driven GS models also allow the incorporation of additional data layers, such as environmental variables and phenomic data, leading to more robust predictions under diverse conditions. This is particularly important for addressing genotype × environment interactions, which play a critical role in trait expression.</w:t>
      </w:r>
    </w:p>
    <w:p w14:paraId="42548838" w14:textId="62C5D7B4"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By improving the accuracy of genomic estimated breeding values (GEBVs), AI-based genomic selection enables earlier and more reliable selection of superior genotypes, reducing breeding cycle duration and increasing genetic gain (Montesinos-López et al., 2018).</w:t>
      </w:r>
      <w:r w:rsidR="00CA1052" w:rsidRPr="005828EB">
        <w:rPr>
          <w:sz w:val="20"/>
          <w:szCs w:val="20"/>
        </w:rPr>
        <w:t xml:space="preserve"> </w:t>
      </w:r>
      <w:r w:rsidR="00CA1052" w:rsidRPr="005828EB">
        <w:rPr>
          <w:rFonts w:ascii="Times New Roman" w:hAnsi="Times New Roman" w:cs="Times New Roman"/>
          <w:sz w:val="20"/>
          <w:szCs w:val="20"/>
        </w:rPr>
        <w:t>The workflow of AI-assisted genomic selection, integrating genotypic and phenotypic data with machine learning models for predicting breeding values, is illustrated in Fig. 2.</w:t>
      </w:r>
    </w:p>
    <w:p w14:paraId="6A90C0D7" w14:textId="77777777" w:rsidR="00CA1052" w:rsidRPr="005828EB" w:rsidRDefault="00CA1052" w:rsidP="005828EB">
      <w:pPr>
        <w:pStyle w:val="NoSpacing"/>
        <w:rPr>
          <w:rFonts w:ascii="Times New Roman" w:hAnsi="Times New Roman" w:cs="Times New Roman"/>
          <w:sz w:val="20"/>
          <w:szCs w:val="20"/>
        </w:rPr>
      </w:pPr>
    </w:p>
    <w:p w14:paraId="2210CDDF" w14:textId="4258992B" w:rsidR="00CA1052" w:rsidRPr="005828EB" w:rsidRDefault="00CA1052" w:rsidP="005828EB">
      <w:pPr>
        <w:pStyle w:val="NoSpacing"/>
        <w:jc w:val="center"/>
        <w:rPr>
          <w:rFonts w:ascii="Times New Roman" w:hAnsi="Times New Roman" w:cs="Times New Roman"/>
          <w:sz w:val="20"/>
          <w:szCs w:val="20"/>
        </w:rPr>
      </w:pPr>
      <w:r w:rsidRPr="005828EB">
        <w:rPr>
          <w:rFonts w:ascii="Times New Roman" w:hAnsi="Times New Roman" w:cs="Times New Roman"/>
          <w:noProof/>
          <w:sz w:val="20"/>
          <w:szCs w:val="20"/>
        </w:rPr>
        <w:drawing>
          <wp:inline distT="0" distB="0" distL="0" distR="0" wp14:anchorId="429F1140" wp14:editId="6EC54E82">
            <wp:extent cx="5115308" cy="4785067"/>
            <wp:effectExtent l="19050" t="19050" r="28575" b="15875"/>
            <wp:docPr id="15398385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rotWithShape="1">
                    <a:blip r:embed="rId15">
                      <a:extLst>
                        <a:ext uri="{28A0092B-C50C-407E-A947-70E740481C1C}">
                          <a14:useLocalDpi xmlns:a14="http://schemas.microsoft.com/office/drawing/2010/main" val="0"/>
                        </a:ext>
                      </a:extLst>
                    </a:blip>
                    <a:srcRect b="8972"/>
                    <a:stretch>
                      <a:fillRect/>
                    </a:stretch>
                  </pic:blipFill>
                  <pic:spPr bwMode="auto">
                    <a:xfrm>
                      <a:off x="0" y="0"/>
                      <a:ext cx="5127598" cy="479656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1F2E291C" w14:textId="00F5E1E1" w:rsidR="00CA1052" w:rsidRPr="005828EB" w:rsidRDefault="00CA1052" w:rsidP="005828EB">
      <w:pPr>
        <w:pStyle w:val="NoSpacing"/>
        <w:jc w:val="center"/>
        <w:rPr>
          <w:rFonts w:ascii="Times New Roman" w:hAnsi="Times New Roman" w:cs="Times New Roman"/>
          <w:sz w:val="20"/>
          <w:szCs w:val="20"/>
        </w:rPr>
      </w:pPr>
      <w:r w:rsidRPr="005828EB">
        <w:rPr>
          <w:rFonts w:ascii="Times New Roman" w:hAnsi="Times New Roman" w:cs="Times New Roman"/>
          <w:b/>
          <w:bCs/>
          <w:sz w:val="20"/>
          <w:szCs w:val="20"/>
        </w:rPr>
        <w:t>Fig. 2.</w:t>
      </w:r>
      <w:r w:rsidRPr="005828EB">
        <w:rPr>
          <w:rFonts w:ascii="Times New Roman" w:hAnsi="Times New Roman" w:cs="Times New Roman"/>
          <w:sz w:val="20"/>
          <w:szCs w:val="20"/>
        </w:rPr>
        <w:t xml:space="preserve"> Workflow of AI-assisted genomic selection in crop breeding.</w:t>
      </w:r>
    </w:p>
    <w:p w14:paraId="0C957875"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4.5 Integration of AI with Multi-Omics</w:t>
      </w:r>
    </w:p>
    <w:p w14:paraId="5D3AE25D"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integration of AI with multi-omics data represents a major advancement in crop improvement, enabling the simultaneous analysis of complex datasets across multiple biological layers. AI algorithms are particularly well-suited for handling the high dimensionality, heterogeneity, and noise associated with multi-omics data.</w:t>
      </w:r>
    </w:p>
    <w:p w14:paraId="370AFD07"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Multi-layer data fusion techniques combine information from genomics, transcriptomics, proteomics, metabolomics, and phenomics to construct comprehensive models of biological systems. Machine learning methods such as multi-view learning, deep neural networks, and ensemble models are used to integrate these datasets and identify key features associated with target traits.</w:t>
      </w:r>
    </w:p>
    <w:p w14:paraId="3B99B6F5"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lastRenderedPageBreak/>
        <w:t>AI-driven predictive modeling of complex traits leverages integrated multi-omics data to improve the accuracy of trait prediction and identify causal relationships. For example, combining genomic markers with gene expression and metabolite profiles can enhance the prediction of nutritional traits such as protein content, micronutrient accumulation, and bioactive compound synthesis.</w:t>
      </w:r>
    </w:p>
    <w:p w14:paraId="130C9E70"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Network-based deep learning models and graph-based approaches are increasingly being used to model interactions among genes, proteins, and metabolites, providing insights into regulatory networks and pathway dynamics. These integrative models facilitate the identification of candidate genes and biomarkers for targeted breeding.</w:t>
      </w:r>
    </w:p>
    <w:p w14:paraId="6626E276"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Overall, the convergence of AI and multi-omics is enabling a shift towards data-driven, predictive, and precision breeding, where decisions are guided by comprehensive models rather than empirical observations alone. This integrative approach holds immense potential for accelerating crop improvement and addressing global challenges related to food and nutritional security.</w:t>
      </w:r>
    </w:p>
    <w:p w14:paraId="1D88B166" w14:textId="77777777" w:rsidR="00F82FC9" w:rsidRPr="005828EB" w:rsidRDefault="00F82FC9" w:rsidP="005828EB">
      <w:pPr>
        <w:pStyle w:val="NoSpacing"/>
        <w:rPr>
          <w:rFonts w:ascii="Times New Roman" w:hAnsi="Times New Roman" w:cs="Times New Roman"/>
          <w:sz w:val="20"/>
          <w:szCs w:val="20"/>
        </w:rPr>
      </w:pPr>
    </w:p>
    <w:p w14:paraId="152F24DC"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5. Applications in Crop Improvement for Nutritional Security</w:t>
      </w:r>
    </w:p>
    <w:p w14:paraId="4CA5D7F9"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convergence of multi-omics technologies and artificial intelligence (AI) has significantly expanded the scope of crop improvement, particularly in addressing nutritional security. These integrative approaches enable precise dissection of complex traits, facilitate predictive breeding, and accelerate the development of nutrient-dense, climate-resilient crop varieties. Applications span from biofortification of staple crops to optimization of yield stability under variable environments, offering sustainable solutions to global malnutrition and food insecurity.</w:t>
      </w:r>
    </w:p>
    <w:p w14:paraId="474625F9" w14:textId="77777777" w:rsidR="00F82FC9" w:rsidRPr="005828EB" w:rsidRDefault="00F82FC9" w:rsidP="005828EB">
      <w:pPr>
        <w:pStyle w:val="NoSpacing"/>
        <w:rPr>
          <w:rFonts w:ascii="Times New Roman" w:hAnsi="Times New Roman" w:cs="Times New Roman"/>
          <w:b/>
          <w:bCs/>
          <w:sz w:val="20"/>
          <w:szCs w:val="20"/>
        </w:rPr>
      </w:pPr>
    </w:p>
    <w:p w14:paraId="7797CE18" w14:textId="200A5406"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5.1 Biofortification of Staple Crops</w:t>
      </w:r>
    </w:p>
    <w:p w14:paraId="15CA6B1A"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Biofortification, the process of enhancing the nutritional quality of crops through genetic improvement, has emerged as a cost-effective and sustainable strategy to combat micronutrient deficiencies. Multi-omics approaches have played a pivotal role in identifying genes, pathways, and regulatory networks associated with nutrient accumulation, while AI tools have enhanced the precision of trait prediction and selection.</w:t>
      </w:r>
    </w:p>
    <w:p w14:paraId="237BD11C"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Iron, zinc, and protein enhancement:</w:t>
      </w:r>
    </w:p>
    <w:p w14:paraId="117B8C01" w14:textId="6011E1A2"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Genomic and transcriptomic studies have identified key genes involved in micronutrient uptake, transport, and storage, such as </w:t>
      </w:r>
      <w:r w:rsidRPr="005828EB">
        <w:rPr>
          <w:rFonts w:ascii="Times New Roman" w:hAnsi="Times New Roman" w:cs="Times New Roman"/>
          <w:i/>
          <w:iCs/>
          <w:sz w:val="20"/>
          <w:szCs w:val="20"/>
        </w:rPr>
        <w:t>ZIP</w:t>
      </w:r>
      <w:r w:rsidRPr="005828EB">
        <w:rPr>
          <w:rFonts w:ascii="Times New Roman" w:hAnsi="Times New Roman" w:cs="Times New Roman"/>
          <w:sz w:val="20"/>
          <w:szCs w:val="20"/>
        </w:rPr>
        <w:t xml:space="preserve">, </w:t>
      </w:r>
      <w:r w:rsidRPr="005828EB">
        <w:rPr>
          <w:rFonts w:ascii="Times New Roman" w:hAnsi="Times New Roman" w:cs="Times New Roman"/>
          <w:i/>
          <w:iCs/>
          <w:sz w:val="20"/>
          <w:szCs w:val="20"/>
        </w:rPr>
        <w:t>NRAMP</w:t>
      </w:r>
      <w:r w:rsidRPr="005828EB">
        <w:rPr>
          <w:rFonts w:ascii="Times New Roman" w:hAnsi="Times New Roman" w:cs="Times New Roman"/>
          <w:sz w:val="20"/>
          <w:szCs w:val="20"/>
        </w:rPr>
        <w:t xml:space="preserve">, and </w:t>
      </w:r>
      <w:r w:rsidRPr="005828EB">
        <w:rPr>
          <w:rFonts w:ascii="Times New Roman" w:hAnsi="Times New Roman" w:cs="Times New Roman"/>
          <w:i/>
          <w:iCs/>
          <w:sz w:val="20"/>
          <w:szCs w:val="20"/>
        </w:rPr>
        <w:t>NAS</w:t>
      </w:r>
      <w:r w:rsidRPr="005828EB">
        <w:rPr>
          <w:rFonts w:ascii="Times New Roman" w:hAnsi="Times New Roman" w:cs="Times New Roman"/>
          <w:sz w:val="20"/>
          <w:szCs w:val="20"/>
        </w:rPr>
        <w:t xml:space="preserve"> gene families. Metabolomic profiling has further elucidated pathways influencing nutrient bioavailability. For instance, genome-wide association studies (GWAS) have identified loci associated with grain iron and zinc content in cereals and legumes, enabling marker-assisted breeding for micronutrient enrichment (Bouis and Saltzman, 2017).</w:t>
      </w:r>
    </w:p>
    <w:p w14:paraId="01ACAEA7"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Case studies in rice, wheat, and pulses:</w:t>
      </w:r>
    </w:p>
    <w:p w14:paraId="4BB6C7BF" w14:textId="58B4E042"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rice, the development of biofortified varieties such as “Golden Rice” (enhanced with provitamin A) demonstrates the integration of genomics and metabolic engineering. Similarly, wheat breeding programs have successfully increased grain zinc and iron concentrations using marker-assisted selection and genomic selection approaches. In pulses, including lentil, chickpea, and mungbean, multi-omics studies have identified candidate genes associated with protein content and micronutrient accumulation, facilitating the development of nutritionally superior genotypes. The integration of AI models with omics data has further improved prediction accuracy for these traits, enabling efficient selection in breeding pipelines.</w:t>
      </w:r>
    </w:p>
    <w:p w14:paraId="3E19CBDE" w14:textId="623BFF42" w:rsidR="004053EB" w:rsidRPr="005828EB" w:rsidRDefault="004053EB" w:rsidP="005828EB">
      <w:pPr>
        <w:pStyle w:val="NoSpacing"/>
        <w:rPr>
          <w:rFonts w:ascii="Times New Roman" w:hAnsi="Times New Roman" w:cs="Times New Roman"/>
          <w:sz w:val="20"/>
          <w:szCs w:val="20"/>
        </w:rPr>
      </w:pPr>
    </w:p>
    <w:p w14:paraId="7EAEE98C"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5.2 Yield Improvement and Stability</w:t>
      </w:r>
    </w:p>
    <w:p w14:paraId="1742A143"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Enhancing crop yield while maintaining stability across diverse environments remains a primary objective of plant breeding. Yield is a highly complex trait influenced by multiple genetic, physiological, and environmental factors, making it an ideal candidate for multi-omics and AI-based approaches.</w:t>
      </w:r>
    </w:p>
    <w:p w14:paraId="7E041555"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Multi-trait optimization:</w:t>
      </w:r>
    </w:p>
    <w:p w14:paraId="7231557D" w14:textId="7DB34A72"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Traditional breeding often focuses on individual traits, whereas modern approaches aim to simultaneously optimize multiple traits, including yield, nutritional quality, and stress tolerance. Multi-omics integration enables the identification of genomic regions and pathways influencing multiple traits, while machine learning models facilitate multi-trait prediction and selection.</w:t>
      </w:r>
    </w:p>
    <w:p w14:paraId="57A6CA1A"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AI-driven selection:</w:t>
      </w:r>
    </w:p>
    <w:p w14:paraId="69A9878E" w14:textId="34A4275B"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AI algorithms, such as Random Forest, Gradient Boosting, and deep neural networks, have been widely applied to predict yield performance based on genomic, phenomic, and environmental data. These models capture complex non-linear interactions and genotype × environment (G×E) effects, improving selection accuracy compared to conventional statistical methods. AI-driven genomic selection models enable early identification of high-performing genotypes, thereby reducing breeding cycle duration and accelerating genetic gain (Crossa et al., 2017).</w:t>
      </w:r>
    </w:p>
    <w:p w14:paraId="27C24933" w14:textId="4B2EE2D3" w:rsidR="004053EB" w:rsidRPr="005828EB" w:rsidRDefault="004053EB" w:rsidP="005828EB">
      <w:pPr>
        <w:pStyle w:val="NoSpacing"/>
        <w:rPr>
          <w:rFonts w:ascii="Times New Roman" w:hAnsi="Times New Roman" w:cs="Times New Roman"/>
          <w:sz w:val="20"/>
          <w:szCs w:val="20"/>
        </w:rPr>
      </w:pPr>
    </w:p>
    <w:p w14:paraId="637EF19B"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5.3 Stress Tolerance and Climate Resilience</w:t>
      </w:r>
    </w:p>
    <w:p w14:paraId="1807BD79"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lastRenderedPageBreak/>
        <w:t>Climate change poses significant challenges to global agriculture, necessitating the development of crop varieties that can withstand abiotic stresses such as drought, heat, and salinity. Multi-omics approaches provide comprehensive insights into stress-responsive mechanisms, while AI facilitates the integration and analysis of complex datasets.</w:t>
      </w:r>
    </w:p>
    <w:p w14:paraId="41FF7F64"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Drought, heat, and salinity tolerance:</w:t>
      </w:r>
    </w:p>
    <w:p w14:paraId="7BFC8F97" w14:textId="01C7059C"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Genomic studies have identified numerous QTLs and genes associated with stress tolerance, while transcriptomic analyses reveal stress-responsive gene expression patterns. Proteomics and metabolomics further elucidate adaptive mechanisms, such as osmolyte accumulation, antioxidant activity, and stress signaling pathways. For example, metabolomic profiling has identified key metabolites involved in drought tolerance, including proline and sugars, which contribute to osmotic adjustment.</w:t>
      </w:r>
    </w:p>
    <w:p w14:paraId="44DA69D4"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Omics-assisted stress breeding:</w:t>
      </w:r>
    </w:p>
    <w:p w14:paraId="231D7C62" w14:textId="0A1AB1A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integration of multi-omics data enables the identification of candidate genes and biomarkers for stress tolerance, which can be used in marker-assisted selection and genomic selection. AI models enhance the prediction of stress responses by incorporating environmental variables and phenotypic data. High-throughput phenotyping platforms, combined with deep learning, enable rapid screening of large populations for stress tolerance traits. These integrative approaches facilitate the development of climate-resilient crop varieties capable of maintaining productivity under adverse conditions.</w:t>
      </w:r>
    </w:p>
    <w:p w14:paraId="3D397E10" w14:textId="78DBCDBF" w:rsidR="004053EB" w:rsidRPr="005828EB" w:rsidRDefault="004053EB" w:rsidP="005828EB">
      <w:pPr>
        <w:pStyle w:val="NoSpacing"/>
        <w:rPr>
          <w:rFonts w:ascii="Times New Roman" w:hAnsi="Times New Roman" w:cs="Times New Roman"/>
          <w:sz w:val="20"/>
          <w:szCs w:val="20"/>
        </w:rPr>
      </w:pPr>
    </w:p>
    <w:p w14:paraId="61A60A12"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5.4 Precision Breeding</w:t>
      </w:r>
    </w:p>
    <w:p w14:paraId="39DD41B6"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Precision breeding represents the next frontier in crop improvement, combining advanced molecular tools with data-driven approaches to achieve targeted genetic modifications. The integration of genome editing technologies, multi-omics data, and AI is revolutionizing the development of improved crop varieties.</w:t>
      </w:r>
    </w:p>
    <w:p w14:paraId="4B98213C"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CRISPR/Cas and omics integration:</w:t>
      </w:r>
    </w:p>
    <w:p w14:paraId="782EAF8A" w14:textId="263FCE58"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Genome editing tools such as CRISPR/Cas systems enable precise modification of target genes associated with desirable traits. Multi-omics data guide the identification of candidate genes and regulatory elements for editing, ensuring targeted and efficient interventions. For example, genes involved in nutrient metabolism, stress response, and yield components can be precisely edited to enhance crop performance.</w:t>
      </w:r>
    </w:p>
    <w:p w14:paraId="5E940AE4"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AI-assisted precision breeding:</w:t>
      </w:r>
    </w:p>
    <w:p w14:paraId="32114BD4" w14:textId="7072BBF2"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AI algorithms facilitate the identification of optimal gene targets, prediction of editing outcomes, and assessment of potential off-target effects. Machine learning models can analyze large-scale omics datasets to prioritize candidate genes for editing and predict their impact on phenotype. This integration reduces trial-and-error experimentation and accelerates the development of improved crop varieties.</w:t>
      </w:r>
    </w:p>
    <w:p w14:paraId="5C96BFE2"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synergy between CRISPR/Cas, multi-omics, and AI enables the design of crops with enhanced nutritional quality, improved yield, and increased resilience, thereby contributing to sustainable agriculture.</w:t>
      </w:r>
    </w:p>
    <w:p w14:paraId="1E4C1FF7" w14:textId="65CDD5A5" w:rsidR="004053EB" w:rsidRPr="005828EB" w:rsidRDefault="004053EB" w:rsidP="005828EB">
      <w:pPr>
        <w:pStyle w:val="NoSpacing"/>
        <w:rPr>
          <w:rFonts w:ascii="Times New Roman" w:hAnsi="Times New Roman" w:cs="Times New Roman"/>
          <w:sz w:val="20"/>
          <w:szCs w:val="20"/>
        </w:rPr>
      </w:pPr>
    </w:p>
    <w:p w14:paraId="6972F88E"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5.5 Orphan Crops and Underutilized Species</w:t>
      </w:r>
    </w:p>
    <w:p w14:paraId="7AB657C5"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Orphan crops and underutilized species, such as millets, pulses, and indigenous legumes, hold immense potential for improving nutritional security, particularly in marginal and resource-poor environments. These crops are often rich in micronutrients, proteins, and bioactive compounds but have received limited research attention compared to major cereals.</w:t>
      </w:r>
    </w:p>
    <w:p w14:paraId="41BF1040"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Nutritional potential:</w:t>
      </w:r>
    </w:p>
    <w:p w14:paraId="405207E5" w14:textId="59DF47AE"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Many orphan crops exhibit superior nutritional profiles, including high protein content, essential amino acids, and micronutrients. For instance, millets are rich in iron and calcium, while pulses provide significant amounts of protein and dietary fiber. Enhancing the productivity and nutritional quality of these crops can play a crucial role in addressing malnutrition.</w:t>
      </w:r>
    </w:p>
    <w:p w14:paraId="3577D505"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Role of omics and AI:</w:t>
      </w:r>
    </w:p>
    <w:p w14:paraId="2605A240" w14:textId="5133DF9B"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Recent advancements in omics technologies have enabled the generation of genomic and transcriptomic resources for several orphan crops, facilitating their genetic improvement. Multi-omics approaches help identify genes associated with yield, nutritional traits, and stress tolerance, while AI tools enable efficient data analysis and trait prediction.</w:t>
      </w:r>
    </w:p>
    <w:p w14:paraId="412E44B8"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AI-driven breeding strategies can accelerate the domestication and improvement of orphan crops by predicting desirable traits and optimizing selection processes. Furthermore, integrating omics data with phenotypic and environmental information supports the development of climate-resilient and nutritionally enhanced varieties suited to diverse agro-ecological conditions.</w:t>
      </w:r>
    </w:p>
    <w:p w14:paraId="270F2E06" w14:textId="5C001321" w:rsidR="004053EB" w:rsidRPr="005828EB" w:rsidRDefault="004053EB" w:rsidP="005828EB">
      <w:pPr>
        <w:pStyle w:val="NoSpacing"/>
        <w:rPr>
          <w:rFonts w:ascii="Times New Roman" w:hAnsi="Times New Roman" w:cs="Times New Roman"/>
          <w:sz w:val="20"/>
          <w:szCs w:val="20"/>
        </w:rPr>
      </w:pPr>
    </w:p>
    <w:p w14:paraId="12958D03"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6. Case Studies and Success Stories in Multi-Omics and AI-Assisted Crop Improvement</w:t>
      </w:r>
    </w:p>
    <w:p w14:paraId="0E4F6364"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The practical utility of integrating multi-omics approaches with artificial intelligence (AI) is increasingly evident through a growing number of case studies across major and minor crops. These studies demonstrate how data-driven and systems biology approaches can accelerate genetic gain, enhance nutritional quality, and improve resilience to environmental stresses. This section highlights key success stories that illustrate the </w:t>
      </w:r>
      <w:r w:rsidRPr="005828EB">
        <w:rPr>
          <w:rFonts w:ascii="Times New Roman" w:hAnsi="Times New Roman" w:cs="Times New Roman"/>
          <w:sz w:val="20"/>
          <w:szCs w:val="20"/>
        </w:rPr>
        <w:lastRenderedPageBreak/>
        <w:t>application of AI-assisted genomic selection, multi-omics-based nutrient trait dissection, and their integration in pulse crops, which are central to sustainable nutritional security.</w:t>
      </w:r>
    </w:p>
    <w:p w14:paraId="16A4A8C1" w14:textId="57093E21" w:rsidR="004053EB" w:rsidRPr="005828EB" w:rsidRDefault="004053EB" w:rsidP="005828EB">
      <w:pPr>
        <w:pStyle w:val="NoSpacing"/>
        <w:rPr>
          <w:rFonts w:ascii="Times New Roman" w:hAnsi="Times New Roman" w:cs="Times New Roman"/>
          <w:sz w:val="20"/>
          <w:szCs w:val="20"/>
        </w:rPr>
      </w:pPr>
    </w:p>
    <w:p w14:paraId="45EABB25"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6.1 AI-Assisted Genomic Selection in Major Crops</w:t>
      </w:r>
    </w:p>
    <w:p w14:paraId="591A5BC6"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Genomic selection (GS) has undergone a significant transformation with the incorporation of AI and machine learning techniques, enabling more accurate prediction of breeding values and improved selection efficiency. In major crops such as rice, wheat, and maize, AI-driven GS models have outperformed conventional statistical approaches by effectively capturing non-linear relationships and epistatic interactions among loci.</w:t>
      </w:r>
    </w:p>
    <w:p w14:paraId="633F92E5"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rice, machine learning algorithms such as Random Forest and gradient boosting have been successfully applied to predict grain yield and quality traits using high-density SNP datasets. Similarly, in wheat, deep learning models have demonstrated improved prediction accuracy for complex traits such as grain protein content and yield stability under varying environmental conditions. These models integrate genomic and environmental data, thereby addressing genotype × environment (G×E) interactions more effectively.</w:t>
      </w:r>
    </w:p>
    <w:p w14:paraId="18F33E79"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maize, the application of deep neural networks has enabled the integration of genomic, phenotypic, and environmental data for predicting hybrid performance. Studies have shown that AI-based GS models can significantly reduce prediction error and enhance selection intensity, ultimately accelerating breeding cycles and increasing genetic gain (Montesinos-López et al., 2018; Crossa et al., 2017).</w:t>
      </w:r>
    </w:p>
    <w:p w14:paraId="46B07548" w14:textId="31556058" w:rsidR="004053EB" w:rsidRPr="005828EB" w:rsidRDefault="004053EB" w:rsidP="005828EB">
      <w:pPr>
        <w:pStyle w:val="NoSpacing"/>
        <w:rPr>
          <w:rFonts w:ascii="Times New Roman" w:hAnsi="Times New Roman" w:cs="Times New Roman"/>
          <w:sz w:val="20"/>
          <w:szCs w:val="20"/>
        </w:rPr>
      </w:pPr>
    </w:p>
    <w:p w14:paraId="7A903660"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6.2 Multi-Omics in Nutrient Trait Dissection</w:t>
      </w:r>
    </w:p>
    <w:p w14:paraId="0982FE4F"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Multi-omics approaches have been instrumental in unraveling the genetic and biochemical basis of nutrient-related traits in crops. By integrating genomics, transcriptomics, proteomics, and metabolomics, researchers can identify key genes, pathways, and regulatory networks involved in nutrient uptake, transport, and accumulation.</w:t>
      </w:r>
    </w:p>
    <w:p w14:paraId="0162D2E0"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cereals such as rice and wheat, multi-omics studies have identified candidate genes associated with iron and zinc accumulation, including transporters, chelators, and storage proteins. Transcriptomic analyses have revealed differential expression of genes involved in micronutrient homeostasis, while metabolomic profiling has provided insights into pathways affecting nutrient bioavailability.</w:t>
      </w:r>
    </w:p>
    <w:p w14:paraId="47409B5D"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Proteomic studies have further validated the functional roles of these genes by identifying proteins involved in nutrient metabolism and stress responses. For instance, proteins associated with metal transport and sequestration have been linked to enhanced micronutrient accumulation in grains. The integration of these omics layers enables a comprehensive understanding of nutrient trait architecture and facilitates the development of biofortified crop varieties.</w:t>
      </w:r>
    </w:p>
    <w:p w14:paraId="14951D46"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Additionally, multi-omics approaches have been used to dissect complex traits such as protein content and amino acid composition, which are critical for improving the nutritional quality of staple crops. These integrative analyses support the identification of biomarkers and candidate genes for targeted breeding and genetic engineering.</w:t>
      </w:r>
    </w:p>
    <w:p w14:paraId="3790C73E" w14:textId="3A718DB0" w:rsidR="004053EB" w:rsidRPr="005828EB" w:rsidRDefault="004053EB" w:rsidP="005828EB">
      <w:pPr>
        <w:pStyle w:val="NoSpacing"/>
        <w:rPr>
          <w:rFonts w:ascii="Times New Roman" w:hAnsi="Times New Roman" w:cs="Times New Roman"/>
          <w:sz w:val="20"/>
          <w:szCs w:val="20"/>
        </w:rPr>
      </w:pPr>
    </w:p>
    <w:p w14:paraId="483873EF"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6.3 Integration in Pulse Crops (Highly Relevant to GPB Research)</w:t>
      </w:r>
    </w:p>
    <w:p w14:paraId="38C46C92"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Pulse crops, including mungbean, lentil, and chickpea, are vital sources of plant-based protein, micronutrients, and dietary fiber, particularly in developing countries. Despite their nutritional importance, genetic improvement in pulses has historically lagged behind that of major cereals. However, recent advances in multi-omics and AI are bridging this gap by enabling more precise and efficient breeding strategies.</w:t>
      </w:r>
    </w:p>
    <w:p w14:paraId="64B1D948"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Mungbean (Vigna radiata L.):</w:t>
      </w:r>
    </w:p>
    <w:p w14:paraId="6285E139" w14:textId="15E983CA"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mungbean, genomic and transcriptomic studies have identified genes associated with seed protein content, micronutrient accumulation, and resistance to biotic stresses such as viral diseases. RNA-Seq analyses have revealed gene expression patterns linked to nutrient metabolism and stress responses, while GWAS has identified loci associated with yield and quality traits. Integration of these datasets with machine learning models has improved the prediction of complex traits, facilitating the selection of superior genotypes.</w:t>
      </w:r>
    </w:p>
    <w:p w14:paraId="0AEC21F4"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Lentil (Lens culinaris L.):</w:t>
      </w:r>
    </w:p>
    <w:p w14:paraId="451E2CC9" w14:textId="1FDF3641"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lentil, multi-omics approaches have been applied to identify candidate genes controlling iron and zinc content, as well as protein composition. Genomic resources, including high-density linkage maps and SNP markers, have enabled QTL mapping for nutritional traits. Transcriptomic and metabolomic studies have further elucidated pathways involved in nutrient accumulation, supporting biofortification efforts.</w:t>
      </w:r>
    </w:p>
    <w:p w14:paraId="04D31F4D"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Chickpea (Cicer arietinum L.):</w:t>
      </w:r>
    </w:p>
    <w:p w14:paraId="31A8F622" w14:textId="32648099"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Chickpea has benefited from extensive genomic and transcriptomic research, leading to the identification of genes associated with seed quality, protein content, and stress tolerance. Multi-omics integration has facilitated the discovery of regulatory networks controlling nutrient traits, while AI-based genomic selection models have improved prediction accuracy for yield and nutritional parameters.</w:t>
      </w:r>
    </w:p>
    <w:p w14:paraId="1C1A0593" w14:textId="77777777" w:rsidR="00F82FC9"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Protein and micronutrient improvement:</w:t>
      </w:r>
    </w:p>
    <w:p w14:paraId="39F74B65" w14:textId="2D54868F"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lastRenderedPageBreak/>
        <w:t>Across pulse crops, the integration of multi-omics and AI has enabled the identification of key genetic determinants of protein content and micronutrient accumulation. These approaches support the development of biofortified pulse varieties with enhanced nutritional profiles, contributing to dietary diversification and food security.</w:t>
      </w:r>
    </w:p>
    <w:p w14:paraId="5F1441BF"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Furthermore, pulses exhibit strong genotype × environment interactions, particularly for nutritional traits. AI models that integrate omics and environmental data are increasingly being used to predict trait performance across diverse agro-ecological conditions, thereby enhancing breeding efficiency.</w:t>
      </w:r>
    </w:p>
    <w:p w14:paraId="0FCB43BA" w14:textId="440B8B5F" w:rsidR="003F7F22" w:rsidRPr="005828EB" w:rsidRDefault="003F7F22" w:rsidP="005828EB">
      <w:pPr>
        <w:pStyle w:val="NoSpacing"/>
        <w:rPr>
          <w:rFonts w:ascii="Times New Roman" w:hAnsi="Times New Roman" w:cs="Times New Roman"/>
          <w:sz w:val="20"/>
          <w:szCs w:val="20"/>
        </w:rPr>
      </w:pPr>
    </w:p>
    <w:p w14:paraId="166E3954"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 Challenges and Limitations</w:t>
      </w:r>
    </w:p>
    <w:p w14:paraId="1D99FFBE"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Despite the transformative potential of integrating multi-omics and artificial intelligence (AI) in crop improvement, several technical, logistical, and socio-economic constraints limit their widespread adoption. These challenges arise from the inherent complexity of biological data, limitations in computational infrastructure, gaps in high-quality phenotypic data, and issues related to accessibility and governance. Addressing these bottlenecks is essential for translating advanced technologies into practical breeding outcomes, particularly in the context of developing countries and resource-limited systems.</w:t>
      </w:r>
    </w:p>
    <w:p w14:paraId="37F4E6A7" w14:textId="721C9576" w:rsidR="004053EB" w:rsidRPr="005828EB" w:rsidRDefault="004053EB" w:rsidP="005828EB">
      <w:pPr>
        <w:pStyle w:val="NoSpacing"/>
        <w:rPr>
          <w:rFonts w:ascii="Times New Roman" w:hAnsi="Times New Roman" w:cs="Times New Roman"/>
          <w:sz w:val="20"/>
          <w:szCs w:val="20"/>
        </w:rPr>
      </w:pPr>
    </w:p>
    <w:p w14:paraId="49416B36"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7.1 Data Complexity and Integration Issues</w:t>
      </w:r>
    </w:p>
    <w:p w14:paraId="6DBAC896"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Heterogeneous Datasets</w:t>
      </w:r>
    </w:p>
    <w:p w14:paraId="31AE17C2"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Multi-omics datasets are inherently heterogeneous, differing in scale, structure, dimensionality, and noise levels. For instance, genomic data typically consist of discrete sequence variations, whereas transcriptomic, proteomic, and metabolomic datasets are continuous and highly dynamic. Additionally, phenomic data often involve high-dimensional image or sensor-based outputs, further complicating integration.</w:t>
      </w:r>
    </w:p>
    <w:p w14:paraId="7ED22B4A"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This heterogeneity poses significant challenges in data preprocessing, normalization, and harmonization. Differences in experimental design, sampling protocols, and analytical platforms introduce batch effects and biases, which can obscure true biological signals. Moreover, missing data and uneven sample sizes across omics layers hinder effective integration and reduce statistical power.</w:t>
      </w:r>
    </w:p>
    <w:p w14:paraId="5FD3B077"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Another critical limitation is the lack of standardized pipelines for multi-omics data integration. While several computational frameworks exist, there is no universally accepted methodology, leading to variability in results and reduced reproducibility. These challenges necessitate the development of robust data integration strategies and standardized workflows to ensure consistency and reliability in multi-omics analyses (Hasin et al., 2017; Misra and Langefeld, 2021).</w:t>
      </w:r>
    </w:p>
    <w:p w14:paraId="5725A55D" w14:textId="1C93EDF5" w:rsidR="004053EB" w:rsidRPr="005828EB" w:rsidRDefault="004053EB" w:rsidP="005828EB">
      <w:pPr>
        <w:pStyle w:val="NoSpacing"/>
        <w:rPr>
          <w:rFonts w:ascii="Times New Roman" w:hAnsi="Times New Roman" w:cs="Times New Roman"/>
          <w:sz w:val="20"/>
          <w:szCs w:val="20"/>
        </w:rPr>
      </w:pPr>
    </w:p>
    <w:p w14:paraId="5A45BC59"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7.2 Computational Constraints</w:t>
      </w:r>
    </w:p>
    <w:p w14:paraId="40577AD3"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High Processing Requirements</w:t>
      </w:r>
    </w:p>
    <w:p w14:paraId="770FB7FB"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analysis of multi-omics datasets requires substantial computational resources due to their high volume and complexity. Tasks such as genome assembly, variant calling, transcriptome analysis, and multi-layer data integration involve intensive computations that demand high-performance computing (HPC) infrastructure.</w:t>
      </w:r>
    </w:p>
    <w:p w14:paraId="31121564"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AI and deep learning models further amplify these requirements, as training complex neural networks on large datasets necessitates powerful processors, including graphical processing units (GPUs) and tensor processing units (TPUs). Additionally, the storage and management of large-scale omics data present logistical challenges, particularly for institutions with limited infrastructure.</w:t>
      </w:r>
    </w:p>
    <w:p w14:paraId="1DCB64E3"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lack of computational expertise among plant breeders and biologists also limits the effective utilization of these technologies. Bridging this gap requires interdisciplinary training, user-friendly analytical tools, and the development of cloud-based platforms that can democratize access to advanced computational resources (Schatz et al., 2022).</w:t>
      </w:r>
    </w:p>
    <w:p w14:paraId="1EEA1DDA" w14:textId="174DBE8D" w:rsidR="004053EB" w:rsidRPr="005828EB" w:rsidRDefault="004053EB" w:rsidP="005828EB">
      <w:pPr>
        <w:pStyle w:val="NoSpacing"/>
        <w:rPr>
          <w:rFonts w:ascii="Times New Roman" w:hAnsi="Times New Roman" w:cs="Times New Roman"/>
          <w:sz w:val="20"/>
          <w:szCs w:val="20"/>
        </w:rPr>
      </w:pPr>
    </w:p>
    <w:p w14:paraId="1687EF51"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7.3 Limited Phenotypic Data</w:t>
      </w:r>
    </w:p>
    <w:p w14:paraId="77F4B5F6"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Phenotyping Bottleneck</w:t>
      </w:r>
    </w:p>
    <w:p w14:paraId="01F59FC6"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One of the most significant constraints in modern plant breeding is the “phenotyping bottleneck,” which refers to the limited availability of accurate, high-throughput phenotypic data compared to the abundance of genomic information. While sequencing technologies have become increasingly accessible and cost-effective, phenotyping remains labor-intensive, time-consuming, and often subject to environmental variability.</w:t>
      </w:r>
    </w:p>
    <w:p w14:paraId="46FF16B7"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Complex traits such as yield, nutritional quality, and stress tolerance require precise and repeated measurements across multiple environments and developmental stages. Traditional phenotyping methods are often inadequate for capturing such complexity, leading to incomplete or noisy datasets that limit the accuracy of predictive models.</w:t>
      </w:r>
    </w:p>
    <w:p w14:paraId="431755A1"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 xml:space="preserve">Although high-throughput phenotyping (HTP) platforms and imaging technologies have made significant progress, their adoption is still limited due to high costs and technical complexity. Furthermore, the </w:t>
      </w:r>
      <w:r w:rsidRPr="005828EB">
        <w:rPr>
          <w:rFonts w:ascii="Times New Roman" w:hAnsi="Times New Roman" w:cs="Times New Roman"/>
          <w:sz w:val="20"/>
          <w:szCs w:val="20"/>
        </w:rPr>
        <w:lastRenderedPageBreak/>
        <w:t>integration of phenomic data with other omics layers remains challenging, highlighting the need for standardized phenotyping protocols and improved data interoperability (Fiorani and Schurr, 2013).</w:t>
      </w:r>
    </w:p>
    <w:p w14:paraId="713CE896" w14:textId="679697E3" w:rsidR="004053EB" w:rsidRPr="005828EB" w:rsidRDefault="004053EB" w:rsidP="005828EB">
      <w:pPr>
        <w:pStyle w:val="NoSpacing"/>
        <w:rPr>
          <w:rFonts w:ascii="Times New Roman" w:hAnsi="Times New Roman" w:cs="Times New Roman"/>
          <w:sz w:val="20"/>
          <w:szCs w:val="20"/>
        </w:rPr>
      </w:pPr>
    </w:p>
    <w:p w14:paraId="48B3C04C"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7.4 Cost and Infrastructure Limitations</w:t>
      </w:r>
    </w:p>
    <w:p w14:paraId="32E4FC8D"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Accessibility in Developing Countries</w:t>
      </w:r>
    </w:p>
    <w:p w14:paraId="15B97801"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implementation of multi-omics and AI-driven approaches in crop improvement requires substantial investment in infrastructure, equipment, and skilled personnel. High-throughput sequencing platforms, mass spectrometry instruments, and advanced phenotyping systems are often expensive and require specialized maintenance.</w:t>
      </w:r>
    </w:p>
    <w:p w14:paraId="073D7C7C"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many developing countries, where food and nutritional security challenges are most acute, limited financial resources and inadequate infrastructure restrict the adoption of these advanced technologies. Additionally, the lack of trained personnel in bioinformatics, data science, and computational biology further constrains their effective utilization.</w:t>
      </w:r>
    </w:p>
    <w:p w14:paraId="5CDD4469"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This disparity creates a technological divide, where resource-rich institutions benefit from cutting-edge innovations, while resource-limited regions struggle to access and implement these tools. Addressing this issue requires capacity-building initiatives, international collaborations, and the development of cost-effective and scalable technologies tailored to local conditions (Varshney et al., 2021).</w:t>
      </w:r>
    </w:p>
    <w:p w14:paraId="2F966628" w14:textId="2BC2B496" w:rsidR="004053EB" w:rsidRPr="005828EB" w:rsidRDefault="004053EB" w:rsidP="005828EB">
      <w:pPr>
        <w:pStyle w:val="NoSpacing"/>
        <w:rPr>
          <w:rFonts w:ascii="Times New Roman" w:hAnsi="Times New Roman" w:cs="Times New Roman"/>
          <w:sz w:val="20"/>
          <w:szCs w:val="20"/>
        </w:rPr>
      </w:pPr>
    </w:p>
    <w:p w14:paraId="37D9E998"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7.5 Ethical and Data Sharing Concerns</w:t>
      </w:r>
    </w:p>
    <w:p w14:paraId="3DE3369F"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increasing reliance on large-scale data in plant breeding raises important ethical and governance issues related to data ownership, access, and sharing. Multi-omics datasets often involve contributions from multiple institutions and stakeholders, leading to complexities in data rights and intellectual property.</w:t>
      </w:r>
    </w:p>
    <w:p w14:paraId="50B359C3"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Limited data sharing due to proprietary restrictions or lack of standardized policies can hinder collaborative research and slow scientific progress. Although initiatives promoting open-access data and FAIR (Findable, Accessible, Interoperable, Reusable) principles have gained traction, their implementation remains inconsistent across regions and institutions.</w:t>
      </w:r>
    </w:p>
    <w:p w14:paraId="0B876C2E"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Additionally, the use of AI in decision-making raises concerns about transparency, interpretability, and bias. Many AI models, particularly deep learning systems, operate as “black boxes,” making it difficult to interpret how predictions are generated. This lack of transparency can limit trust and adoption among breeders and policymakers.</w:t>
      </w:r>
    </w:p>
    <w:p w14:paraId="654DC81F"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Ethical considerations also extend to the application of genome editing technologies, particularly in relation to regulatory frameworks and public acceptance. Ensuring responsible use of these technologies requires clear guidelines, stakeholder engagement, and alignment with socio-economic and environmental objectives.</w:t>
      </w:r>
    </w:p>
    <w:p w14:paraId="00E6BDB6" w14:textId="3ADA8721" w:rsidR="003F7F22" w:rsidRPr="005828EB" w:rsidRDefault="003F7F22" w:rsidP="005828EB">
      <w:pPr>
        <w:pStyle w:val="NoSpacing"/>
        <w:rPr>
          <w:rFonts w:ascii="Times New Roman" w:hAnsi="Times New Roman" w:cs="Times New Roman"/>
          <w:b/>
          <w:bCs/>
          <w:sz w:val="20"/>
          <w:szCs w:val="20"/>
        </w:rPr>
      </w:pPr>
    </w:p>
    <w:p w14:paraId="4F7455CE"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 Challenges and Limitations</w:t>
      </w:r>
    </w:p>
    <w:p w14:paraId="3D0CB254"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Despite the transformative potential of integrating multi-omics and artificial intelligence (AI) in crop improvement, several technical, logistical, and socio-economic constraints limit their widespread adoption. These challenges arise from the inherent complexity of biological data, limitations in computational infrastructure, gaps in high-quality phenotypic data, and issues related to accessibility and governance. Addressing these bottlenecks is essential for translating advanced technologies into practical breeding outcomes, particularly in the context of developing countries and resource-limited systems.</w:t>
      </w:r>
    </w:p>
    <w:p w14:paraId="2B2208F9" w14:textId="29AB4D56" w:rsidR="004053EB" w:rsidRPr="005828EB" w:rsidRDefault="004053EB" w:rsidP="005828EB">
      <w:pPr>
        <w:pStyle w:val="NoSpacing"/>
        <w:rPr>
          <w:rFonts w:ascii="Times New Roman" w:hAnsi="Times New Roman" w:cs="Times New Roman"/>
          <w:sz w:val="20"/>
          <w:szCs w:val="20"/>
        </w:rPr>
      </w:pPr>
    </w:p>
    <w:p w14:paraId="53BF04BC"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7.1 Data Complexity and Integration Issues</w:t>
      </w:r>
    </w:p>
    <w:p w14:paraId="622576B0"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Heterogeneous Datasets</w:t>
      </w:r>
    </w:p>
    <w:p w14:paraId="52472856"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Multi-omics datasets are inherently heterogeneous, differing in scale, structure, dimensionality, and noise levels. For instance, genomic data typically consist of discrete sequence variations, whereas transcriptomic, proteomic, and metabolomic datasets are continuous and highly dynamic. Additionally, phenomic data often involve high-dimensional image or sensor-based outputs, further complicating integration.</w:t>
      </w:r>
    </w:p>
    <w:p w14:paraId="0EE34263"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This heterogeneity poses significant challenges in data preprocessing, normalization, and harmonization. Differences in experimental design, sampling protocols, and analytical platforms introduce batch effects and biases, which can obscure true biological signals. Moreover, missing data and uneven sample sizes across omics layers hinder effective integration and reduce statistical power.</w:t>
      </w:r>
    </w:p>
    <w:p w14:paraId="3F768CF5"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Another critical limitation is the lack of standardized pipelines for multi-omics data integration. While several computational frameworks exist, there is no universally accepted methodology, leading to variability in results and reduced reproducibility. These challenges necessitate the development of robust data integration strategies and standardized workflows to ensure consistency and reliability in multi-omics analyses (Hasin et al., 2017; Misra and Langefeld, 2021).</w:t>
      </w:r>
    </w:p>
    <w:p w14:paraId="420A674C" w14:textId="308CEEA0" w:rsidR="004053EB" w:rsidRPr="005828EB" w:rsidRDefault="004053EB" w:rsidP="005828EB">
      <w:pPr>
        <w:pStyle w:val="NoSpacing"/>
        <w:rPr>
          <w:rFonts w:ascii="Times New Roman" w:hAnsi="Times New Roman" w:cs="Times New Roman"/>
          <w:sz w:val="20"/>
          <w:szCs w:val="20"/>
        </w:rPr>
      </w:pPr>
    </w:p>
    <w:p w14:paraId="2429B5B6"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7.2 Computational Constraints</w:t>
      </w:r>
    </w:p>
    <w:p w14:paraId="6F2CDE8E"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High Processing Requirements</w:t>
      </w:r>
    </w:p>
    <w:p w14:paraId="2762ECD1"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lastRenderedPageBreak/>
        <w:t>The analysis of multi-omics datasets requires substantial computational resources due to their high volume and complexity. Tasks such as genome assembly, variant calling, transcriptome analysis, and multi-layer data integration involve intensive computations that demand high-performance computing (HPC) infrastructure.</w:t>
      </w:r>
    </w:p>
    <w:p w14:paraId="1923D1E3"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AI and deep learning models further amplify these requirements, as training complex neural networks on large datasets necessitates powerful processors, including graphical processing units (GPUs) and tensor processing units (TPUs). Additionally, the storage and management of large-scale omics data present logistical challenges, particularly for institutions with limited infrastructure.</w:t>
      </w:r>
    </w:p>
    <w:p w14:paraId="0E37C1A4"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lack of computational expertise among plant breeders and biologists also limits the effective utilization of these technologies. Bridging this gap requires interdisciplinary training, user-friendly analytical tools, and the development of cloud-based platforms that can democratize access to advanced computational resources (Schatz et al., 2022).</w:t>
      </w:r>
    </w:p>
    <w:p w14:paraId="0C0C71B2" w14:textId="3C695920" w:rsidR="004053EB" w:rsidRPr="005828EB" w:rsidRDefault="004053EB" w:rsidP="005828EB">
      <w:pPr>
        <w:pStyle w:val="NoSpacing"/>
        <w:rPr>
          <w:rFonts w:ascii="Times New Roman" w:hAnsi="Times New Roman" w:cs="Times New Roman"/>
          <w:sz w:val="20"/>
          <w:szCs w:val="20"/>
        </w:rPr>
      </w:pPr>
    </w:p>
    <w:p w14:paraId="54726738"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7.3 Limited Phenotypic Data</w:t>
      </w:r>
    </w:p>
    <w:p w14:paraId="43EEB9F7"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Phenotyping Bottleneck</w:t>
      </w:r>
    </w:p>
    <w:p w14:paraId="386124C7"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One of the most significant constraints in modern plant breeding is the “phenotyping bottleneck,” which refers to the limited availability of accurate, high-throughput phenotypic data compared to the abundance of genomic information. While sequencing technologies have become increasingly accessible and cost-effective, phenotyping remains labor-intensive, time-consuming, and often subject to environmental variability.</w:t>
      </w:r>
    </w:p>
    <w:p w14:paraId="01CCBD4A"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Complex traits such as yield, nutritional quality, and stress tolerance require precise and repeated measurements across multiple environments and developmental stages. Traditional phenotyping methods are often inadequate for capturing such complexity, leading to incomplete or noisy datasets that limit the accuracy of predictive models.</w:t>
      </w:r>
    </w:p>
    <w:p w14:paraId="26866EF1"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Although high-throughput phenotyping (HTP) platforms and imaging technologies have made significant progress, their adoption is still limited due to high costs and technical complexity. Furthermore, the integration of phenomic data with other omics layers remains challenging, highlighting the need for standardized phenotyping protocols and improved data interoperability (Fiorani and Schurr, 2013).</w:t>
      </w:r>
    </w:p>
    <w:p w14:paraId="0E5AC9BB" w14:textId="735FC72F" w:rsidR="004053EB" w:rsidRPr="005828EB" w:rsidRDefault="004053EB" w:rsidP="005828EB">
      <w:pPr>
        <w:pStyle w:val="NoSpacing"/>
        <w:rPr>
          <w:rFonts w:ascii="Times New Roman" w:hAnsi="Times New Roman" w:cs="Times New Roman"/>
          <w:sz w:val="20"/>
          <w:szCs w:val="20"/>
        </w:rPr>
      </w:pPr>
    </w:p>
    <w:p w14:paraId="4BF9BB90"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7.4 Cost and Infrastructure Limitations</w:t>
      </w:r>
    </w:p>
    <w:p w14:paraId="469D58BB"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Accessibility in Developing Countries</w:t>
      </w:r>
    </w:p>
    <w:p w14:paraId="1D61DA79"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implementation of multi-omics and AI-driven approaches in crop improvement requires substantial investment in infrastructure, equipment, and skilled personnel. High-throughput sequencing platforms, mass spectrometry instruments, and advanced phenotyping systems are often expensive and require specialized maintenance.</w:t>
      </w:r>
    </w:p>
    <w:p w14:paraId="4E0713F2"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In many developing countries, where food and nutritional security challenges are most acute, limited financial resources and inadequate infrastructure restrict the adoption of these advanced technologies. Additionally, the lack of trained personnel in bioinformatics, data science, and computational biology further constrains their effective utilization.</w:t>
      </w:r>
    </w:p>
    <w:p w14:paraId="00950967"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This disparity creates a technological divide, where resource-rich institutions benefit from cutting-edge innovations, while resource-limited regions struggle to access and implement these tools. Addressing this issue requires capacity-building initiatives, international collaborations, and the development of cost-effective and scalable technologies tailored to local conditions (Varshney et al., 2021).</w:t>
      </w:r>
    </w:p>
    <w:p w14:paraId="709669C4" w14:textId="45915467" w:rsidR="004053EB" w:rsidRPr="005828EB" w:rsidRDefault="004053EB" w:rsidP="005828EB">
      <w:pPr>
        <w:pStyle w:val="NoSpacing"/>
        <w:rPr>
          <w:rFonts w:ascii="Times New Roman" w:hAnsi="Times New Roman" w:cs="Times New Roman"/>
          <w:sz w:val="20"/>
          <w:szCs w:val="20"/>
        </w:rPr>
      </w:pPr>
    </w:p>
    <w:p w14:paraId="55646AA1" w14:textId="77777777" w:rsidR="004053EB" w:rsidRPr="005828EB" w:rsidRDefault="004053EB"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7.5 Ethical and Data Sharing Concerns</w:t>
      </w:r>
    </w:p>
    <w:p w14:paraId="085B938F"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The increasing reliance on large-scale data in plant breeding raises important ethical and governance issues related to data ownership, access, and sharing. Multi-omics datasets often involve contributions from multiple institutions and stakeholders, leading to complexities in data rights and intellectual property.</w:t>
      </w:r>
    </w:p>
    <w:p w14:paraId="3C388C19"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Limited data sharing due to proprietary restrictions or lack of standardized policies can hinder collaborative research and slow scientific progress. Although initiatives promoting open-access data and FAIR (Findable, Accessible, Interoperable, Reusable) principles have gained traction, their implementation remains inconsistent across regions and institutions.</w:t>
      </w:r>
    </w:p>
    <w:p w14:paraId="606368EE" w14:textId="77777777" w:rsidR="004053EB" w:rsidRPr="005828EB"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Additionally, the use of AI in decision-making raises concerns about transparency, interpretability, and bias. Many AI models, particularly deep learning systems, operate as “black boxes,” making it difficult to interpret how predictions are generated. This lack of transparency can limit trust and adoption among breeders and policymakers.</w:t>
      </w:r>
    </w:p>
    <w:p w14:paraId="52C6CFD0" w14:textId="77777777" w:rsidR="004A3020" w:rsidRDefault="004053EB" w:rsidP="005828EB">
      <w:pPr>
        <w:pStyle w:val="NoSpacing"/>
        <w:rPr>
          <w:rFonts w:ascii="Times New Roman" w:hAnsi="Times New Roman" w:cs="Times New Roman"/>
          <w:sz w:val="20"/>
          <w:szCs w:val="20"/>
        </w:rPr>
      </w:pPr>
      <w:r w:rsidRPr="005828EB">
        <w:rPr>
          <w:rFonts w:ascii="Times New Roman" w:hAnsi="Times New Roman" w:cs="Times New Roman"/>
          <w:sz w:val="20"/>
          <w:szCs w:val="20"/>
        </w:rPr>
        <w:t>Ethical considerations also extend to the application of genome editing technologies, particularly in relation to regulatory frameworks and public acceptance. Ensuring responsible use of these technologies requires clear guidelines, stakeholder engagement, and alignment with socio-economic and environmental objectives.</w:t>
      </w:r>
    </w:p>
    <w:p w14:paraId="7AFE475F" w14:textId="77777777" w:rsidR="00AB0BF3" w:rsidRDefault="00AB0BF3" w:rsidP="005828EB">
      <w:pPr>
        <w:pStyle w:val="NoSpacing"/>
        <w:rPr>
          <w:rFonts w:ascii="Times New Roman" w:hAnsi="Times New Roman" w:cs="Times New Roman"/>
          <w:sz w:val="20"/>
          <w:szCs w:val="20"/>
        </w:rPr>
      </w:pPr>
    </w:p>
    <w:p w14:paraId="72455E53" w14:textId="6BD8628C" w:rsidR="00AB0BF3" w:rsidRPr="00AB0BF3" w:rsidRDefault="00AB0BF3" w:rsidP="00AB0BF3">
      <w:pPr>
        <w:pStyle w:val="NoSpacing"/>
        <w:rPr>
          <w:rFonts w:ascii="Times New Roman" w:hAnsi="Times New Roman" w:cs="Times New Roman"/>
          <w:sz w:val="20"/>
          <w:szCs w:val="20"/>
          <w:highlight w:val="yellow"/>
        </w:rPr>
      </w:pPr>
      <w:r w:rsidRPr="00AB0BF3">
        <w:rPr>
          <w:rFonts w:ascii="Times New Roman" w:hAnsi="Times New Roman" w:cs="Times New Roman"/>
          <w:b/>
          <w:bCs/>
          <w:sz w:val="20"/>
          <w:szCs w:val="20"/>
          <w:highlight w:val="yellow"/>
        </w:rPr>
        <w:t xml:space="preserve">8. </w:t>
      </w:r>
      <w:r w:rsidRPr="00AB0BF3">
        <w:rPr>
          <w:rFonts w:ascii="Times New Roman" w:hAnsi="Times New Roman" w:cs="Times New Roman"/>
          <w:b/>
          <w:bCs/>
          <w:sz w:val="20"/>
          <w:szCs w:val="20"/>
          <w:highlight w:val="yellow"/>
        </w:rPr>
        <w:t>Conclusion</w:t>
      </w:r>
    </w:p>
    <w:p w14:paraId="6A408AF7" w14:textId="77777777" w:rsidR="00AB0BF3" w:rsidRPr="00AB0BF3" w:rsidRDefault="00AB0BF3" w:rsidP="00AB0BF3">
      <w:pPr>
        <w:pStyle w:val="NoSpacing"/>
        <w:rPr>
          <w:rFonts w:ascii="Times New Roman" w:hAnsi="Times New Roman" w:cs="Times New Roman"/>
          <w:sz w:val="20"/>
          <w:szCs w:val="20"/>
        </w:rPr>
      </w:pPr>
      <w:r w:rsidRPr="00AB0BF3">
        <w:rPr>
          <w:rFonts w:ascii="Times New Roman" w:hAnsi="Times New Roman" w:cs="Times New Roman"/>
          <w:sz w:val="20"/>
          <w:szCs w:val="20"/>
          <w:highlight w:val="yellow"/>
        </w:rPr>
        <w:lastRenderedPageBreak/>
        <w:t>The integration of multi-omics technologies with artificial intelligence has emerged as a transformative approach in modern plant breeding, enabling precise dissection of complex traits and accelerating genetic gain. By leveraging high-throughput datasets and predictive analytics, these tools enhance the efficiency of biofortification strategies and support the development of nutrient-rich, climate-resilient crop varieties. Despite challenges related to data integration, computational infrastructure, and phenotyping constraints, continued advancements in analytical frameworks and digital agriculture are expected to overcome these limitations. The convergence of multi-omics and AI thus represents a paradigm shift from conventional breeding toward predictive, data-driven, and sustainable crop improvement. Ultimately, these innovations hold significant promise for addressing global food and nutritional security and mitigating hidden hunger in a changing climate.</w:t>
      </w:r>
    </w:p>
    <w:p w14:paraId="458CB7A4" w14:textId="77777777" w:rsidR="00AB0BF3" w:rsidRPr="005828EB" w:rsidRDefault="00AB0BF3" w:rsidP="005828EB">
      <w:pPr>
        <w:pStyle w:val="NoSpacing"/>
        <w:rPr>
          <w:rFonts w:ascii="Times New Roman" w:hAnsi="Times New Roman" w:cs="Times New Roman"/>
          <w:sz w:val="20"/>
          <w:szCs w:val="20"/>
        </w:rPr>
      </w:pPr>
    </w:p>
    <w:p w14:paraId="04356DD2" w14:textId="77777777" w:rsidR="004A3020" w:rsidRPr="00AB0BF3" w:rsidRDefault="004A3020" w:rsidP="005828EB">
      <w:pPr>
        <w:pStyle w:val="NoSpacing"/>
        <w:rPr>
          <w:rFonts w:ascii="Times New Roman" w:hAnsi="Times New Roman" w:cs="Times New Roman"/>
          <w:b/>
          <w:bCs/>
          <w:sz w:val="20"/>
          <w:szCs w:val="20"/>
          <w:highlight w:val="yellow"/>
        </w:rPr>
      </w:pPr>
      <w:r w:rsidRPr="00AB0BF3">
        <w:rPr>
          <w:rFonts w:ascii="Times New Roman" w:hAnsi="Times New Roman" w:cs="Times New Roman"/>
          <w:b/>
          <w:bCs/>
          <w:sz w:val="20"/>
          <w:szCs w:val="20"/>
          <w:highlight w:val="yellow"/>
        </w:rPr>
        <w:t xml:space="preserve">Disclaimer (Artificial Intelligence) </w:t>
      </w:r>
    </w:p>
    <w:p w14:paraId="0371C6DB" w14:textId="1C5B1949" w:rsidR="004A3020" w:rsidRPr="00AB0BF3" w:rsidRDefault="004A3020" w:rsidP="005828EB">
      <w:pPr>
        <w:pStyle w:val="NoSpacing"/>
        <w:rPr>
          <w:rFonts w:ascii="Times New Roman" w:hAnsi="Times New Roman" w:cs="Times New Roman"/>
          <w:sz w:val="20"/>
          <w:szCs w:val="20"/>
          <w:highlight w:val="yellow"/>
        </w:rPr>
      </w:pPr>
      <w:r w:rsidRPr="00AB0BF3">
        <w:rPr>
          <w:rFonts w:ascii="Times New Roman" w:hAnsi="Times New Roman" w:cs="Times New Roman"/>
          <w:sz w:val="20"/>
          <w:szCs w:val="20"/>
          <w:highlight w:val="yellow"/>
        </w:rPr>
        <w:t xml:space="preserve">Author(s) hereby </w:t>
      </w:r>
      <w:r w:rsidR="00AB0BF3" w:rsidRPr="00AB0BF3">
        <w:rPr>
          <w:rFonts w:ascii="Times New Roman" w:hAnsi="Times New Roman" w:cs="Times New Roman"/>
          <w:sz w:val="20"/>
          <w:szCs w:val="20"/>
          <w:highlight w:val="yellow"/>
        </w:rPr>
        <w:t>declares</w:t>
      </w:r>
      <w:r w:rsidRPr="00AB0BF3">
        <w:rPr>
          <w:rFonts w:ascii="Times New Roman" w:hAnsi="Times New Roman" w:cs="Times New Roman"/>
          <w:sz w:val="20"/>
          <w:szCs w:val="20"/>
          <w:highlight w:val="yellow"/>
        </w:rPr>
        <w:t xml:space="preserve"> that (ChatGPT 5.2) used in grammar check and text-to-image generators during the writing or editing of this manuscript. </w:t>
      </w:r>
    </w:p>
    <w:p w14:paraId="29E9312B" w14:textId="77777777" w:rsidR="004A3020" w:rsidRPr="00AB0BF3" w:rsidRDefault="004A3020" w:rsidP="005828EB">
      <w:pPr>
        <w:pStyle w:val="NoSpacing"/>
        <w:rPr>
          <w:rFonts w:ascii="Times New Roman" w:hAnsi="Times New Roman" w:cs="Times New Roman"/>
          <w:sz w:val="20"/>
          <w:szCs w:val="20"/>
          <w:highlight w:val="yellow"/>
        </w:rPr>
      </w:pPr>
    </w:p>
    <w:p w14:paraId="1825E469" w14:textId="77777777" w:rsidR="004A3020" w:rsidRPr="00AB0BF3" w:rsidRDefault="004A3020" w:rsidP="005828EB">
      <w:pPr>
        <w:pStyle w:val="NoSpacing"/>
        <w:rPr>
          <w:rFonts w:ascii="Times New Roman" w:hAnsi="Times New Roman" w:cs="Times New Roman"/>
          <w:sz w:val="20"/>
          <w:szCs w:val="20"/>
          <w:highlight w:val="yellow"/>
        </w:rPr>
      </w:pPr>
      <w:r w:rsidRPr="00AB0BF3">
        <w:rPr>
          <w:rFonts w:ascii="Times New Roman" w:hAnsi="Times New Roman" w:cs="Times New Roman"/>
          <w:b/>
          <w:bCs/>
          <w:sz w:val="20"/>
          <w:szCs w:val="20"/>
          <w:highlight w:val="yellow"/>
        </w:rPr>
        <w:t xml:space="preserve">Competing Interests </w:t>
      </w:r>
    </w:p>
    <w:p w14:paraId="317E2586" w14:textId="6AC163FE" w:rsidR="004A3020" w:rsidRPr="005828EB" w:rsidRDefault="004A3020" w:rsidP="005828EB">
      <w:pPr>
        <w:pStyle w:val="NoSpacing"/>
        <w:rPr>
          <w:rFonts w:ascii="Times New Roman" w:hAnsi="Times New Roman" w:cs="Times New Roman"/>
          <w:sz w:val="20"/>
          <w:szCs w:val="20"/>
        </w:rPr>
      </w:pPr>
      <w:r w:rsidRPr="00AB0BF3">
        <w:rPr>
          <w:rFonts w:ascii="Times New Roman" w:hAnsi="Times New Roman" w:cs="Times New Roman"/>
          <w:sz w:val="20"/>
          <w:szCs w:val="20"/>
          <w:highlight w:val="yellow"/>
        </w:rPr>
        <w:t>Authors have declared that no competing interests exist.</w:t>
      </w:r>
    </w:p>
    <w:p w14:paraId="3C81E8D5" w14:textId="77777777" w:rsidR="004A3020" w:rsidRPr="005828EB" w:rsidRDefault="004A3020" w:rsidP="005828EB">
      <w:pPr>
        <w:pStyle w:val="NoSpacing"/>
        <w:rPr>
          <w:rFonts w:ascii="Times New Roman" w:hAnsi="Times New Roman" w:cs="Times New Roman"/>
          <w:b/>
          <w:bCs/>
          <w:sz w:val="20"/>
          <w:szCs w:val="20"/>
        </w:rPr>
      </w:pPr>
    </w:p>
    <w:p w14:paraId="4D7117D2" w14:textId="00B86185" w:rsidR="003F7F22" w:rsidRPr="005828EB" w:rsidRDefault="003F7F22" w:rsidP="005828EB">
      <w:pPr>
        <w:pStyle w:val="NoSpacing"/>
        <w:rPr>
          <w:rFonts w:ascii="Times New Roman" w:hAnsi="Times New Roman" w:cs="Times New Roman"/>
          <w:b/>
          <w:bCs/>
          <w:sz w:val="20"/>
          <w:szCs w:val="20"/>
        </w:rPr>
      </w:pPr>
      <w:r w:rsidRPr="005828EB">
        <w:rPr>
          <w:rFonts w:ascii="Times New Roman" w:hAnsi="Times New Roman" w:cs="Times New Roman"/>
          <w:b/>
          <w:bCs/>
          <w:sz w:val="20"/>
          <w:szCs w:val="20"/>
        </w:rPr>
        <w:t>References</w:t>
      </w:r>
    </w:p>
    <w:p w14:paraId="670F1752"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Bouis, H. E., &amp; Saltzman, A. (2017). Improving nutrition through biofortification: A review. </w:t>
      </w:r>
      <w:r w:rsidRPr="005828EB">
        <w:rPr>
          <w:rFonts w:ascii="Times New Roman" w:hAnsi="Times New Roman" w:cs="Times New Roman"/>
          <w:i/>
          <w:iCs/>
          <w:sz w:val="20"/>
          <w:szCs w:val="20"/>
        </w:rPr>
        <w:t>Global Food Security, 12</w:t>
      </w:r>
      <w:r w:rsidRPr="005828EB">
        <w:rPr>
          <w:rFonts w:ascii="Times New Roman" w:hAnsi="Times New Roman" w:cs="Times New Roman"/>
          <w:sz w:val="20"/>
          <w:szCs w:val="20"/>
        </w:rPr>
        <w:t xml:space="preserve">, 49–58. </w:t>
      </w:r>
      <w:hyperlink r:id="rId16" w:history="1">
        <w:r w:rsidRPr="005828EB">
          <w:rPr>
            <w:rStyle w:val="Hyperlink"/>
            <w:rFonts w:ascii="Times New Roman" w:hAnsi="Times New Roman" w:cs="Times New Roman"/>
            <w:sz w:val="20"/>
            <w:szCs w:val="20"/>
          </w:rPr>
          <w:t>https://doi.org/10.1016/j.gfs.2017.01.009</w:t>
        </w:r>
      </w:hyperlink>
    </w:p>
    <w:p w14:paraId="48FE9841"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Conesa, A., &amp; Beck, S. (2019). Making multi-omics data accessible to researchers. </w:t>
      </w:r>
      <w:r w:rsidRPr="005828EB">
        <w:rPr>
          <w:rFonts w:ascii="Times New Roman" w:hAnsi="Times New Roman" w:cs="Times New Roman"/>
          <w:i/>
          <w:iCs/>
          <w:sz w:val="20"/>
          <w:szCs w:val="20"/>
        </w:rPr>
        <w:t>Genome Biology, 20</w:t>
      </w:r>
      <w:r w:rsidRPr="005828EB">
        <w:rPr>
          <w:rFonts w:ascii="Times New Roman" w:hAnsi="Times New Roman" w:cs="Times New Roman"/>
          <w:sz w:val="20"/>
          <w:szCs w:val="20"/>
        </w:rPr>
        <w:t xml:space="preserve">, 251. </w:t>
      </w:r>
      <w:hyperlink r:id="rId17" w:history="1">
        <w:r w:rsidRPr="005828EB">
          <w:rPr>
            <w:rStyle w:val="Hyperlink"/>
            <w:rFonts w:ascii="Times New Roman" w:hAnsi="Times New Roman" w:cs="Times New Roman"/>
            <w:sz w:val="20"/>
            <w:szCs w:val="20"/>
          </w:rPr>
          <w:t>https://doi.org/10.1186/s13059-019-1864-6</w:t>
        </w:r>
      </w:hyperlink>
    </w:p>
    <w:p w14:paraId="6A23CBEE"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Crossa, J., Pérez-Rodríguez, P., Cuevas, J., Montesinos-López, O., Jarquín, D., de Los Campos, G., … Varshney, R. K. (2017). Genomic selection in plant breeding: Methods, models, and perspectives. </w:t>
      </w:r>
      <w:r w:rsidRPr="005828EB">
        <w:rPr>
          <w:rFonts w:ascii="Times New Roman" w:hAnsi="Times New Roman" w:cs="Times New Roman"/>
          <w:i/>
          <w:iCs/>
          <w:sz w:val="20"/>
          <w:szCs w:val="20"/>
        </w:rPr>
        <w:t>Trends in Plant Science, 22</w:t>
      </w:r>
      <w:r w:rsidRPr="005828EB">
        <w:rPr>
          <w:rFonts w:ascii="Times New Roman" w:hAnsi="Times New Roman" w:cs="Times New Roman"/>
          <w:sz w:val="20"/>
          <w:szCs w:val="20"/>
        </w:rPr>
        <w:t xml:space="preserve">(11), 961–975. </w:t>
      </w:r>
      <w:hyperlink r:id="rId18" w:history="1">
        <w:r w:rsidRPr="005828EB">
          <w:rPr>
            <w:rStyle w:val="Hyperlink"/>
            <w:rFonts w:ascii="Times New Roman" w:hAnsi="Times New Roman" w:cs="Times New Roman"/>
            <w:sz w:val="20"/>
            <w:szCs w:val="20"/>
          </w:rPr>
          <w:t>https://doi.org/10.1016/j.tplants.2017.08.011</w:t>
        </w:r>
      </w:hyperlink>
    </w:p>
    <w:p w14:paraId="7A534CE3"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Dwivedi, S. L., Sahrawat, K. L., Rai, K. N., Blair, M. W., Andersson, M. S., Pfeiffer, W., &amp; Ortiz, R. (2012). Nutritionally enhanced staple food crops. </w:t>
      </w:r>
      <w:r w:rsidRPr="005828EB">
        <w:rPr>
          <w:rFonts w:ascii="Times New Roman" w:hAnsi="Times New Roman" w:cs="Times New Roman"/>
          <w:i/>
          <w:iCs/>
          <w:sz w:val="20"/>
          <w:szCs w:val="20"/>
        </w:rPr>
        <w:t>Plant Breeding Reviews, 36</w:t>
      </w:r>
      <w:r w:rsidRPr="005828EB">
        <w:rPr>
          <w:rFonts w:ascii="Times New Roman" w:hAnsi="Times New Roman" w:cs="Times New Roman"/>
          <w:sz w:val="20"/>
          <w:szCs w:val="20"/>
        </w:rPr>
        <w:t xml:space="preserve">, 169–291. </w:t>
      </w:r>
      <w:hyperlink r:id="rId19" w:history="1">
        <w:r w:rsidRPr="005828EB">
          <w:rPr>
            <w:rStyle w:val="Hyperlink"/>
            <w:rFonts w:ascii="Times New Roman" w:hAnsi="Times New Roman" w:cs="Times New Roman"/>
            <w:sz w:val="20"/>
            <w:szCs w:val="20"/>
          </w:rPr>
          <w:t>https://doi.org/10.1002/9781118358566.ch4</w:t>
        </w:r>
      </w:hyperlink>
    </w:p>
    <w:p w14:paraId="68B9A217"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FAO. (2021). </w:t>
      </w:r>
      <w:r w:rsidRPr="005828EB">
        <w:rPr>
          <w:rFonts w:ascii="Times New Roman" w:hAnsi="Times New Roman" w:cs="Times New Roman"/>
          <w:i/>
          <w:iCs/>
          <w:sz w:val="20"/>
          <w:szCs w:val="20"/>
        </w:rPr>
        <w:t>The state of food security and nutrition in the world 2021</w:t>
      </w:r>
      <w:r w:rsidRPr="005828EB">
        <w:rPr>
          <w:rFonts w:ascii="Times New Roman" w:hAnsi="Times New Roman" w:cs="Times New Roman"/>
          <w:sz w:val="20"/>
          <w:szCs w:val="20"/>
        </w:rPr>
        <w:t xml:space="preserve">. Food and Agriculture Organization. </w:t>
      </w:r>
      <w:hyperlink r:id="rId20" w:history="1">
        <w:r w:rsidRPr="005828EB">
          <w:rPr>
            <w:rStyle w:val="Hyperlink"/>
            <w:rFonts w:ascii="Times New Roman" w:hAnsi="Times New Roman" w:cs="Times New Roman"/>
            <w:sz w:val="20"/>
            <w:szCs w:val="20"/>
          </w:rPr>
          <w:t>https://doi.org/10.4060/cb4474en</w:t>
        </w:r>
      </w:hyperlink>
    </w:p>
    <w:p w14:paraId="348C2F7D"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Fiehn, O. (2002). Metabolomics—the link between genotypes and phenotypes. </w:t>
      </w:r>
      <w:r w:rsidRPr="005828EB">
        <w:rPr>
          <w:rFonts w:ascii="Times New Roman" w:hAnsi="Times New Roman" w:cs="Times New Roman"/>
          <w:i/>
          <w:iCs/>
          <w:sz w:val="20"/>
          <w:szCs w:val="20"/>
        </w:rPr>
        <w:t>Plant Molecular Biology, 48</w:t>
      </w:r>
      <w:r w:rsidRPr="005828EB">
        <w:rPr>
          <w:rFonts w:ascii="Times New Roman" w:hAnsi="Times New Roman" w:cs="Times New Roman"/>
          <w:sz w:val="20"/>
          <w:szCs w:val="20"/>
        </w:rPr>
        <w:t xml:space="preserve">, 155–171. </w:t>
      </w:r>
      <w:hyperlink r:id="rId21" w:history="1">
        <w:r w:rsidRPr="005828EB">
          <w:rPr>
            <w:rStyle w:val="Hyperlink"/>
            <w:rFonts w:ascii="Times New Roman" w:hAnsi="Times New Roman" w:cs="Times New Roman"/>
            <w:sz w:val="20"/>
            <w:szCs w:val="20"/>
          </w:rPr>
          <w:t>https://doi.org/10.1023/A:1013713905833</w:t>
        </w:r>
      </w:hyperlink>
    </w:p>
    <w:p w14:paraId="01068DCE"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Fiorani, F., &amp; Schurr, U. (2013). Future scenarios for plant phenotyping. </w:t>
      </w:r>
      <w:r w:rsidRPr="005828EB">
        <w:rPr>
          <w:rFonts w:ascii="Times New Roman" w:hAnsi="Times New Roman" w:cs="Times New Roman"/>
          <w:i/>
          <w:iCs/>
          <w:sz w:val="20"/>
          <w:szCs w:val="20"/>
        </w:rPr>
        <w:t>Annual Review of Plant Biology, 64</w:t>
      </w:r>
      <w:r w:rsidRPr="005828EB">
        <w:rPr>
          <w:rFonts w:ascii="Times New Roman" w:hAnsi="Times New Roman" w:cs="Times New Roman"/>
          <w:sz w:val="20"/>
          <w:szCs w:val="20"/>
        </w:rPr>
        <w:t xml:space="preserve">, 267–291. </w:t>
      </w:r>
      <w:hyperlink r:id="rId22" w:history="1">
        <w:r w:rsidRPr="005828EB">
          <w:rPr>
            <w:rStyle w:val="Hyperlink"/>
            <w:rFonts w:ascii="Times New Roman" w:hAnsi="Times New Roman" w:cs="Times New Roman"/>
            <w:sz w:val="20"/>
            <w:szCs w:val="20"/>
          </w:rPr>
          <w:t>https://doi.org/10.1146/annurev-arplant-050312-120137</w:t>
        </w:r>
      </w:hyperlink>
    </w:p>
    <w:p w14:paraId="737ABE92"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Hasin, Y., Seldin, M., &amp; Lusis, A. (2017). Multi-omics approaches to disease. </w:t>
      </w:r>
      <w:r w:rsidRPr="005828EB">
        <w:rPr>
          <w:rFonts w:ascii="Times New Roman" w:hAnsi="Times New Roman" w:cs="Times New Roman"/>
          <w:i/>
          <w:iCs/>
          <w:sz w:val="20"/>
          <w:szCs w:val="20"/>
        </w:rPr>
        <w:t>Genome Biology, 18</w:t>
      </w:r>
      <w:r w:rsidRPr="005828EB">
        <w:rPr>
          <w:rFonts w:ascii="Times New Roman" w:hAnsi="Times New Roman" w:cs="Times New Roman"/>
          <w:sz w:val="20"/>
          <w:szCs w:val="20"/>
        </w:rPr>
        <w:t xml:space="preserve">, 83. </w:t>
      </w:r>
      <w:hyperlink r:id="rId23" w:history="1">
        <w:r w:rsidRPr="005828EB">
          <w:rPr>
            <w:rStyle w:val="Hyperlink"/>
            <w:rFonts w:ascii="Times New Roman" w:hAnsi="Times New Roman" w:cs="Times New Roman"/>
            <w:sz w:val="20"/>
            <w:szCs w:val="20"/>
          </w:rPr>
          <w:t>https://doi.org/10.1186/s13059-017-1215-1</w:t>
        </w:r>
      </w:hyperlink>
    </w:p>
    <w:p w14:paraId="46EDE3B9"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Hickey, J. M., Chiurugwi, T., Mackay, I., Powell, W., &amp; Eggen, A. (2019). Genomic prediction unifies animal and plant breeding programs to form platforms for biological discovery. </w:t>
      </w:r>
      <w:r w:rsidRPr="005828EB">
        <w:rPr>
          <w:rFonts w:ascii="Times New Roman" w:hAnsi="Times New Roman" w:cs="Times New Roman"/>
          <w:i/>
          <w:iCs/>
          <w:sz w:val="20"/>
          <w:szCs w:val="20"/>
        </w:rPr>
        <w:t>Nature Genetics, 51</w:t>
      </w:r>
      <w:r w:rsidRPr="005828EB">
        <w:rPr>
          <w:rFonts w:ascii="Times New Roman" w:hAnsi="Times New Roman" w:cs="Times New Roman"/>
          <w:sz w:val="20"/>
          <w:szCs w:val="20"/>
        </w:rPr>
        <w:t xml:space="preserve">, 1297–1303. </w:t>
      </w:r>
      <w:hyperlink r:id="rId24" w:history="1">
        <w:r w:rsidRPr="005828EB">
          <w:rPr>
            <w:rStyle w:val="Hyperlink"/>
            <w:rFonts w:ascii="Times New Roman" w:hAnsi="Times New Roman" w:cs="Times New Roman"/>
            <w:sz w:val="20"/>
            <w:szCs w:val="20"/>
          </w:rPr>
          <w:t>https://doi.org/10.1038/s41588-019-0460-6</w:t>
        </w:r>
      </w:hyperlink>
    </w:p>
    <w:p w14:paraId="2F45F8D0"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Jorrín-Novo, J. V., Komatsu, S., Weckwerth, W., Wienkoop, S., &amp; Selbig, J. (2015). Plant proteomics update (2012–2014): Achievements and challenges. </w:t>
      </w:r>
      <w:r w:rsidRPr="005828EB">
        <w:rPr>
          <w:rFonts w:ascii="Times New Roman" w:hAnsi="Times New Roman" w:cs="Times New Roman"/>
          <w:i/>
          <w:iCs/>
          <w:sz w:val="20"/>
          <w:szCs w:val="20"/>
        </w:rPr>
        <w:t>Journal of Proteomics, 120</w:t>
      </w:r>
      <w:r w:rsidRPr="005828EB">
        <w:rPr>
          <w:rFonts w:ascii="Times New Roman" w:hAnsi="Times New Roman" w:cs="Times New Roman"/>
          <w:sz w:val="20"/>
          <w:szCs w:val="20"/>
        </w:rPr>
        <w:t xml:space="preserve">, 3–17. </w:t>
      </w:r>
      <w:hyperlink r:id="rId25" w:history="1">
        <w:r w:rsidRPr="005828EB">
          <w:rPr>
            <w:rStyle w:val="Hyperlink"/>
            <w:rFonts w:ascii="Times New Roman" w:hAnsi="Times New Roman" w:cs="Times New Roman"/>
            <w:sz w:val="20"/>
            <w:szCs w:val="20"/>
          </w:rPr>
          <w:t>https://doi.org/10.1016/j.jprot.2015.01.018</w:t>
        </w:r>
      </w:hyperlink>
    </w:p>
    <w:p w14:paraId="2A671DC7"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Karczewski, K. J., &amp; Snyder, M. P. (2018). Integrative omics for health and disease. </w:t>
      </w:r>
      <w:r w:rsidRPr="005828EB">
        <w:rPr>
          <w:rFonts w:ascii="Times New Roman" w:hAnsi="Times New Roman" w:cs="Times New Roman"/>
          <w:i/>
          <w:iCs/>
          <w:sz w:val="20"/>
          <w:szCs w:val="20"/>
        </w:rPr>
        <w:t>Nature Reviews Genetics, 19</w:t>
      </w:r>
      <w:r w:rsidRPr="005828EB">
        <w:rPr>
          <w:rFonts w:ascii="Times New Roman" w:hAnsi="Times New Roman" w:cs="Times New Roman"/>
          <w:sz w:val="20"/>
          <w:szCs w:val="20"/>
        </w:rPr>
        <w:t xml:space="preserve">(5), 299–310. </w:t>
      </w:r>
      <w:hyperlink r:id="rId26" w:history="1">
        <w:r w:rsidRPr="005828EB">
          <w:rPr>
            <w:rStyle w:val="Hyperlink"/>
            <w:rFonts w:ascii="Times New Roman" w:hAnsi="Times New Roman" w:cs="Times New Roman"/>
            <w:sz w:val="20"/>
            <w:szCs w:val="20"/>
          </w:rPr>
          <w:t>https://doi.org/10.1038/nrg.2018.4</w:t>
        </w:r>
      </w:hyperlink>
    </w:p>
    <w:p w14:paraId="50EE2971"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Kremling, K. A. G., Chen, S. Y., Su, M. H., Lepak, N. K., Romay, M. C., Swarts, K. L., … Buckler, E. S. (2019). Dysregulation of expression correlates with rare-allele burden and fitness loss in maize. </w:t>
      </w:r>
      <w:r w:rsidRPr="005828EB">
        <w:rPr>
          <w:rFonts w:ascii="Times New Roman" w:hAnsi="Times New Roman" w:cs="Times New Roman"/>
          <w:i/>
          <w:iCs/>
          <w:sz w:val="20"/>
          <w:szCs w:val="20"/>
        </w:rPr>
        <w:t>Nature Genetics, 51</w:t>
      </w:r>
      <w:r w:rsidRPr="005828EB">
        <w:rPr>
          <w:rFonts w:ascii="Times New Roman" w:hAnsi="Times New Roman" w:cs="Times New Roman"/>
          <w:sz w:val="20"/>
          <w:szCs w:val="20"/>
        </w:rPr>
        <w:t xml:space="preserve">, 187–194. </w:t>
      </w:r>
      <w:hyperlink r:id="rId27" w:history="1">
        <w:r w:rsidRPr="005828EB">
          <w:rPr>
            <w:rStyle w:val="Hyperlink"/>
            <w:rFonts w:ascii="Times New Roman" w:hAnsi="Times New Roman" w:cs="Times New Roman"/>
            <w:sz w:val="20"/>
            <w:szCs w:val="20"/>
          </w:rPr>
          <w:t>https://doi.org/10.1038/s41588-018-0288-3</w:t>
        </w:r>
      </w:hyperlink>
    </w:p>
    <w:p w14:paraId="5BB8BF32"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Kumar, S., Gupta, S., Chandra, S., &amp; Singh, B. B. (2021). How wide is the genetic base of pulse crops? A review of mungbean genomics. </w:t>
      </w:r>
      <w:r w:rsidRPr="005828EB">
        <w:rPr>
          <w:rFonts w:ascii="Times New Roman" w:hAnsi="Times New Roman" w:cs="Times New Roman"/>
          <w:i/>
          <w:iCs/>
          <w:sz w:val="20"/>
          <w:szCs w:val="20"/>
        </w:rPr>
        <w:t>Frontiers in Plant Science, 12</w:t>
      </w:r>
      <w:r w:rsidRPr="005828EB">
        <w:rPr>
          <w:rFonts w:ascii="Times New Roman" w:hAnsi="Times New Roman" w:cs="Times New Roman"/>
          <w:sz w:val="20"/>
          <w:szCs w:val="20"/>
        </w:rPr>
        <w:t xml:space="preserve">, 679032. </w:t>
      </w:r>
      <w:hyperlink r:id="rId28" w:history="1">
        <w:r w:rsidRPr="005828EB">
          <w:rPr>
            <w:rStyle w:val="Hyperlink"/>
            <w:rFonts w:ascii="Times New Roman" w:hAnsi="Times New Roman" w:cs="Times New Roman"/>
            <w:sz w:val="20"/>
            <w:szCs w:val="20"/>
          </w:rPr>
          <w:t>https://doi.org/10.3389/fpls.2021.679032</w:t>
        </w:r>
      </w:hyperlink>
    </w:p>
    <w:p w14:paraId="598BD7A0"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Liakos, K. G., Busato, P., Moshou, D., Pearson, S., &amp; Bochtis, D. (2018). Machine learning in agriculture: A review. </w:t>
      </w:r>
      <w:r w:rsidRPr="005828EB">
        <w:rPr>
          <w:rFonts w:ascii="Times New Roman" w:hAnsi="Times New Roman" w:cs="Times New Roman"/>
          <w:i/>
          <w:iCs/>
          <w:sz w:val="20"/>
          <w:szCs w:val="20"/>
        </w:rPr>
        <w:t>Sensors, 18</w:t>
      </w:r>
      <w:r w:rsidRPr="005828EB">
        <w:rPr>
          <w:rFonts w:ascii="Times New Roman" w:hAnsi="Times New Roman" w:cs="Times New Roman"/>
          <w:sz w:val="20"/>
          <w:szCs w:val="20"/>
        </w:rPr>
        <w:t xml:space="preserve">(8), 2674. </w:t>
      </w:r>
      <w:hyperlink r:id="rId29" w:history="1">
        <w:r w:rsidRPr="005828EB">
          <w:rPr>
            <w:rStyle w:val="Hyperlink"/>
            <w:rFonts w:ascii="Times New Roman" w:hAnsi="Times New Roman" w:cs="Times New Roman"/>
            <w:sz w:val="20"/>
            <w:szCs w:val="20"/>
          </w:rPr>
          <w:t>https://doi.org/10.3390/s18082674</w:t>
        </w:r>
      </w:hyperlink>
    </w:p>
    <w:p w14:paraId="64DBF5A1"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Ma, C., Zhang, H. H., Wang, X., &amp; others. (2020). Deep learning in plant science. </w:t>
      </w:r>
      <w:r w:rsidRPr="005828EB">
        <w:rPr>
          <w:rFonts w:ascii="Times New Roman" w:hAnsi="Times New Roman" w:cs="Times New Roman"/>
          <w:i/>
          <w:iCs/>
          <w:sz w:val="20"/>
          <w:szCs w:val="20"/>
        </w:rPr>
        <w:t>Trends in Plant Science, 25</w:t>
      </w:r>
      <w:r w:rsidRPr="005828EB">
        <w:rPr>
          <w:rFonts w:ascii="Times New Roman" w:hAnsi="Times New Roman" w:cs="Times New Roman"/>
          <w:sz w:val="20"/>
          <w:szCs w:val="20"/>
        </w:rPr>
        <w:t xml:space="preserve">(12), 1246–1260. </w:t>
      </w:r>
      <w:hyperlink r:id="rId30" w:history="1">
        <w:r w:rsidRPr="005828EB">
          <w:rPr>
            <w:rStyle w:val="Hyperlink"/>
            <w:rFonts w:ascii="Times New Roman" w:hAnsi="Times New Roman" w:cs="Times New Roman"/>
            <w:sz w:val="20"/>
            <w:szCs w:val="20"/>
          </w:rPr>
          <w:t>https://doi.org/10.1016/j.tplants.2020.06.009</w:t>
        </w:r>
      </w:hyperlink>
    </w:p>
    <w:p w14:paraId="656B1FE4"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Misra, B. B., &amp; Langefeld, C. D. (2021). Integrative multi-omics approaches for understanding complex traits. </w:t>
      </w:r>
      <w:r w:rsidRPr="005828EB">
        <w:rPr>
          <w:rFonts w:ascii="Times New Roman" w:hAnsi="Times New Roman" w:cs="Times New Roman"/>
          <w:i/>
          <w:iCs/>
          <w:sz w:val="20"/>
          <w:szCs w:val="20"/>
        </w:rPr>
        <w:t>Briefings in Bioinformatics, 22</w:t>
      </w:r>
      <w:r w:rsidRPr="005828EB">
        <w:rPr>
          <w:rFonts w:ascii="Times New Roman" w:hAnsi="Times New Roman" w:cs="Times New Roman"/>
          <w:sz w:val="20"/>
          <w:szCs w:val="20"/>
        </w:rPr>
        <w:t xml:space="preserve">(1), 403–415. </w:t>
      </w:r>
      <w:hyperlink r:id="rId31" w:history="1">
        <w:r w:rsidRPr="005828EB">
          <w:rPr>
            <w:rStyle w:val="Hyperlink"/>
            <w:rFonts w:ascii="Times New Roman" w:hAnsi="Times New Roman" w:cs="Times New Roman"/>
            <w:sz w:val="20"/>
            <w:szCs w:val="20"/>
          </w:rPr>
          <w:t>https://doi.org/10.1093/bib/bbz095</w:t>
        </w:r>
      </w:hyperlink>
    </w:p>
    <w:p w14:paraId="59B35813"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Mohanty, S. P., Hughes, D. P., &amp; Salathé, M. (2016). Using deep learning for image-based plant disease detection. </w:t>
      </w:r>
      <w:r w:rsidRPr="005828EB">
        <w:rPr>
          <w:rFonts w:ascii="Times New Roman" w:hAnsi="Times New Roman" w:cs="Times New Roman"/>
          <w:i/>
          <w:iCs/>
          <w:sz w:val="20"/>
          <w:szCs w:val="20"/>
        </w:rPr>
        <w:t>Frontiers in Plant Science, 7</w:t>
      </w:r>
      <w:r w:rsidRPr="005828EB">
        <w:rPr>
          <w:rFonts w:ascii="Times New Roman" w:hAnsi="Times New Roman" w:cs="Times New Roman"/>
          <w:sz w:val="20"/>
          <w:szCs w:val="20"/>
        </w:rPr>
        <w:t xml:space="preserve">, 1419. </w:t>
      </w:r>
      <w:hyperlink r:id="rId32" w:history="1">
        <w:r w:rsidRPr="005828EB">
          <w:rPr>
            <w:rStyle w:val="Hyperlink"/>
            <w:rFonts w:ascii="Times New Roman" w:hAnsi="Times New Roman" w:cs="Times New Roman"/>
            <w:sz w:val="20"/>
            <w:szCs w:val="20"/>
          </w:rPr>
          <w:t>https://doi.org/10.3389/fpls.2016.01419</w:t>
        </w:r>
      </w:hyperlink>
    </w:p>
    <w:p w14:paraId="5046C078"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lastRenderedPageBreak/>
        <w:t xml:space="preserve">Montesinos-López, O. A., Montesinos-López, A., Pérez-Rodríguez, P., Barrón-López, J. A., Martini, J. W., Fajardo-Flores, S. B., … Crossa, J. (2018). A review of deep learning applications for genomic prediction. </w:t>
      </w:r>
      <w:r w:rsidRPr="005828EB">
        <w:rPr>
          <w:rFonts w:ascii="Times New Roman" w:hAnsi="Times New Roman" w:cs="Times New Roman"/>
          <w:i/>
          <w:iCs/>
          <w:sz w:val="20"/>
          <w:szCs w:val="20"/>
        </w:rPr>
        <w:t>G3: Genes, Genomes, Genetics, 8</w:t>
      </w:r>
      <w:r w:rsidRPr="005828EB">
        <w:rPr>
          <w:rFonts w:ascii="Times New Roman" w:hAnsi="Times New Roman" w:cs="Times New Roman"/>
          <w:sz w:val="20"/>
          <w:szCs w:val="20"/>
        </w:rPr>
        <w:t xml:space="preserve">(12), 3817–3826. </w:t>
      </w:r>
      <w:hyperlink r:id="rId33" w:history="1">
        <w:r w:rsidRPr="005828EB">
          <w:rPr>
            <w:rStyle w:val="Hyperlink"/>
            <w:rFonts w:ascii="Times New Roman" w:hAnsi="Times New Roman" w:cs="Times New Roman"/>
            <w:sz w:val="20"/>
            <w:szCs w:val="20"/>
          </w:rPr>
          <w:t>https://doi.org/10.1534/g3.118.200649</w:t>
        </w:r>
      </w:hyperlink>
    </w:p>
    <w:p w14:paraId="4552A731"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Myers, S. S., Zanobetti, A., Kloog, I., Huybers, P., Leakey, A. D. B., Bloom, A. J., … Usui, Y. (2014). Increasing CO₂ threatens human nutrition. </w:t>
      </w:r>
      <w:r w:rsidRPr="005828EB">
        <w:rPr>
          <w:rFonts w:ascii="Times New Roman" w:hAnsi="Times New Roman" w:cs="Times New Roman"/>
          <w:i/>
          <w:iCs/>
          <w:sz w:val="20"/>
          <w:szCs w:val="20"/>
        </w:rPr>
        <w:t>Nature, 510</w:t>
      </w:r>
      <w:r w:rsidRPr="005828EB">
        <w:rPr>
          <w:rFonts w:ascii="Times New Roman" w:hAnsi="Times New Roman" w:cs="Times New Roman"/>
          <w:sz w:val="20"/>
          <w:szCs w:val="20"/>
        </w:rPr>
        <w:t xml:space="preserve">, 139–142. </w:t>
      </w:r>
      <w:hyperlink r:id="rId34" w:history="1">
        <w:r w:rsidRPr="005828EB">
          <w:rPr>
            <w:rStyle w:val="Hyperlink"/>
            <w:rFonts w:ascii="Times New Roman" w:hAnsi="Times New Roman" w:cs="Times New Roman"/>
            <w:sz w:val="20"/>
            <w:szCs w:val="20"/>
          </w:rPr>
          <w:t>https://doi.org/10.1038/nature13179</w:t>
        </w:r>
      </w:hyperlink>
    </w:p>
    <w:p w14:paraId="0EE4D659"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Ritchie, H., &amp; Roser, M. (2020). Micronutrient deficiency. </w:t>
      </w:r>
      <w:r w:rsidRPr="005828EB">
        <w:rPr>
          <w:rFonts w:ascii="Times New Roman" w:hAnsi="Times New Roman" w:cs="Times New Roman"/>
          <w:i/>
          <w:iCs/>
          <w:sz w:val="20"/>
          <w:szCs w:val="20"/>
        </w:rPr>
        <w:t>Our World in Data</w:t>
      </w:r>
      <w:r w:rsidRPr="005828EB">
        <w:rPr>
          <w:rFonts w:ascii="Times New Roman" w:hAnsi="Times New Roman" w:cs="Times New Roman"/>
          <w:sz w:val="20"/>
          <w:szCs w:val="20"/>
        </w:rPr>
        <w:t xml:space="preserve">. </w:t>
      </w:r>
      <w:hyperlink r:id="rId35" w:history="1">
        <w:r w:rsidRPr="005828EB">
          <w:rPr>
            <w:rStyle w:val="Hyperlink"/>
            <w:rFonts w:ascii="Times New Roman" w:hAnsi="Times New Roman" w:cs="Times New Roman"/>
            <w:sz w:val="20"/>
            <w:szCs w:val="20"/>
          </w:rPr>
          <w:t>https://doi.org/10.1787/888934018434</w:t>
        </w:r>
      </w:hyperlink>
    </w:p>
    <w:p w14:paraId="7BFFDC1C"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Rohart, F., Gautier, B., Singh, A., &amp; Lê Cao, K. A. (2017). mixOmics: An R package for ‘omics feature selection and multiple data integration. </w:t>
      </w:r>
      <w:r w:rsidRPr="005828EB">
        <w:rPr>
          <w:rFonts w:ascii="Times New Roman" w:hAnsi="Times New Roman" w:cs="Times New Roman"/>
          <w:i/>
          <w:iCs/>
          <w:sz w:val="20"/>
          <w:szCs w:val="20"/>
        </w:rPr>
        <w:t>PLoS Computational Biology, 13</w:t>
      </w:r>
      <w:r w:rsidRPr="005828EB">
        <w:rPr>
          <w:rFonts w:ascii="Times New Roman" w:hAnsi="Times New Roman" w:cs="Times New Roman"/>
          <w:sz w:val="20"/>
          <w:szCs w:val="20"/>
        </w:rPr>
        <w:t xml:space="preserve">(11), e1005752. </w:t>
      </w:r>
      <w:hyperlink r:id="rId36" w:history="1">
        <w:r w:rsidRPr="005828EB">
          <w:rPr>
            <w:rStyle w:val="Hyperlink"/>
            <w:rFonts w:ascii="Times New Roman" w:hAnsi="Times New Roman" w:cs="Times New Roman"/>
            <w:sz w:val="20"/>
            <w:szCs w:val="20"/>
          </w:rPr>
          <w:t>https://doi.org/10.1371/journal.pcbi.1005752</w:t>
        </w:r>
      </w:hyperlink>
    </w:p>
    <w:p w14:paraId="21AC1ED3"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Schatz, M. C., Langmead, B., &amp; Salzberg, S. L. (2022). Cloud computing and the DNA data race. </w:t>
      </w:r>
      <w:r w:rsidRPr="005828EB">
        <w:rPr>
          <w:rFonts w:ascii="Times New Roman" w:hAnsi="Times New Roman" w:cs="Times New Roman"/>
          <w:i/>
          <w:iCs/>
          <w:sz w:val="20"/>
          <w:szCs w:val="20"/>
        </w:rPr>
        <w:t>Nature Biotechnology, 40</w:t>
      </w:r>
      <w:r w:rsidRPr="005828EB">
        <w:rPr>
          <w:rFonts w:ascii="Times New Roman" w:hAnsi="Times New Roman" w:cs="Times New Roman"/>
          <w:sz w:val="20"/>
          <w:szCs w:val="20"/>
        </w:rPr>
        <w:t xml:space="preserve">, 123–132. </w:t>
      </w:r>
      <w:hyperlink r:id="rId37" w:history="1">
        <w:r w:rsidRPr="005828EB">
          <w:rPr>
            <w:rStyle w:val="Hyperlink"/>
            <w:rFonts w:ascii="Times New Roman" w:hAnsi="Times New Roman" w:cs="Times New Roman"/>
            <w:sz w:val="20"/>
            <w:szCs w:val="20"/>
          </w:rPr>
          <w:t>https://doi.org/10.1038/s41587-021-01182-2</w:t>
        </w:r>
      </w:hyperlink>
    </w:p>
    <w:p w14:paraId="632759D8"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Singh, A., Ganapathysubramanian, B., Singh, A. K., &amp; Sarkar, S. (2020). Machine learning for high-throughput stress phenotyping in plants. </w:t>
      </w:r>
      <w:r w:rsidRPr="005828EB">
        <w:rPr>
          <w:rFonts w:ascii="Times New Roman" w:hAnsi="Times New Roman" w:cs="Times New Roman"/>
          <w:i/>
          <w:iCs/>
          <w:sz w:val="20"/>
          <w:szCs w:val="20"/>
        </w:rPr>
        <w:t>Trends in Plant Science, 25</w:t>
      </w:r>
      <w:r w:rsidRPr="005828EB">
        <w:rPr>
          <w:rFonts w:ascii="Times New Roman" w:hAnsi="Times New Roman" w:cs="Times New Roman"/>
          <w:sz w:val="20"/>
          <w:szCs w:val="20"/>
        </w:rPr>
        <w:t xml:space="preserve">(4), 341–350. </w:t>
      </w:r>
      <w:hyperlink r:id="rId38" w:history="1">
        <w:r w:rsidRPr="005828EB">
          <w:rPr>
            <w:rStyle w:val="Hyperlink"/>
            <w:rFonts w:ascii="Times New Roman" w:hAnsi="Times New Roman" w:cs="Times New Roman"/>
            <w:sz w:val="20"/>
            <w:szCs w:val="20"/>
          </w:rPr>
          <w:t>https://doi.org/10.1016/j.tplants.2019.12.015</w:t>
        </w:r>
      </w:hyperlink>
    </w:p>
    <w:p w14:paraId="77AEA176"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Thudi, M., Khan, A. W., Kumar, V., Gaur, P. M., Katta, K., Garg, V., … Varshney, R. K. (2016). Whole genome re-sequencing reveals genome-wide variations among parental lines of chickpea mapping populations. </w:t>
      </w:r>
      <w:r w:rsidRPr="005828EB">
        <w:rPr>
          <w:rFonts w:ascii="Times New Roman" w:hAnsi="Times New Roman" w:cs="Times New Roman"/>
          <w:i/>
          <w:iCs/>
          <w:sz w:val="20"/>
          <w:szCs w:val="20"/>
        </w:rPr>
        <w:t>Plant Biotechnology Journal, 14</w:t>
      </w:r>
      <w:r w:rsidRPr="005828EB">
        <w:rPr>
          <w:rFonts w:ascii="Times New Roman" w:hAnsi="Times New Roman" w:cs="Times New Roman"/>
          <w:sz w:val="20"/>
          <w:szCs w:val="20"/>
        </w:rPr>
        <w:t xml:space="preserve">(1), 1–12. </w:t>
      </w:r>
      <w:hyperlink r:id="rId39" w:history="1">
        <w:r w:rsidRPr="005828EB">
          <w:rPr>
            <w:rStyle w:val="Hyperlink"/>
            <w:rFonts w:ascii="Times New Roman" w:hAnsi="Times New Roman" w:cs="Times New Roman"/>
            <w:sz w:val="20"/>
            <w:szCs w:val="20"/>
          </w:rPr>
          <w:t>https://doi.org/10.1111/pbi.12462</w:t>
        </w:r>
      </w:hyperlink>
    </w:p>
    <w:p w14:paraId="01751E96"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van Dijk, A. D. J., Kootstra, G., Kruijer, W., &amp; de Ridder, D. (2021). Machine learning in plant science and plant breeding. </w:t>
      </w:r>
      <w:r w:rsidRPr="005828EB">
        <w:rPr>
          <w:rFonts w:ascii="Times New Roman" w:hAnsi="Times New Roman" w:cs="Times New Roman"/>
          <w:i/>
          <w:iCs/>
          <w:sz w:val="20"/>
          <w:szCs w:val="20"/>
        </w:rPr>
        <w:t>iScience, 24</w:t>
      </w:r>
      <w:r w:rsidRPr="005828EB">
        <w:rPr>
          <w:rFonts w:ascii="Times New Roman" w:hAnsi="Times New Roman" w:cs="Times New Roman"/>
          <w:sz w:val="20"/>
          <w:szCs w:val="20"/>
        </w:rPr>
        <w:t xml:space="preserve">(1), 101890. </w:t>
      </w:r>
      <w:hyperlink r:id="rId40" w:history="1">
        <w:r w:rsidRPr="005828EB">
          <w:rPr>
            <w:rStyle w:val="Hyperlink"/>
            <w:rFonts w:ascii="Times New Roman" w:hAnsi="Times New Roman" w:cs="Times New Roman"/>
            <w:sz w:val="20"/>
            <w:szCs w:val="20"/>
          </w:rPr>
          <w:t>https://doi.org/10.1016/j.isci.2020.101890</w:t>
        </w:r>
      </w:hyperlink>
    </w:p>
    <w:p w14:paraId="05231792"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Varshney, R. K., Bohra, A., Yu, J., Graner, A., Zhang, Q., &amp; Sorrells, M. E. (2019). Designing future crops: Genomics-assisted breeding comes of age. </w:t>
      </w:r>
      <w:r w:rsidRPr="005828EB">
        <w:rPr>
          <w:rFonts w:ascii="Times New Roman" w:hAnsi="Times New Roman" w:cs="Times New Roman"/>
          <w:i/>
          <w:iCs/>
          <w:sz w:val="20"/>
          <w:szCs w:val="20"/>
        </w:rPr>
        <w:t>The Plant Genome, 12</w:t>
      </w:r>
      <w:r w:rsidRPr="005828EB">
        <w:rPr>
          <w:rFonts w:ascii="Times New Roman" w:hAnsi="Times New Roman" w:cs="Times New Roman"/>
          <w:sz w:val="20"/>
          <w:szCs w:val="20"/>
        </w:rPr>
        <w:t xml:space="preserve">(3), 190028. </w:t>
      </w:r>
      <w:hyperlink r:id="rId41" w:history="1">
        <w:r w:rsidRPr="005828EB">
          <w:rPr>
            <w:rStyle w:val="Hyperlink"/>
            <w:rFonts w:ascii="Times New Roman" w:hAnsi="Times New Roman" w:cs="Times New Roman"/>
            <w:sz w:val="20"/>
            <w:szCs w:val="20"/>
          </w:rPr>
          <w:t>https://doi.org/10.3835/plantgenome2019.05.0028</w:t>
        </w:r>
      </w:hyperlink>
    </w:p>
    <w:p w14:paraId="2E4BDC8F"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Varshney, R. K., Sinha, P., Singh, V. K., Kumar, A., Zhang, Q., &amp; Bennetzen, J. L. (2021). 5Gs for crop genetic improvement. </w:t>
      </w:r>
      <w:r w:rsidRPr="005828EB">
        <w:rPr>
          <w:rFonts w:ascii="Times New Roman" w:hAnsi="Times New Roman" w:cs="Times New Roman"/>
          <w:i/>
          <w:iCs/>
          <w:sz w:val="20"/>
          <w:szCs w:val="20"/>
        </w:rPr>
        <w:t>Nature Reviews Genetics, 22</w:t>
      </w:r>
      <w:r w:rsidRPr="005828EB">
        <w:rPr>
          <w:rFonts w:ascii="Times New Roman" w:hAnsi="Times New Roman" w:cs="Times New Roman"/>
          <w:sz w:val="20"/>
          <w:szCs w:val="20"/>
        </w:rPr>
        <w:t xml:space="preserve">, 309–325. </w:t>
      </w:r>
      <w:hyperlink r:id="rId42" w:history="1">
        <w:r w:rsidRPr="005828EB">
          <w:rPr>
            <w:rStyle w:val="Hyperlink"/>
            <w:rFonts w:ascii="Times New Roman" w:hAnsi="Times New Roman" w:cs="Times New Roman"/>
            <w:sz w:val="20"/>
            <w:szCs w:val="20"/>
          </w:rPr>
          <w:t>https://doi.org/10.1038/s41576-020-00298-8</w:t>
        </w:r>
      </w:hyperlink>
    </w:p>
    <w:p w14:paraId="2F5938D8"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Wang, Z., Gerstein, M., &amp; Snyder, M. (2009). RNA-Seq: A revolutionary tool for transcriptomics. </w:t>
      </w:r>
      <w:r w:rsidRPr="005828EB">
        <w:rPr>
          <w:rFonts w:ascii="Times New Roman" w:hAnsi="Times New Roman" w:cs="Times New Roman"/>
          <w:i/>
          <w:iCs/>
          <w:sz w:val="20"/>
          <w:szCs w:val="20"/>
        </w:rPr>
        <w:t>Nature Reviews Genetics, 10</w:t>
      </w:r>
      <w:r w:rsidRPr="005828EB">
        <w:rPr>
          <w:rFonts w:ascii="Times New Roman" w:hAnsi="Times New Roman" w:cs="Times New Roman"/>
          <w:sz w:val="20"/>
          <w:szCs w:val="20"/>
        </w:rPr>
        <w:t xml:space="preserve">(1), 57–63. </w:t>
      </w:r>
      <w:hyperlink r:id="rId43" w:history="1">
        <w:r w:rsidRPr="005828EB">
          <w:rPr>
            <w:rStyle w:val="Hyperlink"/>
            <w:rFonts w:ascii="Times New Roman" w:hAnsi="Times New Roman" w:cs="Times New Roman"/>
            <w:sz w:val="20"/>
            <w:szCs w:val="20"/>
          </w:rPr>
          <w:t>https://doi.org/10.1038/nrg2484</w:t>
        </w:r>
      </w:hyperlink>
    </w:p>
    <w:p w14:paraId="0CE67753"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Weckwerth, W. (2019). Toward a unification of systems biology and multi-omics integration. </w:t>
      </w:r>
      <w:r w:rsidRPr="005828EB">
        <w:rPr>
          <w:rFonts w:ascii="Times New Roman" w:hAnsi="Times New Roman" w:cs="Times New Roman"/>
          <w:i/>
          <w:iCs/>
          <w:sz w:val="20"/>
          <w:szCs w:val="20"/>
        </w:rPr>
        <w:t>Plant Physiology, 179</w:t>
      </w:r>
      <w:r w:rsidRPr="005828EB">
        <w:rPr>
          <w:rFonts w:ascii="Times New Roman" w:hAnsi="Times New Roman" w:cs="Times New Roman"/>
          <w:sz w:val="20"/>
          <w:szCs w:val="20"/>
        </w:rPr>
        <w:t xml:space="preserve">(3), 1046–1055. </w:t>
      </w:r>
      <w:hyperlink r:id="rId44" w:history="1">
        <w:r w:rsidRPr="005828EB">
          <w:rPr>
            <w:rStyle w:val="Hyperlink"/>
            <w:rFonts w:ascii="Times New Roman" w:hAnsi="Times New Roman" w:cs="Times New Roman"/>
            <w:sz w:val="20"/>
            <w:szCs w:val="20"/>
          </w:rPr>
          <w:t>https://doi.org/10.1104/pp.18.01168</w:t>
        </w:r>
      </w:hyperlink>
    </w:p>
    <w:p w14:paraId="007C5381"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Yang, X., Guo, Y., Yan, J., Zhang, J., Song, T., Rocheford, T., &amp; Li, J. (2021). Major and minor QTL and epistasis contribute to fatty acid compositions and oil concentration in high-oil maize. </w:t>
      </w:r>
      <w:r w:rsidRPr="005828EB">
        <w:rPr>
          <w:rFonts w:ascii="Times New Roman" w:hAnsi="Times New Roman" w:cs="Times New Roman"/>
          <w:i/>
          <w:iCs/>
          <w:sz w:val="20"/>
          <w:szCs w:val="20"/>
        </w:rPr>
        <w:t>Theoretical and Applied Genetics</w:t>
      </w:r>
      <w:r w:rsidRPr="005828EB">
        <w:rPr>
          <w:rFonts w:ascii="Times New Roman" w:hAnsi="Times New Roman" w:cs="Times New Roman"/>
          <w:sz w:val="20"/>
          <w:szCs w:val="20"/>
        </w:rPr>
        <w:t xml:space="preserve">. </w:t>
      </w:r>
      <w:hyperlink r:id="rId45" w:history="1">
        <w:r w:rsidRPr="005828EB">
          <w:rPr>
            <w:rStyle w:val="Hyperlink"/>
            <w:rFonts w:ascii="Times New Roman" w:hAnsi="Times New Roman" w:cs="Times New Roman"/>
            <w:sz w:val="20"/>
            <w:szCs w:val="20"/>
          </w:rPr>
          <w:t>https://doi.org/10.1007/s00122-021-03822-1</w:t>
        </w:r>
      </w:hyperlink>
    </w:p>
    <w:p w14:paraId="3C9C3B5E" w14:textId="77777777" w:rsidR="004A3020" w:rsidRPr="005828EB" w:rsidRDefault="004A3020" w:rsidP="005828EB">
      <w:pPr>
        <w:pStyle w:val="NoSpacing"/>
        <w:ind w:left="1077" w:hanging="720"/>
        <w:rPr>
          <w:rFonts w:ascii="Times New Roman" w:hAnsi="Times New Roman" w:cs="Times New Roman"/>
          <w:sz w:val="20"/>
          <w:szCs w:val="20"/>
        </w:rPr>
      </w:pPr>
      <w:r w:rsidRPr="005828EB">
        <w:rPr>
          <w:rFonts w:ascii="Times New Roman" w:hAnsi="Times New Roman" w:cs="Times New Roman"/>
          <w:sz w:val="20"/>
          <w:szCs w:val="20"/>
        </w:rPr>
        <w:t xml:space="preserve">Zhao, C., Liu, B., Piao, S., Wang, X., Lobell, D. B., Huang, Y., … Asseng, S. (2017). Temperature increase reduces global yields of major crops. </w:t>
      </w:r>
      <w:r w:rsidRPr="005828EB">
        <w:rPr>
          <w:rFonts w:ascii="Times New Roman" w:hAnsi="Times New Roman" w:cs="Times New Roman"/>
          <w:i/>
          <w:iCs/>
          <w:sz w:val="20"/>
          <w:szCs w:val="20"/>
        </w:rPr>
        <w:t>Proceedings of the National Academy of Sciences, 114</w:t>
      </w:r>
      <w:r w:rsidRPr="005828EB">
        <w:rPr>
          <w:rFonts w:ascii="Times New Roman" w:hAnsi="Times New Roman" w:cs="Times New Roman"/>
          <w:sz w:val="20"/>
          <w:szCs w:val="20"/>
        </w:rPr>
        <w:t xml:space="preserve">(35), 9326–9331. </w:t>
      </w:r>
      <w:hyperlink r:id="rId46" w:history="1">
        <w:r w:rsidRPr="005828EB">
          <w:rPr>
            <w:rStyle w:val="Hyperlink"/>
            <w:rFonts w:ascii="Times New Roman" w:hAnsi="Times New Roman" w:cs="Times New Roman"/>
            <w:sz w:val="20"/>
            <w:szCs w:val="20"/>
          </w:rPr>
          <w:t>https://doi.org/10.1073/pnas.1701762114</w:t>
        </w:r>
      </w:hyperlink>
    </w:p>
    <w:p w14:paraId="40890199" w14:textId="77777777" w:rsidR="004A3020" w:rsidRPr="00F82FC9" w:rsidRDefault="004A3020" w:rsidP="00F82FC9">
      <w:pPr>
        <w:pStyle w:val="NoSpacing"/>
        <w:spacing w:line="276" w:lineRule="auto"/>
        <w:rPr>
          <w:rFonts w:ascii="Times New Roman" w:hAnsi="Times New Roman" w:cs="Times New Roman"/>
        </w:rPr>
      </w:pPr>
    </w:p>
    <w:sectPr w:rsidR="004A3020" w:rsidRPr="00F82FC9" w:rsidSect="002231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C1A38" w14:textId="77777777" w:rsidR="00741E78" w:rsidRDefault="00741E78" w:rsidP="000E0E5E">
      <w:pPr>
        <w:spacing w:line="240" w:lineRule="auto"/>
      </w:pPr>
      <w:r>
        <w:separator/>
      </w:r>
    </w:p>
  </w:endnote>
  <w:endnote w:type="continuationSeparator" w:id="0">
    <w:p w14:paraId="5324577F" w14:textId="77777777" w:rsidR="00741E78" w:rsidRDefault="00741E78" w:rsidP="000E0E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4938C" w14:textId="77777777" w:rsidR="000E0E5E" w:rsidRDefault="000E0E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A8199" w14:textId="77777777" w:rsidR="000E0E5E" w:rsidRDefault="000E0E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A449F" w14:textId="77777777" w:rsidR="000E0E5E" w:rsidRDefault="000E0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3E2B7" w14:textId="77777777" w:rsidR="00741E78" w:rsidRDefault="00741E78" w:rsidP="000E0E5E">
      <w:pPr>
        <w:spacing w:line="240" w:lineRule="auto"/>
      </w:pPr>
      <w:r>
        <w:separator/>
      </w:r>
    </w:p>
  </w:footnote>
  <w:footnote w:type="continuationSeparator" w:id="0">
    <w:p w14:paraId="4FF0303A" w14:textId="77777777" w:rsidR="00741E78" w:rsidRDefault="00741E78" w:rsidP="000E0E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E41D" w14:textId="6B9E7C1C" w:rsidR="000E0E5E" w:rsidRDefault="00000000">
    <w:pPr>
      <w:pStyle w:val="Header"/>
    </w:pPr>
    <w:r>
      <w:rPr>
        <w:noProof/>
      </w:rPr>
      <w:pict w14:anchorId="6F7B63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36235" o:spid="_x0000_s1026" type="#_x0000_t136" style="position:absolute;left:0;text-align:left;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9BA8C" w14:textId="78E97553" w:rsidR="000E0E5E" w:rsidRDefault="00000000">
    <w:pPr>
      <w:pStyle w:val="Header"/>
    </w:pPr>
    <w:r>
      <w:rPr>
        <w:noProof/>
      </w:rPr>
      <w:pict w14:anchorId="574E7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36236" o:spid="_x0000_s1027"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81A7C" w14:textId="03367646" w:rsidR="000E0E5E" w:rsidRDefault="00000000">
    <w:pPr>
      <w:pStyle w:val="Header"/>
    </w:pPr>
    <w:r>
      <w:rPr>
        <w:noProof/>
      </w:rPr>
      <w:pict w14:anchorId="345A31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636234" o:spid="_x0000_s1025" type="#_x0000_t136" style="position:absolute;left:0;text-align:left;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8D7412"/>
    <w:multiLevelType w:val="multilevel"/>
    <w:tmpl w:val="5AB6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57385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17D"/>
    <w:rsid w:val="000E0E5E"/>
    <w:rsid w:val="001F610D"/>
    <w:rsid w:val="00223189"/>
    <w:rsid w:val="002450B7"/>
    <w:rsid w:val="002C3A96"/>
    <w:rsid w:val="002C3F62"/>
    <w:rsid w:val="003D1AFF"/>
    <w:rsid w:val="003F7F22"/>
    <w:rsid w:val="004053EB"/>
    <w:rsid w:val="004A3020"/>
    <w:rsid w:val="005828EB"/>
    <w:rsid w:val="005A1AAF"/>
    <w:rsid w:val="006F7D3B"/>
    <w:rsid w:val="00741E78"/>
    <w:rsid w:val="00766DD7"/>
    <w:rsid w:val="008A43C7"/>
    <w:rsid w:val="00AA117D"/>
    <w:rsid w:val="00AB0BF3"/>
    <w:rsid w:val="00B43974"/>
    <w:rsid w:val="00C92993"/>
    <w:rsid w:val="00CA1052"/>
    <w:rsid w:val="00CF5704"/>
    <w:rsid w:val="00D42B14"/>
    <w:rsid w:val="00D43DAD"/>
    <w:rsid w:val="00E462AD"/>
    <w:rsid w:val="00E5129B"/>
    <w:rsid w:val="00F023C5"/>
    <w:rsid w:val="00F07749"/>
    <w:rsid w:val="00F34AD8"/>
    <w:rsid w:val="00F82F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41B50"/>
  <w15:chartTrackingRefBased/>
  <w15:docId w15:val="{EC9C8A6A-28CE-41BC-B19B-7691826A1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line="360" w:lineRule="auto"/>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117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A117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117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117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A117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A117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117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117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117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11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A11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11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11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A11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A11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11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11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117D"/>
    <w:rPr>
      <w:rFonts w:eastAsiaTheme="majorEastAsia" w:cstheme="majorBidi"/>
      <w:color w:val="272727" w:themeColor="text1" w:themeTint="D8"/>
    </w:rPr>
  </w:style>
  <w:style w:type="paragraph" w:styleId="Title">
    <w:name w:val="Title"/>
    <w:basedOn w:val="Normal"/>
    <w:next w:val="Normal"/>
    <w:link w:val="TitleChar"/>
    <w:uiPriority w:val="10"/>
    <w:qFormat/>
    <w:rsid w:val="00AA11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11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117D"/>
    <w:pPr>
      <w:numPr>
        <w:ilvl w:val="1"/>
      </w:numPr>
      <w:spacing w:after="160"/>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11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117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A117D"/>
    <w:rPr>
      <w:i/>
      <w:iCs/>
      <w:color w:val="404040" w:themeColor="text1" w:themeTint="BF"/>
    </w:rPr>
  </w:style>
  <w:style w:type="paragraph" w:styleId="ListParagraph">
    <w:name w:val="List Paragraph"/>
    <w:basedOn w:val="Normal"/>
    <w:uiPriority w:val="34"/>
    <w:qFormat/>
    <w:rsid w:val="00AA117D"/>
    <w:pPr>
      <w:ind w:left="720"/>
      <w:contextualSpacing/>
    </w:pPr>
  </w:style>
  <w:style w:type="character" w:styleId="IntenseEmphasis">
    <w:name w:val="Intense Emphasis"/>
    <w:basedOn w:val="DefaultParagraphFont"/>
    <w:uiPriority w:val="21"/>
    <w:qFormat/>
    <w:rsid w:val="00AA117D"/>
    <w:rPr>
      <w:i/>
      <w:iCs/>
      <w:color w:val="2F5496" w:themeColor="accent1" w:themeShade="BF"/>
    </w:rPr>
  </w:style>
  <w:style w:type="paragraph" w:styleId="IntenseQuote">
    <w:name w:val="Intense Quote"/>
    <w:basedOn w:val="Normal"/>
    <w:next w:val="Normal"/>
    <w:link w:val="IntenseQuoteChar"/>
    <w:uiPriority w:val="30"/>
    <w:qFormat/>
    <w:rsid w:val="00AA11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A117D"/>
    <w:rPr>
      <w:i/>
      <w:iCs/>
      <w:color w:val="2F5496" w:themeColor="accent1" w:themeShade="BF"/>
    </w:rPr>
  </w:style>
  <w:style w:type="character" w:styleId="IntenseReference">
    <w:name w:val="Intense Reference"/>
    <w:basedOn w:val="DefaultParagraphFont"/>
    <w:uiPriority w:val="32"/>
    <w:qFormat/>
    <w:rsid w:val="00AA117D"/>
    <w:rPr>
      <w:b/>
      <w:bCs/>
      <w:smallCaps/>
      <w:color w:val="2F5496" w:themeColor="accent1" w:themeShade="BF"/>
      <w:spacing w:val="5"/>
    </w:rPr>
  </w:style>
  <w:style w:type="paragraph" w:styleId="NoSpacing">
    <w:name w:val="No Spacing"/>
    <w:uiPriority w:val="1"/>
    <w:qFormat/>
    <w:rsid w:val="00223189"/>
    <w:pPr>
      <w:spacing w:line="240" w:lineRule="auto"/>
    </w:pPr>
  </w:style>
  <w:style w:type="character" w:styleId="Hyperlink">
    <w:name w:val="Hyperlink"/>
    <w:basedOn w:val="DefaultParagraphFont"/>
    <w:uiPriority w:val="99"/>
    <w:unhideWhenUsed/>
    <w:rsid w:val="00223189"/>
    <w:rPr>
      <w:color w:val="0563C1" w:themeColor="hyperlink"/>
      <w:u w:val="single"/>
    </w:rPr>
  </w:style>
  <w:style w:type="character" w:styleId="UnresolvedMention">
    <w:name w:val="Unresolved Mention"/>
    <w:basedOn w:val="DefaultParagraphFont"/>
    <w:uiPriority w:val="99"/>
    <w:semiHidden/>
    <w:unhideWhenUsed/>
    <w:rsid w:val="00223189"/>
    <w:rPr>
      <w:color w:val="605E5C"/>
      <w:shd w:val="clear" w:color="auto" w:fill="E1DFDD"/>
    </w:rPr>
  </w:style>
  <w:style w:type="table" w:styleId="TableGrid">
    <w:name w:val="Table Grid"/>
    <w:basedOn w:val="TableNormal"/>
    <w:uiPriority w:val="39"/>
    <w:rsid w:val="00CF57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3020"/>
    <w:pPr>
      <w:autoSpaceDE w:val="0"/>
      <w:autoSpaceDN w:val="0"/>
      <w:adjustRightInd w:val="0"/>
      <w:spacing w:line="240" w:lineRule="auto"/>
      <w:ind w:left="0"/>
      <w:jc w:val="left"/>
    </w:pPr>
    <w:rPr>
      <w:rFonts w:ascii="Times New Roman" w:hAnsi="Times New Roman" w:cs="Times New Roman"/>
      <w:color w:val="000000"/>
      <w:sz w:val="24"/>
      <w:szCs w:val="24"/>
    </w:rPr>
  </w:style>
  <w:style w:type="paragraph" w:styleId="Header">
    <w:name w:val="header"/>
    <w:basedOn w:val="Normal"/>
    <w:link w:val="HeaderChar"/>
    <w:uiPriority w:val="99"/>
    <w:unhideWhenUsed/>
    <w:rsid w:val="000E0E5E"/>
    <w:pPr>
      <w:tabs>
        <w:tab w:val="center" w:pos="4680"/>
        <w:tab w:val="right" w:pos="9360"/>
      </w:tabs>
      <w:spacing w:line="240" w:lineRule="auto"/>
    </w:pPr>
  </w:style>
  <w:style w:type="character" w:customStyle="1" w:styleId="HeaderChar">
    <w:name w:val="Header Char"/>
    <w:basedOn w:val="DefaultParagraphFont"/>
    <w:link w:val="Header"/>
    <w:uiPriority w:val="99"/>
    <w:rsid w:val="000E0E5E"/>
  </w:style>
  <w:style w:type="paragraph" w:styleId="Footer">
    <w:name w:val="footer"/>
    <w:basedOn w:val="Normal"/>
    <w:link w:val="FooterChar"/>
    <w:uiPriority w:val="99"/>
    <w:unhideWhenUsed/>
    <w:rsid w:val="000E0E5E"/>
    <w:pPr>
      <w:tabs>
        <w:tab w:val="center" w:pos="4680"/>
        <w:tab w:val="right" w:pos="9360"/>
      </w:tabs>
      <w:spacing w:line="240" w:lineRule="auto"/>
    </w:pPr>
  </w:style>
  <w:style w:type="character" w:customStyle="1" w:styleId="FooterChar">
    <w:name w:val="Footer Char"/>
    <w:basedOn w:val="DefaultParagraphFont"/>
    <w:link w:val="Footer"/>
    <w:uiPriority w:val="99"/>
    <w:rsid w:val="000E0E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1016/j.tplants.2017.08.011" TargetMode="External"/><Relationship Id="rId26" Type="http://schemas.openxmlformats.org/officeDocument/2006/relationships/hyperlink" Target="https://doi.org/10.1038/nrg.2018.4" TargetMode="External"/><Relationship Id="rId39" Type="http://schemas.openxmlformats.org/officeDocument/2006/relationships/hyperlink" Target="https://doi.org/10.1111/pbi.12462" TargetMode="External"/><Relationship Id="rId21" Type="http://schemas.openxmlformats.org/officeDocument/2006/relationships/hyperlink" Target="https://doi.org/10.1023/A:1013713905833" TargetMode="External"/><Relationship Id="rId34" Type="http://schemas.openxmlformats.org/officeDocument/2006/relationships/hyperlink" Target="https://doi.org/10.1038/nature13179" TargetMode="External"/><Relationship Id="rId42" Type="http://schemas.openxmlformats.org/officeDocument/2006/relationships/hyperlink" Target="https://doi.org/10.1038/s41576-020-00298-8" TargetMode="External"/><Relationship Id="rId47" Type="http://schemas.openxmlformats.org/officeDocument/2006/relationships/fontTable" Target="fontTable.xml"/><Relationship Id="rId7" Type="http://schemas.openxmlformats.org/officeDocument/2006/relationships/hyperlink" Target="mailto:rubby.28211@lpu.co.in" TargetMode="External"/><Relationship Id="rId2" Type="http://schemas.openxmlformats.org/officeDocument/2006/relationships/styles" Target="styles.xml"/><Relationship Id="rId16" Type="http://schemas.openxmlformats.org/officeDocument/2006/relationships/hyperlink" Target="https://doi.org/10.1016/j.gfs.2017.01.009" TargetMode="External"/><Relationship Id="rId29" Type="http://schemas.openxmlformats.org/officeDocument/2006/relationships/hyperlink" Target="https://doi.org/10.3390/s1808267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s://doi.org/10.1038/s41588-019-0460-6" TargetMode="External"/><Relationship Id="rId32" Type="http://schemas.openxmlformats.org/officeDocument/2006/relationships/hyperlink" Target="https://doi.org/10.3389/fpls.2016.01419" TargetMode="External"/><Relationship Id="rId37" Type="http://schemas.openxmlformats.org/officeDocument/2006/relationships/hyperlink" Target="https://doi.org/10.1038/s41587-021-01182-2" TargetMode="External"/><Relationship Id="rId40" Type="http://schemas.openxmlformats.org/officeDocument/2006/relationships/hyperlink" Target="https://doi.org/10.1016/j.isci.2020.101890" TargetMode="External"/><Relationship Id="rId45" Type="http://schemas.openxmlformats.org/officeDocument/2006/relationships/hyperlink" Target="https://doi.org/10.1007/s00122-021-03822-1"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186/s13059-017-1215-1" TargetMode="External"/><Relationship Id="rId28" Type="http://schemas.openxmlformats.org/officeDocument/2006/relationships/hyperlink" Target="https://doi.org/10.3389/fpls.2021.679032" TargetMode="External"/><Relationship Id="rId36" Type="http://schemas.openxmlformats.org/officeDocument/2006/relationships/hyperlink" Target="https://doi.org/10.1371/journal.pcbi.1005752" TargetMode="External"/><Relationship Id="rId10" Type="http://schemas.openxmlformats.org/officeDocument/2006/relationships/header" Target="header2.xml"/><Relationship Id="rId19" Type="http://schemas.openxmlformats.org/officeDocument/2006/relationships/hyperlink" Target="https://doi.org/10.1002/9781118358566.ch4" TargetMode="External"/><Relationship Id="rId31" Type="http://schemas.openxmlformats.org/officeDocument/2006/relationships/hyperlink" Target="https://doi.org/10.1093/bib/bbz095" TargetMode="External"/><Relationship Id="rId44" Type="http://schemas.openxmlformats.org/officeDocument/2006/relationships/hyperlink" Target="https://doi.org/10.1104/pp.18.01168"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146/annurev-arplant-050312-120137" TargetMode="External"/><Relationship Id="rId27" Type="http://schemas.openxmlformats.org/officeDocument/2006/relationships/hyperlink" Target="https://doi.org/10.1038/s41588-018-0288-3" TargetMode="External"/><Relationship Id="rId30" Type="http://schemas.openxmlformats.org/officeDocument/2006/relationships/hyperlink" Target="https://doi.org/10.1016/j.tplants.2020.06.009" TargetMode="External"/><Relationship Id="rId35" Type="http://schemas.openxmlformats.org/officeDocument/2006/relationships/hyperlink" Target="https://doi.org/10.1787/888934018434" TargetMode="External"/><Relationship Id="rId43" Type="http://schemas.openxmlformats.org/officeDocument/2006/relationships/hyperlink" Target="https://doi.org/10.1038/nrg2484"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doi.org/10.1186/s13059-019-1864-6" TargetMode="External"/><Relationship Id="rId25" Type="http://schemas.openxmlformats.org/officeDocument/2006/relationships/hyperlink" Target="https://doi.org/10.1016/j.jprot.2015.01.018" TargetMode="External"/><Relationship Id="rId33" Type="http://schemas.openxmlformats.org/officeDocument/2006/relationships/hyperlink" Target="https://doi.org/10.1534/g3.118.200649" TargetMode="External"/><Relationship Id="rId38" Type="http://schemas.openxmlformats.org/officeDocument/2006/relationships/hyperlink" Target="https://doi.org/10.1016/j.tplants.2019.12.015" TargetMode="External"/><Relationship Id="rId46" Type="http://schemas.openxmlformats.org/officeDocument/2006/relationships/hyperlink" Target="https://doi.org/10.1073/pnas.1701762114" TargetMode="External"/><Relationship Id="rId20" Type="http://schemas.openxmlformats.org/officeDocument/2006/relationships/hyperlink" Target="https://doi.org/10.4060/cb4474en" TargetMode="External"/><Relationship Id="rId41" Type="http://schemas.openxmlformats.org/officeDocument/2006/relationships/hyperlink" Target="https://doi.org/10.3835/plantgenome2019.05.00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395</TotalTime>
  <Pages>1</Pages>
  <Words>11658</Words>
  <Characters>66452</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RAJNEESH KUMAR</dc:creator>
  <cp:keywords/>
  <dc:description/>
  <cp:lastModifiedBy>RAJNEESH KUMAR</cp:lastModifiedBy>
  <cp:revision>16</cp:revision>
  <dcterms:created xsi:type="dcterms:W3CDTF">2026-03-28T05:58:00Z</dcterms:created>
  <dcterms:modified xsi:type="dcterms:W3CDTF">2026-04-04T11:40:00Z</dcterms:modified>
</cp:coreProperties>
</file>