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81F7" w14:textId="77777777" w:rsidR="00C96183" w:rsidRDefault="00BA2E0F" w:rsidP="00102800">
      <w:pPr>
        <w:pStyle w:val="Heading1"/>
        <w:jc w:val="center"/>
        <w:rPr>
          <w:rFonts w:ascii="Times New Roman" w:hAnsi="Times New Roman" w:cs="Times New Roman"/>
        </w:rPr>
      </w:pPr>
      <w:r w:rsidRPr="00F53EF8">
        <w:rPr>
          <w:rFonts w:ascii="Times New Roman" w:hAnsi="Times New Roman" w:cs="Times New Roman"/>
        </w:rPr>
        <w:t>Assessing the Effectiveness of Pandemic Preparedness and Response Systems in Enhancing Public Health Resilience in the United States: A Scoping Review</w:t>
      </w:r>
    </w:p>
    <w:p w14:paraId="39EFC75A" w14:textId="3F349F42" w:rsidR="006E52AC" w:rsidRPr="00F53EF8" w:rsidRDefault="006E52AC" w:rsidP="00102800">
      <w:pPr>
        <w:pStyle w:val="Heading1"/>
        <w:jc w:val="both"/>
        <w:rPr>
          <w:rFonts w:ascii="Times New Roman" w:hAnsi="Times New Roman" w:cs="Times New Roman"/>
        </w:rPr>
      </w:pPr>
      <w:r>
        <w:rPr>
          <w:rFonts w:ascii="Times New Roman" w:hAnsi="Times New Roman" w:cs="Times New Roman"/>
        </w:rPr>
        <w:t xml:space="preserve">Type of article: </w:t>
      </w:r>
      <w:r w:rsidRPr="006E52AC">
        <w:rPr>
          <w:rFonts w:ascii="Times New Roman" w:hAnsi="Times New Roman" w:cs="Times New Roman"/>
          <w:b w:val="0"/>
          <w:bCs w:val="0"/>
        </w:rPr>
        <w:t>Review article</w:t>
      </w:r>
    </w:p>
    <w:p w14:paraId="4F34DC10" w14:textId="77777777" w:rsidR="00C96183" w:rsidRPr="00F53EF8" w:rsidRDefault="00C96183" w:rsidP="00102800">
      <w:pPr>
        <w:spacing w:before="180" w:after="180"/>
        <w:jc w:val="both"/>
        <w:rPr>
          <w:rFonts w:ascii="Cambria" w:eastAsia="Cambria" w:hAnsi="Cambria" w:cs="SimSun"/>
          <w:b/>
          <w:bCs/>
          <w:color w:val="36363D"/>
        </w:rPr>
      </w:pPr>
    </w:p>
    <w:p w14:paraId="7F71EB5B" w14:textId="77777777" w:rsidR="00C96183" w:rsidRPr="00F53EF8" w:rsidRDefault="00BA2E0F" w:rsidP="00102800">
      <w:pPr>
        <w:pStyle w:val="Heading2"/>
        <w:jc w:val="both"/>
        <w:rPr>
          <w:rFonts w:ascii="Times New Roman" w:hAnsi="Times New Roman" w:cs="Times New Roman"/>
        </w:rPr>
      </w:pPr>
      <w:r w:rsidRPr="00F53EF8">
        <w:rPr>
          <w:rFonts w:ascii="Times New Roman" w:hAnsi="Times New Roman" w:cs="Times New Roman"/>
        </w:rPr>
        <w:t>Abstract</w:t>
      </w:r>
    </w:p>
    <w:p w14:paraId="38DD8901" w14:textId="62D4372D" w:rsidR="00C64B0D"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Background: </w:t>
      </w:r>
      <w:r w:rsidRPr="00F53EF8">
        <w:rPr>
          <w:rFonts w:ascii="Times New Roman" w:hAnsi="Times New Roman" w:cs="Times New Roman"/>
        </w:rPr>
        <w:t>The COVID-19 pandemic revealed severe weaknesses in the public health preparedness and response systems all across the world, and especially in the United States. It is necessary to understand the effectiveness of such systems to create resilient public health infrastructure to deal with the future pandemic.</w:t>
      </w:r>
    </w:p>
    <w:p w14:paraId="3AAB9086" w14:textId="77777777" w:rsidR="00C64B0D" w:rsidRPr="000201FA" w:rsidRDefault="00BA2E0F" w:rsidP="00102800">
      <w:pPr>
        <w:spacing w:after="120"/>
        <w:jc w:val="both"/>
        <w:rPr>
          <w:rFonts w:ascii="Times New Roman" w:hAnsi="Times New Roman" w:cs="Times New Roman"/>
          <w:highlight w:val="yellow"/>
        </w:rPr>
      </w:pPr>
      <w:r w:rsidRPr="000201FA">
        <w:rPr>
          <w:rFonts w:ascii="Times New Roman" w:hAnsi="Times New Roman" w:cs="Times New Roman"/>
          <w:b/>
          <w:bCs/>
          <w:highlight w:val="yellow"/>
        </w:rPr>
        <w:t xml:space="preserve">Purpose: </w:t>
      </w:r>
      <w:r w:rsidR="00C64B0D" w:rsidRPr="000201FA">
        <w:rPr>
          <w:rFonts w:ascii="Times New Roman" w:hAnsi="Times New Roman" w:cs="Times New Roman"/>
          <w:highlight w:val="yellow"/>
        </w:rPr>
        <w:t>This scoping review is an attempt to synthesize the literature published in 2022-2025 to evaluate the effectiveness of the pandemic preparedness and response systems in improving the resilience of the population health in the United States.</w:t>
      </w:r>
    </w:p>
    <w:p w14:paraId="00D4223B" w14:textId="16D0D466" w:rsidR="00C64B0D" w:rsidRPr="000201FA" w:rsidRDefault="00BA2E0F" w:rsidP="00102800">
      <w:pPr>
        <w:jc w:val="both"/>
        <w:rPr>
          <w:rFonts w:ascii="Times New Roman" w:hAnsi="Times New Roman" w:cs="Times New Roman"/>
          <w:highlight w:val="yellow"/>
        </w:rPr>
      </w:pPr>
      <w:r w:rsidRPr="000201FA">
        <w:rPr>
          <w:rFonts w:ascii="Times New Roman" w:hAnsi="Times New Roman" w:cs="Times New Roman"/>
          <w:b/>
          <w:bCs/>
          <w:highlight w:val="yellow"/>
        </w:rPr>
        <w:t xml:space="preserve">Methods: </w:t>
      </w:r>
      <w:r w:rsidR="00C64B0D" w:rsidRPr="000201FA">
        <w:rPr>
          <w:rFonts w:ascii="Times New Roman" w:hAnsi="Times New Roman" w:cs="Times New Roman"/>
          <w:highlight w:val="yellow"/>
        </w:rPr>
        <w:t>Six databases and source types such as PubMed, Web of Science, Google Scholar, U.S. government repositories, websites of public health organizations, and grey literature platforms were systematically searched. Sources were filtered by pre-established inclusion and exclusion criteria, and included pandemic preparedness, response efficacy, or public health resilience in the U.S. published between 2022 and 2025.</w:t>
      </w:r>
    </w:p>
    <w:p w14:paraId="68663CB4" w14:textId="77777777" w:rsidR="00C64B0D" w:rsidRPr="000201FA" w:rsidRDefault="00C64B0D" w:rsidP="00102800">
      <w:pPr>
        <w:jc w:val="both"/>
        <w:rPr>
          <w:rFonts w:ascii="Times New Roman" w:hAnsi="Times New Roman" w:cs="Times New Roman"/>
          <w:sz w:val="12"/>
          <w:szCs w:val="12"/>
          <w:highlight w:val="yellow"/>
        </w:rPr>
      </w:pPr>
    </w:p>
    <w:p w14:paraId="32B94ADD" w14:textId="77777777" w:rsidR="00D13714" w:rsidRPr="00D13714" w:rsidRDefault="00BA2E0F" w:rsidP="00102800">
      <w:pPr>
        <w:jc w:val="both"/>
        <w:rPr>
          <w:rFonts w:ascii="Times New Roman" w:hAnsi="Times New Roman" w:cs="Times New Roman"/>
        </w:rPr>
      </w:pPr>
      <w:r w:rsidRPr="000201FA">
        <w:rPr>
          <w:rFonts w:ascii="Times New Roman" w:hAnsi="Times New Roman" w:cs="Times New Roman"/>
          <w:b/>
          <w:bCs/>
          <w:highlight w:val="yellow"/>
        </w:rPr>
        <w:t>Findings:</w:t>
      </w:r>
      <w:r w:rsidR="00C64B0D" w:rsidRPr="000201FA">
        <w:rPr>
          <w:rFonts w:ascii="Times New Roman" w:hAnsi="Times New Roman" w:cs="Times New Roman"/>
          <w:b/>
          <w:bCs/>
          <w:highlight w:val="yellow"/>
        </w:rPr>
        <w:t xml:space="preserve"> </w:t>
      </w:r>
      <w:r w:rsidR="00C64B0D" w:rsidRPr="000201FA">
        <w:rPr>
          <w:rFonts w:ascii="Times New Roman" w:hAnsi="Times New Roman" w:cs="Times New Roman"/>
          <w:highlight w:val="yellow"/>
        </w:rPr>
        <w:t>A total</w:t>
      </w:r>
      <w:r w:rsidRPr="000201FA">
        <w:rPr>
          <w:rFonts w:ascii="Times New Roman" w:hAnsi="Times New Roman" w:cs="Times New Roman"/>
          <w:b/>
          <w:bCs/>
          <w:highlight w:val="yellow"/>
        </w:rPr>
        <w:t xml:space="preserve"> </w:t>
      </w:r>
      <w:r w:rsidR="00C64B0D" w:rsidRPr="000201FA">
        <w:rPr>
          <w:rFonts w:ascii="Times New Roman" w:hAnsi="Times New Roman" w:cs="Times New Roman"/>
          <w:highlight w:val="yellow"/>
        </w:rPr>
        <w:t xml:space="preserve">50 sources were incorporated and examined in seven thematic areas, including government policy and oversight, state and local preparedness, health system resilience, COVID-19 lessons learned, public health workforce and infrastructure, </w:t>
      </w:r>
      <w:proofErr w:type="spellStart"/>
      <w:r w:rsidR="00C64B0D" w:rsidRPr="000201FA">
        <w:rPr>
          <w:rFonts w:ascii="Times New Roman" w:hAnsi="Times New Roman" w:cs="Times New Roman"/>
          <w:highlight w:val="yellow"/>
        </w:rPr>
        <w:t>biosurveillance</w:t>
      </w:r>
      <w:proofErr w:type="spellEnd"/>
      <w:r w:rsidR="00C64B0D" w:rsidRPr="000201FA">
        <w:rPr>
          <w:rFonts w:ascii="Times New Roman" w:hAnsi="Times New Roman" w:cs="Times New Roman"/>
          <w:highlight w:val="yellow"/>
        </w:rPr>
        <w:t xml:space="preserve"> and early detection, and healthcare system readiness.</w:t>
      </w:r>
      <w:r w:rsidR="00D13714" w:rsidRPr="000201FA">
        <w:rPr>
          <w:rFonts w:ascii="Times New Roman" w:hAnsi="Times New Roman" w:cs="Times New Roman"/>
          <w:highlight w:val="yellow"/>
        </w:rPr>
        <w:t xml:space="preserve"> The major findings are that there are still gaps in interagency coordination, workforce capacity, supply chain resilience, and surveillance infrastructure, and that there is a wide interstate variation in the level of preparedness.</w:t>
      </w:r>
    </w:p>
    <w:p w14:paraId="5E0383E3" w14:textId="0979E0B9" w:rsidR="00C64B0D" w:rsidRPr="00C64B0D" w:rsidRDefault="00C64B0D" w:rsidP="00102800">
      <w:pPr>
        <w:jc w:val="both"/>
        <w:rPr>
          <w:rFonts w:ascii="Times New Roman" w:hAnsi="Times New Roman" w:cs="Times New Roman"/>
        </w:rPr>
      </w:pPr>
      <w:r w:rsidRPr="00C64B0D">
        <w:rPr>
          <w:rFonts w:ascii="Times New Roman" w:hAnsi="Times New Roman" w:cs="Times New Roman"/>
        </w:rPr>
        <w:t xml:space="preserve"> </w:t>
      </w:r>
    </w:p>
    <w:p w14:paraId="6E613F8F" w14:textId="47E77DC5"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Conclusions: </w:t>
      </w:r>
      <w:r w:rsidRPr="00F53EF8">
        <w:rPr>
          <w:rFonts w:ascii="Times New Roman" w:hAnsi="Times New Roman" w:cs="Times New Roman"/>
        </w:rPr>
        <w:t>Although some important progress has been achieved in highlighting the weaknesses that the COVID-19 revealed, addressing the issue of the inadequate level of investments in the public health infrastructure, workforce development, and coordinated response mechanisms is essential to improve pandemic preparedness and public health resilience in the United States.</w:t>
      </w:r>
    </w:p>
    <w:p w14:paraId="23D04431" w14:textId="546D9305"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Keywords: </w:t>
      </w:r>
      <w:r w:rsidR="00C9738C" w:rsidRPr="00C9738C">
        <w:rPr>
          <w:rFonts w:ascii="Times New Roman" w:hAnsi="Times New Roman" w:cs="Times New Roman"/>
          <w:highlight w:val="yellow"/>
        </w:rPr>
        <w:t xml:space="preserve">pandemic preparedness, public health resilience, health system resilience, </w:t>
      </w:r>
      <w:proofErr w:type="spellStart"/>
      <w:r w:rsidR="00C9738C" w:rsidRPr="00C9738C">
        <w:rPr>
          <w:rFonts w:ascii="Times New Roman" w:hAnsi="Times New Roman" w:cs="Times New Roman"/>
          <w:highlight w:val="yellow"/>
        </w:rPr>
        <w:t>biosurveillance</w:t>
      </w:r>
      <w:proofErr w:type="spellEnd"/>
      <w:r w:rsidR="00C9738C" w:rsidRPr="00C9738C">
        <w:rPr>
          <w:rFonts w:ascii="Times New Roman" w:hAnsi="Times New Roman" w:cs="Times New Roman"/>
          <w:highlight w:val="yellow"/>
        </w:rPr>
        <w:t>, response systems, COVID-19 lessons, health policy, United States</w:t>
      </w:r>
    </w:p>
    <w:p w14:paraId="07D4CD5E" w14:textId="77777777" w:rsidR="00C96183" w:rsidRPr="00F53EF8" w:rsidRDefault="00BA2E0F" w:rsidP="00102800">
      <w:pPr>
        <w:pStyle w:val="Heading1"/>
        <w:jc w:val="both"/>
        <w:rPr>
          <w:rFonts w:ascii="Times New Roman" w:hAnsi="Times New Roman" w:cs="Times New Roman"/>
        </w:rPr>
      </w:pPr>
      <w:r w:rsidRPr="00F53EF8">
        <w:rPr>
          <w:rFonts w:ascii="Times New Roman" w:hAnsi="Times New Roman" w:cs="Times New Roman"/>
        </w:rPr>
        <w:t>1. Introduction</w:t>
      </w:r>
    </w:p>
    <w:p w14:paraId="09D74028"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The COVID-19 pandemic was a worldwide health crisis like no other, which challenged the preparedness and response systems of the world in terms of global health. The pandemic in the United States demonstrated the systematic weaknesses of the disease surveillance system, the healthcare capacity, and supply chain management, the infrastructure of the public health </w:t>
      </w:r>
      <w:r w:rsidRPr="00F53EF8">
        <w:rPr>
          <w:rFonts w:ascii="Times New Roman" w:hAnsi="Times New Roman" w:cs="Times New Roman"/>
        </w:rPr>
        <w:lastRenderedPageBreak/>
        <w:t>workforce and its coordination at the federal, state, and local levels (U.S. House Committee on Oversight and Accountability, 2024). These deficiencies caused great morbidity, deaths, and economic disruption, the importance of which is that the pandemic preparedness is to be improved, and people need to be healthier.</w:t>
      </w:r>
    </w:p>
    <w:p w14:paraId="1F96AE05" w14:textId="77777777" w:rsidR="00D13714" w:rsidRDefault="00D13714" w:rsidP="00102800">
      <w:pPr>
        <w:spacing w:after="240"/>
        <w:jc w:val="both"/>
        <w:rPr>
          <w:rFonts w:ascii="Times New Roman" w:hAnsi="Times New Roman" w:cs="Times New Roman"/>
        </w:rPr>
      </w:pPr>
      <w:r w:rsidRPr="000201FA">
        <w:rPr>
          <w:rFonts w:ascii="Times New Roman" w:hAnsi="Times New Roman" w:cs="Times New Roman"/>
          <w:highlight w:val="yellow"/>
        </w:rPr>
        <w:t>Public health resilience is the ability of health systems and communities to endure, adjust, and recuperate health emergencies without disrupting fundamental functions (Kruk et al., 2023). Pandemic preparedness involves integrated surveillance systems, sufficient health care infrastructure, the ability to hire skilled workers, clear governance, and evidence-based response plans (Centers for Disease Control and Prevention, 2024a).</w:t>
      </w:r>
    </w:p>
    <w:p w14:paraId="1A54561C" w14:textId="093DB6B3"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Efforts taken since the acute phase of the COVID-19 pandemic have significantly focused on assessing how well the pandemic preparedness and response systems perform, lessons learned, and suggestions to reform the system so as to prevent or reduce next-time emergencies in the public health sector. The results of these efforts have created an emerging literature base of governmental agencies, academic and government health organizations looking at different facets of pandemic preparedness within the United States setting.</w:t>
      </w:r>
    </w:p>
    <w:p w14:paraId="30783209"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purpose of this scoping review is to summarize up-to-date data regarding the efficacy of the systems of pandemic preparedness and response in promoting the resilience of the public health in the United States. This review will pinpoint the major themes, loopholes in the current preparedness models, and ways to enhance the resilience of the U.S. population in the face of upcoming pandemics because it systematically maps the available literature published between 2022 and 2025.</w:t>
      </w:r>
    </w:p>
    <w:p w14:paraId="0E245026" w14:textId="77777777" w:rsidR="00C96183" w:rsidRPr="00F53EF8" w:rsidRDefault="00BA2E0F" w:rsidP="00102800">
      <w:pPr>
        <w:pStyle w:val="Heading1"/>
        <w:jc w:val="both"/>
        <w:rPr>
          <w:rFonts w:ascii="Times New Roman" w:hAnsi="Times New Roman" w:cs="Times New Roman"/>
        </w:rPr>
      </w:pPr>
      <w:r w:rsidRPr="00F53EF8">
        <w:rPr>
          <w:rFonts w:ascii="Times New Roman" w:hAnsi="Times New Roman" w:cs="Times New Roman"/>
        </w:rPr>
        <w:t>2. Methodology</w:t>
      </w:r>
    </w:p>
    <w:p w14:paraId="22238338" w14:textId="77777777" w:rsidR="00C96183" w:rsidRPr="00F53EF8" w:rsidRDefault="00BA2E0F" w:rsidP="00102800">
      <w:pPr>
        <w:pStyle w:val="Heading2"/>
        <w:jc w:val="both"/>
        <w:rPr>
          <w:rFonts w:ascii="Times New Roman" w:hAnsi="Times New Roman" w:cs="Times New Roman"/>
        </w:rPr>
      </w:pPr>
      <w:r w:rsidRPr="00F53EF8">
        <w:rPr>
          <w:rFonts w:ascii="Times New Roman" w:hAnsi="Times New Roman" w:cs="Times New Roman"/>
        </w:rPr>
        <w:t>2.1 Study Design</w:t>
      </w:r>
    </w:p>
    <w:p w14:paraId="5071EC23" w14:textId="77777777" w:rsidR="00C9738C"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This scoping review was based on the methodology of the scoping reviews described by Arksey and O'Malley (2005) and narrowed down to the approach of scoping review by Levac et al. (2010). </w:t>
      </w:r>
      <w:r w:rsidR="00C21A2F" w:rsidRPr="00C21A2F">
        <w:rPr>
          <w:rFonts w:ascii="Times New Roman" w:hAnsi="Times New Roman" w:cs="Times New Roman"/>
        </w:rPr>
        <w:t>The review was intended to map the scope of the literature on pandemic preparedness and response systems in the United States; formal quality appraisal of individual studies was not conducted, consistent with scoping review methodology. Reporting followed the PRISMA Extension for Scoping Reviews (PRISMA-</w:t>
      </w:r>
      <w:proofErr w:type="spellStart"/>
      <w:r w:rsidR="00C21A2F" w:rsidRPr="00C21A2F">
        <w:rPr>
          <w:rFonts w:ascii="Times New Roman" w:hAnsi="Times New Roman" w:cs="Times New Roman"/>
        </w:rPr>
        <w:t>ScR</w:t>
      </w:r>
      <w:proofErr w:type="spellEnd"/>
      <w:r w:rsidR="00C21A2F" w:rsidRPr="00C21A2F">
        <w:rPr>
          <w:rFonts w:ascii="Times New Roman" w:hAnsi="Times New Roman" w:cs="Times New Roman"/>
        </w:rPr>
        <w:t>) checklist to ensure methodological transparency.</w:t>
      </w:r>
    </w:p>
    <w:p w14:paraId="5922BA11" w14:textId="446777F6"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2.2 Search Strategy</w:t>
      </w:r>
    </w:p>
    <w:p w14:paraId="24490BB9"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In January 2025, a detailed search was carried out to find the available literature published between January 2022 and January 2025. The search strategy involved:</w:t>
      </w:r>
    </w:p>
    <w:p w14:paraId="2153811D" w14:textId="77777777" w:rsidR="00C96183" w:rsidRPr="00F53EF8" w:rsidRDefault="00BA2E0F" w:rsidP="00102800">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 xml:space="preserve">Government </w:t>
      </w:r>
      <w:proofErr w:type="spellStart"/>
      <w:proofErr w:type="gramStart"/>
      <w:r w:rsidRPr="00F53EF8">
        <w:rPr>
          <w:rFonts w:ascii="Times New Roman" w:hAnsi="Times New Roman" w:cs="Times New Roman"/>
        </w:rPr>
        <w:t>databases:U.S</w:t>
      </w:r>
      <w:proofErr w:type="spellEnd"/>
      <w:r w:rsidRPr="00F53EF8">
        <w:rPr>
          <w:rFonts w:ascii="Times New Roman" w:hAnsi="Times New Roman" w:cs="Times New Roman"/>
        </w:rPr>
        <w:t>.</w:t>
      </w:r>
      <w:proofErr w:type="gramEnd"/>
      <w:r w:rsidRPr="00F53EF8">
        <w:rPr>
          <w:rFonts w:ascii="Times New Roman" w:hAnsi="Times New Roman" w:cs="Times New Roman"/>
        </w:rPr>
        <w:t xml:space="preserve"> Government Accountability Office (GAO) reports, Congressional testimony and legislations, Centers of Disease Control and Prevention (CDC) publications, White House policy documents, and Department of Health and Human Services (HHS) reports.</w:t>
      </w:r>
    </w:p>
    <w:p w14:paraId="1B8D0543" w14:textId="77777777" w:rsidR="00C96183" w:rsidRPr="00F53EF8" w:rsidRDefault="00BA2E0F" w:rsidP="00102800">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lastRenderedPageBreak/>
        <w:t>Websites of the public health organizations: Trust for America health (TFAH), National Academies of Sciences, Engineering, and Medicine (NASEM), National Association of County and City Health Officials (NACCHO).</w:t>
      </w:r>
    </w:p>
    <w:p w14:paraId="0C0F9902" w14:textId="77777777" w:rsidR="00C96183" w:rsidRPr="00F53EF8" w:rsidRDefault="00BA2E0F" w:rsidP="00102800">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Scholarly databases: PubMed, Web of science, and Google Scholar.</w:t>
      </w:r>
    </w:p>
    <w:p w14:paraId="4D6DA802" w14:textId="77777777" w:rsidR="00C96183" w:rsidRPr="00F53EF8" w:rsidRDefault="00BA2E0F" w:rsidP="00102800">
      <w:pPr>
        <w:pStyle w:val="ListParagraph"/>
        <w:numPr>
          <w:ilvl w:val="0"/>
          <w:numId w:val="1"/>
        </w:numPr>
        <w:spacing w:after="240"/>
        <w:jc w:val="both"/>
        <w:rPr>
          <w:rFonts w:ascii="Times New Roman" w:hAnsi="Times New Roman" w:cs="Times New Roman"/>
        </w:rPr>
      </w:pPr>
      <w:r w:rsidRPr="00F53EF8">
        <w:rPr>
          <w:rFonts w:ascii="Times New Roman" w:hAnsi="Times New Roman" w:cs="Times New Roman"/>
        </w:rPr>
        <w:t>Grey literature: reports, policy briefs and white papers by think tanks such as RAND Corporation, Center of Strategic and International Studies (CSIS) and Institute of Progress.</w:t>
      </w:r>
    </w:p>
    <w:p w14:paraId="02D33D1B"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Search terms included the combination of: pandemic preparedness, pandemic response, health system resilience,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emergency preparedness, lessons learned during COVID-19, United States, healthcare preparedness, and outbreak detection.</w:t>
      </w:r>
    </w:p>
    <w:p w14:paraId="7CDBE941" w14:textId="77777777"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2.3 Selection Criteria</w:t>
      </w:r>
    </w:p>
    <w:p w14:paraId="1B906884"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Originally, studies, reports and policy documents were found according to the criteria, which are listed in Table 1.</w:t>
      </w:r>
    </w:p>
    <w:p w14:paraId="0E064AC6" w14:textId="77777777" w:rsidR="00C96183" w:rsidRPr="00F53EF8" w:rsidRDefault="00BA2E0F" w:rsidP="00102800">
      <w:pPr>
        <w:spacing w:before="120" w:after="120"/>
        <w:jc w:val="both"/>
        <w:rPr>
          <w:rFonts w:ascii="Times New Roman" w:hAnsi="Times New Roman" w:cs="Times New Roman"/>
        </w:rPr>
      </w:pPr>
      <w:r w:rsidRPr="00F53EF8">
        <w:rPr>
          <w:rFonts w:ascii="Times New Roman" w:hAnsi="Times New Roman" w:cs="Times New Roman"/>
          <w:b/>
          <w:bCs/>
        </w:rPr>
        <w:t>Table 1: Selection Criteria for Inclusion and Exclusion</w:t>
      </w:r>
    </w:p>
    <w:tbl>
      <w:tblPr>
        <w:tblStyle w:val="GridTable1Light1"/>
        <w:tblpPr w:leftFromText="180" w:rightFromText="180" w:vertAnchor="text" w:horzAnchor="margin" w:tblpY="133"/>
        <w:tblW w:w="9360" w:type="dxa"/>
        <w:tblLook w:val="04A0" w:firstRow="1" w:lastRow="0" w:firstColumn="1" w:lastColumn="0" w:noHBand="0" w:noVBand="1"/>
      </w:tblPr>
      <w:tblGrid>
        <w:gridCol w:w="2340"/>
        <w:gridCol w:w="3510"/>
        <w:gridCol w:w="3510"/>
      </w:tblGrid>
      <w:tr w:rsidR="00C96183" w:rsidRPr="00F53EF8" w14:paraId="16E50FAB" w14:textId="77777777" w:rsidTr="00C96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26F57F6"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Criterion</w:t>
            </w:r>
          </w:p>
        </w:tc>
        <w:tc>
          <w:tcPr>
            <w:tcW w:w="3510" w:type="dxa"/>
          </w:tcPr>
          <w:p w14:paraId="248E3D87" w14:textId="77777777" w:rsidR="00C96183" w:rsidRPr="00F53EF8" w:rsidRDefault="00BA2E0F" w:rsidP="001028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Inclusion</w:t>
            </w:r>
          </w:p>
        </w:tc>
        <w:tc>
          <w:tcPr>
            <w:tcW w:w="3510" w:type="dxa"/>
          </w:tcPr>
          <w:p w14:paraId="7FDB309E" w14:textId="77777777" w:rsidR="00C96183" w:rsidRPr="00F53EF8" w:rsidRDefault="00BA2E0F" w:rsidP="0010280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Exclusion</w:t>
            </w:r>
          </w:p>
        </w:tc>
      </w:tr>
      <w:tr w:rsidR="00C96183" w:rsidRPr="00F53EF8" w14:paraId="22FA4512"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6C96C6BF"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Publication Date</w:t>
            </w:r>
          </w:p>
        </w:tc>
        <w:tc>
          <w:tcPr>
            <w:tcW w:w="3510" w:type="dxa"/>
          </w:tcPr>
          <w:p w14:paraId="6F536CFE"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January 2022 – January 2025</w:t>
            </w:r>
          </w:p>
        </w:tc>
        <w:tc>
          <w:tcPr>
            <w:tcW w:w="3510" w:type="dxa"/>
          </w:tcPr>
          <w:p w14:paraId="6E8943C8"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Published before 2022</w:t>
            </w:r>
          </w:p>
        </w:tc>
      </w:tr>
      <w:tr w:rsidR="00C96183" w:rsidRPr="00F53EF8" w14:paraId="3729F031"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76388F4A"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Geographic Focus</w:t>
            </w:r>
          </w:p>
        </w:tc>
        <w:tc>
          <w:tcPr>
            <w:tcW w:w="3510" w:type="dxa"/>
          </w:tcPr>
          <w:p w14:paraId="72DDFC38"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United States (national, state, or local level) or international comparisons that include the U.S.</w:t>
            </w:r>
          </w:p>
        </w:tc>
        <w:tc>
          <w:tcPr>
            <w:tcW w:w="3510" w:type="dxa"/>
          </w:tcPr>
          <w:p w14:paraId="4921F7BD"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Studies with no U.S. focus or relevance</w:t>
            </w:r>
          </w:p>
        </w:tc>
      </w:tr>
      <w:tr w:rsidR="00C96183" w:rsidRPr="00F53EF8" w14:paraId="36906501"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EF05C2B"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Topic Relevance</w:t>
            </w:r>
          </w:p>
        </w:tc>
        <w:tc>
          <w:tcPr>
            <w:tcW w:w="3510" w:type="dxa"/>
          </w:tcPr>
          <w:p w14:paraId="460CCBB1"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 xml:space="preserve">Addresses pandemic preparedness, response systems, public health resilience, health system capacity,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emergency preparedness, or lessons learned from COVID-19</w:t>
            </w:r>
          </w:p>
        </w:tc>
        <w:tc>
          <w:tcPr>
            <w:tcW w:w="3510" w:type="dxa"/>
          </w:tcPr>
          <w:p w14:paraId="73EF189E"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Focuses solely on clinical treatment protocols, vaccine development, or non-pandemic health emergencies</w:t>
            </w:r>
          </w:p>
        </w:tc>
      </w:tr>
      <w:tr w:rsidR="00C96183" w:rsidRPr="00F53EF8" w14:paraId="039DCCAE"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C7F97BA"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Source Type</w:t>
            </w:r>
          </w:p>
        </w:tc>
        <w:tc>
          <w:tcPr>
            <w:tcW w:w="3510" w:type="dxa"/>
          </w:tcPr>
          <w:p w14:paraId="25EC9589"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Government reports, policy documents, peer-reviewed articles, white papers, evaluation reports, congressional testimony, and guidance documents</w:t>
            </w:r>
          </w:p>
        </w:tc>
        <w:tc>
          <w:tcPr>
            <w:tcW w:w="3510" w:type="dxa"/>
          </w:tcPr>
          <w:p w14:paraId="00316FE1"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Opinion pieces without supporting evidence, news articles, blog posts</w:t>
            </w:r>
          </w:p>
        </w:tc>
      </w:tr>
      <w:tr w:rsidR="00C96183" w:rsidRPr="00F53EF8" w14:paraId="356A91EA"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7C1DCB1"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Language</w:t>
            </w:r>
          </w:p>
        </w:tc>
        <w:tc>
          <w:tcPr>
            <w:tcW w:w="3510" w:type="dxa"/>
          </w:tcPr>
          <w:p w14:paraId="433C6454"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English</w:t>
            </w:r>
          </w:p>
        </w:tc>
        <w:tc>
          <w:tcPr>
            <w:tcW w:w="3510" w:type="dxa"/>
          </w:tcPr>
          <w:p w14:paraId="7EE1BF08"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Non-English publications</w:t>
            </w:r>
          </w:p>
        </w:tc>
      </w:tr>
      <w:tr w:rsidR="00C96183" w:rsidRPr="00F53EF8" w14:paraId="205B5319"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546C8929"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Accessibility</w:t>
            </w:r>
          </w:p>
        </w:tc>
        <w:tc>
          <w:tcPr>
            <w:tcW w:w="3510" w:type="dxa"/>
          </w:tcPr>
          <w:p w14:paraId="62D6CADA"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Publicly available documents</w:t>
            </w:r>
          </w:p>
        </w:tc>
        <w:tc>
          <w:tcPr>
            <w:tcW w:w="3510" w:type="dxa"/>
          </w:tcPr>
          <w:p w14:paraId="6530E8AE"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Proprietary or restricted-access documents</w:t>
            </w:r>
          </w:p>
        </w:tc>
      </w:tr>
      <w:tr w:rsidR="00C96183" w:rsidRPr="00F53EF8" w14:paraId="7F343446" w14:textId="77777777" w:rsidTr="00C96183">
        <w:tc>
          <w:tcPr>
            <w:cnfStyle w:val="001000000000" w:firstRow="0" w:lastRow="0" w:firstColumn="1" w:lastColumn="0" w:oddVBand="0" w:evenVBand="0" w:oddHBand="0" w:evenHBand="0" w:firstRowFirstColumn="0" w:firstRowLastColumn="0" w:lastRowFirstColumn="0" w:lastRowLastColumn="0"/>
            <w:tcW w:w="2340" w:type="dxa"/>
          </w:tcPr>
          <w:p w14:paraId="6A8FB188" w14:textId="77777777" w:rsidR="00C96183" w:rsidRPr="00F53EF8" w:rsidRDefault="00BA2E0F" w:rsidP="00102800">
            <w:pPr>
              <w:jc w:val="both"/>
              <w:rPr>
                <w:rFonts w:ascii="Times New Roman" w:hAnsi="Times New Roman" w:cs="Times New Roman"/>
              </w:rPr>
            </w:pPr>
            <w:r w:rsidRPr="00F53EF8">
              <w:rPr>
                <w:rFonts w:ascii="Times New Roman" w:hAnsi="Times New Roman" w:cs="Times New Roman"/>
              </w:rPr>
              <w:t>Focus</w:t>
            </w:r>
          </w:p>
        </w:tc>
        <w:tc>
          <w:tcPr>
            <w:tcW w:w="3510" w:type="dxa"/>
          </w:tcPr>
          <w:p w14:paraId="259AAB3D"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Assessment, evaluation, or description of pandemic preparedness and response systems, infrastructure, policies, or frameworks</w:t>
            </w:r>
          </w:p>
        </w:tc>
        <w:tc>
          <w:tcPr>
            <w:tcW w:w="3510" w:type="dxa"/>
          </w:tcPr>
          <w:p w14:paraId="39A80E2A" w14:textId="77777777" w:rsidR="00C96183" w:rsidRPr="00F53EF8" w:rsidRDefault="00BA2E0F" w:rsidP="001028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EF8">
              <w:rPr>
                <w:rFonts w:ascii="Times New Roman" w:hAnsi="Times New Roman" w:cs="Times New Roman"/>
              </w:rPr>
              <w:t>Individual case studies without broader system-level implications, studies focused exclusively on social or economic impacts without public health system analysis</w:t>
            </w:r>
          </w:p>
        </w:tc>
      </w:tr>
    </w:tbl>
    <w:p w14:paraId="1B1990F5" w14:textId="77777777" w:rsidR="00B07737" w:rsidRDefault="00B07737" w:rsidP="00102800">
      <w:pPr>
        <w:jc w:val="both"/>
        <w:rPr>
          <w:rFonts w:ascii="Times New Roman" w:hAnsi="Times New Roman" w:cs="Times New Roman"/>
          <w:b/>
          <w:bCs/>
        </w:rPr>
      </w:pPr>
    </w:p>
    <w:p w14:paraId="2914336F" w14:textId="77777777" w:rsidR="00A33ED1" w:rsidRDefault="00A33ED1" w:rsidP="00102800">
      <w:pPr>
        <w:jc w:val="both"/>
        <w:rPr>
          <w:rFonts w:ascii="Times New Roman" w:hAnsi="Times New Roman" w:cs="Times New Roman"/>
          <w:b/>
          <w:bCs/>
        </w:rPr>
      </w:pPr>
    </w:p>
    <w:p w14:paraId="0B19266D" w14:textId="77777777" w:rsidR="00A33ED1" w:rsidRDefault="00A33ED1" w:rsidP="00102800">
      <w:pPr>
        <w:jc w:val="both"/>
        <w:rPr>
          <w:rFonts w:ascii="Times New Roman" w:hAnsi="Times New Roman" w:cs="Times New Roman"/>
          <w:b/>
          <w:bCs/>
        </w:rPr>
      </w:pPr>
    </w:p>
    <w:p w14:paraId="67C14E6C" w14:textId="77777777" w:rsidR="00A33ED1" w:rsidRDefault="00A33ED1" w:rsidP="00102800">
      <w:pPr>
        <w:jc w:val="both"/>
        <w:rPr>
          <w:rFonts w:ascii="Times New Roman" w:hAnsi="Times New Roman" w:cs="Times New Roman"/>
          <w:b/>
          <w:bCs/>
        </w:rPr>
      </w:pPr>
    </w:p>
    <w:p w14:paraId="05C1E868" w14:textId="77777777" w:rsidR="00A33ED1" w:rsidRDefault="00A33ED1" w:rsidP="00102800">
      <w:pPr>
        <w:jc w:val="both"/>
        <w:rPr>
          <w:rFonts w:ascii="Times New Roman" w:hAnsi="Times New Roman" w:cs="Times New Roman"/>
          <w:b/>
          <w:bCs/>
        </w:rPr>
      </w:pPr>
    </w:p>
    <w:p w14:paraId="7E5D7968" w14:textId="3EA4AAB6" w:rsidR="00B07737" w:rsidRDefault="00E84D3B" w:rsidP="00102800">
      <w:pPr>
        <w:jc w:val="both"/>
        <w:rPr>
          <w:rFonts w:ascii="Times New Roman" w:hAnsi="Times New Roman" w:cs="Times New Roman"/>
          <w:b/>
          <w:bCs/>
        </w:rPr>
      </w:pPr>
      <w:r>
        <w:rPr>
          <w:rFonts w:ascii="Times New Roman" w:hAnsi="Times New Roman" w:cs="Times New Roman"/>
          <w:b/>
          <w:bCs/>
          <w:noProof/>
        </w:rPr>
        <mc:AlternateContent>
          <mc:Choice Requires="wpg">
            <w:drawing>
              <wp:inline distT="0" distB="0" distL="0" distR="0" wp14:anchorId="56235782" wp14:editId="6FF42E23">
                <wp:extent cx="2040556" cy="3869356"/>
                <wp:effectExtent l="0" t="0" r="17145" b="17145"/>
                <wp:docPr id="35286613" name="Group 12"/>
                <wp:cNvGraphicFramePr/>
                <a:graphic xmlns:a="http://schemas.openxmlformats.org/drawingml/2006/main">
                  <a:graphicData uri="http://schemas.microsoft.com/office/word/2010/wordprocessingGroup">
                    <wpg:wgp>
                      <wpg:cNvGrpSpPr/>
                      <wpg:grpSpPr>
                        <a:xfrm>
                          <a:off x="0" y="0"/>
                          <a:ext cx="2040556" cy="3869356"/>
                          <a:chOff x="0" y="0"/>
                          <a:chExt cx="2359741" cy="5220929"/>
                        </a:xfrm>
                      </wpg:grpSpPr>
                      <wpg:grpSp>
                        <wpg:cNvPr id="1252146671" name="Group 11"/>
                        <wpg:cNvGrpSpPr/>
                        <wpg:grpSpPr>
                          <a:xfrm>
                            <a:off x="0" y="0"/>
                            <a:ext cx="2359741" cy="5220929"/>
                            <a:chOff x="0" y="0"/>
                            <a:chExt cx="2359741" cy="5220929"/>
                          </a:xfrm>
                        </wpg:grpSpPr>
                        <wpg:grpSp>
                          <wpg:cNvPr id="2079316269" name="Group 2"/>
                          <wpg:cNvGrpSpPr/>
                          <wpg:grpSpPr>
                            <a:xfrm>
                              <a:off x="0" y="0"/>
                              <a:ext cx="2359741" cy="5220929"/>
                              <a:chOff x="0" y="0"/>
                              <a:chExt cx="2752725" cy="5932231"/>
                            </a:xfrm>
                          </wpg:grpSpPr>
                          <wps:wsp>
                            <wps:cNvPr id="859565538" name="Rectangle 1"/>
                            <wps:cNvSpPr/>
                            <wps:spPr>
                              <a:xfrm>
                                <a:off x="0" y="0"/>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687D8B" w14:textId="465A549B" w:rsidR="00B07737" w:rsidRPr="00E84D3B" w:rsidRDefault="00B07737" w:rsidP="00B07737">
                                  <w:pPr>
                                    <w:jc w:val="center"/>
                                    <w:rPr>
                                      <w:b/>
                                      <w:bCs/>
                                      <w:sz w:val="16"/>
                                      <w:szCs w:val="16"/>
                                    </w:rPr>
                                  </w:pPr>
                                  <w:r w:rsidRPr="00E84D3B">
                                    <w:rPr>
                                      <w:b/>
                                      <w:bCs/>
                                      <w:sz w:val="16"/>
                                      <w:szCs w:val="16"/>
                                    </w:rPr>
                                    <w:t xml:space="preserve">Record Identified </w:t>
                                  </w:r>
                                </w:p>
                                <w:p w14:paraId="6B99F586" w14:textId="5E02EF27" w:rsidR="00B07737" w:rsidRPr="00E84D3B" w:rsidRDefault="00B07737" w:rsidP="00B07737">
                                  <w:pPr>
                                    <w:jc w:val="center"/>
                                    <w:rPr>
                                      <w:b/>
                                      <w:bCs/>
                                      <w:sz w:val="16"/>
                                      <w:szCs w:val="16"/>
                                    </w:rPr>
                                  </w:pPr>
                                  <w:r w:rsidRPr="00E84D3B">
                                    <w:rPr>
                                      <w:b/>
                                      <w:bCs/>
                                      <w:sz w:val="16"/>
                                      <w:szCs w:val="16"/>
                                    </w:rPr>
                                    <w:t>(n = 312)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881682" name="Rectangle 1"/>
                            <wps:cNvSpPr/>
                            <wps:spPr>
                              <a:xfrm>
                                <a:off x="0" y="914400"/>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A696C4" w14:textId="082EC707" w:rsidR="00B07737" w:rsidRPr="00E84D3B" w:rsidRDefault="00B07737" w:rsidP="00B07737">
                                  <w:pPr>
                                    <w:jc w:val="center"/>
                                    <w:rPr>
                                      <w:b/>
                                      <w:bCs/>
                                      <w:sz w:val="16"/>
                                      <w:szCs w:val="16"/>
                                    </w:rPr>
                                  </w:pPr>
                                  <w:r w:rsidRPr="00E84D3B">
                                    <w:rPr>
                                      <w:b/>
                                      <w:bCs/>
                                      <w:sz w:val="16"/>
                                      <w:szCs w:val="16"/>
                                    </w:rPr>
                                    <w:t>After duplicate removed</w:t>
                                  </w:r>
                                </w:p>
                                <w:p w14:paraId="00F2AD15" w14:textId="0FC144C2" w:rsidR="00B07737" w:rsidRPr="00E84D3B" w:rsidRDefault="00B07737" w:rsidP="00B07737">
                                  <w:pPr>
                                    <w:jc w:val="center"/>
                                    <w:rPr>
                                      <w:b/>
                                      <w:bCs/>
                                      <w:sz w:val="16"/>
                                      <w:szCs w:val="16"/>
                                    </w:rPr>
                                  </w:pPr>
                                  <w:r w:rsidRPr="00E84D3B">
                                    <w:rPr>
                                      <w:b/>
                                      <w:bCs/>
                                      <w:sz w:val="16"/>
                                      <w:szCs w:val="16"/>
                                    </w:rPr>
                                    <w:t>(n = 265)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535566" name="Rectangle 1"/>
                            <wps:cNvSpPr/>
                            <wps:spPr>
                              <a:xfrm>
                                <a:off x="0" y="1843548"/>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44FA32" w14:textId="4A3CEA83" w:rsidR="00B07737" w:rsidRPr="00E84D3B" w:rsidRDefault="00B07737" w:rsidP="00B07737">
                                  <w:pPr>
                                    <w:jc w:val="center"/>
                                    <w:rPr>
                                      <w:b/>
                                      <w:bCs/>
                                      <w:sz w:val="16"/>
                                      <w:szCs w:val="16"/>
                                    </w:rPr>
                                  </w:pPr>
                                  <w:r w:rsidRPr="00E84D3B">
                                    <w:rPr>
                                      <w:b/>
                                      <w:bCs/>
                                      <w:sz w:val="16"/>
                                      <w:szCs w:val="16"/>
                                    </w:rPr>
                                    <w:t>Records screened</w:t>
                                  </w:r>
                                </w:p>
                                <w:p w14:paraId="753F2EDF" w14:textId="76241610" w:rsidR="00B07737" w:rsidRPr="00E84D3B" w:rsidRDefault="00B07737" w:rsidP="00B07737">
                                  <w:pPr>
                                    <w:jc w:val="center"/>
                                    <w:rPr>
                                      <w:b/>
                                      <w:bCs/>
                                      <w:sz w:val="16"/>
                                      <w:szCs w:val="16"/>
                                    </w:rPr>
                                  </w:pPr>
                                  <w:r w:rsidRPr="00E84D3B">
                                    <w:rPr>
                                      <w:b/>
                                      <w:bCs/>
                                      <w:sz w:val="16"/>
                                      <w:szCs w:val="16"/>
                                    </w:rPr>
                                    <w:t>(n = 265)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319225" name="Rectangle 1"/>
                            <wps:cNvSpPr/>
                            <wps:spPr>
                              <a:xfrm>
                                <a:off x="0" y="2728451"/>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66CC6B" w14:textId="62BEBBF1" w:rsidR="00B07737" w:rsidRPr="00E84D3B" w:rsidRDefault="00B07737" w:rsidP="00B07737">
                                  <w:pPr>
                                    <w:jc w:val="center"/>
                                    <w:rPr>
                                      <w:b/>
                                      <w:bCs/>
                                      <w:sz w:val="16"/>
                                      <w:szCs w:val="16"/>
                                    </w:rPr>
                                  </w:pPr>
                                  <w:r w:rsidRPr="00E84D3B">
                                    <w:rPr>
                                      <w:b/>
                                      <w:bCs/>
                                      <w:sz w:val="16"/>
                                      <w:szCs w:val="16"/>
                                    </w:rPr>
                                    <w:t>Records excluded</w:t>
                                  </w:r>
                                </w:p>
                                <w:p w14:paraId="23BCE9CF" w14:textId="65C0F57B" w:rsidR="00B07737" w:rsidRPr="00E84D3B" w:rsidRDefault="00B07737" w:rsidP="00B07737">
                                  <w:pPr>
                                    <w:jc w:val="center"/>
                                    <w:rPr>
                                      <w:b/>
                                      <w:bCs/>
                                      <w:sz w:val="16"/>
                                      <w:szCs w:val="16"/>
                                    </w:rPr>
                                  </w:pPr>
                                  <w:r w:rsidRPr="00E84D3B">
                                    <w:rPr>
                                      <w:b/>
                                      <w:bCs/>
                                      <w:sz w:val="16"/>
                                      <w:szCs w:val="16"/>
                                    </w:rPr>
                                    <w:t>(n = 198)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119540" name="Rectangle 1"/>
                            <wps:cNvSpPr/>
                            <wps:spPr>
                              <a:xfrm>
                                <a:off x="0" y="3613354"/>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9C2013" w14:textId="5363F078" w:rsidR="00B07737" w:rsidRPr="00E84D3B" w:rsidRDefault="00B07737" w:rsidP="00B07737">
                                  <w:pPr>
                                    <w:jc w:val="center"/>
                                    <w:rPr>
                                      <w:b/>
                                      <w:bCs/>
                                      <w:sz w:val="16"/>
                                      <w:szCs w:val="16"/>
                                    </w:rPr>
                                  </w:pPr>
                                  <w:r w:rsidRPr="00E84D3B">
                                    <w:rPr>
                                      <w:b/>
                                      <w:bCs/>
                                      <w:sz w:val="16"/>
                                      <w:szCs w:val="16"/>
                                    </w:rPr>
                                    <w:t>Full-text assessed</w:t>
                                  </w:r>
                                </w:p>
                                <w:p w14:paraId="6C8769AB" w14:textId="1AB1466C" w:rsidR="00B07737" w:rsidRPr="00E84D3B" w:rsidRDefault="00B07737" w:rsidP="00B07737">
                                  <w:pPr>
                                    <w:jc w:val="center"/>
                                    <w:rPr>
                                      <w:b/>
                                      <w:bCs/>
                                      <w:sz w:val="16"/>
                                      <w:szCs w:val="16"/>
                                    </w:rPr>
                                  </w:pPr>
                                  <w:r w:rsidRPr="00E84D3B">
                                    <w:rPr>
                                      <w:b/>
                                      <w:bCs/>
                                      <w:sz w:val="16"/>
                                      <w:szCs w:val="16"/>
                                    </w:rPr>
                                    <w:t>(n = 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476515" name="Rectangle 1"/>
                            <wps:cNvSpPr/>
                            <wps:spPr>
                              <a:xfrm>
                                <a:off x="0" y="4513006"/>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833F1D" w14:textId="074A3811" w:rsidR="00B07737" w:rsidRPr="00E84D3B" w:rsidRDefault="00B07737" w:rsidP="00B07737">
                                  <w:pPr>
                                    <w:jc w:val="center"/>
                                    <w:rPr>
                                      <w:b/>
                                      <w:bCs/>
                                      <w:sz w:val="16"/>
                                      <w:szCs w:val="16"/>
                                    </w:rPr>
                                  </w:pPr>
                                  <w:r w:rsidRPr="00E84D3B">
                                    <w:rPr>
                                      <w:b/>
                                      <w:bCs/>
                                      <w:sz w:val="16"/>
                                      <w:szCs w:val="16"/>
                                    </w:rPr>
                                    <w:t xml:space="preserve">Full-text </w:t>
                                  </w:r>
                                  <w:r w:rsidR="0098533F" w:rsidRPr="00E84D3B">
                                    <w:rPr>
                                      <w:b/>
                                      <w:bCs/>
                                      <w:sz w:val="16"/>
                                      <w:szCs w:val="16"/>
                                    </w:rPr>
                                    <w:t>excluded</w:t>
                                  </w:r>
                                </w:p>
                                <w:p w14:paraId="2119068A" w14:textId="7FD5B144" w:rsidR="00B07737" w:rsidRPr="00E84D3B" w:rsidRDefault="00B07737" w:rsidP="00B07737">
                                  <w:pPr>
                                    <w:jc w:val="center"/>
                                    <w:rPr>
                                      <w:b/>
                                      <w:bCs/>
                                      <w:sz w:val="16"/>
                                      <w:szCs w:val="16"/>
                                    </w:rPr>
                                  </w:pPr>
                                  <w:r w:rsidRPr="00E84D3B">
                                    <w:rPr>
                                      <w:b/>
                                      <w:bCs/>
                                      <w:sz w:val="16"/>
                                      <w:szCs w:val="16"/>
                                    </w:rPr>
                                    <w:t xml:space="preserve">(n = </w:t>
                                  </w:r>
                                  <w:r w:rsidR="0098533F" w:rsidRPr="00E84D3B">
                                    <w:rPr>
                                      <w:b/>
                                      <w:bCs/>
                                      <w:sz w:val="16"/>
                                      <w:szCs w:val="16"/>
                                    </w:rPr>
                                    <w:t>1</w:t>
                                  </w:r>
                                  <w:r w:rsidRPr="00E84D3B">
                                    <w:rPr>
                                      <w:b/>
                                      <w:bCs/>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730308" name="Rectangle 1"/>
                            <wps:cNvSpPr/>
                            <wps:spPr>
                              <a:xfrm>
                                <a:off x="0" y="5427406"/>
                                <a:ext cx="27527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533AFE" w14:textId="3E56D20C" w:rsidR="0098533F" w:rsidRPr="00E84D3B" w:rsidRDefault="0098533F" w:rsidP="00B07737">
                                  <w:pPr>
                                    <w:jc w:val="center"/>
                                    <w:rPr>
                                      <w:b/>
                                      <w:bCs/>
                                      <w:sz w:val="16"/>
                                      <w:szCs w:val="16"/>
                                    </w:rPr>
                                  </w:pPr>
                                  <w:r w:rsidRPr="00E84D3B">
                                    <w:rPr>
                                      <w:b/>
                                      <w:bCs/>
                                      <w:sz w:val="16"/>
                                      <w:szCs w:val="16"/>
                                    </w:rPr>
                                    <w:t>Included in synthesis</w:t>
                                  </w:r>
                                </w:p>
                                <w:p w14:paraId="200B11B2" w14:textId="3BF2EB87" w:rsidR="0098533F" w:rsidRPr="00E84D3B" w:rsidRDefault="0098533F" w:rsidP="00B07737">
                                  <w:pPr>
                                    <w:jc w:val="center"/>
                                    <w:rPr>
                                      <w:b/>
                                      <w:bCs/>
                                      <w:sz w:val="16"/>
                                      <w:szCs w:val="16"/>
                                    </w:rPr>
                                  </w:pPr>
                                  <w:r w:rsidRPr="00E84D3B">
                                    <w:rPr>
                                      <w:b/>
                                      <w:bCs/>
                                      <w:sz w:val="16"/>
                                      <w:szCs w:val="16"/>
                                    </w:rPr>
                                    <w:t>(n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52529985" name="Straight Connector 4"/>
                          <wps:cNvCnPr/>
                          <wps:spPr>
                            <a:xfrm>
                              <a:off x="1087654" y="442762"/>
                              <a:ext cx="0" cy="360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1201104" name="Straight Connector 5"/>
                          <wps:cNvCnPr/>
                          <wps:spPr>
                            <a:xfrm>
                              <a:off x="1126155" y="1251284"/>
                              <a:ext cx="0" cy="3734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58787" name="Straight Connector 6"/>
                          <wps:cNvCnPr/>
                          <wps:spPr>
                            <a:xfrm>
                              <a:off x="1155031" y="2079057"/>
                              <a:ext cx="0" cy="321967"/>
                            </a:xfrm>
                            <a:prstGeom prst="line">
                              <a:avLst/>
                            </a:prstGeom>
                          </wps:spPr>
                          <wps:style>
                            <a:lnRef idx="1">
                              <a:schemeClr val="dk1"/>
                            </a:lnRef>
                            <a:fillRef idx="0">
                              <a:schemeClr val="dk1"/>
                            </a:fillRef>
                            <a:effectRef idx="0">
                              <a:schemeClr val="dk1"/>
                            </a:effectRef>
                            <a:fontRef idx="minor">
                              <a:schemeClr val="tx1"/>
                            </a:fontRef>
                          </wps:style>
                          <wps:bodyPr/>
                        </wps:wsp>
                        <wps:wsp>
                          <wps:cNvPr id="1794308245" name="Straight Connector 7"/>
                          <wps:cNvCnPr/>
                          <wps:spPr>
                            <a:xfrm>
                              <a:off x="1193532" y="2858703"/>
                              <a:ext cx="0" cy="3210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2645559" name="Straight Connector 9"/>
                          <wps:cNvCnPr/>
                          <wps:spPr>
                            <a:xfrm>
                              <a:off x="1232033" y="3619099"/>
                              <a:ext cx="0" cy="3474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54528662" name="Straight Connector 10"/>
                        <wps:cNvCnPr/>
                        <wps:spPr>
                          <a:xfrm>
                            <a:off x="1270534" y="4417996"/>
                            <a:ext cx="0" cy="360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235782" id="Group 12" o:spid="_x0000_s1026" style="width:160.65pt;height:304.65pt;mso-position-horizontal-relative:char;mso-position-vertical-relative:line" coordsize="23597,5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">
                <v:group id="Group 11" o:spid="_x0000_s1027" style="position:absolute;width:23597;height:52209" coordsize="23597,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">
                  <v:group id="Group 2" o:spid="_x0000_s1028" style="position:absolute;width:23597;height:52209" coordsize="27527,5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">
                    <v:rect id="Rectangle 1" o:spid="_x0000_s1029" style="position:absolute;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" fillcolor="white [3201]" strokecolor="black [3213]" strokeweight="2pt">
                      <v:textbox>
                        <w:txbxContent>
                          <w:p w14:paraId="2E687D8B" w14:textId="465A549B" w:rsidR="00B07737" w:rsidRPr="00E84D3B" w:rsidRDefault="00B07737" w:rsidP="00B07737">
                            <w:pPr>
                              <w:jc w:val="center"/>
                              <w:rPr>
                                <w:b/>
                                <w:bCs/>
                                <w:sz w:val="16"/>
                                <w:szCs w:val="16"/>
                              </w:rPr>
                            </w:pPr>
                            <w:r w:rsidRPr="00E84D3B">
                              <w:rPr>
                                <w:b/>
                                <w:bCs/>
                                <w:sz w:val="16"/>
                                <w:szCs w:val="16"/>
                              </w:rPr>
                              <w:t xml:space="preserve">Record Identified </w:t>
                            </w:r>
                          </w:p>
                          <w:p w14:paraId="6B99F586" w14:textId="5E02EF27" w:rsidR="00B07737" w:rsidRPr="00E84D3B" w:rsidRDefault="00B07737" w:rsidP="00B07737">
                            <w:pPr>
                              <w:jc w:val="center"/>
                              <w:rPr>
                                <w:b/>
                                <w:bCs/>
                                <w:sz w:val="16"/>
                                <w:szCs w:val="16"/>
                              </w:rPr>
                            </w:pPr>
                            <w:r w:rsidRPr="00E84D3B">
                              <w:rPr>
                                <w:b/>
                                <w:bCs/>
                                <w:sz w:val="16"/>
                                <w:szCs w:val="16"/>
                              </w:rPr>
                              <w:t>(n = 312)</w:t>
                            </w:r>
                          </w:p>
                        </w:txbxContent>
                      </v:textbox>
                    </v:rect>
                    <v:rect id="Rectangle 1" o:spid="_x0000_s1030" style="position:absolute;top:9144;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" fillcolor="white [3201]" strokecolor="black [3213]" strokeweight="2pt">
                      <v:textbox>
                        <w:txbxContent>
                          <w:p w14:paraId="3BA696C4" w14:textId="082EC707" w:rsidR="00B07737" w:rsidRPr="00E84D3B" w:rsidRDefault="00B07737" w:rsidP="00B07737">
                            <w:pPr>
                              <w:jc w:val="center"/>
                              <w:rPr>
                                <w:b/>
                                <w:bCs/>
                                <w:sz w:val="16"/>
                                <w:szCs w:val="16"/>
                              </w:rPr>
                            </w:pPr>
                            <w:r w:rsidRPr="00E84D3B">
                              <w:rPr>
                                <w:b/>
                                <w:bCs/>
                                <w:sz w:val="16"/>
                                <w:szCs w:val="16"/>
                              </w:rPr>
                              <w:t>After duplicate removed</w:t>
                            </w:r>
                          </w:p>
                          <w:p w14:paraId="00F2AD15" w14:textId="0FC144C2" w:rsidR="00B07737" w:rsidRPr="00E84D3B" w:rsidRDefault="00B07737" w:rsidP="00B07737">
                            <w:pPr>
                              <w:jc w:val="center"/>
                              <w:rPr>
                                <w:b/>
                                <w:bCs/>
                                <w:sz w:val="16"/>
                                <w:szCs w:val="16"/>
                              </w:rPr>
                            </w:pPr>
                            <w:r w:rsidRPr="00E84D3B">
                              <w:rPr>
                                <w:b/>
                                <w:bCs/>
                                <w:sz w:val="16"/>
                                <w:szCs w:val="16"/>
                              </w:rPr>
                              <w:t>(n = 265)</w:t>
                            </w:r>
                          </w:p>
                        </w:txbxContent>
                      </v:textbox>
                    </v:rect>
                    <v:rect id="Rectangle 1" o:spid="_x0000_s1031" style="position:absolute;top:18435;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" fillcolor="white [3201]" strokecolor="black [3213]" strokeweight="2pt">
                      <v:textbox>
                        <w:txbxContent>
                          <w:p w14:paraId="5444FA32" w14:textId="4A3CEA83" w:rsidR="00B07737" w:rsidRPr="00E84D3B" w:rsidRDefault="00B07737" w:rsidP="00B07737">
                            <w:pPr>
                              <w:jc w:val="center"/>
                              <w:rPr>
                                <w:b/>
                                <w:bCs/>
                                <w:sz w:val="16"/>
                                <w:szCs w:val="16"/>
                              </w:rPr>
                            </w:pPr>
                            <w:r w:rsidRPr="00E84D3B">
                              <w:rPr>
                                <w:b/>
                                <w:bCs/>
                                <w:sz w:val="16"/>
                                <w:szCs w:val="16"/>
                              </w:rPr>
                              <w:t>Records screened</w:t>
                            </w:r>
                          </w:p>
                          <w:p w14:paraId="753F2EDF" w14:textId="76241610" w:rsidR="00B07737" w:rsidRPr="00E84D3B" w:rsidRDefault="00B07737" w:rsidP="00B07737">
                            <w:pPr>
                              <w:jc w:val="center"/>
                              <w:rPr>
                                <w:b/>
                                <w:bCs/>
                                <w:sz w:val="16"/>
                                <w:szCs w:val="16"/>
                              </w:rPr>
                            </w:pPr>
                            <w:r w:rsidRPr="00E84D3B">
                              <w:rPr>
                                <w:b/>
                                <w:bCs/>
                                <w:sz w:val="16"/>
                                <w:szCs w:val="16"/>
                              </w:rPr>
                              <w:t>(n = 265)</w:t>
                            </w:r>
                          </w:p>
                        </w:txbxContent>
                      </v:textbox>
                    </v:rect>
                    <v:rect id="Rectangle 1" o:spid="_x0000_s1032" style="position:absolute;top:27284;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" fillcolor="white [3201]" strokecolor="black [3213]" strokeweight="2pt">
                      <v:textbox>
                        <w:txbxContent>
                          <w:p w14:paraId="1566CC6B" w14:textId="62BEBBF1" w:rsidR="00B07737" w:rsidRPr="00E84D3B" w:rsidRDefault="00B07737" w:rsidP="00B07737">
                            <w:pPr>
                              <w:jc w:val="center"/>
                              <w:rPr>
                                <w:b/>
                                <w:bCs/>
                                <w:sz w:val="16"/>
                                <w:szCs w:val="16"/>
                              </w:rPr>
                            </w:pPr>
                            <w:r w:rsidRPr="00E84D3B">
                              <w:rPr>
                                <w:b/>
                                <w:bCs/>
                                <w:sz w:val="16"/>
                                <w:szCs w:val="16"/>
                              </w:rPr>
                              <w:t>Records excluded</w:t>
                            </w:r>
                          </w:p>
                          <w:p w14:paraId="23BCE9CF" w14:textId="65C0F57B" w:rsidR="00B07737" w:rsidRPr="00E84D3B" w:rsidRDefault="00B07737" w:rsidP="00B07737">
                            <w:pPr>
                              <w:jc w:val="center"/>
                              <w:rPr>
                                <w:b/>
                                <w:bCs/>
                                <w:sz w:val="16"/>
                                <w:szCs w:val="16"/>
                              </w:rPr>
                            </w:pPr>
                            <w:r w:rsidRPr="00E84D3B">
                              <w:rPr>
                                <w:b/>
                                <w:bCs/>
                                <w:sz w:val="16"/>
                                <w:szCs w:val="16"/>
                              </w:rPr>
                              <w:t>(n = 198)</w:t>
                            </w:r>
                          </w:p>
                        </w:txbxContent>
                      </v:textbox>
                    </v:rect>
                    <v:rect id="Rectangle 1" o:spid="_x0000_s1033" style="position:absolute;top:36133;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" fillcolor="white [3201]" strokecolor="black [3213]" strokeweight="2pt">
                      <v:textbox>
                        <w:txbxContent>
                          <w:p w14:paraId="5C9C2013" w14:textId="5363F078" w:rsidR="00B07737" w:rsidRPr="00E84D3B" w:rsidRDefault="00B07737" w:rsidP="00B07737">
                            <w:pPr>
                              <w:jc w:val="center"/>
                              <w:rPr>
                                <w:b/>
                                <w:bCs/>
                                <w:sz w:val="16"/>
                                <w:szCs w:val="16"/>
                              </w:rPr>
                            </w:pPr>
                            <w:r w:rsidRPr="00E84D3B">
                              <w:rPr>
                                <w:b/>
                                <w:bCs/>
                                <w:sz w:val="16"/>
                                <w:szCs w:val="16"/>
                              </w:rPr>
                              <w:t>Full-text assessed</w:t>
                            </w:r>
                          </w:p>
                          <w:p w14:paraId="6C8769AB" w14:textId="1AB1466C" w:rsidR="00B07737" w:rsidRPr="00E84D3B" w:rsidRDefault="00B07737" w:rsidP="00B07737">
                            <w:pPr>
                              <w:jc w:val="center"/>
                              <w:rPr>
                                <w:b/>
                                <w:bCs/>
                                <w:sz w:val="16"/>
                                <w:szCs w:val="16"/>
                              </w:rPr>
                            </w:pPr>
                            <w:r w:rsidRPr="00E84D3B">
                              <w:rPr>
                                <w:b/>
                                <w:bCs/>
                                <w:sz w:val="16"/>
                                <w:szCs w:val="16"/>
                              </w:rPr>
                              <w:t>(n = 67)</w:t>
                            </w:r>
                          </w:p>
                        </w:txbxContent>
                      </v:textbox>
                    </v:rect>
                    <v:rect id="Rectangle 1" o:spid="_x0000_s1034" style="position:absolute;top:45130;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" fillcolor="white [3201]" strokecolor="black [3213]" strokeweight="2pt">
                      <v:textbox>
                        <w:txbxContent>
                          <w:p w14:paraId="17833F1D" w14:textId="074A3811" w:rsidR="00B07737" w:rsidRPr="00E84D3B" w:rsidRDefault="00B07737" w:rsidP="00B07737">
                            <w:pPr>
                              <w:jc w:val="center"/>
                              <w:rPr>
                                <w:b/>
                                <w:bCs/>
                                <w:sz w:val="16"/>
                                <w:szCs w:val="16"/>
                              </w:rPr>
                            </w:pPr>
                            <w:r w:rsidRPr="00E84D3B">
                              <w:rPr>
                                <w:b/>
                                <w:bCs/>
                                <w:sz w:val="16"/>
                                <w:szCs w:val="16"/>
                              </w:rPr>
                              <w:t xml:space="preserve">Full-text </w:t>
                            </w:r>
                            <w:r w:rsidR="0098533F" w:rsidRPr="00E84D3B">
                              <w:rPr>
                                <w:b/>
                                <w:bCs/>
                                <w:sz w:val="16"/>
                                <w:szCs w:val="16"/>
                              </w:rPr>
                              <w:t>excluded</w:t>
                            </w:r>
                          </w:p>
                          <w:p w14:paraId="2119068A" w14:textId="7FD5B144" w:rsidR="00B07737" w:rsidRPr="00E84D3B" w:rsidRDefault="00B07737" w:rsidP="00B07737">
                            <w:pPr>
                              <w:jc w:val="center"/>
                              <w:rPr>
                                <w:b/>
                                <w:bCs/>
                                <w:sz w:val="16"/>
                                <w:szCs w:val="16"/>
                              </w:rPr>
                            </w:pPr>
                            <w:r w:rsidRPr="00E84D3B">
                              <w:rPr>
                                <w:b/>
                                <w:bCs/>
                                <w:sz w:val="16"/>
                                <w:szCs w:val="16"/>
                              </w:rPr>
                              <w:t xml:space="preserve">(n = </w:t>
                            </w:r>
                            <w:r w:rsidR="0098533F" w:rsidRPr="00E84D3B">
                              <w:rPr>
                                <w:b/>
                                <w:bCs/>
                                <w:sz w:val="16"/>
                                <w:szCs w:val="16"/>
                              </w:rPr>
                              <w:t>1</w:t>
                            </w:r>
                            <w:r w:rsidRPr="00E84D3B">
                              <w:rPr>
                                <w:b/>
                                <w:bCs/>
                                <w:sz w:val="16"/>
                                <w:szCs w:val="16"/>
                              </w:rPr>
                              <w:t>7)</w:t>
                            </w:r>
                          </w:p>
                        </w:txbxContent>
                      </v:textbox>
                    </v:rect>
                    <v:rect id="Rectangle 1" o:spid="_x0000_s1035" style="position:absolute;top:54274;width:2752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" fillcolor="white [3201]" strokecolor="black [3213]" strokeweight="2pt">
                      <v:textbox>
                        <w:txbxContent>
                          <w:p w14:paraId="7C533AFE" w14:textId="3E56D20C" w:rsidR="0098533F" w:rsidRPr="00E84D3B" w:rsidRDefault="0098533F" w:rsidP="00B07737">
                            <w:pPr>
                              <w:jc w:val="center"/>
                              <w:rPr>
                                <w:b/>
                                <w:bCs/>
                                <w:sz w:val="16"/>
                                <w:szCs w:val="16"/>
                              </w:rPr>
                            </w:pPr>
                            <w:r w:rsidRPr="00E84D3B">
                              <w:rPr>
                                <w:b/>
                                <w:bCs/>
                                <w:sz w:val="16"/>
                                <w:szCs w:val="16"/>
                              </w:rPr>
                              <w:t>Included in synthesis</w:t>
                            </w:r>
                          </w:p>
                          <w:p w14:paraId="200B11B2" w14:textId="3BF2EB87" w:rsidR="0098533F" w:rsidRPr="00E84D3B" w:rsidRDefault="0098533F" w:rsidP="00B07737">
                            <w:pPr>
                              <w:jc w:val="center"/>
                              <w:rPr>
                                <w:b/>
                                <w:bCs/>
                                <w:sz w:val="16"/>
                                <w:szCs w:val="16"/>
                              </w:rPr>
                            </w:pPr>
                            <w:r w:rsidRPr="00E84D3B">
                              <w:rPr>
                                <w:b/>
                                <w:bCs/>
                                <w:sz w:val="16"/>
                                <w:szCs w:val="16"/>
                              </w:rPr>
                              <w:t>(n = 50)</w:t>
                            </w:r>
                          </w:p>
                        </w:txbxContent>
                      </v:textbox>
                    </v:rect>
                  </v:group>
                  <v:line id="Straight Connector 4" o:spid="_x0000_s1036" style="position:absolute;visibility:visible;mso-wrap-style:square" from="10876,4427" to="10876,8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" strokecolor="black [3213]"/>
                  <v:line id="Straight Connector 5" o:spid="_x0000_s1037" style="position:absolute;visibility:visible;mso-wrap-style:square" from="11261,12512" to="11261,1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" strokecolor="black [3213]"/>
                  <v:line id="Straight Connector 6" o:spid="_x0000_s1038" style="position:absolute;visibility:visible;mso-wrap-style:square" from="11550,20790" to="11550,2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" strokecolor="black [3040]"/>
                  <v:line id="Straight Connector 7" o:spid="_x0000_s1039" style="position:absolute;visibility:visible;mso-wrap-style:square" from="11935,28587" to="11935,3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" strokecolor="black [3213]"/>
                  <v:line id="Straight Connector 9" o:spid="_x0000_s1040" style="position:absolute;visibility:visible;mso-wrap-style:square" from="12320,36190" to="12320,3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" strokecolor="black [3213]"/>
                </v:group>
                <v:line id="Straight Connector 10" o:spid="_x0000_s1041" style="position:absolute;visibility:visible;mso-wrap-style:square" from="12705,44179" to="12705,4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" strokecolor="black [3213]"/>
                <w10:anchorlock/>
              </v:group>
            </w:pict>
          </mc:Fallback>
        </mc:AlternateContent>
      </w:r>
    </w:p>
    <w:p w14:paraId="65BB9AEA" w14:textId="77777777" w:rsidR="00A33ED1" w:rsidRDefault="00A33ED1" w:rsidP="00102800">
      <w:pPr>
        <w:jc w:val="both"/>
        <w:rPr>
          <w:rFonts w:ascii="Times New Roman" w:hAnsi="Times New Roman" w:cs="Times New Roman"/>
          <w:b/>
          <w:bCs/>
        </w:rPr>
      </w:pPr>
    </w:p>
    <w:p w14:paraId="46C66498" w14:textId="440DEFF6" w:rsidR="00A33ED1" w:rsidRPr="00A33ED1" w:rsidRDefault="00A33ED1" w:rsidP="00102800">
      <w:pPr>
        <w:jc w:val="both"/>
        <w:rPr>
          <w:rFonts w:ascii="Times New Roman" w:hAnsi="Times New Roman" w:cs="Times New Roman"/>
          <w:b/>
          <w:bCs/>
        </w:rPr>
      </w:pPr>
      <w:r w:rsidRPr="00A33ED1">
        <w:rPr>
          <w:rFonts w:ascii="Times New Roman" w:hAnsi="Times New Roman" w:cs="Times New Roman"/>
          <w:b/>
          <w:bCs/>
        </w:rPr>
        <w:t xml:space="preserve">Figure </w:t>
      </w:r>
      <w:r>
        <w:rPr>
          <w:rFonts w:ascii="Times New Roman" w:hAnsi="Times New Roman" w:cs="Times New Roman"/>
          <w:b/>
          <w:bCs/>
        </w:rPr>
        <w:t>1</w:t>
      </w:r>
      <w:r w:rsidRPr="00A33ED1">
        <w:rPr>
          <w:rFonts w:ascii="Times New Roman" w:hAnsi="Times New Roman" w:cs="Times New Roman"/>
          <w:b/>
          <w:bCs/>
        </w:rPr>
        <w:t>: PRISMA-</w:t>
      </w:r>
      <w:proofErr w:type="spellStart"/>
      <w:r w:rsidRPr="00A33ED1">
        <w:rPr>
          <w:rFonts w:ascii="Times New Roman" w:hAnsi="Times New Roman" w:cs="Times New Roman"/>
          <w:b/>
          <w:bCs/>
        </w:rPr>
        <w:t>ScR</w:t>
      </w:r>
      <w:proofErr w:type="spellEnd"/>
      <w:r w:rsidRPr="00A33ED1">
        <w:rPr>
          <w:rFonts w:ascii="Times New Roman" w:hAnsi="Times New Roman" w:cs="Times New Roman"/>
          <w:b/>
          <w:bCs/>
        </w:rPr>
        <w:t xml:space="preserve"> Flow Diagram of Study Selection Process</w:t>
      </w:r>
    </w:p>
    <w:p w14:paraId="2836EA08" w14:textId="265AB187" w:rsidR="00B07737" w:rsidRDefault="00B07737" w:rsidP="00102800">
      <w:pPr>
        <w:jc w:val="both"/>
        <w:rPr>
          <w:rFonts w:ascii="Times New Roman" w:hAnsi="Times New Roman" w:cs="Times New Roman"/>
          <w:b/>
          <w:bCs/>
        </w:rPr>
      </w:pPr>
    </w:p>
    <w:p w14:paraId="60FE6F1A" w14:textId="77777777" w:rsidR="00A33ED1" w:rsidRDefault="00A33ED1" w:rsidP="00102800">
      <w:pPr>
        <w:jc w:val="both"/>
        <w:rPr>
          <w:rFonts w:ascii="Times New Roman" w:hAnsi="Times New Roman" w:cs="Times New Roman"/>
          <w:b/>
          <w:bCs/>
        </w:rPr>
      </w:pPr>
    </w:p>
    <w:p w14:paraId="2717C487" w14:textId="6932E815" w:rsidR="00C96183" w:rsidRPr="00F53EF8" w:rsidRDefault="00BA2E0F" w:rsidP="00102800">
      <w:pPr>
        <w:jc w:val="both"/>
        <w:rPr>
          <w:rFonts w:ascii="Times New Roman" w:hAnsi="Times New Roman" w:cs="Times New Roman"/>
        </w:rPr>
      </w:pPr>
      <w:r w:rsidRPr="00F53EF8">
        <w:rPr>
          <w:rFonts w:ascii="Times New Roman" w:hAnsi="Times New Roman" w:cs="Times New Roman"/>
          <w:b/>
          <w:bCs/>
        </w:rPr>
        <w:t>2.4 Data Extraction and Analysis</w:t>
      </w:r>
      <w:r w:rsidRPr="00F53EF8">
        <w:rPr>
          <w:rFonts w:ascii="Times New Roman" w:hAnsi="Times New Roman" w:cs="Times New Roman"/>
        </w:rPr>
        <w:t>.</w:t>
      </w:r>
    </w:p>
    <w:p w14:paraId="55DB4882"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Included sources were processed by extracting data on a standardized form, which involved the following aspects: author/organization, year of publication, document type, primary focus/objectives, key findings that relate to resilience in the face of pandemics, and recommendations on improving the resilience of the population to pandemics.</w:t>
      </w:r>
    </w:p>
    <w:p w14:paraId="1120F726" w14:textId="77777777" w:rsidR="00D13714" w:rsidRDefault="00D13714" w:rsidP="00102800">
      <w:pPr>
        <w:spacing w:after="240"/>
        <w:jc w:val="both"/>
        <w:rPr>
          <w:rFonts w:ascii="Times New Roman" w:hAnsi="Times New Roman" w:cs="Times New Roman"/>
        </w:rPr>
      </w:pPr>
      <w:r w:rsidRPr="000201FA">
        <w:rPr>
          <w:rFonts w:ascii="Times New Roman" w:hAnsi="Times New Roman" w:cs="Times New Roman"/>
          <w:highlight w:val="yellow"/>
        </w:rPr>
        <w:t>Thematic analysis was used to determine the common trends among the sources that were included. The lead author independently extracted the data with the help of a standardized form that included: author/organization, publication year, document type, primary objectives, key findings regarding the pandemic preparedness and resilience, and recommendations to improve the system. Collected data were inductively coded and iteratively categorized into seven broad themes: (1) government policy and oversight, (2) state and local preparedness capacity, (3) health system resilience, (4) lessons learned during COVID-19, (5) public health workforce and infrastructure, (6) bio surveillance and early detection, and (7) healthcare system readiness and supply chain resilience. The saturation of themes was determined by repeatedly reviewing the themes until no new conceptual categories were identified.</w:t>
      </w:r>
    </w:p>
    <w:p w14:paraId="470D8EDE" w14:textId="6E42BB86"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2.5 Quality Assessment</w:t>
      </w:r>
    </w:p>
    <w:p w14:paraId="6E2EA6FF"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lastRenderedPageBreak/>
        <w:t>Formal quality evaluation of individual studies was not done, as it is in line with scoping review methodology. Nevertheless, publications of the reputable public health organizations, official governmental publications, and peer-reviewed literature were given preference to guarantee the credibility and relevancy of sources used.</w:t>
      </w:r>
    </w:p>
    <w:p w14:paraId="0EC9885D" w14:textId="77777777"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3. Results</w:t>
      </w:r>
    </w:p>
    <w:p w14:paraId="648117D9" w14:textId="77777777" w:rsidR="00C96183" w:rsidRPr="00F53EF8" w:rsidRDefault="00BA2E0F" w:rsidP="00102800">
      <w:pPr>
        <w:pStyle w:val="Heading2"/>
        <w:jc w:val="both"/>
        <w:rPr>
          <w:rFonts w:ascii="Times New Roman" w:hAnsi="Times New Roman" w:cs="Times New Roman"/>
        </w:rPr>
      </w:pPr>
      <w:r w:rsidRPr="00F53EF8">
        <w:rPr>
          <w:rFonts w:ascii="Times New Roman" w:hAnsi="Times New Roman" w:cs="Times New Roman"/>
        </w:rPr>
        <w:t>3.1 Overview of Included Sources</w:t>
      </w:r>
    </w:p>
    <w:p w14:paraId="477CC549"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search strategy determined 50 sources used in the research in the past year (2022-2025). The sources were distributed in the following way:</w:t>
      </w:r>
    </w:p>
    <w:p w14:paraId="18A9591D" w14:textId="77777777" w:rsidR="00C96183" w:rsidRPr="00F53EF8" w:rsidRDefault="00BA2E0F" w:rsidP="00102800">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Governmental reports and policy papers: 15 (30%)</w:t>
      </w:r>
    </w:p>
    <w:p w14:paraId="33CC6DF9" w14:textId="77777777" w:rsidR="00C96183" w:rsidRPr="00F53EF8" w:rsidRDefault="00BA2E0F" w:rsidP="00102800">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Journal articles that have gone through peer review: 22 (44%).</w:t>
      </w:r>
    </w:p>
    <w:p w14:paraId="44A3CB63" w14:textId="77777777" w:rsidR="00C96183" w:rsidRPr="00F53EF8" w:rsidRDefault="00BA2E0F" w:rsidP="00102800">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Public health organization reports: 8 (16%)</w:t>
      </w:r>
    </w:p>
    <w:p w14:paraId="5ABE7E50" w14:textId="77777777" w:rsidR="00C96183" w:rsidRPr="00F53EF8" w:rsidRDefault="00BA2E0F" w:rsidP="00102800">
      <w:pPr>
        <w:pStyle w:val="ListParagraph"/>
        <w:numPr>
          <w:ilvl w:val="0"/>
          <w:numId w:val="4"/>
        </w:numPr>
        <w:spacing w:after="240"/>
        <w:jc w:val="both"/>
        <w:rPr>
          <w:rFonts w:ascii="Times New Roman" w:hAnsi="Times New Roman" w:cs="Times New Roman"/>
        </w:rPr>
      </w:pPr>
      <w:r w:rsidRPr="00F53EF8">
        <w:rPr>
          <w:rFonts w:ascii="Times New Roman" w:hAnsi="Times New Roman" w:cs="Times New Roman"/>
        </w:rPr>
        <w:t>White papers and policy briefs: 5 (10%)</w:t>
      </w:r>
    </w:p>
    <w:p w14:paraId="5900ABBC"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sources have been divided in seven themes and some of the sources may handle two or more themes. Table 2 contains the results of both sources.</w:t>
      </w:r>
    </w:p>
    <w:p w14:paraId="09C941FD" w14:textId="77777777" w:rsidR="00C96183" w:rsidRPr="00F53EF8" w:rsidRDefault="00BA2E0F" w:rsidP="00102800">
      <w:pPr>
        <w:jc w:val="both"/>
        <w:rPr>
          <w:rFonts w:ascii="Times New Roman" w:hAnsi="Times New Roman" w:cs="Times New Roman"/>
          <w:b/>
          <w:bCs/>
        </w:rPr>
      </w:pPr>
      <w:r w:rsidRPr="00F53EF8">
        <w:rPr>
          <w:rFonts w:ascii="Times New Roman" w:hAnsi="Times New Roman" w:cs="Times New Roman"/>
          <w:b/>
          <w:bCs/>
        </w:rPr>
        <w:t>3.2 Summary of Findings by Theme</w:t>
      </w:r>
    </w:p>
    <w:p w14:paraId="08F52F9A" w14:textId="77777777" w:rsidR="00C96183" w:rsidRPr="00F53EF8" w:rsidRDefault="00BA2E0F" w:rsidP="00102800">
      <w:pPr>
        <w:spacing w:before="120" w:after="120"/>
        <w:jc w:val="both"/>
        <w:rPr>
          <w:rFonts w:ascii="Times New Roman" w:hAnsi="Times New Roman" w:cs="Times New Roman"/>
        </w:rPr>
      </w:pPr>
      <w:r w:rsidRPr="00F53EF8">
        <w:rPr>
          <w:rFonts w:ascii="Times New Roman" w:hAnsi="Times New Roman" w:cs="Times New Roman"/>
          <w:b/>
          <w:bCs/>
        </w:rPr>
        <w:t>Table 2: Summary of Included Sources and Key Findings</w:t>
      </w:r>
    </w:p>
    <w:tbl>
      <w:tblPr>
        <w:tblStyle w:val="GridTable1Light1"/>
        <w:tblW w:w="0" w:type="auto"/>
        <w:tblLook w:val="04A0" w:firstRow="1" w:lastRow="0" w:firstColumn="1" w:lastColumn="0" w:noHBand="0" w:noVBand="1"/>
      </w:tblPr>
      <w:tblGrid>
        <w:gridCol w:w="2220"/>
        <w:gridCol w:w="1656"/>
        <w:gridCol w:w="2162"/>
        <w:gridCol w:w="3312"/>
      </w:tblGrid>
      <w:tr w:rsidR="00C96183" w:rsidRPr="00F53EF8" w14:paraId="58081421" w14:textId="77777777" w:rsidTr="00C96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FCC43"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Reference</w:t>
            </w:r>
          </w:p>
        </w:tc>
        <w:tc>
          <w:tcPr>
            <w:tcW w:w="0" w:type="auto"/>
            <w:hideMark/>
          </w:tcPr>
          <w:p w14:paraId="61BBEB59" w14:textId="77777777" w:rsidR="00C96183" w:rsidRPr="00F53EF8" w:rsidRDefault="00BA2E0F" w:rsidP="00102800">
            <w:pPr>
              <w:pStyle w:val="Head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Source Type</w:t>
            </w:r>
          </w:p>
        </w:tc>
        <w:tc>
          <w:tcPr>
            <w:tcW w:w="0" w:type="auto"/>
            <w:hideMark/>
          </w:tcPr>
          <w:p w14:paraId="01409A57" w14:textId="77777777" w:rsidR="00C96183" w:rsidRPr="00F53EF8" w:rsidRDefault="00BA2E0F" w:rsidP="00102800">
            <w:pPr>
              <w:pStyle w:val="Head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Theme(s)</w:t>
            </w:r>
          </w:p>
        </w:tc>
        <w:tc>
          <w:tcPr>
            <w:tcW w:w="0" w:type="auto"/>
            <w:hideMark/>
          </w:tcPr>
          <w:p w14:paraId="266DA963" w14:textId="77777777" w:rsidR="00C96183" w:rsidRPr="00F53EF8" w:rsidRDefault="00BA2E0F" w:rsidP="00102800">
            <w:pPr>
              <w:pStyle w:val="Heading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3EF8">
              <w:rPr>
                <w:rFonts w:ascii="Times New Roman" w:hAnsi="Times New Roman" w:cs="Times New Roman"/>
                <w:b/>
                <w:bCs/>
                <w:sz w:val="24"/>
                <w:szCs w:val="24"/>
              </w:rPr>
              <w:t>Key Findings</w:t>
            </w:r>
          </w:p>
        </w:tc>
      </w:tr>
      <w:tr w:rsidR="00C96183" w:rsidRPr="00F53EF8" w14:paraId="6DA170CC"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8F9212C"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U.S. Government Accountability Office (2023)</w:t>
            </w:r>
          </w:p>
        </w:tc>
        <w:tc>
          <w:tcPr>
            <w:tcW w:w="0" w:type="auto"/>
            <w:hideMark/>
          </w:tcPr>
          <w:p w14:paraId="187A7BC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Report</w:t>
            </w:r>
          </w:p>
        </w:tc>
        <w:tc>
          <w:tcPr>
            <w:tcW w:w="0" w:type="auto"/>
            <w:hideMark/>
          </w:tcPr>
          <w:p w14:paraId="2DEBAFF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 Infrastructure</w:t>
            </w:r>
          </w:p>
        </w:tc>
        <w:tc>
          <w:tcPr>
            <w:tcW w:w="0" w:type="auto"/>
            <w:hideMark/>
          </w:tcPr>
          <w:p w14:paraId="45C9E6A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Identified persistent gaps in public health infrastructure including outdated data systems, workforce shortages, and inadequate funding mechanisms that hinder sustained preparedness beyond COVID-19 response.</w:t>
            </w:r>
          </w:p>
        </w:tc>
      </w:tr>
      <w:tr w:rsidR="00C96183" w:rsidRPr="00F53EF8" w14:paraId="2BAECA39"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57138CB"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U.S. House Committee on Oversight and Accountability (2024)</w:t>
            </w:r>
          </w:p>
        </w:tc>
        <w:tc>
          <w:tcPr>
            <w:tcW w:w="0" w:type="auto"/>
            <w:hideMark/>
          </w:tcPr>
          <w:p w14:paraId="439CB92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Congressional Report</w:t>
            </w:r>
          </w:p>
        </w:tc>
        <w:tc>
          <w:tcPr>
            <w:tcW w:w="0" w:type="auto"/>
            <w:hideMark/>
          </w:tcPr>
          <w:p w14:paraId="6E782592"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Lessons Learned</w:t>
            </w:r>
          </w:p>
        </w:tc>
        <w:tc>
          <w:tcPr>
            <w:tcW w:w="0" w:type="auto"/>
            <w:hideMark/>
          </w:tcPr>
          <w:p w14:paraId="12463D6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Documented failures in federal coordination, communication breakdowns between agencies, delayed response activation, and the need for clear command structures during public health emergencies.</w:t>
            </w:r>
          </w:p>
        </w:tc>
      </w:tr>
      <w:tr w:rsidR="00C96183" w:rsidRPr="00F53EF8" w14:paraId="47DD722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B90C7D1"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lastRenderedPageBreak/>
              <w:t>Centers for Disease Control and Prevention (2024a)</w:t>
            </w:r>
          </w:p>
        </w:tc>
        <w:tc>
          <w:tcPr>
            <w:tcW w:w="0" w:type="auto"/>
            <w:hideMark/>
          </w:tcPr>
          <w:p w14:paraId="2C4E985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Testimony</w:t>
            </w:r>
          </w:p>
        </w:tc>
        <w:tc>
          <w:tcPr>
            <w:tcW w:w="0" w:type="auto"/>
            <w:hideMark/>
          </w:tcPr>
          <w:p w14:paraId="5E36D503"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Lessons Learned</w:t>
            </w:r>
          </w:p>
        </w:tc>
        <w:tc>
          <w:tcPr>
            <w:tcW w:w="0" w:type="auto"/>
            <w:hideMark/>
          </w:tcPr>
          <w:p w14:paraId="7896AFA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Emphasized the need for modernized surveillance systems, enhanced laboratory capacity, improved data sharing infrastructure, and strengthened state and local public health departments.</w:t>
            </w:r>
          </w:p>
        </w:tc>
      </w:tr>
      <w:tr w:rsidR="00C96183" w:rsidRPr="00F53EF8" w14:paraId="79FF7F6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571564E"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U.S. Congress (2024)</w:t>
            </w:r>
          </w:p>
        </w:tc>
        <w:tc>
          <w:tcPr>
            <w:tcW w:w="0" w:type="auto"/>
            <w:hideMark/>
          </w:tcPr>
          <w:p w14:paraId="3808A5C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Legislation</w:t>
            </w:r>
          </w:p>
        </w:tc>
        <w:tc>
          <w:tcPr>
            <w:tcW w:w="0" w:type="auto"/>
            <w:hideMark/>
          </w:tcPr>
          <w:p w14:paraId="3ECCD361"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52D6156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Reauthorized and amended pandemic preparedness programs with focus on medical countermeasure development, healthcare coalition coordination, and public health emergency authorities.</w:t>
            </w:r>
          </w:p>
        </w:tc>
      </w:tr>
      <w:tr w:rsidR="00C96183" w:rsidRPr="00F53EF8" w14:paraId="708B9B9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9C7B011"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Presidential Advisory Council on Combating Antibiotic-Resistant Bacteria (2023)</w:t>
            </w:r>
          </w:p>
        </w:tc>
        <w:tc>
          <w:tcPr>
            <w:tcW w:w="0" w:type="auto"/>
            <w:hideMark/>
          </w:tcPr>
          <w:p w14:paraId="5CBA5C9B"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Report</w:t>
            </w:r>
          </w:p>
        </w:tc>
        <w:tc>
          <w:tcPr>
            <w:tcW w:w="0" w:type="auto"/>
            <w:hideMark/>
          </w:tcPr>
          <w:p w14:paraId="747F9DBE"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F53EF8">
              <w:rPr>
                <w:rFonts w:ascii="Times New Roman" w:hAnsi="Times New Roman" w:cs="Times New Roman"/>
                <w:b w:val="0"/>
                <w:bCs w:val="0"/>
                <w:sz w:val="24"/>
                <w:szCs w:val="24"/>
              </w:rPr>
              <w:t>Biosurveillance</w:t>
            </w:r>
            <w:proofErr w:type="spellEnd"/>
            <w:r w:rsidRPr="00F53EF8">
              <w:rPr>
                <w:rFonts w:ascii="Times New Roman" w:hAnsi="Times New Roman" w:cs="Times New Roman"/>
                <w:b w:val="0"/>
                <w:bCs w:val="0"/>
                <w:sz w:val="24"/>
                <w:szCs w:val="24"/>
              </w:rPr>
              <w:t>, Government Policy</w:t>
            </w:r>
          </w:p>
        </w:tc>
        <w:tc>
          <w:tcPr>
            <w:tcW w:w="0" w:type="auto"/>
            <w:hideMark/>
          </w:tcPr>
          <w:p w14:paraId="5ED3706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Highlighted the intersection of antimicrobial resistance and pandemic preparedness, recommending integrated surveillance for emerging resistant pathogens and preparedness for pandemics complicated by drug resistance.</w:t>
            </w:r>
          </w:p>
        </w:tc>
      </w:tr>
      <w:tr w:rsidR="00C96183" w:rsidRPr="00F53EF8" w14:paraId="03877E0F"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36DD0C4E"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National Governors Association (2024)</w:t>
            </w:r>
          </w:p>
        </w:tc>
        <w:tc>
          <w:tcPr>
            <w:tcW w:w="0" w:type="auto"/>
            <w:hideMark/>
          </w:tcPr>
          <w:p w14:paraId="592DF05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Policy Guidance</w:t>
            </w:r>
          </w:p>
        </w:tc>
        <w:tc>
          <w:tcPr>
            <w:tcW w:w="0" w:type="auto"/>
            <w:hideMark/>
          </w:tcPr>
          <w:p w14:paraId="526B0C6E"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FC8C05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Provided a framework for state-level emergency operations, emphasizing the importance of pre-disaster planning, clear communication protocols, and coordination between state and local health departments.</w:t>
            </w:r>
          </w:p>
        </w:tc>
      </w:tr>
      <w:tr w:rsidR="00C96183" w:rsidRPr="00F53EF8" w14:paraId="04AD46E3"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FFBBE9E"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The White House (2024)</w:t>
            </w:r>
          </w:p>
        </w:tc>
        <w:tc>
          <w:tcPr>
            <w:tcW w:w="0" w:type="auto"/>
            <w:hideMark/>
          </w:tcPr>
          <w:p w14:paraId="77CCA3F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00BA27C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w:t>
            </w:r>
          </w:p>
        </w:tc>
        <w:tc>
          <w:tcPr>
            <w:tcW w:w="0" w:type="auto"/>
            <w:hideMark/>
          </w:tcPr>
          <w:p w14:paraId="00958F7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Established a dedicated office for pandemic preparedness coordination, centralizing policy development, interagency coordination, and preparedness planning at the federal level.</w:t>
            </w:r>
          </w:p>
        </w:tc>
      </w:tr>
      <w:tr w:rsidR="00C96183" w:rsidRPr="00F53EF8" w14:paraId="168FB96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685271A"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(2024b)</w:t>
            </w:r>
          </w:p>
        </w:tc>
        <w:tc>
          <w:tcPr>
            <w:tcW w:w="0" w:type="auto"/>
            <w:hideMark/>
          </w:tcPr>
          <w:p w14:paraId="3D39D73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Strategic Document</w:t>
            </w:r>
          </w:p>
        </w:tc>
        <w:tc>
          <w:tcPr>
            <w:tcW w:w="0" w:type="auto"/>
            <w:hideMark/>
          </w:tcPr>
          <w:p w14:paraId="6F02911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Government Policy, </w:t>
            </w:r>
            <w:proofErr w:type="spellStart"/>
            <w:r w:rsidRPr="00F53EF8">
              <w:rPr>
                <w:rFonts w:ascii="Times New Roman" w:hAnsi="Times New Roman" w:cs="Times New Roman"/>
                <w:b w:val="0"/>
                <w:bCs w:val="0"/>
                <w:sz w:val="24"/>
                <w:szCs w:val="24"/>
              </w:rPr>
              <w:t>Biosurveillance</w:t>
            </w:r>
            <w:proofErr w:type="spellEnd"/>
          </w:p>
        </w:tc>
        <w:tc>
          <w:tcPr>
            <w:tcW w:w="0" w:type="auto"/>
            <w:hideMark/>
          </w:tcPr>
          <w:p w14:paraId="5084ED4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Outlined a comprehensive national pandemic strategy including pillars of surveillance, prevention, response capacity, </w:t>
            </w:r>
            <w:r w:rsidRPr="00F53EF8">
              <w:rPr>
                <w:rFonts w:ascii="Times New Roman" w:hAnsi="Times New Roman" w:cs="Times New Roman"/>
                <w:b w:val="0"/>
                <w:bCs w:val="0"/>
                <w:sz w:val="24"/>
                <w:szCs w:val="24"/>
              </w:rPr>
              <w:lastRenderedPageBreak/>
              <w:t>medical countermeasures, and communication.</w:t>
            </w:r>
          </w:p>
        </w:tc>
      </w:tr>
      <w:tr w:rsidR="00C96183" w:rsidRPr="00F53EF8" w14:paraId="705EA591"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2C85A85"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lastRenderedPageBreak/>
              <w:t>Trust for America’s Health (2025)</w:t>
            </w:r>
          </w:p>
        </w:tc>
        <w:tc>
          <w:tcPr>
            <w:tcW w:w="0" w:type="auto"/>
            <w:hideMark/>
          </w:tcPr>
          <w:p w14:paraId="7B45595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Assessment Report</w:t>
            </w:r>
          </w:p>
        </w:tc>
        <w:tc>
          <w:tcPr>
            <w:tcW w:w="0" w:type="auto"/>
            <w:hideMark/>
          </w:tcPr>
          <w:p w14:paraId="2E811AD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29EFD22C"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Assessed state-by-state preparedness using ten indicators and found significant variation across states, with most failing to meet benchmarks for public health funding, workforce capacity, and infrastructure.</w:t>
            </w:r>
          </w:p>
        </w:tc>
      </w:tr>
      <w:tr w:rsidR="00C96183" w:rsidRPr="00F53EF8" w14:paraId="2657E63A"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A02A5BB"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Trust for America’s Health (2024)</w:t>
            </w:r>
          </w:p>
        </w:tc>
        <w:tc>
          <w:tcPr>
            <w:tcW w:w="0" w:type="auto"/>
            <w:hideMark/>
          </w:tcPr>
          <w:p w14:paraId="529CF317"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Assessment Report</w:t>
            </w:r>
          </w:p>
        </w:tc>
        <w:tc>
          <w:tcPr>
            <w:tcW w:w="0" w:type="auto"/>
            <w:hideMark/>
          </w:tcPr>
          <w:p w14:paraId="6A269271"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4CCF821"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Documented improvements in some preparedness indicators since 2020 but identified persistent challenges in sustainable funding, health equity considerations, and rural health infrastructure.</w:t>
            </w:r>
          </w:p>
        </w:tc>
      </w:tr>
      <w:tr w:rsidR="00C96183" w:rsidRPr="00F53EF8" w14:paraId="22E9ED4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528098D"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(2024c)</w:t>
            </w:r>
          </w:p>
        </w:tc>
        <w:tc>
          <w:tcPr>
            <w:tcW w:w="0" w:type="auto"/>
            <w:hideMark/>
          </w:tcPr>
          <w:p w14:paraId="3C032ED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Guidance Document</w:t>
            </w:r>
          </w:p>
        </w:tc>
        <w:tc>
          <w:tcPr>
            <w:tcW w:w="0" w:type="auto"/>
            <w:hideMark/>
          </w:tcPr>
          <w:p w14:paraId="6128553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35A869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Updated national standards for public health emergency preparedness capabilities across fifteen domains including surveillance, community recovery, and emergency operations coordination.</w:t>
            </w:r>
          </w:p>
        </w:tc>
      </w:tr>
      <w:tr w:rsidR="00C96183" w:rsidRPr="00F53EF8" w14:paraId="3FAF9149"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3408CE5"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(2025)</w:t>
            </w:r>
          </w:p>
        </w:tc>
        <w:tc>
          <w:tcPr>
            <w:tcW w:w="0" w:type="auto"/>
            <w:hideMark/>
          </w:tcPr>
          <w:p w14:paraId="5E69E75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Program Guidance</w:t>
            </w:r>
          </w:p>
        </w:tc>
        <w:tc>
          <w:tcPr>
            <w:tcW w:w="0" w:type="auto"/>
            <w:hideMark/>
          </w:tcPr>
          <w:p w14:paraId="1FDCA64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EE4196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Described the Public Health Emergency Preparedness cooperative agreement program supporting state and local capacity building, planning, and exercise activities.</w:t>
            </w:r>
          </w:p>
        </w:tc>
      </w:tr>
      <w:tr w:rsidR="00C96183" w:rsidRPr="00F53EF8" w14:paraId="06D2AB65"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D656394"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Centers for Disease Control and Prevention (2024d)</w:t>
            </w:r>
          </w:p>
        </w:tc>
        <w:tc>
          <w:tcPr>
            <w:tcW w:w="0" w:type="auto"/>
            <w:hideMark/>
          </w:tcPr>
          <w:p w14:paraId="45A9F83C"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Strategic Framework</w:t>
            </w:r>
          </w:p>
        </w:tc>
        <w:tc>
          <w:tcPr>
            <w:tcW w:w="0" w:type="auto"/>
            <w:hideMark/>
          </w:tcPr>
          <w:p w14:paraId="24A4FCF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State/Local Preparedness</w:t>
            </w:r>
          </w:p>
        </w:tc>
        <w:tc>
          <w:tcPr>
            <w:tcW w:w="0" w:type="auto"/>
            <w:hideMark/>
          </w:tcPr>
          <w:p w14:paraId="6889BAD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Introduced a next-generation preparedness framework emphasizing equity, data modernization, and flexible, scalable response capabilities.</w:t>
            </w:r>
          </w:p>
        </w:tc>
      </w:tr>
      <w:tr w:rsidR="00C96183" w:rsidRPr="00F53EF8" w14:paraId="5ED15F1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B0605E0"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U.S. Department of Health and Human Services, ASPR</w:t>
            </w:r>
          </w:p>
        </w:tc>
        <w:tc>
          <w:tcPr>
            <w:tcW w:w="0" w:type="auto"/>
            <w:hideMark/>
          </w:tcPr>
          <w:p w14:paraId="111C477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Technical Report</w:t>
            </w:r>
          </w:p>
        </w:tc>
        <w:tc>
          <w:tcPr>
            <w:tcW w:w="0" w:type="auto"/>
            <w:hideMark/>
          </w:tcPr>
          <w:p w14:paraId="04EE0842"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3ABF7AA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Proposed a metrics framework for measuring preparedness across healthcare and public </w:t>
            </w:r>
            <w:r w:rsidRPr="00F53EF8">
              <w:rPr>
                <w:rFonts w:ascii="Times New Roman" w:hAnsi="Times New Roman" w:cs="Times New Roman"/>
                <w:b w:val="0"/>
                <w:bCs w:val="0"/>
                <w:sz w:val="24"/>
                <w:szCs w:val="24"/>
              </w:rPr>
              <w:lastRenderedPageBreak/>
              <w:t>health sectors, including surge capacity, supply chain resilience, and workforce availability.</w:t>
            </w:r>
          </w:p>
        </w:tc>
      </w:tr>
      <w:tr w:rsidR="00C96183" w:rsidRPr="00F53EF8" w14:paraId="6228B0B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139C9F4"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lastRenderedPageBreak/>
              <w:t>El-</w:t>
            </w:r>
            <w:proofErr w:type="spellStart"/>
            <w:r w:rsidRPr="00F53EF8">
              <w:rPr>
                <w:rFonts w:ascii="Times New Roman" w:hAnsi="Times New Roman" w:cs="Times New Roman"/>
                <w:b/>
                <w:bCs/>
                <w:sz w:val="24"/>
                <w:szCs w:val="24"/>
              </w:rPr>
              <w:t>Jardali</w:t>
            </w:r>
            <w:proofErr w:type="spellEnd"/>
            <w:r w:rsidRPr="00F53EF8">
              <w:rPr>
                <w:rFonts w:ascii="Times New Roman" w:hAnsi="Times New Roman" w:cs="Times New Roman"/>
                <w:b/>
                <w:bCs/>
                <w:sz w:val="24"/>
                <w:szCs w:val="24"/>
              </w:rPr>
              <w:t xml:space="preserve"> et al. (2025)</w:t>
            </w:r>
          </w:p>
        </w:tc>
        <w:tc>
          <w:tcPr>
            <w:tcW w:w="0" w:type="auto"/>
            <w:hideMark/>
          </w:tcPr>
          <w:p w14:paraId="41054BE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33D30CA"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5D856962"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Developed and validated an emergency preparedness and health system resilience assessment tool with domains covering governance, resources, service delivery, and recovery capacity.</w:t>
            </w:r>
          </w:p>
        </w:tc>
      </w:tr>
      <w:tr w:rsidR="00C96183" w:rsidRPr="00F53EF8" w14:paraId="4DCC8D18"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4E0F49D8"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Zhong et al. (2024)</w:t>
            </w:r>
          </w:p>
        </w:tc>
        <w:tc>
          <w:tcPr>
            <w:tcW w:w="0" w:type="auto"/>
            <w:hideMark/>
          </w:tcPr>
          <w:p w14:paraId="3B90D19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3DC64E53"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 Healthcare Readiness</w:t>
            </w:r>
          </w:p>
        </w:tc>
        <w:tc>
          <w:tcPr>
            <w:tcW w:w="0" w:type="auto"/>
            <w:hideMark/>
          </w:tcPr>
          <w:p w14:paraId="7BB79B4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Analyzed healthcare system adaptability during COVID-19 surges and found that hospitals with previous emergency preparedness investments demonstrated better resilience and maintained service quality.</w:t>
            </w:r>
          </w:p>
        </w:tc>
      </w:tr>
      <w:tr w:rsidR="00C96183" w:rsidRPr="00F53EF8" w14:paraId="363B95B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3B4DA244"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Tille et al. (2023)</w:t>
            </w:r>
          </w:p>
        </w:tc>
        <w:tc>
          <w:tcPr>
            <w:tcW w:w="0" w:type="auto"/>
            <w:hideMark/>
          </w:tcPr>
          <w:p w14:paraId="2C56EEA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1E0E88B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2E9F744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Examined health system resilience across multiple countries during COVID-19 and identified key resilience factors including governance flexibility, resource surge capacity, and workforce adaptability.</w:t>
            </w:r>
          </w:p>
        </w:tc>
      </w:tr>
      <w:tr w:rsidR="00C96183" w:rsidRPr="00F53EF8" w14:paraId="43D5F68D"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6EA63FF"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Kruk et al. (2023)</w:t>
            </w:r>
          </w:p>
        </w:tc>
        <w:tc>
          <w:tcPr>
            <w:tcW w:w="0" w:type="auto"/>
            <w:hideMark/>
          </w:tcPr>
          <w:p w14:paraId="090AE61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2289EA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6B5C026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Re-evaluated conceptual frameworks for health system resilience based on COVID-19 experience, proposing expanded definitions incorporating equity, trust, and adaptive capacity.</w:t>
            </w:r>
          </w:p>
        </w:tc>
      </w:tr>
      <w:tr w:rsidR="00C96183" w:rsidRPr="00F53EF8" w14:paraId="56D0A444"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2605FCF"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National Academies of Sciences, Engineering, and Medicine (2025a)</w:t>
            </w:r>
          </w:p>
        </w:tc>
        <w:tc>
          <w:tcPr>
            <w:tcW w:w="0" w:type="auto"/>
            <w:hideMark/>
          </w:tcPr>
          <w:p w14:paraId="464840D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Research Report</w:t>
            </w:r>
          </w:p>
        </w:tc>
        <w:tc>
          <w:tcPr>
            <w:tcW w:w="0" w:type="auto"/>
            <w:hideMark/>
          </w:tcPr>
          <w:p w14:paraId="5CEC849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 Lessons Learned</w:t>
            </w:r>
          </w:p>
        </w:tc>
        <w:tc>
          <w:tcPr>
            <w:tcW w:w="0" w:type="auto"/>
            <w:hideMark/>
          </w:tcPr>
          <w:p w14:paraId="78A7C229"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Assessed COVID-19 impacts on healthcare delivery systems, documenting disruptions to routine care, mental health crises, and the need for resilient care delivery models.</w:t>
            </w:r>
          </w:p>
        </w:tc>
      </w:tr>
      <w:tr w:rsidR="00C96183" w:rsidRPr="00F53EF8" w14:paraId="70E6839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1D3AAAD5"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lastRenderedPageBreak/>
              <w:t>Zhang et al. (2023)</w:t>
            </w:r>
          </w:p>
        </w:tc>
        <w:tc>
          <w:tcPr>
            <w:tcW w:w="0" w:type="auto"/>
            <w:hideMark/>
          </w:tcPr>
          <w:p w14:paraId="6EB876F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35B87D1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w:t>
            </w:r>
          </w:p>
        </w:tc>
        <w:tc>
          <w:tcPr>
            <w:tcW w:w="0" w:type="auto"/>
            <w:hideMark/>
          </w:tcPr>
          <w:p w14:paraId="01A34DA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Evaluated health system resilience in sixty countries using composite indicators and found that the United States showed strong technical capacity but experienced coordination challenges.</w:t>
            </w:r>
          </w:p>
        </w:tc>
      </w:tr>
      <w:tr w:rsidR="00C96183" w:rsidRPr="00F53EF8" w14:paraId="6031942C"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5652163C" w14:textId="77777777" w:rsidR="00C96183" w:rsidRPr="00F53EF8" w:rsidRDefault="00BA2E0F" w:rsidP="00102800">
            <w:pPr>
              <w:pStyle w:val="Heading2"/>
              <w:jc w:val="both"/>
              <w:rPr>
                <w:rFonts w:ascii="Times New Roman" w:hAnsi="Times New Roman" w:cs="Times New Roman"/>
                <w:sz w:val="24"/>
                <w:szCs w:val="24"/>
              </w:rPr>
            </w:pPr>
            <w:proofErr w:type="spellStart"/>
            <w:r w:rsidRPr="00F53EF8">
              <w:rPr>
                <w:rFonts w:ascii="Times New Roman" w:hAnsi="Times New Roman" w:cs="Times New Roman"/>
                <w:b/>
                <w:bCs/>
                <w:sz w:val="24"/>
                <w:szCs w:val="24"/>
              </w:rPr>
              <w:t>Pathirathna</w:t>
            </w:r>
            <w:proofErr w:type="spellEnd"/>
            <w:r w:rsidRPr="00F53EF8">
              <w:rPr>
                <w:rFonts w:ascii="Times New Roman" w:hAnsi="Times New Roman" w:cs="Times New Roman"/>
                <w:b/>
                <w:bCs/>
                <w:sz w:val="24"/>
                <w:szCs w:val="24"/>
              </w:rPr>
              <w:t xml:space="preserve"> et al. (2024)</w:t>
            </w:r>
          </w:p>
        </w:tc>
        <w:tc>
          <w:tcPr>
            <w:tcW w:w="0" w:type="auto"/>
            <w:hideMark/>
          </w:tcPr>
          <w:p w14:paraId="262BE8F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7D953E8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Multi-Hazard Preparedness</w:t>
            </w:r>
          </w:p>
        </w:tc>
        <w:tc>
          <w:tcPr>
            <w:tcW w:w="0" w:type="auto"/>
            <w:hideMark/>
          </w:tcPr>
          <w:p w14:paraId="618C58A5"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Examined pandemic preparedness within the context of multi-hazard risks and recommended integrated preparedness frameworks addressing concurrent disasters and climate-health interactions.</w:t>
            </w:r>
          </w:p>
        </w:tc>
      </w:tr>
      <w:tr w:rsidR="00C96183" w:rsidRPr="00F53EF8" w14:paraId="448E82C2"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90E3AD7"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Nunes et al. (2024)</w:t>
            </w:r>
          </w:p>
        </w:tc>
        <w:tc>
          <w:tcPr>
            <w:tcW w:w="0" w:type="auto"/>
            <w:hideMark/>
          </w:tcPr>
          <w:p w14:paraId="61F448A8"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73944D37"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F53EF8">
              <w:rPr>
                <w:rFonts w:ascii="Times New Roman" w:hAnsi="Times New Roman" w:cs="Times New Roman"/>
                <w:b w:val="0"/>
                <w:bCs w:val="0"/>
                <w:sz w:val="24"/>
                <w:szCs w:val="24"/>
              </w:rPr>
              <w:t>Biosurveillance</w:t>
            </w:r>
            <w:proofErr w:type="spellEnd"/>
            <w:r w:rsidRPr="00F53EF8">
              <w:rPr>
                <w:rFonts w:ascii="Times New Roman" w:hAnsi="Times New Roman" w:cs="Times New Roman"/>
                <w:b w:val="0"/>
                <w:bCs w:val="0"/>
                <w:sz w:val="24"/>
                <w:szCs w:val="24"/>
              </w:rPr>
              <w:t>, Modeling</w:t>
            </w:r>
          </w:p>
        </w:tc>
        <w:tc>
          <w:tcPr>
            <w:tcW w:w="0" w:type="auto"/>
            <w:hideMark/>
          </w:tcPr>
          <w:p w14:paraId="1B631E4F"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Synthesized insights from infectious disease modeling workshops, emphasizing predictive modeling, scenario planning, and real-time data analytics in pandemic preparedness.</w:t>
            </w:r>
          </w:p>
        </w:tc>
      </w:tr>
      <w:tr w:rsidR="00C96183" w:rsidRPr="00F53EF8" w14:paraId="3E41AB7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A3B1FF3"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World Health Organization (2025)</w:t>
            </w:r>
          </w:p>
        </w:tc>
        <w:tc>
          <w:tcPr>
            <w:tcW w:w="0" w:type="auto"/>
            <w:hideMark/>
          </w:tcPr>
          <w:p w14:paraId="39456E17"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Guidance Document</w:t>
            </w:r>
          </w:p>
        </w:tc>
        <w:tc>
          <w:tcPr>
            <w:tcW w:w="0" w:type="auto"/>
            <w:hideMark/>
          </w:tcPr>
          <w:p w14:paraId="379D46C4"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Government Policy, International Standards</w:t>
            </w:r>
          </w:p>
        </w:tc>
        <w:tc>
          <w:tcPr>
            <w:tcW w:w="0" w:type="auto"/>
            <w:hideMark/>
          </w:tcPr>
          <w:p w14:paraId="27B0A1F3"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Launched new country-level guidance for health emergency coordination, providing adaptable frameworks for national contexts including U.S. state and local coordination models.</w:t>
            </w:r>
          </w:p>
        </w:tc>
      </w:tr>
      <w:tr w:rsidR="00C96183" w:rsidRPr="00F53EF8" w14:paraId="6F031DAF"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785BB2F1"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Cylus et al. (2022)</w:t>
            </w:r>
          </w:p>
        </w:tc>
        <w:tc>
          <w:tcPr>
            <w:tcW w:w="0" w:type="auto"/>
            <w:hideMark/>
          </w:tcPr>
          <w:p w14:paraId="70ECC90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46E8E696"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Lessons Learned, Health System Resilience</w:t>
            </w:r>
          </w:p>
        </w:tc>
        <w:tc>
          <w:tcPr>
            <w:tcW w:w="0" w:type="auto"/>
            <w:hideMark/>
          </w:tcPr>
          <w:p w14:paraId="6FE2E89F"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Synthesized early COVID-19 lessons including the importance of surge capacity, supply chain diversification, public-private partnerships, and transparent communication.</w:t>
            </w:r>
          </w:p>
        </w:tc>
      </w:tr>
      <w:tr w:rsidR="00C96183" w:rsidRPr="00F53EF8" w14:paraId="36663E76"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6596C193"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 xml:space="preserve">National Academies of Sciences, </w:t>
            </w:r>
            <w:r w:rsidRPr="00F53EF8">
              <w:rPr>
                <w:rFonts w:ascii="Times New Roman" w:hAnsi="Times New Roman" w:cs="Times New Roman"/>
                <w:b/>
                <w:bCs/>
                <w:sz w:val="24"/>
                <w:szCs w:val="24"/>
              </w:rPr>
              <w:lastRenderedPageBreak/>
              <w:t>Engineering, and Medicine (2022)</w:t>
            </w:r>
          </w:p>
        </w:tc>
        <w:tc>
          <w:tcPr>
            <w:tcW w:w="0" w:type="auto"/>
            <w:hideMark/>
          </w:tcPr>
          <w:p w14:paraId="638D201B"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lastRenderedPageBreak/>
              <w:t>Research Report</w:t>
            </w:r>
          </w:p>
        </w:tc>
        <w:tc>
          <w:tcPr>
            <w:tcW w:w="0" w:type="auto"/>
            <w:hideMark/>
          </w:tcPr>
          <w:p w14:paraId="3815A7BE"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Healthcare Readiness, Supply Chain</w:t>
            </w:r>
          </w:p>
        </w:tc>
        <w:tc>
          <w:tcPr>
            <w:tcW w:w="0" w:type="auto"/>
            <w:hideMark/>
          </w:tcPr>
          <w:p w14:paraId="31D0E822"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Examined medical product supply chain vulnerabilities exposed by the pandemic and recommended domestic manufacturing capacity, </w:t>
            </w:r>
            <w:r w:rsidRPr="00F53EF8">
              <w:rPr>
                <w:rFonts w:ascii="Times New Roman" w:hAnsi="Times New Roman" w:cs="Times New Roman"/>
                <w:b w:val="0"/>
                <w:bCs w:val="0"/>
                <w:sz w:val="24"/>
                <w:szCs w:val="24"/>
              </w:rPr>
              <w:lastRenderedPageBreak/>
              <w:t>strategic stockpiles, and supply chain monitoring systems.</w:t>
            </w:r>
          </w:p>
        </w:tc>
      </w:tr>
      <w:tr w:rsidR="00C96183" w:rsidRPr="00F53EF8" w14:paraId="69D195E7"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B77141B" w14:textId="77777777" w:rsidR="00C96183" w:rsidRPr="00F53EF8" w:rsidRDefault="00BA2E0F" w:rsidP="00102800">
            <w:pPr>
              <w:pStyle w:val="Heading2"/>
              <w:jc w:val="both"/>
              <w:rPr>
                <w:rFonts w:ascii="Times New Roman" w:hAnsi="Times New Roman" w:cs="Times New Roman"/>
                <w:sz w:val="24"/>
                <w:szCs w:val="24"/>
              </w:rPr>
            </w:pPr>
            <w:proofErr w:type="spellStart"/>
            <w:r w:rsidRPr="00F53EF8">
              <w:rPr>
                <w:rFonts w:ascii="Times New Roman" w:hAnsi="Times New Roman" w:cs="Times New Roman"/>
                <w:b/>
                <w:bCs/>
                <w:sz w:val="24"/>
                <w:szCs w:val="24"/>
              </w:rPr>
              <w:lastRenderedPageBreak/>
              <w:t>Spieske</w:t>
            </w:r>
            <w:proofErr w:type="spellEnd"/>
            <w:r w:rsidRPr="00F53EF8">
              <w:rPr>
                <w:rFonts w:ascii="Times New Roman" w:hAnsi="Times New Roman" w:cs="Times New Roman"/>
                <w:b/>
                <w:bCs/>
                <w:sz w:val="24"/>
                <w:szCs w:val="24"/>
              </w:rPr>
              <w:t xml:space="preserve"> et al. (2022)</w:t>
            </w:r>
          </w:p>
        </w:tc>
        <w:tc>
          <w:tcPr>
            <w:tcW w:w="0" w:type="auto"/>
            <w:hideMark/>
          </w:tcPr>
          <w:p w14:paraId="724AFE1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4203821D"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Healthcare Readiness, Supply Chain</w:t>
            </w:r>
          </w:p>
        </w:tc>
        <w:tc>
          <w:tcPr>
            <w:tcW w:w="0" w:type="auto"/>
            <w:hideMark/>
          </w:tcPr>
          <w:p w14:paraId="1BA37BD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Examined healthcare supply chain resilience and emphasized diversification, transparency, and collaboration as key resilience strategies.</w:t>
            </w:r>
          </w:p>
        </w:tc>
      </w:tr>
      <w:tr w:rsidR="00C96183" w:rsidRPr="00F53EF8" w14:paraId="7F693D70"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2870B9BA"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Tan et al. (2024)</w:t>
            </w:r>
          </w:p>
        </w:tc>
        <w:tc>
          <w:tcPr>
            <w:tcW w:w="0" w:type="auto"/>
            <w:hideMark/>
          </w:tcPr>
          <w:p w14:paraId="0791E340"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Peer-Reviewed Article</w:t>
            </w:r>
          </w:p>
        </w:tc>
        <w:tc>
          <w:tcPr>
            <w:tcW w:w="0" w:type="auto"/>
            <w:hideMark/>
          </w:tcPr>
          <w:p w14:paraId="02C7B717"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 xml:space="preserve">Innovation, </w:t>
            </w:r>
            <w:proofErr w:type="spellStart"/>
            <w:r w:rsidRPr="00F53EF8">
              <w:rPr>
                <w:rFonts w:ascii="Times New Roman" w:hAnsi="Times New Roman" w:cs="Times New Roman"/>
                <w:b w:val="0"/>
                <w:bCs w:val="0"/>
                <w:sz w:val="24"/>
                <w:szCs w:val="24"/>
              </w:rPr>
              <w:t>Biosurveillance</w:t>
            </w:r>
            <w:proofErr w:type="spellEnd"/>
          </w:p>
        </w:tc>
        <w:tc>
          <w:tcPr>
            <w:tcW w:w="0" w:type="auto"/>
            <w:hideMark/>
          </w:tcPr>
          <w:p w14:paraId="42C7A09B"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Explored digital health technologies for pandemic preparedness including digital contact tracing, mobile health surveillance, and integrated data-sharing platforms.</w:t>
            </w:r>
          </w:p>
        </w:tc>
      </w:tr>
      <w:tr w:rsidR="00C96183" w:rsidRPr="00F53EF8" w14:paraId="33982312" w14:textId="77777777" w:rsidTr="00C96183">
        <w:tc>
          <w:tcPr>
            <w:cnfStyle w:val="001000000000" w:firstRow="0" w:lastRow="0" w:firstColumn="1" w:lastColumn="0" w:oddVBand="0" w:evenVBand="0" w:oddHBand="0" w:evenHBand="0" w:firstRowFirstColumn="0" w:firstRowLastColumn="0" w:lastRowFirstColumn="0" w:lastRowLastColumn="0"/>
            <w:tcW w:w="0" w:type="auto"/>
            <w:hideMark/>
          </w:tcPr>
          <w:p w14:paraId="0366EE72" w14:textId="77777777" w:rsidR="00C96183" w:rsidRPr="00F53EF8" w:rsidRDefault="00BA2E0F" w:rsidP="00102800">
            <w:pPr>
              <w:pStyle w:val="Heading2"/>
              <w:jc w:val="both"/>
              <w:rPr>
                <w:rFonts w:ascii="Times New Roman" w:hAnsi="Times New Roman" w:cs="Times New Roman"/>
                <w:sz w:val="24"/>
                <w:szCs w:val="24"/>
              </w:rPr>
            </w:pPr>
            <w:r w:rsidRPr="00F53EF8">
              <w:rPr>
                <w:rFonts w:ascii="Times New Roman" w:hAnsi="Times New Roman" w:cs="Times New Roman"/>
                <w:b/>
                <w:bCs/>
                <w:sz w:val="24"/>
                <w:szCs w:val="24"/>
              </w:rPr>
              <w:t>European Observatory on Health Systems and Policies (2022)</w:t>
            </w:r>
          </w:p>
        </w:tc>
        <w:tc>
          <w:tcPr>
            <w:tcW w:w="0" w:type="auto"/>
            <w:hideMark/>
          </w:tcPr>
          <w:p w14:paraId="1ED64F87"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Research Report</w:t>
            </w:r>
          </w:p>
        </w:tc>
        <w:tc>
          <w:tcPr>
            <w:tcW w:w="0" w:type="auto"/>
            <w:hideMark/>
          </w:tcPr>
          <w:p w14:paraId="1EB5A5CB"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Health System Resilience, Lessons Learned, International Comparison</w:t>
            </w:r>
          </w:p>
        </w:tc>
        <w:tc>
          <w:tcPr>
            <w:tcW w:w="0" w:type="auto"/>
            <w:hideMark/>
          </w:tcPr>
          <w:p w14:paraId="39A6159E" w14:textId="77777777" w:rsidR="00C96183" w:rsidRPr="00F53EF8" w:rsidRDefault="00BA2E0F" w:rsidP="00102800">
            <w:pPr>
              <w:pStyle w:val="Head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53EF8">
              <w:rPr>
                <w:rFonts w:ascii="Times New Roman" w:hAnsi="Times New Roman" w:cs="Times New Roman"/>
                <w:b w:val="0"/>
                <w:bCs w:val="0"/>
                <w:sz w:val="24"/>
                <w:szCs w:val="24"/>
              </w:rPr>
              <w:t>Synthesized lessons from COVID-19 across European health systems and provided comparative governance and financing insights relevant to the United States context.</w:t>
            </w:r>
          </w:p>
        </w:tc>
      </w:tr>
    </w:tbl>
    <w:p w14:paraId="6E8626C1" w14:textId="77777777" w:rsidR="00C96183" w:rsidRPr="00F53EF8" w:rsidRDefault="00BA2E0F" w:rsidP="00102800">
      <w:pPr>
        <w:pStyle w:val="Heading2"/>
        <w:jc w:val="both"/>
        <w:rPr>
          <w:rFonts w:ascii="Times New Roman" w:hAnsi="Times New Roman" w:cs="Times New Roman"/>
        </w:rPr>
      </w:pPr>
      <w:r w:rsidRPr="00F53EF8">
        <w:rPr>
          <w:rFonts w:ascii="Times New Roman" w:hAnsi="Times New Roman" w:cs="Times New Roman"/>
        </w:rPr>
        <w:t>3.3 Thematic Analysis</w:t>
      </w:r>
    </w:p>
    <w:p w14:paraId="2B89A350" w14:textId="77777777" w:rsidR="00C96183" w:rsidRPr="00F53EF8" w:rsidRDefault="00BA2E0F" w:rsidP="00102800">
      <w:pPr>
        <w:pStyle w:val="Heading3"/>
        <w:jc w:val="both"/>
        <w:rPr>
          <w:rFonts w:ascii="Times New Roman" w:hAnsi="Times New Roman" w:cs="Times New Roman"/>
        </w:rPr>
      </w:pPr>
      <w:r w:rsidRPr="00F53EF8">
        <w:rPr>
          <w:rFonts w:ascii="Times New Roman" w:hAnsi="Times New Roman" w:cs="Times New Roman"/>
        </w:rPr>
        <w:t>3.3.1 Government Policy and Oversight</w:t>
      </w:r>
    </w:p>
    <w:p w14:paraId="5A4B0ECD"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Several sources highlighted the importance of clear governments and integrated policies in the preparedness to the pandemic. Documented by the U.S. House Committee on Oversight and Accountability (2024), there were tremendous coordination issues during the COVID-19 pandemic, such as lack of clarity in command hierarchy and failure in interagency communication between the federal government. The White House (2024) in turn created a specific Office of Pandemic Preparedness and Response Policy to coordinate the efforts of the process.</w:t>
      </w:r>
    </w:p>
    <w:p w14:paraId="0C83A70B"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Centers of Disease Control and Prevention (2024b) has come up with a detailed National Pandemic Strategy, which defines integrated methods of surveillance, prevention, and response. Lawmaking, such as the reauthorization of the Pandemic and All-Hazards Preparedness and Response Act (U.S. Congress, 2024), was intended to make the legal frameworks and financial systems more resistant to long-term preparedness investments.</w:t>
      </w:r>
    </w:p>
    <w:p w14:paraId="4935402E" w14:textId="1DFE36BA" w:rsidR="00D13714" w:rsidRPr="00D13714" w:rsidRDefault="00D13714" w:rsidP="00102800">
      <w:pPr>
        <w:jc w:val="both"/>
        <w:rPr>
          <w:rFonts w:ascii="Times New Roman" w:hAnsi="Times New Roman" w:cs="Times New Roman"/>
        </w:rPr>
      </w:pPr>
      <w:r w:rsidRPr="000201FA">
        <w:rPr>
          <w:rFonts w:ascii="Times New Roman" w:hAnsi="Times New Roman" w:cs="Times New Roman"/>
          <w:highlight w:val="yellow"/>
        </w:rPr>
        <w:t xml:space="preserve">The comparative international analysis shows that there is a critical paradox: on the one hand, the United States has one of the most developed technical health capabilities in the world, on the other hand, the system of governance and decentralized authority structures significantly harmed the effectiveness of the response in comparison with the countries where the command structures are more unified (Villalobos Rodriguez et al., 2025; Zhang et al., This implies that the institutional design and not technical capacity is the main constraining element in the performance of the U.S. </w:t>
      </w:r>
      <w:r w:rsidRPr="000201FA">
        <w:rPr>
          <w:rFonts w:ascii="Times New Roman" w:hAnsi="Times New Roman" w:cs="Times New Roman"/>
          <w:highlight w:val="yellow"/>
        </w:rPr>
        <w:lastRenderedPageBreak/>
        <w:t>pandemic response, which has direct implications on governance reform and not infrastructure investment alone.</w:t>
      </w:r>
    </w:p>
    <w:p w14:paraId="6D5A18D2" w14:textId="77777777" w:rsidR="00D13714" w:rsidRDefault="00D13714" w:rsidP="00102800">
      <w:pPr>
        <w:spacing w:after="240"/>
        <w:jc w:val="both"/>
        <w:rPr>
          <w:rFonts w:ascii="Times New Roman" w:hAnsi="Times New Roman" w:cs="Times New Roman"/>
          <w:b/>
          <w:bCs/>
        </w:rPr>
      </w:pPr>
    </w:p>
    <w:p w14:paraId="2D79BB8C" w14:textId="1AEC1122"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 xml:space="preserve">3.3.2 State and Local Preparedness Capacity </w:t>
      </w:r>
    </w:p>
    <w:p w14:paraId="321CB1B7"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State and local preparedness assessment showed that there </w:t>
      </w:r>
      <w:proofErr w:type="gramStart"/>
      <w:r w:rsidRPr="00F53EF8">
        <w:rPr>
          <w:rFonts w:ascii="Times New Roman" w:hAnsi="Times New Roman" w:cs="Times New Roman"/>
        </w:rPr>
        <w:t>was</w:t>
      </w:r>
      <w:proofErr w:type="gramEnd"/>
      <w:r w:rsidRPr="00F53EF8">
        <w:rPr>
          <w:rFonts w:ascii="Times New Roman" w:hAnsi="Times New Roman" w:cs="Times New Roman"/>
        </w:rPr>
        <w:t xml:space="preserve"> significant variation and gaps. In Trust for America health (2025), the majority of the states were not up to the par regarding the main indicators of preparedness such as funding of the functioning of the public health, workforce capacity, and infrastructure renewal. Geographic inequalities were an exception, as communities that were not well-resourced and rural communities became more disadvantaged (Trust for America, 2024).</w:t>
      </w:r>
    </w:p>
    <w:p w14:paraId="11DA9ABE"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Centers for Disease Control and Prevention (2024c) revised national preparedness standards in 15 areas of preparedness capabilities and CDC Public Health Emergency Preparedness program (Centers for Disease Control and Prevention, 2025) offered cooperative agreements that support capacity building at state and local levels. Nevertheless, the U.S. Government Accountability Office (2023) has found that continued investments in preparedness face persistent difficulties when extended beyond acute crisis situations, and that once acute emergencies have been overcome, funding tends to reduce.</w:t>
      </w:r>
    </w:p>
    <w:p w14:paraId="0A6F15A9"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State-level guidance was offered by the National Governors Association (2024) stating the significance of pre-disaster planning and coordination mechanisms. </w:t>
      </w:r>
      <w:proofErr w:type="spellStart"/>
      <w:r w:rsidRPr="00F53EF8">
        <w:rPr>
          <w:rFonts w:ascii="Times New Roman" w:hAnsi="Times New Roman" w:cs="Times New Roman"/>
        </w:rPr>
        <w:t>Beishuizen</w:t>
      </w:r>
      <w:proofErr w:type="spellEnd"/>
      <w:r w:rsidRPr="00F53EF8">
        <w:rPr>
          <w:rFonts w:ascii="Times New Roman" w:hAnsi="Times New Roman" w:cs="Times New Roman"/>
        </w:rPr>
        <w:t xml:space="preserve"> et al. (2024) identified critically important preparedness resources such as stockpiles, personnel, and surge capacity of facilities in a systematic way, which most jurisdictions were deficient in sufficient quantities.</w:t>
      </w:r>
    </w:p>
    <w:p w14:paraId="629EB56E" w14:textId="77777777" w:rsidR="00C96183" w:rsidRPr="00F53EF8" w:rsidRDefault="00BA2E0F" w:rsidP="00102800">
      <w:pPr>
        <w:pStyle w:val="Heading3"/>
        <w:jc w:val="both"/>
        <w:rPr>
          <w:rFonts w:ascii="Times New Roman" w:hAnsi="Times New Roman" w:cs="Times New Roman"/>
        </w:rPr>
      </w:pPr>
      <w:r w:rsidRPr="00F53EF8">
        <w:rPr>
          <w:rFonts w:ascii="Times New Roman" w:hAnsi="Times New Roman" w:cs="Times New Roman"/>
        </w:rPr>
        <w:t>3.3.3 Health System Resilience</w:t>
      </w:r>
    </w:p>
    <w:p w14:paraId="71CCFF89" w14:textId="4093CB4C" w:rsidR="006F76BD" w:rsidRPr="006F76BD" w:rsidRDefault="00BA2E0F" w:rsidP="00102800">
      <w:pPr>
        <w:spacing w:after="240"/>
        <w:jc w:val="both"/>
        <w:rPr>
          <w:rFonts w:ascii="Times New Roman" w:hAnsi="Times New Roman" w:cs="Times New Roman"/>
        </w:rPr>
      </w:pPr>
      <w:r w:rsidRPr="00F53EF8">
        <w:rPr>
          <w:rFonts w:ascii="Times New Roman" w:hAnsi="Times New Roman" w:cs="Times New Roman"/>
        </w:rPr>
        <w:t>Studies on health system resilience emphasized the points of weaknesses and adaptive capabilities exhibited during COVID-19. Zhong et al. (2024) have reported that the resilience of healthcare facilities that previously invested in emergency preparedness was higher, as they were able to continue providing services during surge periods. Nevertheless, National Academies of Sciences, Engineering, and Medicine (2025a) reported massive upheaval in normal care and mental health services, which depicts vulnerability in healthcare delivery systems.</w:t>
      </w:r>
    </w:p>
    <w:p w14:paraId="7615605C" w14:textId="77777777" w:rsidR="00D13714" w:rsidRDefault="00D13714" w:rsidP="00102800">
      <w:pPr>
        <w:spacing w:after="240"/>
        <w:jc w:val="both"/>
        <w:rPr>
          <w:rFonts w:ascii="Times New Roman" w:hAnsi="Times New Roman" w:cs="Times New Roman"/>
        </w:rPr>
      </w:pPr>
      <w:r w:rsidRPr="000201FA">
        <w:rPr>
          <w:rFonts w:ascii="Times New Roman" w:hAnsi="Times New Roman" w:cs="Times New Roman"/>
          <w:highlight w:val="yellow"/>
        </w:rPr>
        <w:t>The pandemic has radically redefined conceptual frameworks of health system resilience. Expanded definitions that included equity, trust, and adaptive capacity with classic indicators of surge capacity were suggested by Kruk et al. (2023), which is a significant step in breaking the technocratic perspective of resilience. The weakness of this developing literature, however, is that equity-based resilience indicators are still mostly theoretical; El-</w:t>
      </w:r>
      <w:proofErr w:type="spellStart"/>
      <w:r w:rsidRPr="000201FA">
        <w:rPr>
          <w:rFonts w:ascii="Times New Roman" w:hAnsi="Times New Roman" w:cs="Times New Roman"/>
          <w:highlight w:val="yellow"/>
        </w:rPr>
        <w:t>Jardali</w:t>
      </w:r>
      <w:proofErr w:type="spellEnd"/>
      <w:r w:rsidRPr="000201FA">
        <w:rPr>
          <w:rFonts w:ascii="Times New Roman" w:hAnsi="Times New Roman" w:cs="Times New Roman"/>
          <w:highlight w:val="yellow"/>
        </w:rPr>
        <w:t xml:space="preserve"> et al. (2025) created assessment tools that include governance, resources, service delivery, and recovery, but these tools have not been tested on a large scale in the U.S. setting. The gap between the conceptual expansion and operational measurement is a pressing methodological concern.</w:t>
      </w:r>
    </w:p>
    <w:p w14:paraId="5C2E6FCE" w14:textId="77B501DD"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International comparisons gave an idea of factors that can make the country resilient. Tille et al. (2023) found that the ability to adapt governance, surge capacity of resources, and labor flexibility were major factors that measure resilience in health systems. Best practices identified by Radford </w:t>
      </w:r>
      <w:r w:rsidRPr="00F53EF8">
        <w:rPr>
          <w:rFonts w:ascii="Times New Roman" w:hAnsi="Times New Roman" w:cs="Times New Roman"/>
        </w:rPr>
        <w:lastRenderedPageBreak/>
        <w:t>et al. (2024) in the European countries such as integrated surveillance system and healthcare coalition models were highlighted.</w:t>
      </w:r>
    </w:p>
    <w:p w14:paraId="7C841A5C" w14:textId="77777777" w:rsidR="00C96183" w:rsidRPr="00F53EF8" w:rsidRDefault="00C96183" w:rsidP="00102800">
      <w:pPr>
        <w:spacing w:after="240"/>
        <w:jc w:val="both"/>
        <w:rPr>
          <w:rFonts w:ascii="Times New Roman" w:hAnsi="Times New Roman" w:cs="Times New Roman"/>
        </w:rPr>
      </w:pPr>
    </w:p>
    <w:p w14:paraId="72F4242B" w14:textId="77777777" w:rsidR="00C96183" w:rsidRPr="00F53EF8" w:rsidRDefault="00C96183" w:rsidP="00102800">
      <w:pPr>
        <w:spacing w:after="240"/>
        <w:jc w:val="both"/>
        <w:rPr>
          <w:rFonts w:ascii="Times New Roman" w:hAnsi="Times New Roman" w:cs="Times New Roman"/>
        </w:rPr>
      </w:pPr>
    </w:p>
    <w:p w14:paraId="1B1C836E" w14:textId="77777777"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3.3.4 Lessons Learned from COVID-19</w:t>
      </w:r>
    </w:p>
    <w:p w14:paraId="2FEAC58A"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pandemic has spawned a large body of literature about lessons learnt. After-action reviews by the U.S. House Committee on Oversight and Accountability (2024) and National Academies of Sciences, Engineering, and Medicine (2025b) that highlighted systemic flaws in coordinating, communicating, data infrastructure, and resource allocation.</w:t>
      </w:r>
    </w:p>
    <w:p w14:paraId="5CA909E9"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Several studies brought out healthcare-specific lessons. According to Jeong et al. (2024), primary care modifications that were captured in the study comprised expansion of telehealth and flexible staffing schemes that promoted resilience. Cylus et al. (2022) compiled preliminary lessons, such as the focus on surge capacity, diversification of supply chains, collaboration with the government and corporations, and open communication.</w:t>
      </w:r>
    </w:p>
    <w:p w14:paraId="5BEE141F"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Some of the sources stressed that the pandemic preparedness should focus on health equity concerns, with COVID-19 overburdening the disadvantaged groups, revealing and intensifying already existing health inequalities (Trust for America's Health, 2024; Centers for Disease Control and Prevention, 2024d).</w:t>
      </w:r>
    </w:p>
    <w:p w14:paraId="5786D95A" w14:textId="77777777" w:rsidR="00C96183" w:rsidRPr="00F53EF8" w:rsidRDefault="00BA2E0F" w:rsidP="00102800">
      <w:pPr>
        <w:pStyle w:val="Heading3"/>
        <w:jc w:val="both"/>
        <w:rPr>
          <w:rFonts w:ascii="Times New Roman" w:hAnsi="Times New Roman" w:cs="Times New Roman"/>
        </w:rPr>
      </w:pPr>
      <w:r w:rsidRPr="00F53EF8">
        <w:rPr>
          <w:rFonts w:ascii="Times New Roman" w:hAnsi="Times New Roman" w:cs="Times New Roman"/>
        </w:rPr>
        <w:t>3.3.5 Public Health Workforce and Infrastructure</w:t>
      </w:r>
    </w:p>
    <w:p w14:paraId="6B4D47B4"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Pandemic preparedness and response also turned out to have workforce capacity as a key limiting factor. In a report published by the U.S. Government Accountability Office (2023), the problems of chronic workforce shortages in state and local health departments were recorded, aggravated by the burnout and attrition during the pandemic. Centers for Disease Control and Prevention (2024a) highlighted the necessity of the sustainable workforce development plans which encompassed the recruitment, training and retention programs.</w:t>
      </w:r>
    </w:p>
    <w:p w14:paraId="0EC4C7D1"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The issue of infrastructure became more than merely a problem with human resource to include the use of outdated data systems, insufficient laboratory capacity, and a lack of interoperability between the information systems (U.S. Government Accountability Office, 2023). Through its next-generation preparedness framework, the Centers for Disease Control and Prevention (2024d) suggested modernization initiatives that can be used to address these infrastructure gaps.</w:t>
      </w:r>
    </w:p>
    <w:p w14:paraId="2E32677B"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New methods of capacity development were such projects as citizen science, which involved communities in surveillance and response efforts (Kaye et al., 2023), and the Project Public Health Ready program of the National Association of County and City Health Officials that assisted in preparing local health departments to respond.</w:t>
      </w:r>
    </w:p>
    <w:p w14:paraId="5EB8A942" w14:textId="77777777" w:rsidR="00C96183" w:rsidRPr="00F53EF8" w:rsidRDefault="00BA2E0F" w:rsidP="00102800">
      <w:pPr>
        <w:spacing w:after="240"/>
        <w:jc w:val="both"/>
        <w:rPr>
          <w:rFonts w:ascii="Times New Roman" w:hAnsi="Times New Roman" w:cs="Times New Roman"/>
          <w:b/>
          <w:bCs/>
        </w:rPr>
      </w:pPr>
      <w:r w:rsidRPr="00F53EF8">
        <w:rPr>
          <w:rFonts w:ascii="Times New Roman" w:hAnsi="Times New Roman" w:cs="Times New Roman"/>
          <w:b/>
          <w:bCs/>
        </w:rPr>
        <w:t xml:space="preserve">3.3.6 Early Detection and </w:t>
      </w:r>
      <w:proofErr w:type="spellStart"/>
      <w:r w:rsidRPr="00F53EF8">
        <w:rPr>
          <w:rFonts w:ascii="Times New Roman" w:hAnsi="Times New Roman" w:cs="Times New Roman"/>
          <w:b/>
          <w:bCs/>
        </w:rPr>
        <w:t>Biosurveillance</w:t>
      </w:r>
      <w:proofErr w:type="spellEnd"/>
      <w:r w:rsidRPr="00F53EF8">
        <w:rPr>
          <w:rFonts w:ascii="Times New Roman" w:hAnsi="Times New Roman" w:cs="Times New Roman"/>
          <w:b/>
          <w:bCs/>
        </w:rPr>
        <w:t>.</w:t>
      </w:r>
    </w:p>
    <w:p w14:paraId="6D421F11"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lastRenderedPageBreak/>
        <w:t xml:space="preserve">Improved surveillance skills were always found to be vital parts of pandemic preparedness. Strong surveillance is one of the pillars of the national approach that the Centers for Disease Control and Prevention (2024b) has integrated. Several sources suggested integrated surveillance systems with human, animal, and environmental health-related data that align with One Health solutions </w:t>
      </w:r>
      <w:proofErr w:type="gramStart"/>
      <w:r w:rsidRPr="00F53EF8">
        <w:rPr>
          <w:rFonts w:ascii="Times New Roman" w:hAnsi="Times New Roman" w:cs="Times New Roman"/>
        </w:rPr>
        <w:t>( Contagion</w:t>
      </w:r>
      <w:proofErr w:type="gramEnd"/>
      <w:r w:rsidRPr="00F53EF8">
        <w:rPr>
          <w:rFonts w:ascii="Times New Roman" w:hAnsi="Times New Roman" w:cs="Times New Roman"/>
        </w:rPr>
        <w:t xml:space="preserve"> Live, 2025; World Health Organization, 2023).</w:t>
      </w:r>
    </w:p>
    <w:p w14:paraId="1CAEC411" w14:textId="77777777"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New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xml:space="preserve"> technologies were provided as a result of technology developments. The emerging technologies examined by RAND Corporation (2024) are wastewater surveillance, syndromic surveillance networks, and threat detection with the help of artificial intelligence. Tan et al. (2024) studied the possibilities of digital health technologies in real-time surveillance and sharing information.</w:t>
      </w:r>
    </w:p>
    <w:p w14:paraId="7D25E5ED" w14:textId="4E1B5154" w:rsidR="00D13714" w:rsidRDefault="00D13714" w:rsidP="00102800">
      <w:pPr>
        <w:spacing w:after="240"/>
        <w:jc w:val="both"/>
        <w:rPr>
          <w:rFonts w:ascii="Times New Roman" w:hAnsi="Times New Roman" w:cs="Times New Roman"/>
        </w:rPr>
      </w:pPr>
      <w:r w:rsidRPr="000201FA">
        <w:rPr>
          <w:rFonts w:ascii="Times New Roman" w:hAnsi="Times New Roman" w:cs="Times New Roman"/>
          <w:highlight w:val="yellow"/>
        </w:rPr>
        <w:t xml:space="preserve">The Department of Defense has been drawing an increasing policy interest in its investments in bio surveillance. The role of the Global Emerging Infections Surveillance program in pandemic preparedness and response capacity was reported by </w:t>
      </w:r>
      <w:proofErr w:type="spellStart"/>
      <w:r w:rsidRPr="000201FA">
        <w:rPr>
          <w:rFonts w:ascii="Times New Roman" w:hAnsi="Times New Roman" w:cs="Times New Roman"/>
          <w:highlight w:val="yellow"/>
        </w:rPr>
        <w:t>Creppage</w:t>
      </w:r>
      <w:proofErr w:type="spellEnd"/>
      <w:r w:rsidRPr="000201FA">
        <w:rPr>
          <w:rFonts w:ascii="Times New Roman" w:hAnsi="Times New Roman" w:cs="Times New Roman"/>
          <w:highlight w:val="yellow"/>
        </w:rPr>
        <w:t xml:space="preserve"> et al. (2024), and the need to invest in genomic sequencing and enhanced pathogen detection capabilities faster was promoted by the Center for Strategic and International Studies (2024) and the Institute for Progress (2023). In line with these policy calls, Nunes et al. (2024) showed the usefulness of multidisciplinary predictive modeling in preparedness planning, and Tan et al. (2024) investigated digital health technologies that allow real-time surveillance and cross-jurisdictional data sharing as peer-reviewed contributions highlighting the evidence base of modernized bio surveillance investment.</w:t>
      </w:r>
    </w:p>
    <w:p w14:paraId="7D06878A" w14:textId="40EDC831" w:rsidR="00C96183" w:rsidRPr="00F53EF8" w:rsidRDefault="00BA2E0F" w:rsidP="00102800">
      <w:pPr>
        <w:spacing w:after="240"/>
        <w:jc w:val="both"/>
        <w:rPr>
          <w:rFonts w:ascii="Times New Roman" w:hAnsi="Times New Roman" w:cs="Times New Roman"/>
        </w:rPr>
      </w:pPr>
      <w:r w:rsidRPr="00F53EF8">
        <w:rPr>
          <w:rFonts w:ascii="Times New Roman" w:hAnsi="Times New Roman" w:cs="Times New Roman"/>
        </w:rPr>
        <w:t xml:space="preserve">The examples of practical implementation proved feasibility of advanced surveillance. Waller et al. (2010) provided an account of the successful application of emergency department data to syndrome surveillance in North Carolina, whereas Buehler et al. (2017) identified the requirements of an effective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xml:space="preserve"> system that can provide real-time situational awareness.</w:t>
      </w:r>
    </w:p>
    <w:p w14:paraId="7E8AC206" w14:textId="77777777" w:rsidR="00C96183" w:rsidRPr="00F53EF8" w:rsidRDefault="00C96183" w:rsidP="00102800">
      <w:pPr>
        <w:spacing w:after="240"/>
        <w:jc w:val="both"/>
        <w:rPr>
          <w:rFonts w:ascii="Times New Roman" w:hAnsi="Times New Roman" w:cs="Times New Roman"/>
        </w:rPr>
      </w:pPr>
    </w:p>
    <w:p w14:paraId="2C425AFD" w14:textId="77777777" w:rsidR="00C96183" w:rsidRPr="00F53EF8" w:rsidRDefault="00BA2E0F" w:rsidP="00102800">
      <w:pPr>
        <w:pStyle w:val="Heading3"/>
        <w:jc w:val="both"/>
        <w:rPr>
          <w:rFonts w:ascii="Times New Roman" w:hAnsi="Times New Roman" w:cs="Times New Roman"/>
        </w:rPr>
      </w:pPr>
      <w:r w:rsidRPr="00F53EF8">
        <w:rPr>
          <w:rFonts w:ascii="Times New Roman" w:hAnsi="Times New Roman" w:cs="Times New Roman"/>
        </w:rPr>
        <w:t>3.3.7 Healthcare System Readiness and Supply Chain Resilience</w:t>
      </w:r>
    </w:p>
    <w:p w14:paraId="08A96AA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Facility preparedness included the ability of a healthcare facility in terms of infection control units, surge capacity planning, and staff safety measures. The Centers for Disease Control and Prevention (2024e) offered detailed instructions to cover these areas. Nonetheless, National Academies of Sciences, Engineering, and Medicine (2022) reported severe weaknesses of the medical product supply chain that the pandemic revealed.</w:t>
      </w:r>
    </w:p>
    <w:p w14:paraId="666DAB8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The resilience of supply chains became one of the priority areas in which domestic manufacturing power, strategic inventory, and tracking systems were needed (National Academies of Sciences, Engineering, and Medicine, 2022). </w:t>
      </w:r>
      <w:proofErr w:type="spellStart"/>
      <w:r w:rsidRPr="00F53EF8">
        <w:rPr>
          <w:rFonts w:ascii="Times New Roman" w:hAnsi="Times New Roman" w:cs="Times New Roman"/>
        </w:rPr>
        <w:t>Spieske</w:t>
      </w:r>
      <w:proofErr w:type="spellEnd"/>
      <w:r w:rsidRPr="00F53EF8">
        <w:rPr>
          <w:rFonts w:ascii="Times New Roman" w:hAnsi="Times New Roman" w:cs="Times New Roman"/>
        </w:rPr>
        <w:t xml:space="preserve"> et al. (2022) analyzed the experience of Europe with supply chain problems and discovered such lessons as diversification, transparency, and collaboration, which can be applied to the U.S. setting.</w:t>
      </w:r>
    </w:p>
    <w:p w14:paraId="185B88C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There was also an impact of public perception and trust on the effectiveness of the healthcare system within emergencies. Yildirim et al. (2025) established links among populace image of preparedness, service quality and trust in health organizations. Pisaneschi et al. (2024) examined the factors that influence the compliance of the population with the protection measures, which can be applied to communication strategies and compliance.</w:t>
      </w:r>
    </w:p>
    <w:p w14:paraId="0A9C2A58" w14:textId="77777777" w:rsidR="00C96183" w:rsidRPr="00F53EF8" w:rsidRDefault="00C96183" w:rsidP="00102800">
      <w:pPr>
        <w:spacing w:after="120"/>
        <w:jc w:val="both"/>
        <w:rPr>
          <w:rFonts w:ascii="Times New Roman" w:hAnsi="Times New Roman" w:cs="Times New Roman"/>
        </w:rPr>
      </w:pPr>
    </w:p>
    <w:p w14:paraId="24112DD7" w14:textId="77777777" w:rsidR="00C96183" w:rsidRPr="00F53EF8" w:rsidRDefault="00C96183" w:rsidP="00102800">
      <w:pPr>
        <w:spacing w:after="120"/>
        <w:jc w:val="both"/>
        <w:rPr>
          <w:rFonts w:ascii="Times New Roman" w:hAnsi="Times New Roman" w:cs="Times New Roman"/>
        </w:rPr>
      </w:pPr>
    </w:p>
    <w:p w14:paraId="4218499A" w14:textId="77777777"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4. Discussion</w:t>
      </w:r>
    </w:p>
    <w:p w14:paraId="38CC7123" w14:textId="77777777"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4.1 Synthesis of Key Findings</w:t>
      </w:r>
    </w:p>
    <w:p w14:paraId="161D1D8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This 50-source scoping review of literature published since 2022 demonstrates that the picture of pandemic preparedness and response systems in the United States is complex and has undergone substantial advancement in highlighting the areas of weaknesses and inadequate structural aspects that require both short-term focus and long-term investment.</w:t>
      </w:r>
    </w:p>
    <w:p w14:paraId="7602F81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Governance and Coordination:</w:t>
      </w:r>
      <w:r w:rsidRPr="00F53EF8">
        <w:rPr>
          <w:rFonts w:ascii="Times New Roman" w:hAnsi="Times New Roman" w:cs="Times New Roman"/>
        </w:rPr>
        <w:t xml:space="preserve"> There were obvious themes on the significance of coordinated structures of governance. Institutional acknowledgment of coordination failures that were recorded throughout the COVID-19 infectious disease came with the White House Office of Pandemic Preparedness and Response Policy (The White House, 2024). Nevertheless, the inherent problem of interagency communication at the federal, states, and local level in the U.S. system of federalism is still present, especially since state-level capacity and resources differ (Trust for America’s Health, 2025).</w:t>
      </w:r>
    </w:p>
    <w:p w14:paraId="6AF49D1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Infrastructure and Capacity Gaps:</w:t>
      </w:r>
      <w:r w:rsidRPr="00F53EF8">
        <w:rPr>
          <w:rFonts w:ascii="Times New Roman" w:hAnsi="Times New Roman" w:cs="Times New Roman"/>
        </w:rPr>
        <w:t xml:space="preserve"> Infrastructure gaps continue to exist even though preparedness needs are becoming more aware. The U.S. Government Accountability Office (2023) reported continuing difficulties with outdated data systems, laboratory capacity, and workforce shortages, the problems that both existed before COVID-19 and were made worse by but not caused by the pandemic. Preparedness funding has a cyclical factor in that after having invested in acute emergencies, the investment decreases, this is a concern on the sustainability of capacity-building endeavors.</w:t>
      </w:r>
    </w:p>
    <w:p w14:paraId="453A61D4"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Health System Resilience: </w:t>
      </w:r>
      <w:r w:rsidRPr="00F53EF8">
        <w:rPr>
          <w:rFonts w:ascii="Times New Roman" w:hAnsi="Times New Roman" w:cs="Times New Roman"/>
        </w:rPr>
        <w:t>The studies continually showed that health systems that had previously invested in preparedness were more resilient during COVID-19 (Zhong et al., 2024), which supported the relevance of long-term preparedness efforts. Nevertheless, the broadening of the concept of resilience presented by Kruk et al. (2023) to incorporate equity, trust, and adaptive capacity points out that technical preparedness is not enough unless social determinants of health and trust in the community are addressed.</w:t>
      </w:r>
    </w:p>
    <w:p w14:paraId="3E4EB2D1" w14:textId="5F0D1349" w:rsidR="00D13714" w:rsidRDefault="00BA2E0F" w:rsidP="00102800">
      <w:pPr>
        <w:spacing w:after="120"/>
        <w:jc w:val="both"/>
        <w:rPr>
          <w:rFonts w:ascii="Times New Roman" w:hAnsi="Times New Roman" w:cs="Times New Roman"/>
        </w:rPr>
      </w:pPr>
      <w:r w:rsidRPr="00D23E20">
        <w:rPr>
          <w:rFonts w:ascii="Times New Roman" w:hAnsi="Times New Roman" w:cs="Times New Roman"/>
          <w:b/>
          <w:bCs/>
          <w:highlight w:val="yellow"/>
        </w:rPr>
        <w:t>Surveillance and Early Detection:</w:t>
      </w:r>
      <w:r w:rsidR="006F76BD" w:rsidRPr="00D23E20">
        <w:rPr>
          <w:rFonts w:ascii="Times New Roman" w:hAnsi="Times New Roman" w:cs="Times New Roman"/>
          <w:b/>
          <w:bCs/>
          <w:highlight w:val="yellow"/>
        </w:rPr>
        <w:t xml:space="preserve"> </w:t>
      </w:r>
      <w:r w:rsidR="00D13714" w:rsidRPr="00D23E20">
        <w:rPr>
          <w:rFonts w:ascii="Times New Roman" w:hAnsi="Times New Roman" w:cs="Times New Roman"/>
          <w:highlight w:val="yellow"/>
        </w:rPr>
        <w:t>The recent rise in the popularity of bio surveillance as a term in the literature indicates a developing consensus that early detection capacity is the key to local outbreaks and their transformation into pandemics (Institute for Progress, 2023). The prospective of promising technological solutions such as wastewater monitoring, genomic sequencing, and artificial intelligence-based threat detection is bright (RAND Corporation, 2024); nevertheless, their successful implementation demands considerable investment in the infrastructure and a skilled workforce, which is lacking in most jurisdictions in the United States.</w:t>
      </w:r>
    </w:p>
    <w:p w14:paraId="6C41BE20" w14:textId="07E02DEE"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Lessons Learned: </w:t>
      </w:r>
      <w:r w:rsidRPr="00F53EF8">
        <w:rPr>
          <w:rFonts w:ascii="Times New Roman" w:hAnsi="Times New Roman" w:cs="Times New Roman"/>
        </w:rPr>
        <w:t>In-depth after-action analysis (U.S. House Committee on Oversight and Accountability, 2024; National Academies of Sciences, Engineering, and Medicine, 2025b) produced a significant amount of documentation on the inadequacies of the pandemic response. The difficulty is now to translate these lessons into long term changes in policy and resource allocation and not to let institutional memory lapse as the acute crisis eclipses.</w:t>
      </w:r>
    </w:p>
    <w:p w14:paraId="3127CD08" w14:textId="77777777"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4.2 Policy and Practice Implications.</w:t>
      </w:r>
    </w:p>
    <w:p w14:paraId="5EF18C0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lastRenderedPageBreak/>
        <w:t>This review has several implications to improve pandemic preparedness and the resilience of the population in terms of health:</w:t>
      </w:r>
    </w:p>
    <w:p w14:paraId="071DA68D" w14:textId="77777777" w:rsidR="00D13714" w:rsidRPr="00D13714" w:rsidRDefault="007A1EB1" w:rsidP="00102800">
      <w:pPr>
        <w:jc w:val="both"/>
        <w:rPr>
          <w:rFonts w:ascii="Times New Roman" w:hAnsi="Times New Roman" w:cs="Times New Roman"/>
        </w:rPr>
      </w:pPr>
      <w:r w:rsidRPr="00D23E20">
        <w:rPr>
          <w:rFonts w:ascii="Times New Roman" w:hAnsi="Times New Roman" w:cs="Times New Roman"/>
          <w:b/>
          <w:bCs/>
          <w:highlight w:val="yellow"/>
        </w:rPr>
        <w:t xml:space="preserve">Sustained Funding Mechanisms: </w:t>
      </w:r>
      <w:r w:rsidR="00D13714" w:rsidRPr="00D23E20">
        <w:rPr>
          <w:rFonts w:ascii="Times New Roman" w:hAnsi="Times New Roman" w:cs="Times New Roman"/>
          <w:highlight w:val="yellow"/>
        </w:rPr>
        <w:t>Cyclical emergency funding and disinvestment should be mitigated by specific, legislatively safeguarded funding streams to support public health infrastructure, workforce development, and preparedness planning (U.S. Government Accountability Office, 2023). Importantly, the current evidence indicates that the political commitment to long-term preparedness investment decays quickly as soon as acute crises are over implying that the structural budget mechanisms but not advocacy alone are needed to institutionalize preparedness spending across electoral cycles.</w:t>
      </w:r>
    </w:p>
    <w:p w14:paraId="5F13EA38" w14:textId="77777777" w:rsidR="00D13714" w:rsidRDefault="00D13714" w:rsidP="00102800">
      <w:pPr>
        <w:spacing w:after="120"/>
        <w:jc w:val="both"/>
        <w:rPr>
          <w:rFonts w:ascii="Times New Roman" w:hAnsi="Times New Roman" w:cs="Times New Roman"/>
          <w:b/>
          <w:bCs/>
        </w:rPr>
      </w:pPr>
    </w:p>
    <w:p w14:paraId="64D051A7" w14:textId="52068472"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Workforce Development:</w:t>
      </w:r>
      <w:r w:rsidRPr="00F53EF8">
        <w:rPr>
          <w:rFonts w:ascii="Times New Roman" w:hAnsi="Times New Roman" w:cs="Times New Roman"/>
        </w:rPr>
        <w:t xml:space="preserve"> Workforce plans that include the recruitment, training, and retention of workers and surge capacity plans are needed due to reported inadequate workforce and attrition caused by the pandemic (Centers for Disease Control and Prevention, 2024a).</w:t>
      </w:r>
    </w:p>
    <w:p w14:paraId="26D96171"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Data Modernization:</w:t>
      </w:r>
      <w:r w:rsidRPr="00F53EF8">
        <w:rPr>
          <w:rFonts w:ascii="Times New Roman" w:hAnsi="Times New Roman" w:cs="Times New Roman"/>
        </w:rPr>
        <w:t xml:space="preserve"> Interoperable data systems that allow real-time information exchange between jurisdictions and sectors are critical infrastructures that should be heavily funded (Centers for Disease Control and Prevention, 2024d).</w:t>
      </w:r>
    </w:p>
    <w:p w14:paraId="7C7BE37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Supply Chain Resilience: </w:t>
      </w:r>
      <w:r w:rsidRPr="00F53EF8">
        <w:rPr>
          <w:rFonts w:ascii="Times New Roman" w:hAnsi="Times New Roman" w:cs="Times New Roman"/>
        </w:rPr>
        <w:t>To avoid shortages that have been witnessed during COVID-19, diversified supply chains, domestic production of important medical supplies and strategic stock levels with rotation mechanisms should be put in place (National Academies of Sciences, Engineering, and Medicine, 2022).</w:t>
      </w:r>
    </w:p>
    <w:p w14:paraId="37D368DD"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Equity Integration:</w:t>
      </w:r>
      <w:r w:rsidRPr="00F53EF8">
        <w:rPr>
          <w:rFonts w:ascii="Times New Roman" w:hAnsi="Times New Roman" w:cs="Times New Roman"/>
        </w:rPr>
        <w:t xml:space="preserve"> Preparedness planning should directly respond to health equity, and vulnerable groups should not be especially affected by future pandemics due to outreach and culturally sensitive communication and resource allocation (Trust for America's Health, 2024).</w:t>
      </w:r>
    </w:p>
    <w:p w14:paraId="446AA526"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Coordination Mechanisms:</w:t>
      </w:r>
      <w:r w:rsidRPr="00F53EF8">
        <w:rPr>
          <w:rFonts w:ascii="Times New Roman" w:hAnsi="Times New Roman" w:cs="Times New Roman"/>
        </w:rPr>
        <w:t xml:space="preserve"> There is a necessity of coordination of roles, responsibilities and communication channels across the federal, state and local levels, which may be facilitated by tabletop exercises, regular coordination meetings and pre-established incident command structures (National Governors Association, 2024).</w:t>
      </w:r>
    </w:p>
    <w:p w14:paraId="4A4E8BDB" w14:textId="77777777" w:rsidR="00C96183" w:rsidRPr="00F53EF8" w:rsidRDefault="00C96183" w:rsidP="00102800">
      <w:pPr>
        <w:spacing w:after="120"/>
        <w:jc w:val="both"/>
        <w:rPr>
          <w:rFonts w:ascii="Times New Roman" w:hAnsi="Times New Roman" w:cs="Times New Roman"/>
        </w:rPr>
      </w:pPr>
    </w:p>
    <w:p w14:paraId="42581D5C" w14:textId="77777777"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4.3 Strengths and Limitations</w:t>
      </w:r>
    </w:p>
    <w:p w14:paraId="496B333B"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presented scoping review is a synthesis of existing, recent evidence on pandemic preparedness in the United States, which compiles various views of government agencies, academics, and civil health programs. The time frame of the post-COVID-19 literature (2022-2025) grants relevance to the recent policy dialog and includes the latest acquired knowledge.</w:t>
      </w:r>
    </w:p>
    <w:p w14:paraId="435044D2" w14:textId="579AC8FD" w:rsidR="00D13714" w:rsidRDefault="00D13714" w:rsidP="00102800">
      <w:pPr>
        <w:spacing w:after="120"/>
        <w:jc w:val="both"/>
        <w:rPr>
          <w:rFonts w:ascii="Times New Roman" w:hAnsi="Times New Roman" w:cs="Times New Roman"/>
        </w:rPr>
      </w:pPr>
      <w:r w:rsidRPr="00D23E20">
        <w:rPr>
          <w:rFonts w:ascii="Times New Roman" w:hAnsi="Times New Roman" w:cs="Times New Roman"/>
          <w:highlight w:val="yellow"/>
        </w:rPr>
        <w:t xml:space="preserve">There are several constraints that should be considered. To begin with, the speed at which policy changes in the area of pandemic preparedness is changing implies that some of the sources may be outdated by the time of publication by more recent recommendations. Second, the review was limited to publicly available documents, which might not include classified governmental evaluations, proprietary institutional reports or unpublished grey literature that could create a publication bias towards positive or officially approved results. Third, the source base, which is mostly U.S. based, is suitable to the scope of this review, but it restricts generalizability of international comparisons and might not adequately capture relevant experience of high-performing health systems in other countries. Fourth, as per scoping review methodology, </w:t>
      </w:r>
      <w:r w:rsidRPr="00D23E20">
        <w:rPr>
          <w:rFonts w:ascii="Times New Roman" w:hAnsi="Times New Roman" w:cs="Times New Roman"/>
          <w:highlight w:val="yellow"/>
        </w:rPr>
        <w:lastRenderedPageBreak/>
        <w:t>individual studies were not formally quality appraised; credibility was considered by source selection criteria that prioritized peer-reviewed literature and institutional reports of authority, but source quality may vary, which could influence the weight of evidence synthesized. The mapping role that was accomplished here would be complemented by future systematic reviews using formal appraisal tools.</w:t>
      </w:r>
    </w:p>
    <w:p w14:paraId="7F393C4F" w14:textId="141D4E44"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4.4 Research Gaps and Future Directions.</w:t>
      </w:r>
    </w:p>
    <w:p w14:paraId="51CB93C4"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This review has established various gaps that need further studies:</w:t>
      </w:r>
    </w:p>
    <w:p w14:paraId="09F0A3CB"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Implementation Science: </w:t>
      </w:r>
      <w:r w:rsidRPr="00F53EF8">
        <w:rPr>
          <w:rFonts w:ascii="Times New Roman" w:hAnsi="Times New Roman" w:cs="Times New Roman"/>
        </w:rPr>
        <w:t>Although there are many different frameworks and recommendations available, little empirical evidence can be found on effective implementation strategies and barriers to adoption of preparedness measures.</w:t>
      </w:r>
    </w:p>
    <w:p w14:paraId="6FC85133"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Economic Considerations:</w:t>
      </w:r>
      <w:r w:rsidRPr="00F53EF8">
        <w:rPr>
          <w:rFonts w:ascii="Times New Roman" w:hAnsi="Times New Roman" w:cs="Times New Roman"/>
        </w:rPr>
        <w:t xml:space="preserve"> Cost-effectiveness- studies of various preparedness investments are required to influence resource allotment choices, specifically amid conflicting priorities and budget limits.</w:t>
      </w:r>
    </w:p>
    <w:p w14:paraId="72E0030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Health Equity: </w:t>
      </w:r>
      <w:r w:rsidRPr="00F53EF8">
        <w:rPr>
          <w:rFonts w:ascii="Times New Roman" w:hAnsi="Times New Roman" w:cs="Times New Roman"/>
        </w:rPr>
        <w:t>More studies are required on effective measures of equitable preparedness and response, especially in the under-resourced and marginalized populations.</w:t>
      </w:r>
    </w:p>
    <w:p w14:paraId="16E19E0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Resilience Measurement:</w:t>
      </w:r>
      <w:r w:rsidRPr="00F53EF8">
        <w:rPr>
          <w:rFonts w:ascii="Times New Roman" w:hAnsi="Times New Roman" w:cs="Times New Roman"/>
        </w:rPr>
        <w:t xml:space="preserve"> Creation and testing of useful, standardized resilience measures that can be used in a variety of health system settings would aid in their continued monitoring and enhancement (Sagan et al., 2024; Tonga et al., 2024).</w:t>
      </w:r>
    </w:p>
    <w:p w14:paraId="68785512"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Behavioral and Social Science: </w:t>
      </w:r>
      <w:r w:rsidRPr="00F53EF8">
        <w:rPr>
          <w:rFonts w:ascii="Times New Roman" w:hAnsi="Times New Roman" w:cs="Times New Roman"/>
        </w:rPr>
        <w:t>To determine the effects on people to follow protective measures, trust governmental bodies, and community participation in the preparedness efforts, further studies in the behavioral science field are needed (Pisaneschi et al., 2024).</w:t>
      </w:r>
    </w:p>
    <w:p w14:paraId="6B648E45"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Climate-Health Interactions:</w:t>
      </w:r>
      <w:r w:rsidRPr="00F53EF8">
        <w:rPr>
          <w:rFonts w:ascii="Times New Roman" w:hAnsi="Times New Roman" w:cs="Times New Roman"/>
        </w:rPr>
        <w:t xml:space="preserve"> Climate change, multi-hazard preparedness of pandemics is a new field of interest that needs to be addressed through the combined research methodology (</w:t>
      </w:r>
      <w:proofErr w:type="spellStart"/>
      <w:r w:rsidRPr="00F53EF8">
        <w:rPr>
          <w:rFonts w:ascii="Times New Roman" w:hAnsi="Times New Roman" w:cs="Times New Roman"/>
        </w:rPr>
        <w:t>Pathirathna</w:t>
      </w:r>
      <w:proofErr w:type="spellEnd"/>
      <w:r w:rsidRPr="00F53EF8">
        <w:rPr>
          <w:rFonts w:ascii="Times New Roman" w:hAnsi="Times New Roman" w:cs="Times New Roman"/>
        </w:rPr>
        <w:t xml:space="preserve"> et al., 2024).</w:t>
      </w:r>
    </w:p>
    <w:p w14:paraId="0BB2DB24" w14:textId="77777777" w:rsidR="00C96183" w:rsidRPr="00F53EF8" w:rsidRDefault="00BA2E0F" w:rsidP="00102800">
      <w:pPr>
        <w:spacing w:after="120"/>
        <w:jc w:val="both"/>
        <w:rPr>
          <w:rFonts w:ascii="Times New Roman" w:hAnsi="Times New Roman" w:cs="Times New Roman"/>
          <w:b/>
          <w:bCs/>
        </w:rPr>
      </w:pPr>
      <w:r w:rsidRPr="00F53EF8">
        <w:rPr>
          <w:rFonts w:ascii="Times New Roman" w:hAnsi="Times New Roman" w:cs="Times New Roman"/>
          <w:b/>
          <w:bCs/>
        </w:rPr>
        <w:t>5. Conclusions</w:t>
      </w:r>
    </w:p>
    <w:p w14:paraId="678DA11C"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This scoping review will summarize the 50 selected sources about the pandemic preparedness, response, and system in the United States published within 2022-2025. As the analysis indicates, the point at which the issues of public health policy are at critical crossroads, on the one hand, the COVID-19 pandemic demonstrated the profound flaws in the system of preparedness infrastructure, coordination mechanisms, and response capacity, and, on the other hand, it brought previously unparalleled documents related to the analysis of the lessons learned and the construction of full-fledged improvement structures.</w:t>
      </w:r>
    </w:p>
    <w:p w14:paraId="000E43BE" w14:textId="6BD8A1E6" w:rsidR="00652BFD" w:rsidRDefault="00652BFD" w:rsidP="00102800">
      <w:pPr>
        <w:spacing w:after="120"/>
        <w:jc w:val="both"/>
        <w:rPr>
          <w:rFonts w:ascii="Times New Roman" w:hAnsi="Times New Roman" w:cs="Times New Roman"/>
        </w:rPr>
      </w:pPr>
      <w:r w:rsidRPr="00237E28">
        <w:rPr>
          <w:rFonts w:ascii="Times New Roman" w:hAnsi="Times New Roman" w:cs="Times New Roman"/>
          <w:highlight w:val="yellow"/>
        </w:rPr>
        <w:t>There are a number of clear conclusions that are reached by convergence in government reports, academic research, and public health assessments. First and foremost, pandemic preparedness cannot be maintained by ad hoc investments in emergencies; there must be long-term, organized funding systems to sustain and build preparedness capacity over time (U.S. Government Accountability Office, 2023). Second, the U.S. federalism system of decentralized governance requires intentional coordination: well-defined roles and responsibilities, frequent joint exercises, and pre-determined communication standards between federal, state, and local jurisdictions (U.S. House Committee on Oversight and Accountability, 2024; National Governors Association, 2024).</w:t>
      </w:r>
    </w:p>
    <w:p w14:paraId="760B5EC4" w14:textId="33AC9CF5"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lastRenderedPageBreak/>
        <w:t>Third, it has developed a new technological capacity to monitor bio-surveillance and early detection that can be used to prevent the local outbreak of a disease into a large-scale pandemic, but the infrastructure and workforce needed to implement it have fallen behind (RAND Corporation, 2024; Center for Strategic and International Studies, 2024). Fourth, the resilience of the health system is not only determined by the presence of surge capacity and stockpiles, but equity, community trust, employee well-being, and adaptive governance systems that help maintain essential services in the immediate response (Kruk et al., 2023; El-</w:t>
      </w:r>
      <w:proofErr w:type="spellStart"/>
      <w:r w:rsidRPr="00F53EF8">
        <w:rPr>
          <w:rFonts w:ascii="Times New Roman" w:hAnsi="Times New Roman" w:cs="Times New Roman"/>
        </w:rPr>
        <w:t>Jardali</w:t>
      </w:r>
      <w:proofErr w:type="spellEnd"/>
      <w:r w:rsidRPr="00F53EF8">
        <w:rPr>
          <w:rFonts w:ascii="Times New Roman" w:hAnsi="Times New Roman" w:cs="Times New Roman"/>
        </w:rPr>
        <w:t xml:space="preserve"> et al., 2025).</w:t>
      </w:r>
    </w:p>
    <w:p w14:paraId="2D3F7FF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identified logistical issues, including problems with staffing, old data systems, supply chain weaknesses, limited lab capacity, and inconsistent state-level preparedness, are familiar problems with familiar solutions (Trust for America Health, 2025; Centers and Disease Control, 2024a). The question that is still open is whether the political will and resource mobilization will be enough to ensure these solutions are implemented before the institutional memory and the sense of urgency generated by the COVID-19 would fade away.</w:t>
      </w:r>
    </w:p>
    <w:p w14:paraId="781BE20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According to international comparisons, the United States have strong technical capabilities and resources, but they face coordination and implementation issues that make their potential effectiveness weak (Zhang et al., 2023; Villalobos Rodriguez et al., 2025). The nations that had more centralized systems of governance, integrated data systems, and had a history of investing in the health of its population were more resilient to the COVID-19 pandemic and provide examples that can be adapted to the context of the U.S. without neglecting the principles of federalism (Radford et al., 2024; European Observatory on Health Systems and Policies, 2022).</w:t>
      </w:r>
    </w:p>
    <w:p w14:paraId="60BBA14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increased notion of the conceptualization of resilience in public health that has occurred during the experience of pandemics, including not only the elements of equity, adaptive capacity, community engagement, and trust but also the traditional measures of preparedness, is a more complex framework of preparedness system evaluation and improvement (Kruk et al., 2023; Centers for Disease Control and Prevention, 2024d). This is a more comprehensive view that acknowledges that technical preparedness is not enough without considering social determinants of health, developing partnerships at the community level, equitable access to protective interventions, and open communication that can provide reassurance in the population.</w:t>
      </w:r>
    </w:p>
    <w:p w14:paraId="19260BC3"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A number of decisive steps are revealed as priorities towards improving the readiness to pandemics and the resilience of the American population to health:</w:t>
      </w:r>
    </w:p>
    <w:p w14:paraId="639E06D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Devise long-term, sustainable funding options </w:t>
      </w:r>
      <w:r w:rsidRPr="00F53EF8">
        <w:rPr>
          <w:rFonts w:ascii="Times New Roman" w:hAnsi="Times New Roman" w:cs="Times New Roman"/>
        </w:rPr>
        <w:t>to support public health infrastructure, staffing, and laboratory capacity, information modernization, and emergency stockpiles instead of creating emergency-driven supplemental appropriations (U.S. Government Accountability Office, 2023).</w:t>
      </w:r>
    </w:p>
    <w:p w14:paraId="407844A3"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Comprehensively invest in workforce in the field of public health</w:t>
      </w:r>
      <w:r w:rsidRPr="00F53EF8">
        <w:rPr>
          <w:rFonts w:ascii="Times New Roman" w:hAnsi="Times New Roman" w:cs="Times New Roman"/>
        </w:rPr>
        <w:t xml:space="preserve"> by recruitment efforts, competitive remuneration, work-based learning and career development, and organizational cultures that eliminate burnout and facilitate retention (Centers for Disease Control and Prevention, 2024a).</w:t>
      </w:r>
    </w:p>
    <w:p w14:paraId="60EDEA5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Upgrade data and surveillance networks</w:t>
      </w:r>
      <w:r w:rsidRPr="00F53EF8">
        <w:rPr>
          <w:rFonts w:ascii="Times New Roman" w:hAnsi="Times New Roman" w:cs="Times New Roman"/>
        </w:rPr>
        <w:t xml:space="preserve"> to allow real-time sharing of information, cross-jurisdiction and cross-sector interoperability, capability to sequence genomes, wastewater surveillance, syndromic surveillance networks, and predictive analytics to support early detection (Centers for Disease Control and Prevention, 2024d; RAND Corporation, 2024).</w:t>
      </w:r>
    </w:p>
    <w:p w14:paraId="22441699"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lastRenderedPageBreak/>
        <w:t xml:space="preserve">Enhance supply chain resilience </w:t>
      </w:r>
      <w:r w:rsidRPr="00F53EF8">
        <w:rPr>
          <w:rFonts w:ascii="Times New Roman" w:hAnsi="Times New Roman" w:cs="Times New Roman"/>
        </w:rPr>
        <w:t>by diversifying, manufacturing critical medical goods in the country, installing rotation systems of stockpiles, creating transparency, and monitoring to avoid shortages (National Academies of Sciences, Engineering, and Medicine, 2022).</w:t>
      </w:r>
    </w:p>
    <w:p w14:paraId="2923C34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Ensuring coordination mechanisms</w:t>
      </w:r>
      <w:r w:rsidRPr="00F53EF8">
        <w:rPr>
          <w:rFonts w:ascii="Times New Roman" w:hAnsi="Times New Roman" w:cs="Times New Roman"/>
        </w:rPr>
        <w:t xml:space="preserve"> such as well-established command structures, memoranda of understanding, routinely held joint exercises, communication protocols and mutual aid agreements between federal and state and local levels (National Governors Association, 2024; U.S. House Committee on Oversight and Accountability, 2024).</w:t>
      </w:r>
    </w:p>
    <w:p w14:paraId="5C0635A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Coordinate health equity in all preparedness planning </w:t>
      </w:r>
      <w:r w:rsidRPr="00F53EF8">
        <w:rPr>
          <w:rFonts w:ascii="Times New Roman" w:hAnsi="Times New Roman" w:cs="Times New Roman"/>
        </w:rPr>
        <w:t>with specific resource distribution, culturally relevant communication strategies, community involvement, targeting the social determinants of health, and tracking unequal effects on populations (Trust for America’s Health, 2024; Centers for Disease Control and Prevention, 2024d).</w:t>
      </w:r>
    </w:p>
    <w:p w14:paraId="75454BD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b/>
          <w:bCs/>
        </w:rPr>
        <w:t xml:space="preserve">Increase </w:t>
      </w:r>
      <w:proofErr w:type="spellStart"/>
      <w:r w:rsidRPr="00F53EF8">
        <w:rPr>
          <w:rFonts w:ascii="Times New Roman" w:hAnsi="Times New Roman" w:cs="Times New Roman"/>
          <w:b/>
          <w:bCs/>
        </w:rPr>
        <w:t>biosurveillance</w:t>
      </w:r>
      <w:proofErr w:type="spellEnd"/>
      <w:r w:rsidRPr="00F53EF8">
        <w:rPr>
          <w:rFonts w:ascii="Times New Roman" w:hAnsi="Times New Roman" w:cs="Times New Roman"/>
          <w:b/>
          <w:bCs/>
        </w:rPr>
        <w:t xml:space="preserve"> capacity </w:t>
      </w:r>
      <w:r w:rsidRPr="00F53EF8">
        <w:rPr>
          <w:rFonts w:ascii="Times New Roman" w:hAnsi="Times New Roman" w:cs="Times New Roman"/>
        </w:rPr>
        <w:t>that combines human, animal, and environmental health surveillance in line with One Health strategies, utilizes emerging technologies, and puts in place early warning mechanisms of new pathogens (World Health Organization, 2023; Contagion Live, 2025).</w:t>
      </w:r>
    </w:p>
    <w:p w14:paraId="7E7B60D3"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evidence that has been synthesized in this review has proven that there is no mystery to pandemic preparedness, it is not impossible; the information is available about what systems, capacities, and resources are required. The underlying issue is itself political and organizational: maintaining commitment to preparedness in times when acute threats appear remote, investing resources in prevention, as opposed to merely responding, and institutional sustainability across electoral politics and budget limitations.</w:t>
      </w:r>
    </w:p>
    <w:p w14:paraId="5E3E8A3E"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Pandemics in the future are bound to happen. The climate change, population increase, urbanization, international travel, agricultural intensification, and ecological disturbance provide the environment favorable to the emergence and spread of pathogens (</w:t>
      </w:r>
      <w:proofErr w:type="spellStart"/>
      <w:r w:rsidRPr="00F53EF8">
        <w:rPr>
          <w:rFonts w:ascii="Times New Roman" w:hAnsi="Times New Roman" w:cs="Times New Roman"/>
        </w:rPr>
        <w:t>Pathirathna</w:t>
      </w:r>
      <w:proofErr w:type="spellEnd"/>
      <w:r w:rsidRPr="00F53EF8">
        <w:rPr>
          <w:rFonts w:ascii="Times New Roman" w:hAnsi="Times New Roman" w:cs="Times New Roman"/>
        </w:rPr>
        <w:t xml:space="preserve"> et al., 2024). It is not whether another pandemic can happen, but whether the United States will have taken the lessons learned during the COVID-19 in place enough to minimize the impact of the next pandemic on the health of the population, the healthcare systems, the economy, and the society.</w:t>
      </w:r>
    </w:p>
    <w:p w14:paraId="204A55A6"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given scoping review is an evidence base documenting the existing knowledge of the problem of pandemic preparedness challenges and opportunities in the United States. Whether the massive human and financial costs of COVID-19 will lead to more sustained policy changes, resource allocation, and institutional reforms or be a painful experience that was recorded in books but not acted upon will depend on the translation of this knowledge into sustained changes in how people live.</w:t>
      </w:r>
    </w:p>
    <w:p w14:paraId="5EC49513" w14:textId="1AFF4613" w:rsidR="00C96183" w:rsidRDefault="00BA2E0F" w:rsidP="00102800">
      <w:pPr>
        <w:jc w:val="both"/>
        <w:rPr>
          <w:rFonts w:ascii="Times New Roman" w:hAnsi="Times New Roman" w:cs="Times New Roman"/>
        </w:rPr>
      </w:pPr>
      <w:r w:rsidRPr="00F53EF8">
        <w:rPr>
          <w:rFonts w:ascii="Times New Roman" w:hAnsi="Times New Roman" w:cs="Times New Roman"/>
        </w:rPr>
        <w:t>The opportunity brought about by an increased level of awareness due to the COVID-19 is on its way out. Policymakers, leaders in governmental health systems, healthcare managers, researchers, and community stakeholders should work with a sense of urgency in order to institutionalize preparedness enhancements before competing challenges and the fading memories allow systems to fall back into the vulnerabilities that the COVID-19 pandemic used so effectively. The indicators are obvious, the way to go is recorded, and the necessity to act might not be stronger.</w:t>
      </w:r>
    </w:p>
    <w:p w14:paraId="4E301786" w14:textId="45A1C65F" w:rsidR="00C91E52" w:rsidRDefault="00C91E52" w:rsidP="00102800">
      <w:pPr>
        <w:jc w:val="both"/>
        <w:rPr>
          <w:rFonts w:ascii="Times New Roman" w:hAnsi="Times New Roman" w:cs="Times New Roman"/>
        </w:rPr>
      </w:pPr>
    </w:p>
    <w:p w14:paraId="6A44016D" w14:textId="77777777" w:rsidR="00C91E52" w:rsidRPr="00F53EF8" w:rsidRDefault="00C91E52" w:rsidP="00102800">
      <w:pPr>
        <w:jc w:val="both"/>
        <w:rPr>
          <w:rFonts w:ascii="Times New Roman" w:hAnsi="Times New Roman" w:cs="Times New Roman"/>
        </w:rPr>
      </w:pPr>
    </w:p>
    <w:p w14:paraId="0A666062" w14:textId="77777777" w:rsidR="00C91E52" w:rsidRPr="00C91E52" w:rsidRDefault="00C91E52" w:rsidP="00102800">
      <w:pPr>
        <w:jc w:val="both"/>
        <w:rPr>
          <w:rFonts w:eastAsia="Calibri"/>
          <w:kern w:val="2"/>
          <w:sz w:val="22"/>
          <w:szCs w:val="22"/>
          <w:highlight w:val="yellow"/>
        </w:rPr>
      </w:pPr>
      <w:bookmarkStart w:id="0" w:name="_Hlk198031404"/>
      <w:r w:rsidRPr="00C91E52">
        <w:rPr>
          <w:rFonts w:eastAsia="Calibri"/>
          <w:kern w:val="2"/>
          <w:sz w:val="22"/>
          <w:szCs w:val="22"/>
          <w:highlight w:val="yellow"/>
        </w:rPr>
        <w:t>Disclaimer (Artificial intelligence)</w:t>
      </w:r>
    </w:p>
    <w:p w14:paraId="148C3BE3" w14:textId="77777777" w:rsidR="00C91E52" w:rsidRPr="00C91E52" w:rsidRDefault="00C91E52" w:rsidP="00102800">
      <w:pPr>
        <w:jc w:val="both"/>
        <w:rPr>
          <w:rFonts w:eastAsia="Calibri"/>
          <w:kern w:val="2"/>
          <w:sz w:val="22"/>
          <w:szCs w:val="22"/>
          <w:highlight w:val="yellow"/>
        </w:rPr>
      </w:pPr>
    </w:p>
    <w:p w14:paraId="62E2345A" w14:textId="77777777" w:rsidR="00C91E52" w:rsidRPr="00C91E52" w:rsidRDefault="00C91E52" w:rsidP="00102800">
      <w:pPr>
        <w:jc w:val="both"/>
        <w:rPr>
          <w:rFonts w:eastAsia="Calibri"/>
          <w:kern w:val="2"/>
          <w:sz w:val="22"/>
          <w:szCs w:val="22"/>
          <w:highlight w:val="yellow"/>
        </w:rPr>
      </w:pPr>
      <w:r w:rsidRPr="00C91E52">
        <w:rPr>
          <w:rFonts w:eastAsia="Calibri"/>
          <w:kern w:val="2"/>
          <w:sz w:val="22"/>
          <w:szCs w:val="22"/>
          <w:highlight w:val="yellow"/>
        </w:rPr>
        <w:lastRenderedPageBreak/>
        <w:t xml:space="preserve">Author(s) hereby </w:t>
      </w:r>
      <w:proofErr w:type="gramStart"/>
      <w:r w:rsidRPr="00C91E52">
        <w:rPr>
          <w:rFonts w:eastAsia="Calibri"/>
          <w:kern w:val="2"/>
          <w:sz w:val="22"/>
          <w:szCs w:val="22"/>
          <w:highlight w:val="yellow"/>
        </w:rPr>
        <w:t>declare</w:t>
      </w:r>
      <w:proofErr w:type="gramEnd"/>
      <w:r w:rsidRPr="00C91E52">
        <w:rPr>
          <w:rFonts w:eastAsia="Calibri"/>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p w14:paraId="3697D697" w14:textId="77777777" w:rsidR="00C96183" w:rsidRPr="00F53EF8" w:rsidRDefault="00C96183" w:rsidP="00102800">
      <w:pPr>
        <w:jc w:val="both"/>
        <w:rPr>
          <w:rFonts w:ascii="Times New Roman" w:hAnsi="Times New Roman" w:cs="Times New Roman"/>
        </w:rPr>
      </w:pPr>
    </w:p>
    <w:p w14:paraId="7A102CC7" w14:textId="77777777" w:rsidR="00C96183" w:rsidRPr="00F53EF8" w:rsidRDefault="00BA2E0F" w:rsidP="00102800">
      <w:pPr>
        <w:pStyle w:val="Heading1"/>
        <w:jc w:val="both"/>
        <w:rPr>
          <w:rFonts w:ascii="Times New Roman" w:hAnsi="Times New Roman" w:cs="Times New Roman"/>
        </w:rPr>
      </w:pPr>
      <w:r w:rsidRPr="00F53EF8">
        <w:rPr>
          <w:rFonts w:ascii="Times New Roman" w:hAnsi="Times New Roman" w:cs="Times New Roman"/>
        </w:rPr>
        <w:t>References</w:t>
      </w:r>
    </w:p>
    <w:p w14:paraId="5992CAE6" w14:textId="77777777" w:rsidR="00C96183" w:rsidRPr="00F53EF8" w:rsidRDefault="00BA2E0F" w:rsidP="00102800">
      <w:pPr>
        <w:spacing w:after="120"/>
        <w:jc w:val="both"/>
        <w:rPr>
          <w:rFonts w:ascii="Times New Roman" w:hAnsi="Times New Roman" w:cs="Times New Roman"/>
        </w:rPr>
      </w:pPr>
      <w:proofErr w:type="spellStart"/>
      <w:r w:rsidRPr="00F53EF8">
        <w:rPr>
          <w:rFonts w:ascii="Times New Roman" w:hAnsi="Times New Roman" w:cs="Times New Roman"/>
        </w:rPr>
        <w:t>Beishuizen</w:t>
      </w:r>
      <w:proofErr w:type="spellEnd"/>
      <w:r w:rsidRPr="00F53EF8">
        <w:rPr>
          <w:rFonts w:ascii="Times New Roman" w:hAnsi="Times New Roman" w:cs="Times New Roman"/>
        </w:rPr>
        <w:t>, B. H., et al. (2024). A systematic literature review on public health and healthcare resources for pandemic preparedness planning. BMC Public Health, 24, 3114.</w:t>
      </w:r>
    </w:p>
    <w:p w14:paraId="6F7EB61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Buehler, J. W., Whitney, E. A., &amp; </w:t>
      </w:r>
      <w:proofErr w:type="spellStart"/>
      <w:r w:rsidRPr="00F53EF8">
        <w:rPr>
          <w:rFonts w:ascii="Times New Roman" w:hAnsi="Times New Roman" w:cs="Times New Roman"/>
        </w:rPr>
        <w:t>Berkelman</w:t>
      </w:r>
      <w:proofErr w:type="spellEnd"/>
      <w:r w:rsidRPr="00F53EF8">
        <w:rPr>
          <w:rFonts w:ascii="Times New Roman" w:hAnsi="Times New Roman" w:cs="Times New Roman"/>
        </w:rPr>
        <w:t xml:space="preserve">, R. L. (2017). Improving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xml:space="preserve"> systems to enable situational awareness during public health emergencies. JAMA, 318(4), 327-328. https://pmc.ncbi.nlm.nih.gov/articles/PMC5314963/</w:t>
      </w:r>
    </w:p>
    <w:p w14:paraId="6B1C76B5"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Center for Strategic and International Studies. (2024). The time is now for the DOD to expedite action on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https://www.csis.org/analysis/time-now-dod-expedite-action-biosurveillance</w:t>
      </w:r>
    </w:p>
    <w:p w14:paraId="3E02DC64"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(2024a). Preparing for the next pandemic: Lessons learned and the path forward [Congressional Testimony]. https://www.cdc.gov/washington/testimony/2024/t20241114.htm</w:t>
      </w:r>
    </w:p>
    <w:p w14:paraId="0ECDABB1"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(2024b). National pandemic strategy. https://www.cdc.gov/pandemic-flu/php/national-strategy/index.html</w:t>
      </w:r>
    </w:p>
    <w:p w14:paraId="0340641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(2024c). Public health emergency preparedness and response capabilities: National standards for state, local, tribal, and territorial public health. https://www.cdc.gov/readiness/php/capabilities/index.html</w:t>
      </w:r>
    </w:p>
    <w:p w14:paraId="584CA86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(2024d). Implementing public health response readiness framework. https://www.cdc.gov/readiness/php/next-gen-phep/index.html</w:t>
      </w:r>
    </w:p>
    <w:p w14:paraId="0FE6A19E"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(2024e). Healthcare system preparedness and response. https://www.cdc.gov/pandemic-flu/hcp/healthcare-preparedness-response/index.html</w:t>
      </w:r>
    </w:p>
    <w:p w14:paraId="1DD2D51C"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Centers for Disease Control and Prevention. (2025). Public Health Emergency Preparedness (PHEP) program and guidance. https://www.cdc.gov/readiness/php/phep/index.html</w:t>
      </w:r>
    </w:p>
    <w:p w14:paraId="3C465B2E"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Contagion Live. (2025).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The new(</w:t>
      </w:r>
      <w:proofErr w:type="spellStart"/>
      <w:r w:rsidRPr="00F53EF8">
        <w:rPr>
          <w:rFonts w:ascii="Times New Roman" w:hAnsi="Times New Roman" w:cs="Times New Roman"/>
        </w:rPr>
        <w:t>ish</w:t>
      </w:r>
      <w:proofErr w:type="spellEnd"/>
      <w:r w:rsidRPr="00F53EF8">
        <w:rPr>
          <w:rFonts w:ascii="Times New Roman" w:hAnsi="Times New Roman" w:cs="Times New Roman"/>
        </w:rPr>
        <w:t>) buzzword. https://www.contagionlive.com/view/biosurveillance-the-new-ish-buzzword</w:t>
      </w:r>
    </w:p>
    <w:p w14:paraId="7224BC8A" w14:textId="77777777" w:rsidR="00C96183" w:rsidRPr="00F53EF8" w:rsidRDefault="00BA2E0F" w:rsidP="00102800">
      <w:pPr>
        <w:spacing w:after="120"/>
        <w:jc w:val="both"/>
        <w:rPr>
          <w:rFonts w:ascii="Times New Roman" w:hAnsi="Times New Roman" w:cs="Times New Roman"/>
        </w:rPr>
      </w:pPr>
      <w:proofErr w:type="spellStart"/>
      <w:r w:rsidRPr="00F53EF8">
        <w:rPr>
          <w:rFonts w:ascii="Times New Roman" w:hAnsi="Times New Roman" w:cs="Times New Roman"/>
        </w:rPr>
        <w:t>Creppage</w:t>
      </w:r>
      <w:proofErr w:type="spellEnd"/>
      <w:r w:rsidRPr="00F53EF8">
        <w:rPr>
          <w:rFonts w:ascii="Times New Roman" w:hAnsi="Times New Roman" w:cs="Times New Roman"/>
        </w:rPr>
        <w:t>, K. E., Gallaway, M. S., Russell, D. A., et al. (2024). Role of Department of Defense Global Emerging Infections Surveillance program in pandemic preparedness and response, United States. Emerging Infectious Diseases, 30(Supplement), 240305. https://doi.org/10.3201/eid3014.240305</w:t>
      </w:r>
    </w:p>
    <w:p w14:paraId="0661E941"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Cylus, J., Panteli, D., &amp; Evetovits, T. (2022). Lessons learned from the COVID-19 pandemic. Health Policy, Special Issue. https://pmc.ncbi.nlm.nih.gov/articles/PMC8993700/</w:t>
      </w:r>
    </w:p>
    <w:p w14:paraId="753E2479"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Defense Health Agency Public Health. (2024). Public health preparedness: Getting 'left of boom'. U.S. Army. https://www.army.mil/article/274501/public_health_preparedness_getting_left_of_boom</w:t>
      </w:r>
    </w:p>
    <w:p w14:paraId="6C0A2932" w14:textId="77777777" w:rsidR="00C96183" w:rsidRPr="00F53EF8" w:rsidRDefault="00BA2E0F" w:rsidP="00102800">
      <w:pPr>
        <w:spacing w:after="120"/>
        <w:jc w:val="both"/>
        <w:rPr>
          <w:rFonts w:ascii="Times New Roman" w:hAnsi="Times New Roman" w:cs="Times New Roman"/>
        </w:rPr>
      </w:pPr>
      <w:r w:rsidRPr="00C91E52">
        <w:rPr>
          <w:rFonts w:ascii="Times New Roman" w:hAnsi="Times New Roman" w:cs="Times New Roman"/>
          <w:lang w:val="fr-FR"/>
        </w:rPr>
        <w:lastRenderedPageBreak/>
        <w:t>El-</w:t>
      </w:r>
      <w:proofErr w:type="spellStart"/>
      <w:r w:rsidRPr="00C91E52">
        <w:rPr>
          <w:rFonts w:ascii="Times New Roman" w:hAnsi="Times New Roman" w:cs="Times New Roman"/>
          <w:lang w:val="fr-FR"/>
        </w:rPr>
        <w:t>Jardali</w:t>
      </w:r>
      <w:proofErr w:type="spellEnd"/>
      <w:r w:rsidRPr="00C91E52">
        <w:rPr>
          <w:rFonts w:ascii="Times New Roman" w:hAnsi="Times New Roman" w:cs="Times New Roman"/>
          <w:lang w:val="fr-FR"/>
        </w:rPr>
        <w:t xml:space="preserve">, F., Kanth, P. D., Nguyen, S. N., et al. </w:t>
      </w:r>
      <w:r w:rsidRPr="00F53EF8">
        <w:rPr>
          <w:rFonts w:ascii="Times New Roman" w:hAnsi="Times New Roman" w:cs="Times New Roman"/>
        </w:rPr>
        <w:t>(2025). Emergency preparedness and health system resilience assessment tool: Development and initial validation. BMJ Global Health, 10(8), e016459. https://doi.org/10.1136/bmjgh-2024-016459</w:t>
      </w:r>
    </w:p>
    <w:p w14:paraId="5CDB4B1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European Observatory on Health Systems and Policies. (2022). Health systems resilience during COVID-19: Lessons for building back better. NCBI Bookshelf. https://www.ncbi.nlm.nih.gov/books/NBK590210/</w:t>
      </w:r>
    </w:p>
    <w:p w14:paraId="63DC88CC"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Institute for Progress. (2023). Why the Department of Defense should invest in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https://ifp.org/investing-in-biosurveillance/</w:t>
      </w:r>
    </w:p>
    <w:p w14:paraId="1E78D2F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Jeong, Y., Crowell, T., Devon-Sand, A., et al. (2024). Building pandemic-resilient primary care systems: Lessons learned from COVID-19. Journal of Medical Internet Research, 26, e47667. https://doi.org/10.2196/47667</w:t>
      </w:r>
    </w:p>
    <w:p w14:paraId="1C4284A2"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Kaye, A. D., et al. (2023). Building public health emergency preparedness, response, and recovery capabilities through disaster citizen science. Journal of Public Health Management and Practice, 29(4), 473-486. https://doi.org/10.1097/PHH.0000000000001686</w:t>
      </w:r>
    </w:p>
    <w:p w14:paraId="3EE6FD1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Kruk, M. E., Myers, M., </w:t>
      </w:r>
      <w:proofErr w:type="spellStart"/>
      <w:r w:rsidRPr="00F53EF8">
        <w:rPr>
          <w:rFonts w:ascii="Times New Roman" w:hAnsi="Times New Roman" w:cs="Times New Roman"/>
        </w:rPr>
        <w:t>Varpilah</w:t>
      </w:r>
      <w:proofErr w:type="spellEnd"/>
      <w:r w:rsidRPr="00F53EF8">
        <w:rPr>
          <w:rFonts w:ascii="Times New Roman" w:hAnsi="Times New Roman" w:cs="Times New Roman"/>
        </w:rPr>
        <w:t>, S. T., &amp; Dahn, B. T. (2023). Re-evaluating our knowledge of health system resilience during COVID-19: Lessons from the first two years of the pandemic. International Journal of Health Policy and Management, 12, 6659. https://doi.org/10.34172/ijhpm.2022.6659</w:t>
      </w:r>
    </w:p>
    <w:p w14:paraId="3E8824B6"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National Academies of Sciences, Engineering, and Medicine. (2022). Building resilience into the nation's medical product supply chains. National Academies Press.</w:t>
      </w:r>
    </w:p>
    <w:p w14:paraId="07F52D4B"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National Academies of Sciences, Engineering, and Medicine. (2025a). Care systems COVID-19 impact assessment: Lessons learned and compelling needs. https://nam.edu/care-systems-covid-19-impact-assessment-lessons-learned-and-compelling-needs/</w:t>
      </w:r>
    </w:p>
    <w:p w14:paraId="63D73B2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National Academies of Sciences, Engineering, and Medicine. (2025b). Impacts and lessons learned from coronavirus-19 pandemic in the United States: Preparing for future public health emergencies. https://pmc.ncbi.nlm.nih.gov/articles/PMC12495830/</w:t>
      </w:r>
    </w:p>
    <w:p w14:paraId="530668F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National Association of County and City Health Officials. (n.d.). Project Public Health Ready (PPHR). https://www.naccho.org/programs/public-health-preparedness/pphr</w:t>
      </w:r>
    </w:p>
    <w:p w14:paraId="37F5C55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National Governors Association. (2024). Public health emergency playbook. https://www.nga.org/publications/public-health-emergency-playbook/</w:t>
      </w:r>
    </w:p>
    <w:p w14:paraId="6AA06CE0" w14:textId="77777777" w:rsidR="00C96183" w:rsidRPr="00F53EF8" w:rsidRDefault="00BA2E0F" w:rsidP="00102800">
      <w:pPr>
        <w:spacing w:after="120"/>
        <w:jc w:val="both"/>
        <w:rPr>
          <w:rFonts w:ascii="Times New Roman" w:hAnsi="Times New Roman" w:cs="Times New Roman"/>
        </w:rPr>
      </w:pPr>
      <w:r w:rsidRPr="00C91E52">
        <w:rPr>
          <w:rFonts w:ascii="Times New Roman" w:hAnsi="Times New Roman" w:cs="Times New Roman"/>
          <w:lang w:val="fr-FR"/>
        </w:rPr>
        <w:t xml:space="preserve">Nunes, M. C., et al. </w:t>
      </w:r>
      <w:r w:rsidRPr="00F53EF8">
        <w:rPr>
          <w:rFonts w:ascii="Times New Roman" w:hAnsi="Times New Roman" w:cs="Times New Roman"/>
        </w:rPr>
        <w:t>(2024). Redefining pandemic preparedness: Multidisciplinary insights from the CERP modelling workshop in infectious diseases. Infectious Disease Modelling, 9, 501-518.</w:t>
      </w:r>
    </w:p>
    <w:p w14:paraId="277DB826" w14:textId="77777777" w:rsidR="00C96183" w:rsidRPr="00F53EF8" w:rsidRDefault="00BA2E0F" w:rsidP="00102800">
      <w:pPr>
        <w:spacing w:after="120"/>
        <w:jc w:val="both"/>
        <w:rPr>
          <w:rFonts w:ascii="Times New Roman" w:hAnsi="Times New Roman" w:cs="Times New Roman"/>
        </w:rPr>
      </w:pPr>
      <w:proofErr w:type="spellStart"/>
      <w:r w:rsidRPr="00F53EF8">
        <w:rPr>
          <w:rFonts w:ascii="Times New Roman" w:hAnsi="Times New Roman" w:cs="Times New Roman"/>
        </w:rPr>
        <w:t>Pathirathna</w:t>
      </w:r>
      <w:proofErr w:type="spellEnd"/>
      <w:r w:rsidRPr="00F53EF8">
        <w:rPr>
          <w:rFonts w:ascii="Times New Roman" w:hAnsi="Times New Roman" w:cs="Times New Roman"/>
        </w:rPr>
        <w:t>, M. L., Gamage, M. M., Jayasekara, P., et al. (2024). Epidemic and pandemic preparedness and response in a multi-hazard context: COVID-19 pandemic as a point of reference. International Journal of Environmental Research and Public Health, 21(9), 1238. https://doi.org/10.3390/ijerph21091238</w:t>
      </w:r>
    </w:p>
    <w:p w14:paraId="1D0E5D6D"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Pisaneschi, G., et al. (2024). Optimal social distancing in epidemic control: Cost prioritization, adherence and insights into preparedness principles. Scientific Reports, 14, 4365.</w:t>
      </w:r>
    </w:p>
    <w:p w14:paraId="4B22ED59"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lastRenderedPageBreak/>
        <w:t>Presidential Advisory Council on Combating Antibiotic-Resistant Bacteria. (2023). Preparing for the next pandemic in the era of antimicrobial resistance. U.S. Department of Health and Human Services.</w:t>
      </w:r>
    </w:p>
    <w:p w14:paraId="15F84581"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Radford, K. H., </w:t>
      </w:r>
      <w:proofErr w:type="spellStart"/>
      <w:r w:rsidRPr="00F53EF8">
        <w:rPr>
          <w:rFonts w:ascii="Times New Roman" w:hAnsi="Times New Roman" w:cs="Times New Roman"/>
        </w:rPr>
        <w:t>Karanikolos</w:t>
      </w:r>
      <w:proofErr w:type="spellEnd"/>
      <w:r w:rsidRPr="00F53EF8">
        <w:rPr>
          <w:rFonts w:ascii="Times New Roman" w:hAnsi="Times New Roman" w:cs="Times New Roman"/>
        </w:rPr>
        <w:t>, M., &amp; Cylus, J. (2024). Pandemic preparedness and health system resilience in 14 European countries. Bulletin of the World Health Organization, 102(8), 571-581. https://doi.org/10.2471/BLT.23.290509</w:t>
      </w:r>
    </w:p>
    <w:p w14:paraId="708F14FE"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RAND Corporation. (2024). Bringing new technologies to bear for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https://www.rand.org/pubs/commentary/2024/04/bringing-new-technologies-to-bear-for-biosurveillance.html</w:t>
      </w:r>
    </w:p>
    <w:p w14:paraId="3C2537C7"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Sagan, A., Thomas, S., Webb, E., et al. (2024). Assessing resilience of a health system is difficult but necessary to prepare for the next crisis. Health Policy, 142, 105013.</w:t>
      </w:r>
    </w:p>
    <w:p w14:paraId="7AD9AF85" w14:textId="77777777" w:rsidR="00C96183" w:rsidRPr="00F53EF8" w:rsidRDefault="00BA2E0F" w:rsidP="00102800">
      <w:pPr>
        <w:spacing w:after="120"/>
        <w:jc w:val="both"/>
        <w:rPr>
          <w:rFonts w:ascii="Times New Roman" w:hAnsi="Times New Roman" w:cs="Times New Roman"/>
        </w:rPr>
      </w:pPr>
      <w:proofErr w:type="spellStart"/>
      <w:r w:rsidRPr="00F53EF8">
        <w:rPr>
          <w:rFonts w:ascii="Times New Roman" w:hAnsi="Times New Roman" w:cs="Times New Roman"/>
        </w:rPr>
        <w:t>Spieske</w:t>
      </w:r>
      <w:proofErr w:type="spellEnd"/>
      <w:r w:rsidRPr="00F53EF8">
        <w:rPr>
          <w:rFonts w:ascii="Times New Roman" w:hAnsi="Times New Roman" w:cs="Times New Roman"/>
        </w:rPr>
        <w:t>, A., Gebhardt, M., Kopyto, M., &amp; Birkel, H. (2022). Improving resilience of the healthcare supply chain in a pandemic: Evidence from Europe during the COVID-19 crisis. Journal of Purchasing and Supply Management, 28(5), 100748.</w:t>
      </w:r>
    </w:p>
    <w:p w14:paraId="0C2F868B"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 xml:space="preserve">Tan, Y. R., Wong, B. L. H., </w:t>
      </w:r>
      <w:proofErr w:type="spellStart"/>
      <w:r w:rsidRPr="00F53EF8">
        <w:rPr>
          <w:rFonts w:ascii="Times New Roman" w:hAnsi="Times New Roman" w:cs="Times New Roman"/>
        </w:rPr>
        <w:t>Kiwuwa</w:t>
      </w:r>
      <w:proofErr w:type="spellEnd"/>
      <w:r w:rsidRPr="00F53EF8">
        <w:rPr>
          <w:rFonts w:ascii="Times New Roman" w:hAnsi="Times New Roman" w:cs="Times New Roman"/>
        </w:rPr>
        <w:t>-Muyingo, S., et al. (2024). A digitally-enabled, science-based global pandemic preparedness and response scheme: How ready are we for the next pandemic? Frontiers in Public Health, 12, 1429615. https://doi.org/10.3389/fpubh.2024.1429615</w:t>
      </w:r>
    </w:p>
    <w:p w14:paraId="1649347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The White House. (2024). Office of Pandemic Preparedness and Response Policy. https://bidenwhitehouse.archives.gov/oppr/</w:t>
      </w:r>
    </w:p>
    <w:p w14:paraId="116EE5B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Tille, F., Van Ginneken, E., Winkelmann, J., et al. (2023). Health systems resilience during COVID-19. Frontiers in Public Health, 10, 1058729. https://doi.org/10.3389/fpubh.2022.1058729</w:t>
      </w:r>
    </w:p>
    <w:p w14:paraId="666F7C90"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Tonga, C., Verdonck, K., et al. (2024). How is health system resilience being assessed? A scoping review. International Journal of Health Policy and Management, 13, 8097. https://doi.org/10.34172/ijhpm.8097</w:t>
      </w:r>
    </w:p>
    <w:p w14:paraId="5E0A8D68"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Trust for America's Health. (2024). Ready or not 2024: Protecting the public's health from diseases, disasters, and bioterrorism. https://www.tfah.org/report-details/ready-or-not-2024/</w:t>
      </w:r>
    </w:p>
    <w:p w14:paraId="55DFBA9A"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Trust for America's Health. (2025). Ready or not 2025: Protecting the public's health from diseases, disasters, and bioterrorism. https://www.tfah.org/report-details/ready-or-not-2025-protecting-the-publics-health-from-diseases-disasters-and-bioterrorism/</w:t>
      </w:r>
    </w:p>
    <w:p w14:paraId="03068E66"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U.S. Congress. (2024). Pandemic and All-Hazards Preparedness and Response Act (S.2333, 118th Congress). https://www.congress.gov/bill/118th-congress/senate-bill/2333/text</w:t>
      </w:r>
    </w:p>
    <w:p w14:paraId="2D919A79"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U.S. Department of Health and Human Services, Office of the Assistant Secretary for Preparedness and Response. (n.d.). Measuring preparedness for public health and health care emergencies. https://aspe.hhs.gov/sites/default/files/documents/ff2e6f2963400dcd00e0132fb9870525/preparedness-metrics-report.pdf</w:t>
      </w:r>
    </w:p>
    <w:p w14:paraId="45DFEF5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U.S. Government Accountability Office. (2023). Public health preparedness: Building and maintaining infrastructure beyond the COVID-19 pandemic (GAO-24-105891). https://www.gao.gov/products/gao-24-105891</w:t>
      </w:r>
    </w:p>
    <w:p w14:paraId="3AEEF112"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lastRenderedPageBreak/>
        <w:t>U.S. House Committee on Oversight and Accountability, Select Subcommittee on the Coronavirus Pandemic. (2024). After action review of the COVID-19 pandemic: The lessons learned and a path forward.</w:t>
      </w:r>
    </w:p>
    <w:p w14:paraId="7BA3060B" w14:textId="77777777" w:rsidR="00C96183" w:rsidRPr="00F53EF8" w:rsidRDefault="00BA2E0F" w:rsidP="00102800">
      <w:pPr>
        <w:spacing w:after="120"/>
        <w:jc w:val="both"/>
        <w:rPr>
          <w:rFonts w:ascii="Times New Roman" w:hAnsi="Times New Roman" w:cs="Times New Roman"/>
        </w:rPr>
      </w:pPr>
      <w:r w:rsidRPr="00C91E52">
        <w:rPr>
          <w:rFonts w:ascii="Times New Roman" w:hAnsi="Times New Roman" w:cs="Times New Roman"/>
          <w:lang w:val="fr-FR"/>
        </w:rPr>
        <w:t xml:space="preserve">Villalobos Rodríguez, A. P., Perkins, I. W., Moosavi, S., et al. </w:t>
      </w:r>
      <w:r w:rsidRPr="00F53EF8">
        <w:rPr>
          <w:rFonts w:ascii="Times New Roman" w:hAnsi="Times New Roman" w:cs="Times New Roman"/>
        </w:rPr>
        <w:t>(2025). Pandemic preparedness: Analyzing national plans for respiratory pathogen pandemics in the Americas region. Journal of Infectious Diseases, 231(Supplement 2), S90-S99. https://doi.org/10.1093/infdis/jiaf047</w:t>
      </w:r>
    </w:p>
    <w:p w14:paraId="382BD147" w14:textId="77777777" w:rsidR="00C96183" w:rsidRPr="00F53EF8" w:rsidRDefault="00BA2E0F" w:rsidP="00102800">
      <w:pPr>
        <w:spacing w:after="120"/>
        <w:jc w:val="both"/>
        <w:rPr>
          <w:rFonts w:ascii="Times New Roman" w:hAnsi="Times New Roman" w:cs="Times New Roman"/>
        </w:rPr>
      </w:pPr>
      <w:r w:rsidRPr="00C91E52">
        <w:rPr>
          <w:rFonts w:ascii="Times New Roman" w:hAnsi="Times New Roman" w:cs="Times New Roman"/>
          <w:lang w:val="fr-FR"/>
        </w:rPr>
        <w:t xml:space="preserve">Waller, A. E., Scholer, M., et al. </w:t>
      </w:r>
      <w:r w:rsidRPr="00F53EF8">
        <w:rPr>
          <w:rFonts w:ascii="Times New Roman" w:hAnsi="Times New Roman" w:cs="Times New Roman"/>
        </w:rPr>
        <w:t xml:space="preserve">(2010). Using emergency department data for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xml:space="preserve">: The North Carolina experience. In Infectious disease informatics and </w:t>
      </w:r>
      <w:proofErr w:type="spellStart"/>
      <w:r w:rsidRPr="00F53EF8">
        <w:rPr>
          <w:rFonts w:ascii="Times New Roman" w:hAnsi="Times New Roman" w:cs="Times New Roman"/>
        </w:rPr>
        <w:t>biosurveillance</w:t>
      </w:r>
      <w:proofErr w:type="spellEnd"/>
      <w:r w:rsidRPr="00F53EF8">
        <w:rPr>
          <w:rFonts w:ascii="Times New Roman" w:hAnsi="Times New Roman" w:cs="Times New Roman"/>
        </w:rPr>
        <w:t xml:space="preserve"> (pp. 45-66). Springer. https://doi.org/10.1007/978-1-4419-6892-0_3</w:t>
      </w:r>
    </w:p>
    <w:p w14:paraId="04085F3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World Health Organization. (2023). Future surveillance for epidemic and pandemic diseases: A 2023 perspective. https://www.who.int/publications/i/item/9789240080959</w:t>
      </w:r>
    </w:p>
    <w:p w14:paraId="503AAE2E"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World Health Organization. (2025). WHO launches new country guidance for health emergency coordination. https://www.who.int/news/item/23-10-2025-who-launches-new-country-guidance-for-health-emergency-coordination</w:t>
      </w:r>
    </w:p>
    <w:p w14:paraId="763900AF" w14:textId="77777777" w:rsidR="00C96183" w:rsidRPr="00F53EF8" w:rsidRDefault="00BA2E0F" w:rsidP="00102800">
      <w:pPr>
        <w:spacing w:after="120"/>
        <w:jc w:val="both"/>
        <w:rPr>
          <w:rFonts w:ascii="Times New Roman" w:hAnsi="Times New Roman" w:cs="Times New Roman"/>
        </w:rPr>
      </w:pPr>
      <w:r w:rsidRPr="00C91E52">
        <w:rPr>
          <w:rFonts w:ascii="Times New Roman" w:hAnsi="Times New Roman" w:cs="Times New Roman"/>
          <w:lang w:val="fr-FR"/>
        </w:rPr>
        <w:t xml:space="preserve">Yildirim, M., </w:t>
      </w:r>
      <w:proofErr w:type="spellStart"/>
      <w:r w:rsidRPr="00C91E52">
        <w:rPr>
          <w:rFonts w:ascii="Times New Roman" w:hAnsi="Times New Roman" w:cs="Times New Roman"/>
          <w:lang w:val="fr-FR"/>
        </w:rPr>
        <w:t>Kordestani</w:t>
      </w:r>
      <w:proofErr w:type="spellEnd"/>
      <w:r w:rsidRPr="00C91E52">
        <w:rPr>
          <w:rFonts w:ascii="Times New Roman" w:hAnsi="Times New Roman" w:cs="Times New Roman"/>
          <w:lang w:val="fr-FR"/>
        </w:rPr>
        <w:t xml:space="preserve">, A., et al. </w:t>
      </w:r>
      <w:r w:rsidRPr="00F53EF8">
        <w:rPr>
          <w:rFonts w:ascii="Times New Roman" w:hAnsi="Times New Roman" w:cs="Times New Roman"/>
        </w:rPr>
        <w:t>(2025). Exploring pandemic preparedness through public perception and its impact on health service quality, attitudes, and healthcare image. Scientific Reports, 15, 17545. https://doi.org/10.1038/s41598-025-95488-8</w:t>
      </w:r>
    </w:p>
    <w:p w14:paraId="03DC41F3"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Zhang, Y., Chen, M., &amp; Meng, Q. (2023). Evaluation of health system resilience in 60 countries based on their responses to COVID-19. Frontiers in Public Health, 10, 1081068. https://doi.org/10.3389/fpubh.2022.1081068</w:t>
      </w:r>
    </w:p>
    <w:p w14:paraId="33DAAADF" w14:textId="77777777" w:rsidR="00C96183" w:rsidRPr="00F53EF8" w:rsidRDefault="00BA2E0F" w:rsidP="00102800">
      <w:pPr>
        <w:spacing w:after="120"/>
        <w:jc w:val="both"/>
        <w:rPr>
          <w:rFonts w:ascii="Times New Roman" w:hAnsi="Times New Roman" w:cs="Times New Roman"/>
        </w:rPr>
      </w:pPr>
      <w:r w:rsidRPr="00F53EF8">
        <w:rPr>
          <w:rFonts w:ascii="Times New Roman" w:hAnsi="Times New Roman" w:cs="Times New Roman"/>
        </w:rPr>
        <w:t>Zhao, Y., et al. (2024). Anti-pandemic resilience assessment of countries along the Belt and Road. Frontiers in Public Health, 12.</w:t>
      </w:r>
    </w:p>
    <w:p w14:paraId="66D9EB33" w14:textId="77777777" w:rsidR="00C96183" w:rsidRDefault="00BA2E0F" w:rsidP="00102800">
      <w:pPr>
        <w:jc w:val="both"/>
        <w:rPr>
          <w:rFonts w:ascii="Times New Roman" w:hAnsi="Times New Roman" w:cs="Times New Roman"/>
        </w:rPr>
      </w:pPr>
      <w:r w:rsidRPr="00F53EF8">
        <w:rPr>
          <w:rFonts w:ascii="Times New Roman" w:hAnsi="Times New Roman" w:cs="Times New Roman"/>
        </w:rPr>
        <w:t>Zhong, L., Lopez, D., Pei, S., et al. (2024). Healthcare system resilience and adaptability to pandemic disruptions in the United States. Nature Medicine, 30, 2311-2319. https://doi.org/10.1038/s41591-024-03103-6</w:t>
      </w:r>
    </w:p>
    <w:p w14:paraId="77984F72" w14:textId="571B35A7" w:rsidR="00102800" w:rsidRDefault="00102800">
      <w:pPr>
        <w:jc w:val="both"/>
        <w:rPr>
          <w:rFonts w:ascii="Times New Roman" w:hAnsi="Times New Roman" w:cs="Times New Roman"/>
        </w:rPr>
      </w:pPr>
    </w:p>
    <w:sectPr w:rsidR="001028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8336" w14:textId="77777777" w:rsidR="00516699" w:rsidRDefault="00516699" w:rsidP="00042E4E">
      <w:r>
        <w:separator/>
      </w:r>
    </w:p>
  </w:endnote>
  <w:endnote w:type="continuationSeparator" w:id="0">
    <w:p w14:paraId="10EF0CE6" w14:textId="77777777" w:rsidR="00516699" w:rsidRDefault="00516699" w:rsidP="0004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FF63" w14:textId="77777777" w:rsidR="00042E4E" w:rsidRDefault="00042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4FFB" w14:textId="77777777" w:rsidR="00042E4E" w:rsidRDefault="00042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8352" w14:textId="77777777" w:rsidR="00042E4E" w:rsidRDefault="0004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DE3F" w14:textId="77777777" w:rsidR="00516699" w:rsidRDefault="00516699" w:rsidP="00042E4E">
      <w:r>
        <w:separator/>
      </w:r>
    </w:p>
  </w:footnote>
  <w:footnote w:type="continuationSeparator" w:id="0">
    <w:p w14:paraId="5BFA0785" w14:textId="77777777" w:rsidR="00516699" w:rsidRDefault="00516699" w:rsidP="0004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0646" w14:textId="6125F05D" w:rsidR="00042E4E" w:rsidRDefault="00000000">
    <w:pPr>
      <w:pStyle w:val="Header"/>
    </w:pPr>
    <w:r>
      <w:rPr>
        <w:noProof/>
      </w:rPr>
      <w:pict w14:anchorId="2B7FC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3"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CFD7" w14:textId="6BC7978A" w:rsidR="00042E4E" w:rsidRDefault="00000000">
    <w:pPr>
      <w:pStyle w:val="Header"/>
    </w:pPr>
    <w:r>
      <w:rPr>
        <w:noProof/>
      </w:rPr>
      <w:pict w14:anchorId="04632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4"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C7F6" w14:textId="21A90263" w:rsidR="00042E4E" w:rsidRDefault="00000000">
    <w:pPr>
      <w:pStyle w:val="Header"/>
    </w:pPr>
    <w:r>
      <w:rPr>
        <w:noProof/>
      </w:rPr>
      <w:pict w14:anchorId="7145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63562"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27AC68A"/>
    <w:lvl w:ilvl="0" w:tplc="2C562E10">
      <w:start w:val="1"/>
      <w:numFmt w:val="bullet"/>
      <w:lvlText w:val="•"/>
      <w:lvlJc w:val="left"/>
      <w:pPr>
        <w:ind w:left="720" w:hanging="360"/>
      </w:pPr>
    </w:lvl>
    <w:lvl w:ilvl="1" w:tplc="70D04AB4">
      <w:start w:val="1"/>
      <w:numFmt w:val="decimal"/>
      <w:lvlText w:val=""/>
      <w:lvlJc w:val="left"/>
    </w:lvl>
    <w:lvl w:ilvl="2" w:tplc="5F9A18EA">
      <w:start w:val="1"/>
      <w:numFmt w:val="decimal"/>
      <w:lvlText w:val=""/>
      <w:lvlJc w:val="left"/>
    </w:lvl>
    <w:lvl w:ilvl="3" w:tplc="0B006194">
      <w:start w:val="1"/>
      <w:numFmt w:val="decimal"/>
      <w:lvlText w:val=""/>
      <w:lvlJc w:val="left"/>
    </w:lvl>
    <w:lvl w:ilvl="4" w:tplc="F8E2AC0C">
      <w:start w:val="1"/>
      <w:numFmt w:val="decimal"/>
      <w:lvlText w:val=""/>
      <w:lvlJc w:val="left"/>
    </w:lvl>
    <w:lvl w:ilvl="5" w:tplc="C5504716">
      <w:start w:val="1"/>
      <w:numFmt w:val="decimal"/>
      <w:lvlText w:val=""/>
      <w:lvlJc w:val="left"/>
    </w:lvl>
    <w:lvl w:ilvl="6" w:tplc="7C5C5406">
      <w:start w:val="1"/>
      <w:numFmt w:val="decimal"/>
      <w:lvlText w:val=""/>
      <w:lvlJc w:val="left"/>
    </w:lvl>
    <w:lvl w:ilvl="7" w:tplc="C396D102">
      <w:start w:val="1"/>
      <w:numFmt w:val="decimal"/>
      <w:lvlText w:val=""/>
      <w:lvlJc w:val="left"/>
    </w:lvl>
    <w:lvl w:ilvl="8" w:tplc="F15ABE14">
      <w:start w:val="1"/>
      <w:numFmt w:val="decimal"/>
      <w:lvlText w:val=""/>
      <w:lvlJc w:val="left"/>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4874"/>
    <w:multiLevelType w:val="hybridMultilevel"/>
    <w:tmpl w:val="386CE91C"/>
    <w:lvl w:ilvl="0" w:tplc="824ABEE2">
      <w:start w:val="1"/>
      <w:numFmt w:val="bullet"/>
      <w:lvlText w:val="●"/>
      <w:lvlJc w:val="left"/>
      <w:pPr>
        <w:ind w:left="720" w:hanging="360"/>
      </w:pPr>
    </w:lvl>
    <w:lvl w:ilvl="1" w:tplc="8F0A1AE4">
      <w:start w:val="1"/>
      <w:numFmt w:val="bullet"/>
      <w:lvlText w:val="○"/>
      <w:lvlJc w:val="left"/>
      <w:pPr>
        <w:ind w:left="1440" w:hanging="360"/>
      </w:pPr>
    </w:lvl>
    <w:lvl w:ilvl="2" w:tplc="F25EA292">
      <w:start w:val="1"/>
      <w:numFmt w:val="bullet"/>
      <w:lvlText w:val="■"/>
      <w:lvlJc w:val="left"/>
      <w:pPr>
        <w:ind w:left="2160" w:hanging="360"/>
      </w:pPr>
    </w:lvl>
    <w:lvl w:ilvl="3" w:tplc="490CE452">
      <w:start w:val="1"/>
      <w:numFmt w:val="bullet"/>
      <w:lvlText w:val="●"/>
      <w:lvlJc w:val="left"/>
      <w:pPr>
        <w:ind w:left="2880" w:hanging="360"/>
      </w:pPr>
    </w:lvl>
    <w:lvl w:ilvl="4" w:tplc="D084EE40">
      <w:start w:val="1"/>
      <w:numFmt w:val="bullet"/>
      <w:lvlText w:val="○"/>
      <w:lvlJc w:val="left"/>
      <w:pPr>
        <w:ind w:left="3600" w:hanging="360"/>
      </w:pPr>
    </w:lvl>
    <w:lvl w:ilvl="5" w:tplc="996AE6DE">
      <w:start w:val="1"/>
      <w:numFmt w:val="bullet"/>
      <w:lvlText w:val="■"/>
      <w:lvlJc w:val="left"/>
      <w:pPr>
        <w:ind w:left="4320" w:hanging="360"/>
      </w:pPr>
    </w:lvl>
    <w:lvl w:ilvl="6" w:tplc="8634F97A">
      <w:start w:val="1"/>
      <w:numFmt w:val="bullet"/>
      <w:lvlText w:val="●"/>
      <w:lvlJc w:val="left"/>
      <w:pPr>
        <w:ind w:left="5040" w:hanging="360"/>
      </w:pPr>
    </w:lvl>
    <w:lvl w:ilvl="7" w:tplc="68CCD01E">
      <w:start w:val="1"/>
      <w:numFmt w:val="bullet"/>
      <w:lvlText w:val="●"/>
      <w:lvlJc w:val="left"/>
      <w:pPr>
        <w:ind w:left="5760" w:hanging="360"/>
      </w:pPr>
    </w:lvl>
    <w:lvl w:ilvl="8" w:tplc="8DA802AE">
      <w:start w:val="1"/>
      <w:numFmt w:val="bullet"/>
      <w:lvlText w:val="●"/>
      <w:lvlJc w:val="left"/>
      <w:pPr>
        <w:ind w:left="6480" w:hanging="360"/>
      </w:pPr>
    </w:lvl>
  </w:abstractNum>
  <w:num w:numId="1" w16cid:durableId="1658801087">
    <w:abstractNumId w:val="1"/>
  </w:num>
  <w:num w:numId="2" w16cid:durableId="494806472">
    <w:abstractNumId w:val="0"/>
    <w:lvlOverride w:ilvl="0">
      <w:startOverride w:val="1"/>
    </w:lvlOverride>
  </w:num>
  <w:num w:numId="3" w16cid:durableId="1828395329">
    <w:abstractNumId w:val="3"/>
    <w:lvlOverride w:ilvl="0">
      <w:startOverride w:val="1"/>
    </w:lvlOverride>
  </w:num>
  <w:num w:numId="4" w16cid:durableId="144750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83"/>
    <w:rsid w:val="000201FA"/>
    <w:rsid w:val="00042E4E"/>
    <w:rsid w:val="00102800"/>
    <w:rsid w:val="00215631"/>
    <w:rsid w:val="00237E28"/>
    <w:rsid w:val="0033539C"/>
    <w:rsid w:val="00451139"/>
    <w:rsid w:val="004F2897"/>
    <w:rsid w:val="00516699"/>
    <w:rsid w:val="005A085A"/>
    <w:rsid w:val="00622F70"/>
    <w:rsid w:val="00652BFD"/>
    <w:rsid w:val="00657CDB"/>
    <w:rsid w:val="006E52AC"/>
    <w:rsid w:val="006F76BD"/>
    <w:rsid w:val="007859A5"/>
    <w:rsid w:val="007A1EB1"/>
    <w:rsid w:val="00802731"/>
    <w:rsid w:val="009302A5"/>
    <w:rsid w:val="0098533F"/>
    <w:rsid w:val="009F5D2C"/>
    <w:rsid w:val="00A243A5"/>
    <w:rsid w:val="00A33ED1"/>
    <w:rsid w:val="00B01EBB"/>
    <w:rsid w:val="00B07737"/>
    <w:rsid w:val="00B15AB2"/>
    <w:rsid w:val="00B3017F"/>
    <w:rsid w:val="00B46482"/>
    <w:rsid w:val="00BA2E0F"/>
    <w:rsid w:val="00C21A2F"/>
    <w:rsid w:val="00C64B0D"/>
    <w:rsid w:val="00C91E52"/>
    <w:rsid w:val="00C96183"/>
    <w:rsid w:val="00C9738C"/>
    <w:rsid w:val="00CB3CD4"/>
    <w:rsid w:val="00D13714"/>
    <w:rsid w:val="00D23E20"/>
    <w:rsid w:val="00D90CE3"/>
    <w:rsid w:val="00E84D3B"/>
    <w:rsid w:val="00F53EF8"/>
    <w:rsid w:val="00F65864"/>
    <w:rsid w:val="00F8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2D96"/>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60" w:after="16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table" w:customStyle="1" w:styleId="GridTable41">
    <w:name w:val="Grid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
    <w:name w:val="Body Text"/>
    <w:basedOn w:val="Normal"/>
    <w:qFormat/>
    <w:pPr>
      <w:spacing w:before="180" w:after="180"/>
    </w:pPr>
    <w:rPr>
      <w:rFonts w:ascii="Times New Roman" w:eastAsia="SimSun" w:hAnsi="Times New Roman" w:cs="Times New Roman"/>
      <w:sz w:val="21"/>
    </w:rPr>
  </w:style>
  <w:style w:type="paragraph" w:customStyle="1" w:styleId="Compact">
    <w:name w:val="&quot;Compact&quot;"/>
    <w:basedOn w:val="BodyText"/>
    <w:qFormat/>
    <w:pPr>
      <w:spacing w:before="36" w:after="36"/>
    </w:pPr>
  </w:style>
  <w:style w:type="paragraph" w:customStyle="1" w:styleId="Heading20">
    <w:name w:val="&quot;Heading 2&quot;"/>
    <w:basedOn w:val="Normal"/>
    <w:qFormat/>
    <w:pPr>
      <w:keepNext/>
      <w:keepLines/>
      <w:widowControl w:val="0"/>
      <w:spacing w:before="200"/>
      <w:outlineLvl w:val="1"/>
    </w:pPr>
    <w:rPr>
      <w:rFonts w:ascii="Calibri" w:eastAsia="SimSun" w:hAnsi="Calibri" w:cs="SimSun"/>
      <w:b/>
      <w:bCs/>
      <w:color w:val="4F81BD"/>
      <w:sz w:val="28"/>
      <w:szCs w:val="28"/>
    </w:rPr>
  </w:style>
  <w:style w:type="paragraph" w:customStyle="1" w:styleId="Heading10">
    <w:name w:val="&quot;Heading 1&quot;"/>
    <w:basedOn w:val="Normal"/>
    <w:qFormat/>
    <w:pPr>
      <w:keepNext/>
      <w:keepLines/>
      <w:widowControl w:val="0"/>
      <w:spacing w:before="480"/>
      <w:outlineLvl w:val="0"/>
    </w:pPr>
    <w:rPr>
      <w:rFonts w:ascii="Calibri" w:eastAsia="SimSun" w:hAnsi="Calibri" w:cs="SimSun"/>
      <w:b/>
      <w:bCs/>
      <w:color w:val="4F81BD"/>
      <w:sz w:val="32"/>
      <w:szCs w:val="32"/>
    </w:rPr>
  </w:style>
  <w:style w:type="paragraph" w:customStyle="1" w:styleId="FirstParagraph">
    <w:name w:val="&quot;First Paragraph&quot;"/>
    <w:basedOn w:val="BodyText"/>
    <w:qFormat/>
  </w:style>
  <w:style w:type="paragraph" w:customStyle="1" w:styleId="Heading40">
    <w:name w:val="&quot;Heading 4&quot;"/>
    <w:basedOn w:val="Normal"/>
    <w:qFormat/>
    <w:pPr>
      <w:keepNext/>
      <w:keepLines/>
      <w:widowControl w:val="0"/>
      <w:spacing w:before="200"/>
      <w:outlineLvl w:val="3"/>
    </w:pPr>
    <w:rPr>
      <w:rFonts w:ascii="Calibri" w:eastAsia="SimSun" w:hAnsi="Calibri" w:cs="SimSun"/>
      <w:i/>
      <w:iCs/>
      <w:color w:val="4F81BD"/>
    </w:rPr>
  </w:style>
  <w:style w:type="paragraph" w:customStyle="1" w:styleId="Heading30">
    <w:name w:val="&quot;Heading 3&quot;"/>
    <w:basedOn w:val="Normal"/>
    <w:qFormat/>
    <w:pPr>
      <w:keepNext/>
      <w:keepLines/>
      <w:widowControl w:val="0"/>
      <w:spacing w:before="200"/>
      <w:outlineLvl w:val="2"/>
    </w:pPr>
    <w:rPr>
      <w:rFonts w:ascii="Calibri" w:eastAsia="SimSun" w:hAnsi="Calibri" w:cs="SimSun"/>
      <w:b/>
      <w:bCs/>
      <w:color w:val="4F81BD"/>
    </w:rPr>
  </w:style>
  <w:style w:type="paragraph" w:customStyle="1" w:styleId="SourceCode">
    <w:name w:val="&quot;Source Code&quot;"/>
    <w:basedOn w:val="Normal"/>
    <w:pPr>
      <w:wordWrap w:val="0"/>
    </w:pPr>
    <w:rPr>
      <w:rFonts w:ascii="Times New Roman" w:eastAsia="SimSun" w:hAnsi="Times New Roman" w:cs="Times New Roman"/>
      <w:sz w:val="21"/>
    </w:rPr>
  </w:style>
  <w:style w:type="paragraph" w:styleId="Header">
    <w:name w:val="header"/>
    <w:basedOn w:val="Normal"/>
    <w:link w:val="HeaderChar"/>
    <w:uiPriority w:val="99"/>
    <w:unhideWhenUsed/>
    <w:rsid w:val="00042E4E"/>
    <w:pPr>
      <w:tabs>
        <w:tab w:val="center" w:pos="4680"/>
        <w:tab w:val="right" w:pos="9360"/>
      </w:tabs>
    </w:pPr>
  </w:style>
  <w:style w:type="character" w:customStyle="1" w:styleId="HeaderChar">
    <w:name w:val="Header Char"/>
    <w:basedOn w:val="DefaultParagraphFont"/>
    <w:link w:val="Header"/>
    <w:uiPriority w:val="99"/>
    <w:rsid w:val="00042E4E"/>
  </w:style>
  <w:style w:type="paragraph" w:styleId="Footer">
    <w:name w:val="footer"/>
    <w:basedOn w:val="Normal"/>
    <w:link w:val="FooterChar"/>
    <w:uiPriority w:val="99"/>
    <w:unhideWhenUsed/>
    <w:rsid w:val="00042E4E"/>
    <w:pPr>
      <w:tabs>
        <w:tab w:val="center" w:pos="4680"/>
        <w:tab w:val="right" w:pos="9360"/>
      </w:tabs>
    </w:pPr>
  </w:style>
  <w:style w:type="character" w:customStyle="1" w:styleId="FooterChar">
    <w:name w:val="Footer Char"/>
    <w:basedOn w:val="DefaultParagraphFont"/>
    <w:link w:val="Footer"/>
    <w:uiPriority w:val="99"/>
    <w:rsid w:val="0004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22</Pages>
  <Words>8353</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TAOFIQ YUSUFF</cp:lastModifiedBy>
  <cp:revision>17</cp:revision>
  <dcterms:created xsi:type="dcterms:W3CDTF">2026-02-16T13:38:00Z</dcterms:created>
  <dcterms:modified xsi:type="dcterms:W3CDTF">2026-04-08T04:12:00Z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814a81318fa04797bf32a92e9d7fd6ca</vt:lpwstr>
  </property>
</Properties>
</file>