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D67FA" w14:textId="77777777" w:rsidR="001E64AB" w:rsidRDefault="001D4C77">
      <w:pPr>
        <w:pStyle w:val="Heading11"/>
        <w:jc w:val="both"/>
        <w:rPr>
          <w:color w:val="000000"/>
        </w:rPr>
      </w:pPr>
      <w:r>
        <w:rPr>
          <w:color w:val="000000"/>
        </w:rPr>
        <w:t>Community-Based Interventions for the Prevention of Diabetes and Hypertension: A Population Health Perspective</w:t>
      </w:r>
    </w:p>
    <w:p w14:paraId="57155A0B" w14:textId="77777777" w:rsidR="00E74343" w:rsidRDefault="00E74343">
      <w:pPr>
        <w:pStyle w:val="BodyText"/>
        <w:jc w:val="both"/>
        <w:rPr>
          <w:b/>
          <w:bCs/>
          <w:color w:val="000000"/>
          <w:sz w:val="28"/>
          <w:szCs w:val="28"/>
        </w:rPr>
      </w:pPr>
    </w:p>
    <w:p w14:paraId="0C307A21" w14:textId="77777777" w:rsidR="00E74343" w:rsidRPr="00E74343" w:rsidRDefault="00E74343">
      <w:pPr>
        <w:pStyle w:val="BodyText"/>
        <w:jc w:val="both"/>
        <w:rPr>
          <w:b/>
          <w:bCs/>
          <w:color w:val="000000"/>
        </w:rPr>
      </w:pPr>
    </w:p>
    <w:p w14:paraId="34B17C16" w14:textId="77777777" w:rsidR="001E64AB" w:rsidRDefault="001D4C77">
      <w:pPr>
        <w:pStyle w:val="Heading21"/>
        <w:jc w:val="both"/>
        <w:rPr>
          <w:color w:val="000000"/>
        </w:rPr>
      </w:pPr>
      <w:bookmarkStart w:id="0" w:name="X25ecf65006ef08eea8d897e0b79af3e3c7cc706"/>
      <w:r>
        <w:rPr>
          <w:color w:val="000000"/>
        </w:rPr>
        <w:t>1. ABSTRACT</w:t>
      </w:r>
    </w:p>
    <w:p w14:paraId="17F22998" w14:textId="77777777" w:rsidR="001E64AB" w:rsidRDefault="001D4C77">
      <w:pPr>
        <w:pStyle w:val="Heading31"/>
        <w:jc w:val="both"/>
        <w:rPr>
          <w:color w:val="000000"/>
        </w:rPr>
      </w:pPr>
      <w:bookmarkStart w:id="1" w:name="background"/>
      <w:r>
        <w:rPr>
          <w:color w:val="000000"/>
        </w:rPr>
        <w:t>Background</w:t>
      </w:r>
      <w:bookmarkStart w:id="2" w:name="conclusions"/>
      <w:bookmarkEnd w:id="1"/>
    </w:p>
    <w:p w14:paraId="16EED228" w14:textId="77777777" w:rsidR="00853B98" w:rsidRDefault="001D4C77">
      <w:pPr>
        <w:pStyle w:val="BodyText"/>
        <w:jc w:val="both"/>
      </w:pPr>
      <w:r>
        <w:t xml:space="preserve">Diabetes and hypertension are the main causes of mortality and morbidity in the world, and they have great public health and economic impacts. </w:t>
      </w:r>
      <w:r w:rsidR="00853B98" w:rsidRPr="00853B98">
        <w:rPr>
          <w:highlight w:val="yellow"/>
        </w:rPr>
        <w:t>Community-based interventions represent a promising population-level strategy for preventing these conditions; however, evidence regarding their effectiveness has been inconsistently synthesized in the literature.</w:t>
      </w:r>
    </w:p>
    <w:p w14:paraId="66716E23" w14:textId="07B71D61" w:rsidR="001E64AB" w:rsidRDefault="001D4C77">
      <w:pPr>
        <w:pStyle w:val="BodyText"/>
        <w:jc w:val="both"/>
        <w:rPr>
          <w:b/>
          <w:bCs/>
          <w:color w:val="000000"/>
        </w:rPr>
      </w:pPr>
      <w:r>
        <w:rPr>
          <w:b/>
          <w:bCs/>
          <w:color w:val="000000"/>
        </w:rPr>
        <w:t>Objectives</w:t>
      </w:r>
    </w:p>
    <w:p w14:paraId="289B2675" w14:textId="77777777" w:rsidR="001E64AB" w:rsidRDefault="001D4C77">
      <w:pPr>
        <w:pStyle w:val="BodyText"/>
        <w:jc w:val="both"/>
      </w:pPr>
      <w:r>
        <w:t>The purpose of this systematic review was to synthesize the evidence regarding the effectiveness of community-based interventions in the primary prevention of type 2 diabetes and hypertension, determine factors of intervention implementation that influence the success of the implementation, and determine their potential in meeting health equity issues.</w:t>
      </w:r>
    </w:p>
    <w:p w14:paraId="631F2600" w14:textId="77777777" w:rsidR="001E64AB" w:rsidRDefault="001D4C77">
      <w:pPr>
        <w:pStyle w:val="BodyText"/>
        <w:jc w:val="both"/>
        <w:rPr>
          <w:b/>
          <w:bCs/>
          <w:color w:val="000000"/>
        </w:rPr>
      </w:pPr>
      <w:r>
        <w:rPr>
          <w:b/>
          <w:bCs/>
          <w:color w:val="000000"/>
        </w:rPr>
        <w:t>Methods</w:t>
      </w:r>
    </w:p>
    <w:p w14:paraId="3D01C37D" w14:textId="77777777" w:rsidR="001E64AB" w:rsidRDefault="001D4C77">
      <w:pPr>
        <w:pStyle w:val="BodyText"/>
        <w:jc w:val="both"/>
      </w:pPr>
      <w:r>
        <w:t xml:space="preserve">Systematic review was done in line with PRISMA guidelines. Electronic databases </w:t>
      </w:r>
      <w:proofErr w:type="gramStart"/>
      <w:r>
        <w:t>( PubMed</w:t>
      </w:r>
      <w:proofErr w:type="gramEnd"/>
      <w:r>
        <w:t>, EMBASE, Web of Science and Cochrane Library) were conducted a search between January 2010 and December 2023. They were randomized controlled trials or quasi-experimental studies that assessed community-based interventions to prevent diabetes or hypertension. The Cochrane Risk of Bias tool was used to evaluate the quality of the study. Narrative synthesis and meta-analytical methods were used to synthesize data where viable.</w:t>
      </w:r>
    </w:p>
    <w:p w14:paraId="07B5650F" w14:textId="77777777" w:rsidR="001E64AB" w:rsidRDefault="001D4C77">
      <w:pPr>
        <w:pStyle w:val="BodyText"/>
        <w:jc w:val="both"/>
        <w:rPr>
          <w:b/>
          <w:bCs/>
          <w:color w:val="000000"/>
        </w:rPr>
      </w:pPr>
      <w:r>
        <w:rPr>
          <w:b/>
          <w:bCs/>
          <w:color w:val="000000"/>
        </w:rPr>
        <w:t>Results</w:t>
      </w:r>
    </w:p>
    <w:p w14:paraId="54F2B156" w14:textId="77777777" w:rsidR="001E64AB" w:rsidRDefault="001D4C77">
      <w:pPr>
        <w:pStyle w:val="BodyText"/>
        <w:jc w:val="both"/>
      </w:pPr>
      <w:r>
        <w:t>The inclusion criteria were 42 studies that had more than 85,000 participants in different geographical and socioeconomic settings. Community based interventions resulted in small yet clinically significant changes in systolic blood pressure (mean difference: -3.5 mmHg; 95% CI: -5.2, -1.8) and in Fasting glucose (mean difference: -2.1 mg/dL; 95% CI: -3.4, -0.8). Interventions that were multicomponent, which included education, physical activity promotion and dietary modification were more effective compared to single-component interventions. Community involvement, cultural adaptation and long-term funding were linked to implementation success to a large extent. Interventions were shown to be of varied effectiveness in diverse socioeconomic and ethnic groups, and there is little evidence of the equitable outcome of the interventions.</w:t>
      </w:r>
    </w:p>
    <w:p w14:paraId="7D8A159E" w14:textId="77777777" w:rsidR="001E64AB" w:rsidRDefault="001D4C77">
      <w:pPr>
        <w:pStyle w:val="BodyText"/>
        <w:jc w:val="both"/>
        <w:rPr>
          <w:b/>
          <w:bCs/>
        </w:rPr>
      </w:pPr>
      <w:r>
        <w:rPr>
          <w:b/>
          <w:bCs/>
        </w:rPr>
        <w:lastRenderedPageBreak/>
        <w:t>Conclusions</w:t>
      </w:r>
    </w:p>
    <w:p w14:paraId="76C074EC" w14:textId="77777777" w:rsidR="002F11EB" w:rsidRDefault="002F11EB">
      <w:pPr>
        <w:pStyle w:val="BodyText"/>
        <w:jc w:val="both"/>
      </w:pPr>
      <w:r w:rsidRPr="002F11EB">
        <w:rPr>
          <w:highlight w:val="yellow"/>
        </w:rPr>
        <w:t>The prevention of type 2 diabetes and hypertension by community-based interventions can be effectively done, but the effectiveness is moderate and is heavily dependent on the quality of implementation and the context. The findings directly respond to the objectives of the review: multicomponent interventions are superior to single-component interventions, the quality of implementation is a moderating variable, and there are still significant health equity disparities. Effectiveness-implementation hybrid trials, more intensive community involvement, and more rigorous health equity measurement should be prioritized in future research.</w:t>
      </w:r>
    </w:p>
    <w:p w14:paraId="15AEAB87" w14:textId="2981E1CE" w:rsidR="001E64AB" w:rsidRDefault="001D4C77">
      <w:pPr>
        <w:pStyle w:val="BodyText"/>
        <w:jc w:val="both"/>
      </w:pPr>
      <w:r>
        <w:rPr>
          <w:b/>
          <w:bCs/>
        </w:rPr>
        <w:t>keyword:</w:t>
      </w:r>
      <w:r>
        <w:t xml:space="preserve"> community-based interventions, diabetes prevention, hypertension prevention, primary prevention, health promotion, implementation science, systematic review.</w:t>
      </w:r>
    </w:p>
    <w:p w14:paraId="68F7153C" w14:textId="77777777" w:rsidR="001E64AB" w:rsidRDefault="00212251">
      <w:pPr>
        <w:jc w:val="both"/>
      </w:pPr>
      <w:r>
        <w:pict w14:anchorId="43100BFE">
          <v:rect id="1026" o:spid="_x0000_i1025" style="width:0;height:1.5pt;visibility:visible;mso-wrap-distance-left:0;mso-wrap-distance-right:0" o:hralign="center" o:hrstd="t" o:hr="t"/>
        </w:pict>
      </w:r>
    </w:p>
    <w:p w14:paraId="69F68BAA" w14:textId="77777777" w:rsidR="001E64AB" w:rsidRDefault="001D4C77">
      <w:pPr>
        <w:pStyle w:val="Heading21"/>
        <w:jc w:val="both"/>
        <w:rPr>
          <w:color w:val="000000"/>
        </w:rPr>
      </w:pPr>
      <w:bookmarkStart w:id="3" w:name="X74ff3c5b426ea4934f6130e9386346ce5379550"/>
      <w:bookmarkEnd w:id="0"/>
      <w:bookmarkEnd w:id="2"/>
      <w:r>
        <w:rPr>
          <w:color w:val="000000"/>
        </w:rPr>
        <w:t>2. INTRODUCTION</w:t>
      </w:r>
    </w:p>
    <w:p w14:paraId="3258F60A" w14:textId="77777777" w:rsidR="001E64AB" w:rsidRDefault="001D4C77">
      <w:pPr>
        <w:pStyle w:val="Heading31"/>
        <w:jc w:val="both"/>
        <w:rPr>
          <w:color w:val="000000"/>
        </w:rPr>
      </w:pPr>
      <w:bookmarkStart w:id="4" w:name="Xc268d3910c84994ac3115ee8de34e4bab77ada8"/>
      <w:r>
        <w:rPr>
          <w:color w:val="000000"/>
        </w:rPr>
        <w:t>2.1 Global Burden of Diabetes and Hypertension</w:t>
      </w:r>
    </w:p>
    <w:p w14:paraId="59762DBE" w14:textId="25F3CB26" w:rsidR="002033C6" w:rsidRPr="002033C6" w:rsidRDefault="001D4C77">
      <w:pPr>
        <w:pStyle w:val="BodyText"/>
        <w:jc w:val="both"/>
      </w:pPr>
      <w:r>
        <w:t xml:space="preserve">Diabetes type 2 and hypertension are among the most common chronic diseases in the global population, and their effects can be significant to human health and health care systems. </w:t>
      </w:r>
      <w:r w:rsidR="002033C6" w:rsidRPr="002033C6">
        <w:rPr>
          <w:highlight w:val="yellow"/>
        </w:rPr>
        <w:t>The global prevalence of diabetes has risen sharply, with 537 million adults (10.5% of those aged 20–79 years) currently living with the condition; this figure is projected to reach 853 million by 2050 (International Diabetes Federation, 2023). In the United States alone, over 37 million individuals</w:t>
      </w:r>
      <w:r w:rsidR="002033C6">
        <w:rPr>
          <w:highlight w:val="yellow"/>
        </w:rPr>
        <w:t xml:space="preserve"> </w:t>
      </w:r>
      <w:r w:rsidR="002033C6" w:rsidRPr="002033C6">
        <w:rPr>
          <w:highlight w:val="yellow"/>
        </w:rPr>
        <w:t>approximately 90–95% of whom have type 2 diabetes are currently affected (Centers for Disease Control and Prevention, 2022).</w:t>
      </w:r>
    </w:p>
    <w:p w14:paraId="4E4D8249" w14:textId="12C2E274" w:rsidR="001E64AB" w:rsidRDefault="001D4C77">
      <w:pPr>
        <w:pStyle w:val="BodyText"/>
        <w:jc w:val="both"/>
      </w:pPr>
      <w:r>
        <w:t xml:space="preserve">Hypertension has been the commonest risk factor that is modifiable to cause cardiovascular disease in the world. According to the estimates provided by the World Health Organization, it is estimated that 1.28 billion adults aged between 30-79 years old have hypertension all over the world, but only 42% of them are diagnosed, and only 21% of them have their blood pressure controlled to the target levels (World Health Organization, 2021). </w:t>
      </w:r>
      <w:r w:rsidR="003821DC" w:rsidRPr="003821DC">
        <w:rPr>
          <w:highlight w:val="yellow"/>
        </w:rPr>
        <w:t>The burden of hypertension is inequitably distributed, with low- and middle-income countries disproportionately affected</w:t>
      </w:r>
      <w:r>
        <w:t xml:space="preserve"> by the disease, with nearly 40 percent of all deaths and 17 percent of life-years lost among them (Lim et al., 2012).</w:t>
      </w:r>
    </w:p>
    <w:p w14:paraId="335CB8DF" w14:textId="0E58AE7C" w:rsidR="00BC50C9" w:rsidRDefault="001D4C77" w:rsidP="00BC50C9">
      <w:pPr>
        <w:spacing w:before="60" w:after="60"/>
        <w:jc w:val="both"/>
      </w:pPr>
      <w:r>
        <w:t xml:space="preserve">The common risk factors of both of the conditions are also physical inactivity, unhealthy diet, overweight and obesity, and harmful alcohol use (World Health Organization, 2014). </w:t>
      </w:r>
      <w:r w:rsidR="003821DC" w:rsidRPr="00E13E4E">
        <w:rPr>
          <w:highlight w:val="yellow"/>
        </w:rPr>
        <w:t>Moreover, these conditions frequently co-occur: approximately half of individuals with diabetes also have hypertension, compounding cardiovascular risk substantially</w:t>
      </w:r>
      <w:r w:rsidR="003821DC">
        <w:t xml:space="preserve"> </w:t>
      </w:r>
      <w:r>
        <w:t xml:space="preserve">(Cheung &amp; Mohanty, 2012). </w:t>
      </w:r>
      <w:bookmarkStart w:id="5" w:name="X40ab17d0da21c09a19fbb4fe7d5384887ab4e3e"/>
      <w:bookmarkEnd w:id="4"/>
      <w:r w:rsidR="00BC50C9" w:rsidRPr="00BC50C9">
        <w:t xml:space="preserve">The economic impact is enormous: diabetes imposes the United States with </w:t>
      </w:r>
      <w:r w:rsidR="00BC50C9">
        <w:t xml:space="preserve">annual </w:t>
      </w:r>
      <w:r w:rsidR="00BC50C9" w:rsidRPr="00BC50C9">
        <w:t xml:space="preserve">cost of about 412.9 billion in direct medical care and lost productivity, which is why the need to develop effective preventive measures at the population level is extremely high </w:t>
      </w:r>
      <w:r w:rsidR="00BC50C9" w:rsidRPr="00FA7D11">
        <w:rPr>
          <w:highlight w:val="yellow"/>
        </w:rPr>
        <w:t>(American Diabetes Association, 2023).</w:t>
      </w:r>
    </w:p>
    <w:p w14:paraId="7573BF75" w14:textId="77777777" w:rsidR="00BC50C9" w:rsidRDefault="00BC50C9" w:rsidP="00BC50C9">
      <w:pPr>
        <w:spacing w:before="60" w:after="60"/>
        <w:jc w:val="both"/>
        <w:rPr>
          <w:color w:val="000000"/>
        </w:rPr>
      </w:pPr>
    </w:p>
    <w:p w14:paraId="2E61BA25" w14:textId="43497E01" w:rsidR="001E64AB" w:rsidRPr="00BC50C9" w:rsidRDefault="001D4C77" w:rsidP="00BC50C9">
      <w:pPr>
        <w:spacing w:before="60" w:after="60"/>
        <w:jc w:val="both"/>
        <w:rPr>
          <w:b/>
          <w:bCs/>
          <w:color w:val="000000"/>
        </w:rPr>
      </w:pPr>
      <w:r w:rsidRPr="00BC50C9">
        <w:rPr>
          <w:b/>
          <w:bCs/>
          <w:color w:val="000000"/>
        </w:rPr>
        <w:lastRenderedPageBreak/>
        <w:t>2.2 Community-Based Interventions: Rationale and Theoretical Framework</w:t>
      </w:r>
    </w:p>
    <w:p w14:paraId="762EE765" w14:textId="77777777" w:rsidR="001E64AB" w:rsidRDefault="001D4C77">
      <w:pPr>
        <w:pStyle w:val="BodyText"/>
        <w:jc w:val="both"/>
      </w:pPr>
      <w:bookmarkStart w:id="6" w:name="X51a4f976cb8424ff385fd9f4160c11b902136ed"/>
      <w:bookmarkEnd w:id="5"/>
      <w:r>
        <w:t>Although there has been a significant improvement in clinical management of the disease, the prevention paradox whereby clinical treatments are of benefit to the individuals, yet may not have a significant effect on the population level demonstrates the importance of population-based prevention (Rose, 1985). Community-based interventions are a methodological strategy of managing disease prevention on the population level through upstream social, environmental and behavioral determinants of health.</w:t>
      </w:r>
    </w:p>
    <w:p w14:paraId="006FF240" w14:textId="3DAD07A2" w:rsidR="001E64AB" w:rsidRDefault="001D4C77">
      <w:pPr>
        <w:pStyle w:val="BodyText"/>
        <w:jc w:val="both"/>
      </w:pPr>
      <w:r>
        <w:t>Community-based interventions are characterized as the programs that are conducted in specific settings (schools, workplaces, primary care center, or neighborhoods) and are structured to facilitate the change in health behaviors and prevent disease (Victora et al., 2004). They are based on various theoretical frameworks such as the Social Ecological Model that acknowledges the dependence of individual, interpersonal, organizational and policy levels of factors in influencing health behaviors (McLeroy et al., 1988</w:t>
      </w:r>
      <w:r w:rsidR="006024D1">
        <w:t xml:space="preserve">; </w:t>
      </w:r>
      <w:r w:rsidR="006024D1" w:rsidRPr="00FA7D11">
        <w:rPr>
          <w:highlight w:val="yellow"/>
        </w:rPr>
        <w:t>Skivington et al., 2021)</w:t>
      </w:r>
      <w:r w:rsidRPr="006024D1">
        <w:t>.</w:t>
      </w:r>
      <w:r>
        <w:t xml:space="preserve"> Other applicable paradigms are the Diffusion of Innovations Theory, which describes the process of the introduction of innovations (healthy behavior) to communities (Rogers, 2003), and Implementation Science frameworks, which discuss the determinants of successful implementation of evidence into practice (Nilsen, 2015).</w:t>
      </w:r>
    </w:p>
    <w:p w14:paraId="61AD2BBC" w14:textId="7EB687B0" w:rsidR="001E64AB" w:rsidRDefault="001D4C77">
      <w:pPr>
        <w:pStyle w:val="BodyText"/>
        <w:jc w:val="both"/>
      </w:pPr>
      <w:r>
        <w:t>The argument behind the community-based approaches is based on a number of evidence-based tenets.</w:t>
      </w:r>
      <w:r w:rsidR="00A57E04">
        <w:t xml:space="preserve"> First and foremost</w:t>
      </w:r>
      <w:r>
        <w:t>, the socioecological determinants of health (neighborhood resources, built environment, food systems, and social capital) play an important role in determining the health behaviors and risk of chronic diseases in individuals (Marmot and Wilkinson, 2006</w:t>
      </w:r>
      <w:r w:rsidR="00A57E04">
        <w:t xml:space="preserve">; </w:t>
      </w:r>
      <w:r w:rsidR="00A57E04" w:rsidRPr="00A57E04">
        <w:t>Kivimäki et al., 2020</w:t>
      </w:r>
      <w:r w:rsidRPr="00A57E04">
        <w:t>).</w:t>
      </w:r>
      <w:r>
        <w:t xml:space="preserve"> Second, community-based interventions are able to reach a larger population than clinical interventions targeting individuals. Third, community-based methods have the ability to tap on the available community resources and interpersonal networks to facilitate behavior change in a culturally relevant way (Israel et al., 2003).</w:t>
      </w:r>
    </w:p>
    <w:p w14:paraId="4B73A4C3" w14:textId="77777777" w:rsidR="001E64AB" w:rsidRDefault="001D4C77">
      <w:pPr>
        <w:pStyle w:val="BodyText"/>
        <w:jc w:val="both"/>
        <w:rPr>
          <w:b/>
          <w:bCs/>
        </w:rPr>
      </w:pPr>
      <w:r>
        <w:rPr>
          <w:b/>
          <w:bCs/>
        </w:rPr>
        <w:t>2.3 Population health perspective</w:t>
      </w:r>
    </w:p>
    <w:p w14:paraId="2E84AD80" w14:textId="77777777" w:rsidR="001E64AB" w:rsidRDefault="001D4C77">
      <w:pPr>
        <w:pStyle w:val="BodyText"/>
        <w:jc w:val="both"/>
      </w:pPr>
      <w:r>
        <w:t>A population health approach focuses on the outcomes of the entire population, and not the mean effect of treatment, but acknowledges that health is not determined by simple interactions of biology, behavior, social relationships, and societal structures (Kindig and Stoddart, 2003). Such a view is especially applicable to chronic disease prevention since: (1) most of the chronic disease burden lies in individuals at low-to-moderate risk, (2) population-level factors (such as average body weight or blood pressure) are not good predictors of population outcomes, and (3) changes in population distributions of risk factors (such as average body weight or blood pressure) can lead to large decreases in disease rate.</w:t>
      </w:r>
    </w:p>
    <w:p w14:paraId="3300C71E" w14:textId="77777777" w:rsidR="001E64AB" w:rsidRDefault="001D4C77">
      <w:pPr>
        <w:pStyle w:val="BodyText"/>
        <w:jc w:val="both"/>
      </w:pPr>
      <w:r>
        <w:t xml:space="preserve">In this sense, community-based interventions have some unique benefits compared to highly clinical methods since they would address the whole population with the risk factors and not just the high-risk individuals. This solves </w:t>
      </w:r>
      <w:r>
        <w:lastRenderedPageBreak/>
        <w:t>the so called prevention paradox where it is found to be the case that the largest possible public health good in prevention programs can be achieved by making small risk reductions among the general population rather than the high-risk populations undergoing intensive interventions (Rose, 1985). Furthermore, the population health strategies focus on health equity, which is the ability of interventions to reach disadvantaged groups most in need and prevent unintentional increase of health gaps.</w:t>
      </w:r>
    </w:p>
    <w:p w14:paraId="3FE3858B" w14:textId="77777777" w:rsidR="001E64AB" w:rsidRDefault="001D4C77">
      <w:pPr>
        <w:pStyle w:val="Heading31"/>
        <w:jc w:val="both"/>
        <w:rPr>
          <w:color w:val="000000"/>
        </w:rPr>
      </w:pPr>
      <w:bookmarkStart w:id="7" w:name="X54bb480e73da0ea78824d809c71fa941f81e7d9"/>
      <w:bookmarkEnd w:id="6"/>
      <w:r>
        <w:rPr>
          <w:color w:val="000000"/>
        </w:rPr>
        <w:t>2.4 Objectives and Research Questions</w:t>
      </w:r>
    </w:p>
    <w:p w14:paraId="1686EF74" w14:textId="77777777" w:rsidR="001E64AB" w:rsidRDefault="001D4C77">
      <w:pPr>
        <w:pStyle w:val="Compact"/>
        <w:jc w:val="both"/>
      </w:pPr>
      <w:r>
        <w:t>The major aims of this systematic review are:</w:t>
      </w:r>
    </w:p>
    <w:p w14:paraId="519CF355" w14:textId="77777777" w:rsidR="001E64AB" w:rsidRDefault="001D4C77">
      <w:pPr>
        <w:pStyle w:val="Compact"/>
        <w:numPr>
          <w:ilvl w:val="0"/>
          <w:numId w:val="7"/>
        </w:numPr>
        <w:jc w:val="both"/>
      </w:pPr>
      <w:r>
        <w:t>To conduct the synthesis of evidence of the effectiveness of community-based interventions in primary prevention of type 2 diabetes and hypertension.</w:t>
      </w:r>
    </w:p>
    <w:p w14:paraId="0D2FD495" w14:textId="77777777" w:rsidR="001E64AB" w:rsidRDefault="001D4C77">
      <w:pPr>
        <w:pStyle w:val="Compact"/>
        <w:numPr>
          <w:ilvl w:val="0"/>
          <w:numId w:val="7"/>
        </w:numPr>
        <w:jc w:val="both"/>
      </w:pPr>
      <w:r>
        <w:t>To determine and define the elements of intervention and models of delivery that are linked to higher effectiveness.</w:t>
      </w:r>
    </w:p>
    <w:p w14:paraId="7EFAFD4A" w14:textId="77777777" w:rsidR="001E64AB" w:rsidRDefault="001D4C77">
      <w:pPr>
        <w:pStyle w:val="Compact"/>
        <w:numPr>
          <w:ilvl w:val="0"/>
          <w:numId w:val="7"/>
        </w:numPr>
        <w:jc w:val="both"/>
      </w:pPr>
      <w:r>
        <w:t>To test the extent to which interventions reach populations and fulfill the health equity issues.</w:t>
      </w:r>
    </w:p>
    <w:p w14:paraId="7DD403AE" w14:textId="77777777" w:rsidR="001E64AB" w:rsidRDefault="001D4C77">
      <w:pPr>
        <w:pStyle w:val="Compact"/>
        <w:numPr>
          <w:ilvl w:val="0"/>
          <w:numId w:val="7"/>
        </w:numPr>
        <w:jc w:val="both"/>
      </w:pPr>
      <w:r>
        <w:t>To determine the implementation factors (community engagement strategies, cultural adaptation, and sustainability mechanisms) that are related to the success of the interventions.</w:t>
      </w:r>
    </w:p>
    <w:p w14:paraId="499E1788" w14:textId="77777777" w:rsidR="001E64AB" w:rsidRDefault="001D4C77">
      <w:pPr>
        <w:pStyle w:val="Compact"/>
        <w:numPr>
          <w:ilvl w:val="0"/>
          <w:numId w:val="7"/>
        </w:numPr>
        <w:jc w:val="both"/>
      </w:pPr>
      <w:r>
        <w:t>In order to measure the usefulness and applicability of interventions in various geographic, socioeconomic, and ethnic settings.</w:t>
      </w:r>
    </w:p>
    <w:p w14:paraId="50F996D8" w14:textId="77777777" w:rsidR="001E64AB" w:rsidRDefault="001D4C77">
      <w:pPr>
        <w:pStyle w:val="Compact"/>
        <w:jc w:val="both"/>
      </w:pPr>
      <w:r>
        <w:t>The following research questions were used to conduct the review:</w:t>
      </w:r>
    </w:p>
    <w:p w14:paraId="121CBF87" w14:textId="77777777" w:rsidR="001E64AB" w:rsidRDefault="001D4C77">
      <w:pPr>
        <w:pStyle w:val="Compact"/>
        <w:numPr>
          <w:ilvl w:val="0"/>
          <w:numId w:val="8"/>
        </w:numPr>
        <w:jc w:val="both"/>
      </w:pPr>
      <w:r>
        <w:t>What community-based intervention paradigms prove useful in the prevention of type 2 diabetes and/or hypertension?</w:t>
      </w:r>
    </w:p>
    <w:p w14:paraId="73EC5676" w14:textId="77777777" w:rsidR="001E64AB" w:rsidRDefault="001D4C77">
      <w:pPr>
        <w:pStyle w:val="Compact"/>
        <w:numPr>
          <w:ilvl w:val="0"/>
          <w:numId w:val="8"/>
        </w:numPr>
        <w:jc w:val="both"/>
      </w:pPr>
      <w:r>
        <w:t>What intervention elements are the most effective to alter the behavioral risk factors (physical activity, diet, weight, blood pressure, glucose) at the population level?</w:t>
      </w:r>
    </w:p>
    <w:p w14:paraId="4CBDE474" w14:textId="77777777" w:rsidR="001E64AB" w:rsidRDefault="001D4C77">
      <w:pPr>
        <w:pStyle w:val="Compact"/>
        <w:numPr>
          <w:ilvl w:val="0"/>
          <w:numId w:val="8"/>
        </w:numPr>
        <w:jc w:val="both"/>
      </w:pPr>
      <w:r>
        <w:t>Which implementation strategies can be used to make community-based interventions more effective, more reaching, and most sustainable?</w:t>
      </w:r>
    </w:p>
    <w:p w14:paraId="2BF20C16" w14:textId="77777777" w:rsidR="001E64AB" w:rsidRDefault="001D4C77">
      <w:pPr>
        <w:pStyle w:val="Compact"/>
        <w:numPr>
          <w:ilvl w:val="0"/>
          <w:numId w:val="8"/>
        </w:numPr>
        <w:jc w:val="both"/>
      </w:pPr>
      <w:r>
        <w:t>Is there fair effectiveness of interventions in diverse socioeconomic and racial/ethnic groups?</w:t>
      </w:r>
    </w:p>
    <w:p w14:paraId="7FC66894" w14:textId="77777777" w:rsidR="001E64AB" w:rsidRDefault="001D4C77">
      <w:pPr>
        <w:pStyle w:val="Compact"/>
        <w:numPr>
          <w:ilvl w:val="0"/>
          <w:numId w:val="8"/>
        </w:numPr>
        <w:jc w:val="both"/>
      </w:pPr>
      <w:r>
        <w:t>What are some of the contextual and organizational issues that impact the success of interventions in a variety of settings?</w:t>
      </w:r>
    </w:p>
    <w:p w14:paraId="79A6E5A1" w14:textId="77777777" w:rsidR="001E64AB" w:rsidRDefault="001E64AB">
      <w:pPr>
        <w:pStyle w:val="Compact"/>
        <w:jc w:val="both"/>
      </w:pPr>
    </w:p>
    <w:p w14:paraId="12C45909" w14:textId="77777777" w:rsidR="001E64AB" w:rsidRDefault="00212251">
      <w:pPr>
        <w:jc w:val="both"/>
      </w:pPr>
      <w:r>
        <w:pict w14:anchorId="59A8F5A0">
          <v:rect id="1027" o:spid="_x0000_i1026" style="width:0;height:1.5pt;visibility:visible;mso-wrap-distance-left:0;mso-wrap-distance-right:0" o:hralign="center" o:hrstd="t" o:hr="t"/>
        </w:pict>
      </w:r>
    </w:p>
    <w:p w14:paraId="11987860" w14:textId="77777777" w:rsidR="001E64AB" w:rsidRDefault="001D4C77">
      <w:pPr>
        <w:pStyle w:val="Heading21"/>
        <w:jc w:val="both"/>
        <w:rPr>
          <w:color w:val="000000"/>
        </w:rPr>
      </w:pPr>
      <w:bookmarkStart w:id="8" w:name="X167a2da0345881bf36eef0606d50b1063a572d3"/>
      <w:bookmarkEnd w:id="3"/>
      <w:bookmarkEnd w:id="7"/>
      <w:r>
        <w:rPr>
          <w:color w:val="000000"/>
        </w:rPr>
        <w:t>3. METHODS</w:t>
      </w:r>
    </w:p>
    <w:p w14:paraId="214EC701" w14:textId="77777777" w:rsidR="001E64AB" w:rsidRDefault="001D4C77">
      <w:pPr>
        <w:pStyle w:val="Heading31"/>
        <w:jc w:val="both"/>
        <w:rPr>
          <w:color w:val="000000"/>
        </w:rPr>
      </w:pPr>
      <w:bookmarkStart w:id="9" w:name="X4e4dbd6cff44b238e77e71d2031584c9f75a698"/>
      <w:r>
        <w:rPr>
          <w:color w:val="000000"/>
        </w:rPr>
        <w:t>3.1 Protocol and Registration</w:t>
      </w:r>
    </w:p>
    <w:p w14:paraId="663539D1" w14:textId="77777777" w:rsidR="001E64AB" w:rsidRDefault="001D4C77">
      <w:pPr>
        <w:pStyle w:val="BodyText"/>
        <w:jc w:val="both"/>
      </w:pPr>
      <w:r>
        <w:t xml:space="preserve">The systematic review was done in compliance with the guidelines of the Preferred Reporting Items of Systematic Reviews and Meta-Analyses (PRISMA) 2020 guidelines (Page et al., 2021). The study had been prospectively registered with the International Prospective Register of Systematic Reviews (PROSPERO) before the study was selected (registration number: CRD42023XXXXXX). There were preset eligibility criteria, a search strategy, data extraction, and analysis in </w:t>
      </w:r>
      <w:r>
        <w:lastRenderedPageBreak/>
        <w:t>the review protocol. All breakages of the protocol are reported and explained in the results section.</w:t>
      </w:r>
    </w:p>
    <w:p w14:paraId="22F7F991" w14:textId="77777777" w:rsidR="001E64AB" w:rsidRDefault="001D4C77">
      <w:pPr>
        <w:pStyle w:val="Heading31"/>
        <w:jc w:val="both"/>
        <w:rPr>
          <w:color w:val="000000"/>
        </w:rPr>
      </w:pPr>
      <w:bookmarkStart w:id="10" w:name="Xf49b1001875e6f5c1288e5ccaf2c4357b3b1e5e"/>
      <w:bookmarkEnd w:id="9"/>
      <w:r>
        <w:rPr>
          <w:color w:val="000000"/>
        </w:rPr>
        <w:t>3.2 Search Strategy</w:t>
      </w:r>
    </w:p>
    <w:p w14:paraId="1E2E0612" w14:textId="77777777" w:rsidR="001E64AB" w:rsidRDefault="001D4C77">
      <w:pPr>
        <w:pStyle w:val="BodyText"/>
        <w:jc w:val="both"/>
      </w:pPr>
      <w:r>
        <w:t>A detailed search plan was created with the help of a research librarian and was done in four large databases, such as PubMed (including MEDLINE), EMBASE, Web of Science, and Cochrane Central Register of Controlled Trials (CENTRAL). A search strategy comprising of both subject headings (Medical Subject Headings [</w:t>
      </w:r>
      <w:proofErr w:type="spellStart"/>
      <w:r>
        <w:t>MeSH</w:t>
      </w:r>
      <w:proofErr w:type="spellEnd"/>
      <w:r>
        <w:t>] in PubMed) and keywords was used to find the literature. The main searching query included six concept blocks (1) population/setting (community-based, community health, community programs, primary care, workplace, school); (2) interventions (health promotion, education, lifestyle intervention, physical activity, dietary intervention); and (3) outcomes (diabetes prevention, hypertension prevention, blood pressure, glucose, metabolic outcomes).</w:t>
      </w:r>
    </w:p>
    <w:p w14:paraId="66ABA492" w14:textId="77777777" w:rsidR="001E64AB" w:rsidRDefault="001D4C77">
      <w:pPr>
        <w:pStyle w:val="BodyText"/>
        <w:jc w:val="both"/>
      </w:pPr>
      <w:r>
        <w:t>In Appendix A, the entire search plan of PubMed is displayed. Only publications in English were searched (since January 1, 2010, to December 31, 2023). This period was chosen as it is to include modern interventions that are current evidence-based and in practice but small enough to manage. Each database was searched based on a modified search strategy to meet the syntax and the controlled vocabulary of each database. Techniques used to track citation were done on included studies and relevant systematic reviews to get other eligible studies. The final 12 months of the search period were the period of hand-searching of major journals (</w:t>
      </w:r>
      <w:r>
        <w:rPr>
          <w:i/>
          <w:iCs/>
        </w:rPr>
        <w:t>Preventive Medicine, American Journal of Public Health, Health Education &amp; Behavior, Implementation Science</w:t>
      </w:r>
      <w:r>
        <w:t>).</w:t>
      </w:r>
    </w:p>
    <w:p w14:paraId="61D5728B" w14:textId="77777777" w:rsidR="001E64AB" w:rsidRDefault="001D4C77">
      <w:pPr>
        <w:pStyle w:val="Heading31"/>
        <w:jc w:val="both"/>
        <w:rPr>
          <w:color w:val="000000"/>
        </w:rPr>
      </w:pPr>
      <w:bookmarkStart w:id="11" w:name="X8bcb3b30c25cc836ab1d5eec1ee9ba2a95f480a"/>
      <w:bookmarkEnd w:id="10"/>
      <w:r>
        <w:rPr>
          <w:color w:val="000000"/>
        </w:rPr>
        <w:t>3.3 Eligibility Criteria</w:t>
      </w:r>
    </w:p>
    <w:p w14:paraId="549821DA" w14:textId="77777777" w:rsidR="001E64AB" w:rsidRDefault="001D4C77">
      <w:pPr>
        <w:pStyle w:val="FirstParagraph"/>
        <w:jc w:val="both"/>
      </w:pPr>
      <w:r>
        <w:rPr>
          <w:b/>
          <w:bCs/>
        </w:rPr>
        <w:t>Inclusion Criteria:</w:t>
      </w:r>
    </w:p>
    <w:p w14:paraId="1B93595D" w14:textId="7ED81554" w:rsidR="00E13E4E" w:rsidRDefault="001D4C77">
      <w:pPr>
        <w:pStyle w:val="BodyText"/>
        <w:jc w:val="both"/>
      </w:pPr>
      <w:r>
        <w:rPr>
          <w:i/>
          <w:iCs/>
        </w:rPr>
        <w:t xml:space="preserve">Population: </w:t>
      </w:r>
      <w:r>
        <w:t xml:space="preserve">Adults older than 18 years and not diagnosed with type 2 diabetes or hypertension (or prediabetes/elevated blood pressure) at baseline. </w:t>
      </w:r>
      <w:r w:rsidR="00E13E4E" w:rsidRPr="00E13E4E">
        <w:rPr>
          <w:highlight w:val="yellow"/>
        </w:rPr>
        <w:t>Studies that enrolled participants with existing diabetes or hypertension were included only if the focus was on secondary prevention or risk factor modification, rather than disease management.</w:t>
      </w:r>
    </w:p>
    <w:p w14:paraId="164FAE84" w14:textId="70F5AA4E" w:rsidR="001E64AB" w:rsidRDefault="001D4C77">
      <w:pPr>
        <w:pStyle w:val="BodyText"/>
        <w:jc w:val="both"/>
      </w:pPr>
      <w:r>
        <w:rPr>
          <w:i/>
          <w:iCs/>
        </w:rPr>
        <w:t>Intervention:</w:t>
      </w:r>
      <w:r>
        <w:t xml:space="preserve">  Community-based interventions that have clear goals to prevent or mitigate risk of type 2 diabetes and / or hypertension. The interventions should have been at community level (meaning at schools, work places, primary care clinics, community health centers, neighborhoods or any other non-hospital community based setting) and in the target case, it should have addressed the general population or at-risk groups in a given community. Interventions may be health education, lifestyle change (physical activity, diet change, weight control), policy/environment change, or all of these. The interventions might be provided at the population level, in groups or at the individual level.</w:t>
      </w:r>
    </w:p>
    <w:p w14:paraId="09E6AF09" w14:textId="77777777" w:rsidR="001E64AB" w:rsidRDefault="001D4C77">
      <w:pPr>
        <w:pStyle w:val="BodyText"/>
        <w:jc w:val="both"/>
      </w:pPr>
      <w:r>
        <w:rPr>
          <w:i/>
          <w:iCs/>
        </w:rPr>
        <w:t>Comparator:</w:t>
      </w:r>
      <w:r>
        <w:t xml:space="preserve"> Uptake care, common practice, minimal treatment, control of attention, or no treatment. Such studies which compared the various intensities or modalities of interventions were also embraced.</w:t>
      </w:r>
    </w:p>
    <w:p w14:paraId="71D59EC5" w14:textId="77777777" w:rsidR="001E64AB" w:rsidRDefault="001D4C77">
      <w:pPr>
        <w:pStyle w:val="BodyText"/>
        <w:jc w:val="both"/>
      </w:pPr>
      <w:r>
        <w:rPr>
          <w:i/>
          <w:iCs/>
        </w:rPr>
        <w:lastRenderedPageBreak/>
        <w:t xml:space="preserve">Outcomes: </w:t>
      </w:r>
      <w:r>
        <w:t>The main outcomes included (1) the incidence of type 2 diabetes or hypertension, (2) the proportion of participants who reached diabetes or hypertension remission or prevention, or (3) the transition of prediabetes/elevated blood pressure to diabetes/hypertension. Secondary outcomes comprised the changes in the intermediate risk factors: (1) systolic and diastolic blood pressure, (2) fasting glucose or glycated hemoglobin, (3) body weight or body mass index, (4) the level of physical activity, (5) the level of dietary intake and reached and participation rates.</w:t>
      </w:r>
    </w:p>
    <w:p w14:paraId="2B38D5BE" w14:textId="77777777" w:rsidR="001E64AB" w:rsidRDefault="001D4C77">
      <w:pPr>
        <w:pStyle w:val="BodyText"/>
        <w:jc w:val="both"/>
      </w:pPr>
      <w:r>
        <w:rPr>
          <w:i/>
          <w:iCs/>
        </w:rPr>
        <w:t>Study Design:</w:t>
      </w:r>
      <w:r>
        <w:t xml:space="preserve"> Randomized controlled trials (RCTs), cluster-randomized controlled trials (CRCTs), concurrent comparison groups in quasi-experimental study and matched comparison groups in before-and-after studies. Surveys and observational studies that lacked comparison group surveys were eliminated.</w:t>
      </w:r>
    </w:p>
    <w:p w14:paraId="3E6C9C56" w14:textId="77777777" w:rsidR="001E64AB" w:rsidRDefault="001D4C77">
      <w:pPr>
        <w:pStyle w:val="BodyText"/>
        <w:jc w:val="both"/>
      </w:pPr>
      <w:r>
        <w:rPr>
          <w:b/>
          <w:bCs/>
        </w:rPr>
        <w:t>Exclusion Criteria:</w:t>
      </w:r>
    </w:p>
    <w:p w14:paraId="67B65F90" w14:textId="77777777" w:rsidR="001E64AB" w:rsidRDefault="001D4C77">
      <w:pPr>
        <w:pStyle w:val="Compact"/>
        <w:numPr>
          <w:ilvl w:val="0"/>
          <w:numId w:val="3"/>
        </w:numPr>
        <w:jc w:val="both"/>
      </w:pPr>
      <w:r>
        <w:t>Interventions at the individual level (i.e., pharmacotherapy, intensive counseling in a clinical setting without community component)</w:t>
      </w:r>
    </w:p>
    <w:p w14:paraId="5A7D0CB9" w14:textId="77777777" w:rsidR="001E64AB" w:rsidRDefault="001D4C77">
      <w:pPr>
        <w:pStyle w:val="Compact"/>
        <w:numPr>
          <w:ilvl w:val="0"/>
          <w:numId w:val="3"/>
        </w:numPr>
        <w:jc w:val="both"/>
      </w:pPr>
      <w:r>
        <w:t>Interventions based in a hospital or purely clinical.</w:t>
      </w:r>
    </w:p>
    <w:p w14:paraId="0A5E0740" w14:textId="77777777" w:rsidR="001E64AB" w:rsidRDefault="001D4C77">
      <w:pPr>
        <w:pStyle w:val="Compact"/>
        <w:numPr>
          <w:ilvl w:val="0"/>
          <w:numId w:val="3"/>
        </w:numPr>
        <w:jc w:val="both"/>
      </w:pPr>
      <w:r>
        <w:t>Medical-specific interventions (e.g., management of kidney diseases, cardiovascular rehabilitation, etc.)</w:t>
      </w:r>
    </w:p>
    <w:p w14:paraId="5448E742" w14:textId="77777777" w:rsidR="001E64AB" w:rsidRDefault="001D4C77">
      <w:pPr>
        <w:pStyle w:val="Compact"/>
        <w:numPr>
          <w:ilvl w:val="0"/>
          <w:numId w:val="3"/>
        </w:numPr>
        <w:jc w:val="both"/>
      </w:pPr>
      <w:r>
        <w:t>The follow-up period of less than 3 months.</w:t>
      </w:r>
    </w:p>
    <w:p w14:paraId="0BDCB3FC" w14:textId="77777777" w:rsidR="001E64AB" w:rsidRDefault="001D4C77">
      <w:pPr>
        <w:pStyle w:val="Compact"/>
        <w:numPr>
          <w:ilvl w:val="0"/>
          <w:numId w:val="3"/>
        </w:numPr>
        <w:jc w:val="both"/>
      </w:pPr>
      <w:r>
        <w:t>Publications in other languages other than English.</w:t>
      </w:r>
    </w:p>
    <w:p w14:paraId="2CF17854" w14:textId="77777777" w:rsidR="001E64AB" w:rsidRDefault="001D4C77">
      <w:pPr>
        <w:pStyle w:val="Compact"/>
        <w:numPr>
          <w:ilvl w:val="0"/>
          <w:numId w:val="3"/>
        </w:numPr>
        <w:jc w:val="both"/>
      </w:pPr>
      <w:r>
        <w:t>Only children/adolescents (&lt;18 years) or only pregnant women were included.</w:t>
      </w:r>
    </w:p>
    <w:p w14:paraId="46A207AE" w14:textId="77777777" w:rsidR="001E64AB" w:rsidRDefault="001D4C77">
      <w:pPr>
        <w:pStyle w:val="Compact"/>
        <w:numPr>
          <w:ilvl w:val="0"/>
          <w:numId w:val="3"/>
        </w:numPr>
        <w:jc w:val="both"/>
      </w:pPr>
      <w:r>
        <w:t>The interventions involve the management of diabetes and hypertension alone (without a primary preventive aspect).</w:t>
      </w:r>
    </w:p>
    <w:p w14:paraId="510D7DE5" w14:textId="77777777" w:rsidR="001E64AB" w:rsidRDefault="001D4C77">
      <w:pPr>
        <w:pStyle w:val="Compact"/>
        <w:numPr>
          <w:ilvl w:val="0"/>
          <w:numId w:val="3"/>
        </w:numPr>
        <w:jc w:val="both"/>
      </w:pPr>
      <w:r>
        <w:t>Commentary articles, editorials, opinion articles, and case studies.</w:t>
      </w:r>
    </w:p>
    <w:p w14:paraId="0DA3924F" w14:textId="77777777" w:rsidR="001E64AB" w:rsidRDefault="001D4C77">
      <w:pPr>
        <w:pStyle w:val="Compact"/>
        <w:numPr>
          <w:ilvl w:val="0"/>
          <w:numId w:val="3"/>
        </w:numPr>
        <w:jc w:val="both"/>
      </w:pPr>
      <w:r>
        <w:t>Articles that had a sample size &lt;30 people.</w:t>
      </w:r>
    </w:p>
    <w:p w14:paraId="5730AB8D" w14:textId="77777777" w:rsidR="001E64AB" w:rsidRDefault="00212251">
      <w:pPr>
        <w:jc w:val="both"/>
      </w:pPr>
      <w:r>
        <w:pict w14:anchorId="41E3D99C">
          <v:rect id="1028" o:spid="_x0000_i1027" style="width:0;height:1.5pt;visibility:visible;mso-wrap-distance-left:0;mso-wrap-distance-right:0" o:hralign="center" o:hrstd="t" o:hr="t"/>
        </w:pict>
      </w:r>
    </w:p>
    <w:p w14:paraId="01322BAD" w14:textId="77777777" w:rsidR="001E64AB" w:rsidRDefault="001D4C77">
      <w:pPr>
        <w:pStyle w:val="Heading21"/>
        <w:jc w:val="both"/>
        <w:rPr>
          <w:color w:val="000000"/>
        </w:rPr>
      </w:pPr>
      <w:bookmarkStart w:id="12" w:name="table-1-eligibility-criteria-summary"/>
      <w:bookmarkEnd w:id="8"/>
      <w:bookmarkEnd w:id="11"/>
      <w:r>
        <w:rPr>
          <w:color w:val="000000"/>
        </w:rPr>
        <w:t>TABLE 1: ELIGIBILITY CRITERIA SUMMARY</w:t>
      </w:r>
    </w:p>
    <w:tbl>
      <w:tblPr>
        <w:tblStyle w:val="Table"/>
        <w:tblW w:w="0" w:type="auto"/>
        <w:tblLook w:val="0020" w:firstRow="1" w:lastRow="0" w:firstColumn="0" w:lastColumn="0" w:noHBand="0" w:noVBand="0"/>
      </w:tblPr>
      <w:tblGrid>
        <w:gridCol w:w="1619"/>
        <w:gridCol w:w="3390"/>
        <w:gridCol w:w="3513"/>
      </w:tblGrid>
      <w:tr w:rsidR="001E64AB" w14:paraId="2418658F" w14:textId="77777777" w:rsidTr="001E64AB">
        <w:trPr>
          <w:cnfStyle w:val="100000000000" w:firstRow="1" w:lastRow="0" w:firstColumn="0" w:lastColumn="0" w:oddVBand="0" w:evenVBand="0" w:oddHBand="0" w:evenHBand="0" w:firstRowFirstColumn="0" w:firstRowLastColumn="0" w:lastRowFirstColumn="0" w:lastRowLastColumn="0"/>
          <w:tblHeader/>
        </w:trPr>
        <w:tc>
          <w:tcPr>
            <w:tcW w:w="0" w:type="auto"/>
          </w:tcPr>
          <w:p w14:paraId="7CC22B17" w14:textId="77777777" w:rsidR="001E64AB" w:rsidRDefault="001D4C77">
            <w:pPr>
              <w:pStyle w:val="Compact"/>
              <w:jc w:val="both"/>
            </w:pPr>
            <w:r>
              <w:t>Criterion</w:t>
            </w:r>
          </w:p>
        </w:tc>
        <w:tc>
          <w:tcPr>
            <w:tcW w:w="0" w:type="auto"/>
          </w:tcPr>
          <w:p w14:paraId="3FFC07BE" w14:textId="77777777" w:rsidR="001E64AB" w:rsidRDefault="001D4C77">
            <w:pPr>
              <w:pStyle w:val="Compact"/>
              <w:jc w:val="both"/>
            </w:pPr>
            <w:r>
              <w:t>Inclusion</w:t>
            </w:r>
          </w:p>
        </w:tc>
        <w:tc>
          <w:tcPr>
            <w:tcW w:w="0" w:type="auto"/>
          </w:tcPr>
          <w:p w14:paraId="42C1E91A" w14:textId="77777777" w:rsidR="001E64AB" w:rsidRDefault="001D4C77">
            <w:pPr>
              <w:pStyle w:val="Compact"/>
              <w:jc w:val="both"/>
            </w:pPr>
            <w:r>
              <w:t>Exclusion</w:t>
            </w:r>
          </w:p>
        </w:tc>
      </w:tr>
      <w:tr w:rsidR="001E64AB" w14:paraId="5EE5DA91" w14:textId="77777777" w:rsidTr="001E64AB">
        <w:tc>
          <w:tcPr>
            <w:tcW w:w="0" w:type="auto"/>
          </w:tcPr>
          <w:p w14:paraId="56FCF3FE" w14:textId="77777777" w:rsidR="001E64AB" w:rsidRDefault="001D4C77">
            <w:pPr>
              <w:pStyle w:val="Compact"/>
              <w:jc w:val="both"/>
            </w:pPr>
            <w:r>
              <w:rPr>
                <w:b/>
                <w:bCs/>
              </w:rPr>
              <w:t>Population</w:t>
            </w:r>
          </w:p>
        </w:tc>
        <w:tc>
          <w:tcPr>
            <w:tcW w:w="0" w:type="auto"/>
          </w:tcPr>
          <w:p w14:paraId="41293755" w14:textId="77777777" w:rsidR="001E64AB" w:rsidRDefault="001D4C77">
            <w:pPr>
              <w:pStyle w:val="Compact"/>
              <w:jc w:val="both"/>
            </w:pPr>
            <w:r>
              <w:t>Adults ≥18 years without diabetes/HTN or with prediabetes/elevated BP</w:t>
            </w:r>
          </w:p>
        </w:tc>
        <w:tc>
          <w:tcPr>
            <w:tcW w:w="0" w:type="auto"/>
          </w:tcPr>
          <w:p w14:paraId="653C8C79" w14:textId="77777777" w:rsidR="001E64AB" w:rsidRDefault="001D4C77">
            <w:pPr>
              <w:pStyle w:val="Compact"/>
              <w:jc w:val="both"/>
            </w:pPr>
            <w:r>
              <w:t>Children/adolescents &lt;18 years; pregnant women exclusively; existing diagnosed diabetes/HTN without prevention focus</w:t>
            </w:r>
          </w:p>
        </w:tc>
      </w:tr>
      <w:tr w:rsidR="001E64AB" w14:paraId="088BB0FA" w14:textId="77777777" w:rsidTr="001E64AB">
        <w:tc>
          <w:tcPr>
            <w:tcW w:w="0" w:type="auto"/>
          </w:tcPr>
          <w:p w14:paraId="32FED9FF" w14:textId="77777777" w:rsidR="001E64AB" w:rsidRDefault="001D4C77">
            <w:pPr>
              <w:pStyle w:val="Compact"/>
              <w:jc w:val="both"/>
            </w:pPr>
            <w:r>
              <w:rPr>
                <w:b/>
                <w:bCs/>
              </w:rPr>
              <w:t>Intervention</w:t>
            </w:r>
          </w:p>
        </w:tc>
        <w:tc>
          <w:tcPr>
            <w:tcW w:w="0" w:type="auto"/>
          </w:tcPr>
          <w:p w14:paraId="75FDE5FF" w14:textId="77777777" w:rsidR="001E64AB" w:rsidRDefault="001D4C77">
            <w:pPr>
              <w:pStyle w:val="Compact"/>
              <w:jc w:val="both"/>
            </w:pPr>
            <w:r>
              <w:t>Community-based programs; health education; lifestyle modification; policy/environmental changes</w:t>
            </w:r>
          </w:p>
        </w:tc>
        <w:tc>
          <w:tcPr>
            <w:tcW w:w="0" w:type="auto"/>
          </w:tcPr>
          <w:p w14:paraId="286D6A17" w14:textId="77777777" w:rsidR="001E64AB" w:rsidRDefault="001D4C77">
            <w:pPr>
              <w:pStyle w:val="Compact"/>
              <w:jc w:val="both"/>
            </w:pPr>
            <w:r>
              <w:t>Hospital-based clinical interventions; pharmacotherapy alone; non-community settings</w:t>
            </w:r>
          </w:p>
        </w:tc>
      </w:tr>
      <w:tr w:rsidR="001E64AB" w14:paraId="50A8897B" w14:textId="77777777" w:rsidTr="001E64AB">
        <w:tc>
          <w:tcPr>
            <w:tcW w:w="0" w:type="auto"/>
          </w:tcPr>
          <w:p w14:paraId="72111845" w14:textId="77777777" w:rsidR="001E64AB" w:rsidRDefault="001D4C77">
            <w:pPr>
              <w:pStyle w:val="Compact"/>
              <w:jc w:val="both"/>
            </w:pPr>
            <w:r>
              <w:rPr>
                <w:b/>
                <w:bCs/>
              </w:rPr>
              <w:t>Comparator</w:t>
            </w:r>
          </w:p>
        </w:tc>
        <w:tc>
          <w:tcPr>
            <w:tcW w:w="0" w:type="auto"/>
          </w:tcPr>
          <w:p w14:paraId="14DD0AC7" w14:textId="77777777" w:rsidR="001E64AB" w:rsidRDefault="001D4C77">
            <w:pPr>
              <w:pStyle w:val="Compact"/>
              <w:jc w:val="both"/>
            </w:pPr>
            <w:r>
              <w:t>Standard care, usual practice, minimal intervention, attention control, no intervention</w:t>
            </w:r>
          </w:p>
        </w:tc>
        <w:tc>
          <w:tcPr>
            <w:tcW w:w="0" w:type="auto"/>
          </w:tcPr>
          <w:p w14:paraId="7EF32392" w14:textId="77777777" w:rsidR="001E64AB" w:rsidRDefault="001D4C77">
            <w:pPr>
              <w:pStyle w:val="Compact"/>
              <w:jc w:val="both"/>
            </w:pPr>
            <w:r>
              <w:t>No comparison group; intervention vs. intervention only</w:t>
            </w:r>
          </w:p>
        </w:tc>
      </w:tr>
      <w:tr w:rsidR="001E64AB" w14:paraId="32D22FC5" w14:textId="77777777" w:rsidTr="001E64AB">
        <w:tc>
          <w:tcPr>
            <w:tcW w:w="0" w:type="auto"/>
          </w:tcPr>
          <w:p w14:paraId="6CAF0DD2" w14:textId="77777777" w:rsidR="001E64AB" w:rsidRDefault="001D4C77">
            <w:pPr>
              <w:pStyle w:val="Compact"/>
              <w:jc w:val="both"/>
            </w:pPr>
            <w:r>
              <w:rPr>
                <w:b/>
                <w:bCs/>
              </w:rPr>
              <w:t>Outcomes</w:t>
            </w:r>
          </w:p>
        </w:tc>
        <w:tc>
          <w:tcPr>
            <w:tcW w:w="0" w:type="auto"/>
          </w:tcPr>
          <w:p w14:paraId="12B21ED6" w14:textId="77777777" w:rsidR="001E64AB" w:rsidRDefault="001D4C77">
            <w:pPr>
              <w:pStyle w:val="Compact"/>
              <w:jc w:val="both"/>
            </w:pPr>
            <w:r>
              <w:t xml:space="preserve">Incidence of diabetes/HTN; prevention/remission; BP, </w:t>
            </w:r>
            <w:r>
              <w:lastRenderedPageBreak/>
              <w:t>glucose, weight, physical activity, diet, reach</w:t>
            </w:r>
          </w:p>
        </w:tc>
        <w:tc>
          <w:tcPr>
            <w:tcW w:w="0" w:type="auto"/>
          </w:tcPr>
          <w:p w14:paraId="5655C0CC" w14:textId="77777777" w:rsidR="001E64AB" w:rsidRDefault="001D4C77">
            <w:pPr>
              <w:pStyle w:val="Compact"/>
              <w:jc w:val="both"/>
            </w:pPr>
            <w:r>
              <w:lastRenderedPageBreak/>
              <w:t xml:space="preserve">Only process measures; cost analysis alone; non-health </w:t>
            </w:r>
            <w:r>
              <w:lastRenderedPageBreak/>
              <w:t>outcomes</w:t>
            </w:r>
          </w:p>
        </w:tc>
      </w:tr>
      <w:tr w:rsidR="001E64AB" w14:paraId="3F83DCE7" w14:textId="77777777" w:rsidTr="001E64AB">
        <w:tc>
          <w:tcPr>
            <w:tcW w:w="0" w:type="auto"/>
          </w:tcPr>
          <w:p w14:paraId="447F745B" w14:textId="77777777" w:rsidR="001E64AB" w:rsidRDefault="001D4C77">
            <w:pPr>
              <w:pStyle w:val="Compact"/>
              <w:jc w:val="both"/>
            </w:pPr>
            <w:r>
              <w:rPr>
                <w:b/>
                <w:bCs/>
              </w:rPr>
              <w:lastRenderedPageBreak/>
              <w:t>Study Design</w:t>
            </w:r>
          </w:p>
        </w:tc>
        <w:tc>
          <w:tcPr>
            <w:tcW w:w="0" w:type="auto"/>
          </w:tcPr>
          <w:p w14:paraId="689F8E17" w14:textId="77777777" w:rsidR="001E64AB" w:rsidRDefault="001D4C77">
            <w:pPr>
              <w:pStyle w:val="Compact"/>
              <w:jc w:val="both"/>
            </w:pPr>
            <w:r>
              <w:t>RCT, CRCT, quasi-experimental with comparison group, matched before-after</w:t>
            </w:r>
          </w:p>
        </w:tc>
        <w:tc>
          <w:tcPr>
            <w:tcW w:w="0" w:type="auto"/>
          </w:tcPr>
          <w:p w14:paraId="4C1AE9B0" w14:textId="77777777" w:rsidR="001E64AB" w:rsidRDefault="001D4C77">
            <w:pPr>
              <w:pStyle w:val="Compact"/>
              <w:jc w:val="both"/>
            </w:pPr>
            <w:r>
              <w:t>Cross-sectional; observational without comparison; case reports; editorials</w:t>
            </w:r>
          </w:p>
        </w:tc>
      </w:tr>
      <w:tr w:rsidR="001E64AB" w14:paraId="484A37F0" w14:textId="77777777" w:rsidTr="001E64AB">
        <w:tc>
          <w:tcPr>
            <w:tcW w:w="0" w:type="auto"/>
          </w:tcPr>
          <w:p w14:paraId="40BE6D33" w14:textId="77777777" w:rsidR="001E64AB" w:rsidRDefault="001D4C77">
            <w:pPr>
              <w:pStyle w:val="Compact"/>
              <w:jc w:val="both"/>
            </w:pPr>
            <w:r>
              <w:rPr>
                <w:b/>
                <w:bCs/>
              </w:rPr>
              <w:t>Duration</w:t>
            </w:r>
          </w:p>
        </w:tc>
        <w:tc>
          <w:tcPr>
            <w:tcW w:w="0" w:type="auto"/>
          </w:tcPr>
          <w:p w14:paraId="64700ADA" w14:textId="77777777" w:rsidR="001E64AB" w:rsidRDefault="001D4C77">
            <w:pPr>
              <w:pStyle w:val="Compact"/>
              <w:jc w:val="both"/>
            </w:pPr>
            <w:r>
              <w:t>Follow-up ≥3 months</w:t>
            </w:r>
          </w:p>
        </w:tc>
        <w:tc>
          <w:tcPr>
            <w:tcW w:w="0" w:type="auto"/>
          </w:tcPr>
          <w:p w14:paraId="395D386B" w14:textId="77777777" w:rsidR="001E64AB" w:rsidRDefault="001D4C77">
            <w:pPr>
              <w:pStyle w:val="Compact"/>
              <w:jc w:val="both"/>
            </w:pPr>
            <w:r>
              <w:t>&lt;3 months follow-up</w:t>
            </w:r>
          </w:p>
        </w:tc>
      </w:tr>
      <w:tr w:rsidR="001E64AB" w14:paraId="4F0E56A1" w14:textId="77777777" w:rsidTr="001E64AB">
        <w:tc>
          <w:tcPr>
            <w:tcW w:w="0" w:type="auto"/>
          </w:tcPr>
          <w:p w14:paraId="6250CE93" w14:textId="77777777" w:rsidR="001E64AB" w:rsidRDefault="001D4C77">
            <w:pPr>
              <w:pStyle w:val="Compact"/>
              <w:jc w:val="both"/>
            </w:pPr>
            <w:r>
              <w:rPr>
                <w:b/>
                <w:bCs/>
              </w:rPr>
              <w:t>Language</w:t>
            </w:r>
          </w:p>
        </w:tc>
        <w:tc>
          <w:tcPr>
            <w:tcW w:w="0" w:type="auto"/>
          </w:tcPr>
          <w:p w14:paraId="5111B5D1" w14:textId="77777777" w:rsidR="001E64AB" w:rsidRDefault="001D4C77">
            <w:pPr>
              <w:pStyle w:val="Compact"/>
              <w:jc w:val="both"/>
            </w:pPr>
            <w:r>
              <w:t>English</w:t>
            </w:r>
          </w:p>
        </w:tc>
        <w:tc>
          <w:tcPr>
            <w:tcW w:w="0" w:type="auto"/>
          </w:tcPr>
          <w:p w14:paraId="2F78F9A7" w14:textId="77777777" w:rsidR="001E64AB" w:rsidRDefault="001D4C77">
            <w:pPr>
              <w:pStyle w:val="Compact"/>
              <w:jc w:val="both"/>
            </w:pPr>
            <w:r>
              <w:t>Non-English publications</w:t>
            </w:r>
          </w:p>
        </w:tc>
      </w:tr>
      <w:tr w:rsidR="001E64AB" w14:paraId="741C0A5D" w14:textId="77777777" w:rsidTr="001E64AB">
        <w:tc>
          <w:tcPr>
            <w:tcW w:w="0" w:type="auto"/>
          </w:tcPr>
          <w:p w14:paraId="741E4BF5" w14:textId="77777777" w:rsidR="001E64AB" w:rsidRDefault="001D4C77">
            <w:pPr>
              <w:pStyle w:val="Compact"/>
              <w:jc w:val="both"/>
            </w:pPr>
            <w:r>
              <w:rPr>
                <w:b/>
                <w:bCs/>
              </w:rPr>
              <w:t>Sample Size</w:t>
            </w:r>
          </w:p>
        </w:tc>
        <w:tc>
          <w:tcPr>
            <w:tcW w:w="0" w:type="auto"/>
          </w:tcPr>
          <w:p w14:paraId="4954DE4E" w14:textId="77777777" w:rsidR="001E64AB" w:rsidRDefault="001D4C77">
            <w:pPr>
              <w:pStyle w:val="Compact"/>
              <w:jc w:val="both"/>
            </w:pPr>
            <w:r>
              <w:t>≥30 participants</w:t>
            </w:r>
          </w:p>
        </w:tc>
        <w:tc>
          <w:tcPr>
            <w:tcW w:w="0" w:type="auto"/>
          </w:tcPr>
          <w:p w14:paraId="57E12A2E" w14:textId="77777777" w:rsidR="001E64AB" w:rsidRDefault="001D4C77">
            <w:pPr>
              <w:pStyle w:val="Compact"/>
              <w:jc w:val="both"/>
            </w:pPr>
            <w:r>
              <w:t>&lt;30 participants</w:t>
            </w:r>
          </w:p>
        </w:tc>
      </w:tr>
    </w:tbl>
    <w:p w14:paraId="72C681F3" w14:textId="77777777" w:rsidR="001E64AB" w:rsidRDefault="00212251">
      <w:pPr>
        <w:jc w:val="both"/>
      </w:pPr>
      <w:r>
        <w:pict w14:anchorId="5D201162">
          <v:rect id="1029" o:spid="_x0000_i1028" style="width:0;height:1.5pt;visibility:visible;mso-wrap-distance-left:0;mso-wrap-distance-right:0" o:hralign="center" o:hrstd="t" o:hr="t"/>
        </w:pict>
      </w:r>
    </w:p>
    <w:p w14:paraId="44744455" w14:textId="77777777" w:rsidR="001E64AB" w:rsidRDefault="001D4C77">
      <w:pPr>
        <w:pStyle w:val="Heading31"/>
        <w:jc w:val="both"/>
        <w:rPr>
          <w:color w:val="000000"/>
        </w:rPr>
      </w:pPr>
      <w:bookmarkStart w:id="13" w:name="X49e5ec1e79ee3bc06850917a73bd9ca8a4101f8"/>
      <w:r>
        <w:rPr>
          <w:color w:val="000000"/>
        </w:rPr>
        <w:t>3.4 Information Sources</w:t>
      </w:r>
    </w:p>
    <w:p w14:paraId="3B6E50DD" w14:textId="77777777" w:rsidR="001E64AB" w:rsidRDefault="001D4C77">
      <w:pPr>
        <w:pStyle w:val="BodyText"/>
        <w:jc w:val="both"/>
      </w:pPr>
      <w:bookmarkStart w:id="14" w:name="Xa3fc0f5f1cde0cc889bd25a1d4855ac0943d4a7"/>
      <w:bookmarkEnd w:id="13"/>
      <w:r>
        <w:t>The four major bibliographic databases mentioned above (PubMed, EMBASE, Web of science, Cochrane CENTRAL) were used as primary sources. Secondary sources encompassed citation tracking of comprising of studies and pertinent systematic reviews, and hand-searching of crucial journals. To find trials that were not published yet, trial registries (ClinicalTrials.gov and the International Clinical Trials Registry Platform) were searched. There were no limitations on the type of publication; both peer-reviewed journals, conference proceedings, or theses, and reports of government or non-governmental organizations were welcome. To minimize the bias in publications, the grey literature was searched in specialized repositories (ProQuest Dissertations and Theses, Google Scholar).</w:t>
      </w:r>
    </w:p>
    <w:p w14:paraId="1220FBEA" w14:textId="77777777" w:rsidR="001E64AB" w:rsidRDefault="001D4C77">
      <w:pPr>
        <w:pStyle w:val="BodyText"/>
        <w:jc w:val="both"/>
        <w:rPr>
          <w:b/>
          <w:bCs/>
        </w:rPr>
      </w:pPr>
      <w:r>
        <w:rPr>
          <w:b/>
          <w:bCs/>
        </w:rPr>
        <w:t>3.5 Study Selection Process</w:t>
      </w:r>
    </w:p>
    <w:p w14:paraId="166CFA61" w14:textId="7BF3B9A4" w:rsidR="001E64AB" w:rsidRDefault="001D4C77">
      <w:pPr>
        <w:pStyle w:val="BodyText"/>
        <w:jc w:val="both"/>
      </w:pPr>
      <w:r>
        <w:t>The selection of the study was done in a two stage approach. During stage one, all the titles and abstracts identified during the database searches were screened by two reviewers who are independent (</w:t>
      </w:r>
      <w:r w:rsidR="009B5B52">
        <w:t>A</w:t>
      </w:r>
      <w:r>
        <w:t xml:space="preserve">uthor </w:t>
      </w:r>
      <w:r w:rsidR="009B5B52">
        <w:t>Oliver U.O</w:t>
      </w:r>
      <w:r>
        <w:t xml:space="preserve">) using a standardized screening form </w:t>
      </w:r>
      <w:r w:rsidR="004C29EA">
        <w:t>developed</w:t>
      </w:r>
      <w:r>
        <w:t xml:space="preserve"> in either </w:t>
      </w:r>
      <w:proofErr w:type="spellStart"/>
      <w:r>
        <w:t>DistillerSR</w:t>
      </w:r>
      <w:proofErr w:type="spellEnd"/>
      <w:r>
        <w:t xml:space="preserve"> (Evidence Partners, 2021) or the Covidence systematic review software to evaluate them as potentially eligible. Any citation that was determined as potentially relevant by either of the reviewers proceeded to full-text review. Screening form was tested on 100 random citations so that there was uniform application of the form. The inter-rater agreement was evaluated by referring to the Cohen kappa statistic; the value of a kappa that was acceptable was set at 0.60 and the disagreements were to be settled either through discussion or consulting a third reviewer.</w:t>
      </w:r>
    </w:p>
    <w:p w14:paraId="6DCE21D1" w14:textId="2B2B3C27" w:rsidR="001E64AB" w:rsidRDefault="001D4C77">
      <w:pPr>
        <w:pStyle w:val="BodyText"/>
        <w:jc w:val="both"/>
      </w:pPr>
      <w:r>
        <w:t xml:space="preserve">In the second stage, full-text articles were retrieved and evaluated by two independent reviewers who checked the eligibility of the articles through the predefined inclusion/exclusion criteria. At this stage, a standardized data extraction form was employed in a detailed manner to help to conduct consistent eligibility assessment. </w:t>
      </w:r>
      <w:r w:rsidR="007977B9" w:rsidRPr="007977B9">
        <w:rPr>
          <w:highlight w:val="yellow"/>
        </w:rPr>
        <w:t xml:space="preserve">Disagreements on eligibility were documented in writing and resolved through discussion or arbitration by a senior third reviewer </w:t>
      </w:r>
      <w:r w:rsidR="007977B9">
        <w:rPr>
          <w:highlight w:val="yellow"/>
        </w:rPr>
        <w:t>(</w:t>
      </w:r>
      <w:r w:rsidR="009B5B52" w:rsidRPr="009B5B52">
        <w:rPr>
          <w:highlight w:val="yellow"/>
        </w:rPr>
        <w:t>Author Oliver U.O</w:t>
      </w:r>
      <w:r w:rsidR="007977B9" w:rsidRPr="007977B9">
        <w:rPr>
          <w:highlight w:val="yellow"/>
        </w:rPr>
        <w:t>)</w:t>
      </w:r>
      <w:r w:rsidRPr="007977B9">
        <w:rPr>
          <w:highlight w:val="yellow"/>
        </w:rPr>
        <w:t>.</w:t>
      </w:r>
      <w:r>
        <w:t xml:space="preserve"> The causes of the exclusion of the full-text articles were noted and are provided in the PRISMA flow chart (Figure 1). The PRISMA checklist was used to capture the process.</w:t>
      </w:r>
    </w:p>
    <w:p w14:paraId="17F4532D" w14:textId="77777777" w:rsidR="001E64AB" w:rsidRDefault="001D4C77">
      <w:pPr>
        <w:pStyle w:val="Heading31"/>
        <w:jc w:val="both"/>
        <w:rPr>
          <w:color w:val="000000"/>
        </w:rPr>
      </w:pPr>
      <w:bookmarkStart w:id="15" w:name="Xb41ddf4712cd2e23e779bb5dbd1cd86f7924707"/>
      <w:bookmarkEnd w:id="14"/>
      <w:r>
        <w:rPr>
          <w:color w:val="000000"/>
        </w:rPr>
        <w:lastRenderedPageBreak/>
        <w:t>3.6 Data Extraction</w:t>
      </w:r>
    </w:p>
    <w:p w14:paraId="1327AFC1" w14:textId="77777777" w:rsidR="001E64AB" w:rsidRDefault="001D4C77">
      <w:pPr>
        <w:pStyle w:val="BodyText"/>
        <w:jc w:val="both"/>
      </w:pPr>
      <w:r>
        <w:t>Two reviewers individually extracted data via a standardized, pilot-tested data extraction form created in excel and then keyed into a central database. The form was used to obtain the following information:</w:t>
      </w:r>
    </w:p>
    <w:p w14:paraId="748E40BF" w14:textId="77777777" w:rsidR="001E64AB" w:rsidRDefault="001D4C77">
      <w:pPr>
        <w:pStyle w:val="BodyText"/>
        <w:jc w:val="both"/>
      </w:pPr>
      <w:r>
        <w:rPr>
          <w:b/>
          <w:bCs/>
        </w:rPr>
        <w:t>Characteristics of the Study:</w:t>
      </w:r>
      <w:r>
        <w:t xml:space="preserve"> First author, year of publication, country/countries of conducting the study, the type of study (RCT, CRCT, quasi-experimental), follow-up time, the source of funding.</w:t>
      </w:r>
    </w:p>
    <w:p w14:paraId="1056E417" w14:textId="15E46D5A" w:rsidR="001E64AB" w:rsidRDefault="001D4C77">
      <w:pPr>
        <w:pStyle w:val="BodyText"/>
        <w:jc w:val="both"/>
      </w:pPr>
      <w:r>
        <w:rPr>
          <w:b/>
          <w:bCs/>
        </w:rPr>
        <w:t>Population Characteristic:</w:t>
      </w:r>
      <w:r>
        <w:t xml:space="preserve"> Setting (workplace, school, primary care, community center, neighborhood); geographic location (urban, rural, mixed); population size; mean age and age range; sex distribution; race/ethnicity (where reported); socioeconomic status /income; method of recruitment; baseline risk status (normal, prediabetic, prehypertensive).</w:t>
      </w:r>
    </w:p>
    <w:p w14:paraId="7078EDD7" w14:textId="77777777" w:rsidR="001E64AB" w:rsidRDefault="001D4C77">
      <w:pPr>
        <w:pStyle w:val="BodyText"/>
        <w:jc w:val="both"/>
      </w:pPr>
      <w:r>
        <w:rPr>
          <w:b/>
          <w:bCs/>
        </w:rPr>
        <w:t xml:space="preserve">Intervention Characteristics: </w:t>
      </w:r>
      <w:r>
        <w:t>Name and description of intervention, length and intensity (frequency, contact time); intervention contents (education, physical activity, dietary modification, policy/environmental); setting of intervention delivery (individual, group, community); intervention delivery personnel; behavior change techniques use; cultural adaptation; assessment of intervention fidelity.</w:t>
      </w:r>
    </w:p>
    <w:p w14:paraId="6A4946BE" w14:textId="77777777" w:rsidR="001E64AB" w:rsidRDefault="001D4C77">
      <w:pPr>
        <w:pStyle w:val="BodyText"/>
        <w:jc w:val="both"/>
      </w:pPr>
      <w:r>
        <w:rPr>
          <w:b/>
          <w:bCs/>
        </w:rPr>
        <w:t xml:space="preserve">Comparison/Control: </w:t>
      </w:r>
      <w:r>
        <w:t>Comparison type condition; strength of the control intervention; content and activities of control group.</w:t>
      </w:r>
    </w:p>
    <w:p w14:paraId="182BC7C2" w14:textId="77777777" w:rsidR="001E64AB" w:rsidRDefault="001D4C77">
      <w:pPr>
        <w:pStyle w:val="BodyText"/>
        <w:jc w:val="both"/>
      </w:pPr>
      <w:r>
        <w:rPr>
          <w:b/>
          <w:bCs/>
        </w:rPr>
        <w:t>Outcomes and Results:</w:t>
      </w:r>
      <w:r>
        <w:t xml:space="preserve"> Primary (diabetes/hypertension incidence, progression); secondary (BP, glucose, weight, physical activity, diet) outcomes; outcome measurement tools and time; effect sizes (means, standard deviations, odds ratios, risk ratios) with 95% confidence intervals; follow-up completeness and attrition rates.</w:t>
      </w:r>
    </w:p>
    <w:p w14:paraId="629B240F" w14:textId="77777777" w:rsidR="001E64AB" w:rsidRDefault="001D4C77">
      <w:pPr>
        <w:pStyle w:val="BodyText"/>
        <w:jc w:val="both"/>
      </w:pPr>
      <w:r>
        <w:rPr>
          <w:b/>
          <w:bCs/>
        </w:rPr>
        <w:t>Quality and Risk of Bias in the proposed study:</w:t>
      </w:r>
      <w:r>
        <w:t xml:space="preserve"> Allocation concealment, participant and outcome assessor blinding, selective outcome reporting, attrition rates, intention-to-treat analysis, baseline comparability.</w:t>
      </w:r>
    </w:p>
    <w:p w14:paraId="74C33155" w14:textId="77777777" w:rsidR="001E64AB" w:rsidRDefault="001D4C77">
      <w:pPr>
        <w:pStyle w:val="BodyText"/>
        <w:jc w:val="both"/>
      </w:pPr>
      <w:r>
        <w:rPr>
          <w:b/>
          <w:bCs/>
        </w:rPr>
        <w:t>Implementation and Reach:</w:t>
      </w:r>
      <w:r>
        <w:t xml:space="preserve"> The participation rates; the demographic traits of the participants compared to the potential population; the rate of drop-outs, and loss-to-follow-up rates; the adherence or adverse of the intervention delivery; the cost-related data; the sustainability of the intervention after the study period; the barriers/facilitators of the implementation.</w:t>
      </w:r>
    </w:p>
    <w:p w14:paraId="7F487A91" w14:textId="77777777" w:rsidR="001E64AB" w:rsidRDefault="001D4C77">
      <w:pPr>
        <w:pStyle w:val="BodyText"/>
        <w:jc w:val="both"/>
      </w:pPr>
      <w:r>
        <w:rPr>
          <w:b/>
          <w:bCs/>
        </w:rPr>
        <w:t>Indicators of Population Health:</w:t>
      </w:r>
      <w:r>
        <w:t xml:space="preserve"> The statements were the stratification of outcomes by socioeconomic status, race/ethnicity, or other demographic variables, the evaluation of differential effectiveness (interaction effects).</w:t>
      </w:r>
    </w:p>
    <w:p w14:paraId="1A931413" w14:textId="77777777" w:rsidR="001E64AB" w:rsidRDefault="001D4C77">
      <w:pPr>
        <w:pStyle w:val="BodyText"/>
        <w:jc w:val="both"/>
      </w:pPr>
      <w:r>
        <w:t>Conflicts between reviewers on extraction of data were sorted out by discussion or referring to a senior reviewer. Where there were missing or vague data, efforts were put to get in touch with study authors. Third reviewer re-extracted the data by randomly selecting 10 percent of the studies that were included to evaluate the quality of data extraction.</w:t>
      </w:r>
    </w:p>
    <w:p w14:paraId="1775D913" w14:textId="77777777" w:rsidR="001E64AB" w:rsidRDefault="001D4C77">
      <w:pPr>
        <w:pStyle w:val="Heading31"/>
        <w:jc w:val="both"/>
        <w:rPr>
          <w:color w:val="000000"/>
        </w:rPr>
      </w:pPr>
      <w:bookmarkStart w:id="16" w:name="Xa16fca7c8587c4239b7392813b6bb6d522a18dd"/>
      <w:bookmarkEnd w:id="15"/>
      <w:r>
        <w:rPr>
          <w:color w:val="000000"/>
        </w:rPr>
        <w:lastRenderedPageBreak/>
        <w:t>3.7 Quality Assessment</w:t>
      </w:r>
    </w:p>
    <w:p w14:paraId="1F155BE9" w14:textId="77777777" w:rsidR="001E64AB" w:rsidRDefault="001D4C77">
      <w:pPr>
        <w:pStyle w:val="FirstParagraph"/>
        <w:jc w:val="both"/>
      </w:pPr>
      <w:r>
        <w:t>Two reviewers conducted a quality assessment of the studies based on Cochrane Risk of Bias 2 (</w:t>
      </w:r>
      <w:proofErr w:type="spellStart"/>
      <w:r>
        <w:t>RoB</w:t>
      </w:r>
      <w:proofErr w:type="spellEnd"/>
      <w:r>
        <w:t xml:space="preserve"> 2) tool of randomized trials and ROBINS-I tool of the non-randomized studies (Higgins et al., 2019; Sterne et al., 2016). </w:t>
      </w:r>
      <w:proofErr w:type="spellStart"/>
      <w:r>
        <w:t>RoB</w:t>
      </w:r>
      <w:proofErr w:type="spellEnd"/>
      <w:r>
        <w:t xml:space="preserve"> 2 tool evaluates bias in five categories: (1) bias that is caused by the randomization process, (2) bias that is caused by the deviation in intended interventions, (3) bias that is caused by the absence of outcome data, (4) bias that is caused by measurement of the outcome, and, (5) bias that is caused by the selection of the reported result. All areas have low risk rating, others have some concerns, and the rest are high-risk rating. The overall risk of bias judgment is arrived at based on an algorithm. In the case of non-randomized studies, the ROBINS-I tool evaluates seven areas, such as bias in a confounding study, selection of participants, classifying the intervention status, deviations in intended intervention, missing data, measuring the outcomes, and selecting the reported outcomes. All domains have a low-critical risk scale.</w:t>
      </w:r>
    </w:p>
    <w:p w14:paraId="1173C15B" w14:textId="77777777" w:rsidR="001E64AB" w:rsidRDefault="001D4C77">
      <w:pPr>
        <w:pStyle w:val="BodyText"/>
        <w:jc w:val="both"/>
      </w:pPr>
      <w:r>
        <w:t>Other quality criteria that were community-based intervention study specific were: (1) description of intervention and mode of delivery, (2) predetermined main outcomes, (3) fidelity/adherence to intervention, (4) sufficient follow-up, and (5) suitable statistics analysis. Quality assessment was not used to filter out studies, but it was used in sensitivity analysis and findings interpretation. The summary presentation of risk of bias assessments is contained in Appendix C.</w:t>
      </w:r>
    </w:p>
    <w:p w14:paraId="20CD6D05" w14:textId="77777777" w:rsidR="001E64AB" w:rsidRDefault="001D4C77">
      <w:pPr>
        <w:pStyle w:val="Heading31"/>
        <w:jc w:val="both"/>
        <w:rPr>
          <w:color w:val="000000"/>
        </w:rPr>
      </w:pPr>
      <w:bookmarkStart w:id="17" w:name="X7512000a94067db8ca031965e2dc4b3aa484e43"/>
      <w:bookmarkEnd w:id="16"/>
      <w:r>
        <w:rPr>
          <w:color w:val="000000"/>
        </w:rPr>
        <w:t>3.8 Data Synthesis and Analysis</w:t>
      </w:r>
    </w:p>
    <w:p w14:paraId="03DC0BB2" w14:textId="77777777" w:rsidR="001E64AB" w:rsidRDefault="001D4C77">
      <w:pPr>
        <w:pStyle w:val="FirstParagraph"/>
        <w:jc w:val="both"/>
      </w:pPr>
      <w:r>
        <w:rPr>
          <w:b/>
          <w:bCs/>
        </w:rPr>
        <w:t>Narrative Synthesis:</w:t>
      </w:r>
      <w:r>
        <w:t xml:space="preserve"> All the included studies were synthesized in a structured narrative synthesis that was organized by intervention type (education-based, physical activity-based, dietary intervention, multicomponent, policy/environmental), population (general population, specific at-risk groups), and outcome (diabetes prevention vs. hypertension prevention). The features, target groups and the results of individual studies were summarized in evidence tables in each category of interventions. The quality of the studies, consistency of the results, and heterogeneity were considered, and it was possible to understand whether quantitative synthesis could be used.</w:t>
      </w:r>
    </w:p>
    <w:p w14:paraId="2BB96BF4" w14:textId="77777777" w:rsidR="001E64AB" w:rsidRDefault="001D4C77">
      <w:pPr>
        <w:pStyle w:val="BodyText"/>
        <w:jc w:val="both"/>
      </w:pPr>
      <w:r>
        <w:rPr>
          <w:b/>
          <w:bCs/>
        </w:rPr>
        <w:t>Meta-Analysis: I</w:t>
      </w:r>
      <w:r>
        <w:t>n the case of homogeneous data (at least three studies with similar populations and outcome measures), random-effects meta-analyses were performed with the help of Review Manager 5.4 (Cochrane Collaboration, 2020) or R statistical software. The main analyses combined the mean differences of continuous outcomes (blood pressure, glucose, weight) on the basis of inverse-variance weighting. Risk ratios or odds ratios were estimated in case of dichotomous results (incidence of diabetes/hypertension). When different scales were applied to measure the same construct, standardized mean differences (Cohens d) were applied. The effect estimates are all done with confidence interval of 95.</w:t>
      </w:r>
    </w:p>
    <w:p w14:paraId="036F43A4" w14:textId="77777777" w:rsidR="001E64AB" w:rsidRDefault="001D4C77">
      <w:pPr>
        <w:pStyle w:val="BodyText"/>
        <w:jc w:val="both"/>
      </w:pPr>
      <w:r>
        <w:rPr>
          <w:b/>
          <w:bCs/>
        </w:rPr>
        <w:t xml:space="preserve">Heterogeneity Assessment: </w:t>
      </w:r>
      <w:r>
        <w:t>Heterogeneity was measured as the I</w:t>
      </w:r>
      <w:r>
        <w:rPr>
          <w:vertAlign w:val="superscript"/>
        </w:rPr>
        <w:t xml:space="preserve">2 </w:t>
      </w:r>
      <w:r>
        <w:t>statistic and I</w:t>
      </w:r>
      <w:r>
        <w:rPr>
          <w:vertAlign w:val="superscript"/>
        </w:rPr>
        <w:t xml:space="preserve"> 2 </w:t>
      </w:r>
      <w:r>
        <w:t xml:space="preserve">&gt;50% is a measure of significant heterogeneity. Subgroup analyses and sensitivity analyses were used when there was significant heterogeneity in an attempt to investigate possible sources of variation. Possible sources of </w:t>
      </w:r>
      <w:r>
        <w:lastRenderedPageBreak/>
        <w:t>heterogeneity were the design of the study, duration/intensity of intervention, the population (age, sex, socioeconomic status, race/ethnicity), the elements of the interventions, and the quality of implementation.</w:t>
      </w:r>
    </w:p>
    <w:p w14:paraId="5E828F71" w14:textId="77777777" w:rsidR="001E64AB" w:rsidRDefault="001D4C77">
      <w:pPr>
        <w:pStyle w:val="BodyText"/>
        <w:jc w:val="both"/>
      </w:pPr>
      <w:r>
        <w:rPr>
          <w:b/>
          <w:bCs/>
        </w:rPr>
        <w:t xml:space="preserve">Subgroup Analyses: </w:t>
      </w:r>
      <w:r>
        <w:t>Pre-defined subgroups analyses were done to identify different effectiveness based on: (1) type and components of interventions, (2) population type (high-risk and general), (3) geographic location (high-income vs. low/middle-income countries), (4) race/ethnicity and socioeconomic status (where data available), (5) time and intensity of intervention, and (6) age of the participants (young adults 18-40, middle-aged 40-65, older adults greater than</w:t>
      </w:r>
    </w:p>
    <w:p w14:paraId="51C5C9FA" w14:textId="77777777" w:rsidR="001E64AB" w:rsidRDefault="001D4C77">
      <w:pPr>
        <w:pStyle w:val="BodyText"/>
        <w:jc w:val="both"/>
      </w:pPr>
      <w:r>
        <w:rPr>
          <w:b/>
          <w:bCs/>
        </w:rPr>
        <w:t>Meta-Regression:</w:t>
      </w:r>
      <w:r>
        <w:t xml:space="preserve"> In cases where enough studies were found, meta-regression was conducted with a random effects component to investigate the association between study-level variables (e.g., intervention length, sample size, quality score) and on the intervention effectiveness using the </w:t>
      </w:r>
      <w:proofErr w:type="spellStart"/>
      <w:r>
        <w:t>metafor</w:t>
      </w:r>
      <w:proofErr w:type="spellEnd"/>
      <w:r>
        <w:t xml:space="preserve"> R package.</w:t>
      </w:r>
    </w:p>
    <w:p w14:paraId="2BE25330" w14:textId="77777777" w:rsidR="001E64AB" w:rsidRDefault="001D4C77">
      <w:pPr>
        <w:pStyle w:val="BodyText"/>
        <w:jc w:val="both"/>
      </w:pPr>
      <w:r>
        <w:rPr>
          <w:b/>
          <w:bCs/>
        </w:rPr>
        <w:t xml:space="preserve">Reporting Bias Assessment: </w:t>
      </w:r>
      <w:r>
        <w:t>Funnel plots were made using results consisting of 10 or more studies to provide visual assessment of the possible publication bias. The regression test conducted by Egger was to test fraudulently the asymmetry. Trim-and-fill analysis was done in case evidence of asymmetry had been found.</w:t>
      </w:r>
    </w:p>
    <w:p w14:paraId="249E2A56" w14:textId="77777777" w:rsidR="001E64AB" w:rsidRDefault="001D4C77">
      <w:pPr>
        <w:pStyle w:val="BodyText"/>
        <w:jc w:val="both"/>
      </w:pPr>
      <w:r>
        <w:rPr>
          <w:b/>
          <w:bCs/>
        </w:rPr>
        <w:t xml:space="preserve">Primary Outcome Assessment: </w:t>
      </w:r>
      <w:r>
        <w:t>The Grading of Recommendation Assessment, Development and Evaluation (GRADE) method was applied to determine the overall quality of evidence of primary outcomes in each comparison (intervention type vs. control). The evidence was rated to be high, moderate, low, or very low depending on study design, risk of bias, inconsistency, indirectness, and imprecision (</w:t>
      </w:r>
      <w:proofErr w:type="spellStart"/>
      <w:r>
        <w:t>Guyatt</w:t>
      </w:r>
      <w:proofErr w:type="spellEnd"/>
      <w:r>
        <w:t xml:space="preserve"> et al., 2008). GRADE evidence scores are provided in Appendix D.</w:t>
      </w:r>
    </w:p>
    <w:p w14:paraId="62CAED2C" w14:textId="77777777" w:rsidR="001E64AB" w:rsidRDefault="001D4C77">
      <w:pPr>
        <w:pStyle w:val="BodyText"/>
        <w:jc w:val="both"/>
      </w:pPr>
      <w:r>
        <w:rPr>
          <w:b/>
          <w:bCs/>
        </w:rPr>
        <w:t xml:space="preserve">Sensitivity Analysis: </w:t>
      </w:r>
      <w:r>
        <w:t>Sensitivity assessments were conducted to remove: (1) studies with high or indeterminate risk of bias, (2) cluster-randomized trials, (3) studies with high attrition (more than 30 percent), and (4) possible outliers (use of effect estimates more than 2 standard deviations or the mean). Analysis was again done on the fixed-effects models to consider the impact of the effects model chosen.</w:t>
      </w:r>
    </w:p>
    <w:p w14:paraId="1DF99936" w14:textId="77777777" w:rsidR="001E64AB" w:rsidRDefault="001D4C77">
      <w:pPr>
        <w:pStyle w:val="BodyText"/>
        <w:jc w:val="both"/>
      </w:pPr>
      <w:r>
        <w:rPr>
          <w:b/>
          <w:bCs/>
        </w:rPr>
        <w:t>Implementation Factor Analysis:</w:t>
      </w:r>
      <w:r>
        <w:t xml:space="preserve"> To achieve the secondary objective of determining the implementation success factor(s), the data on the implementation strategies, community engagement, and cultural adaptation, fidelity monitoring, sustainability mechanisms, and retention of the participants were extracted and narratively synthesized. Implicit studies directly analyzing the impediments to and facilitators of the implementation (qualitative data) were coded through framework analysis with a priori framework based on the literature on implementation research (e.g., the Consolidated Framework for Implementation Research [CFIR]).</w:t>
      </w:r>
    </w:p>
    <w:p w14:paraId="0B77797F" w14:textId="77777777" w:rsidR="001E64AB" w:rsidRDefault="001E64AB">
      <w:pPr>
        <w:pStyle w:val="BodyText"/>
        <w:jc w:val="both"/>
      </w:pPr>
    </w:p>
    <w:p w14:paraId="017CBE8E" w14:textId="77777777" w:rsidR="001E64AB" w:rsidRDefault="00212251">
      <w:pPr>
        <w:jc w:val="both"/>
      </w:pPr>
      <w:r>
        <w:pict w14:anchorId="3247C308">
          <v:rect id="1030" o:spid="_x0000_i1029" style="width:0;height:1.5pt;visibility:visible;mso-wrap-distance-left:0;mso-wrap-distance-right:0" o:hralign="center" o:hrstd="t" o:hr="t"/>
        </w:pict>
      </w:r>
    </w:p>
    <w:p w14:paraId="29A6F0A7" w14:textId="77777777" w:rsidR="001E64AB" w:rsidRDefault="001D4C77">
      <w:pPr>
        <w:pStyle w:val="Heading21"/>
        <w:jc w:val="both"/>
        <w:rPr>
          <w:color w:val="000000"/>
        </w:rPr>
      </w:pPr>
      <w:bookmarkStart w:id="18" w:name="X5ac3c6fa6048dcc6897b7f12bbfbb5b55913f27"/>
      <w:bookmarkEnd w:id="12"/>
      <w:bookmarkEnd w:id="17"/>
      <w:r>
        <w:rPr>
          <w:color w:val="000000"/>
        </w:rPr>
        <w:lastRenderedPageBreak/>
        <w:t>FIGURE 1: PRISMA 2020 FLOW DIAGRAM (Structure)</w:t>
      </w:r>
    </w:p>
    <w:p w14:paraId="046B10D0" w14:textId="77777777" w:rsidR="001E64AB" w:rsidRDefault="001D4C77">
      <w:pPr>
        <w:pStyle w:val="SourceCode"/>
        <w:jc w:val="both"/>
        <w:rPr>
          <w:rStyle w:val="VerbatimChar"/>
        </w:rPr>
      </w:pPr>
      <w:r>
        <w:rPr>
          <w:noProof/>
        </w:rPr>
        <w:drawing>
          <wp:inline distT="0" distB="0" distL="0" distR="0" wp14:anchorId="0611C900" wp14:editId="09FF1FEB">
            <wp:extent cx="4552950" cy="5267325"/>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 cstate="print"/>
                    <a:srcRect/>
                    <a:stretch/>
                  </pic:blipFill>
                  <pic:spPr>
                    <a:xfrm>
                      <a:off x="0" y="0"/>
                      <a:ext cx="4552950" cy="5267325"/>
                    </a:xfrm>
                    <a:prstGeom prst="rect">
                      <a:avLst/>
                    </a:prstGeom>
                  </pic:spPr>
                </pic:pic>
              </a:graphicData>
            </a:graphic>
          </wp:inline>
        </w:drawing>
      </w:r>
    </w:p>
    <w:p w14:paraId="1A70A7E3" w14:textId="77777777" w:rsidR="001E64AB" w:rsidRDefault="001E64AB">
      <w:pPr>
        <w:pStyle w:val="SourceCode"/>
        <w:jc w:val="both"/>
        <w:rPr>
          <w:rStyle w:val="VerbatimChar"/>
        </w:rPr>
      </w:pPr>
    </w:p>
    <w:p w14:paraId="6EE560A7" w14:textId="77777777" w:rsidR="001E64AB" w:rsidRDefault="00212251">
      <w:pPr>
        <w:pStyle w:val="SourceCode"/>
        <w:jc w:val="both"/>
      </w:pPr>
      <w:r>
        <w:pict w14:anchorId="2D53B5E0">
          <v:rect id="1032" o:spid="_x0000_i1030" style="width:0;height:1.5pt;visibility:visible;mso-wrap-distance-left:0;mso-wrap-distance-right:0" o:hralign="center" o:hrstd="t" o:hr="t"/>
        </w:pict>
      </w:r>
    </w:p>
    <w:p w14:paraId="70B9DD2A" w14:textId="77777777" w:rsidR="001E64AB" w:rsidRDefault="001D4C77">
      <w:pPr>
        <w:pStyle w:val="FirstParagraph"/>
        <w:jc w:val="both"/>
        <w:rPr>
          <w:b/>
          <w:bCs/>
        </w:rPr>
      </w:pPr>
      <w:bookmarkStart w:id="19" w:name="Xbf4e3a02d51700a614648f100a5680f59af625f"/>
      <w:bookmarkStart w:id="20" w:name="X121719332867ee227f0a04b486098cee978c6e6"/>
      <w:bookmarkEnd w:id="18"/>
      <w:r>
        <w:rPr>
          <w:b/>
          <w:bCs/>
        </w:rPr>
        <w:t>4. RESULTS</w:t>
      </w:r>
    </w:p>
    <w:p w14:paraId="25668B78" w14:textId="77777777" w:rsidR="001E64AB" w:rsidRDefault="001D4C77">
      <w:pPr>
        <w:pStyle w:val="BodyText"/>
        <w:jc w:val="both"/>
        <w:rPr>
          <w:b/>
          <w:bCs/>
        </w:rPr>
      </w:pPr>
      <w:r>
        <w:rPr>
          <w:b/>
          <w:bCs/>
        </w:rPr>
        <w:t>4.1 Study Selection</w:t>
      </w:r>
    </w:p>
    <w:p w14:paraId="6A015421" w14:textId="2FD1153E" w:rsidR="001E64AB" w:rsidRDefault="001D4C77">
      <w:pPr>
        <w:pStyle w:val="BodyText"/>
        <w:jc w:val="both"/>
      </w:pPr>
      <w:r>
        <w:t xml:space="preserve">Systematic search returned 4,847 unique records (PubMed: 1,843; EMBASE: 1,652; Web of Science: 1,102; Cochrane CENTRAL: 250) of database searches. A further 143 potentially relevant articles were citation-tracked of included studies and other related systematic reviews. Key journals were searched by hand and 12 further records were identified. The title and abstract screening were performed, and 287 records were sent to the full-text review (inter-rater agreement 0.74, 95% CI: 0.71-0.78). Among them, 42 articles that passed all the inclusion criteria were incorporated in the qualitative synthesis. </w:t>
      </w:r>
      <w:r w:rsidR="007977B9" w:rsidRPr="007977B9">
        <w:rPr>
          <w:highlight w:val="yellow"/>
        </w:rPr>
        <w:t>Of these 42 studies, 28 had adequate outcome data and sufficiently homogeneous comparisons to be included in the meta-analyses</w:t>
      </w:r>
      <w:r w:rsidRPr="007977B9">
        <w:rPr>
          <w:highlight w:val="yellow"/>
        </w:rPr>
        <w:t>.</w:t>
      </w:r>
      <w:r>
        <w:t xml:space="preserve"> The PRISMA flow diagram is </w:t>
      </w:r>
      <w:r>
        <w:lastRenderedPageBreak/>
        <w:t>provided in Figure 1, and the justification as to why full-text articles were not included was given in Table S1 (Supplementary Material).</w:t>
      </w:r>
    </w:p>
    <w:p w14:paraId="50057883" w14:textId="77777777" w:rsidR="001E64AB" w:rsidRDefault="001D4C77">
      <w:pPr>
        <w:pStyle w:val="Heading31"/>
        <w:jc w:val="both"/>
        <w:rPr>
          <w:color w:val="000000"/>
        </w:rPr>
      </w:pPr>
      <w:bookmarkStart w:id="21" w:name="X3baaf9d2598bd8f94a66f07d7564370003da849"/>
      <w:bookmarkEnd w:id="19"/>
      <w:r>
        <w:rPr>
          <w:color w:val="000000"/>
        </w:rPr>
        <w:t>4.2 Study Characteristics</w:t>
      </w:r>
    </w:p>
    <w:p w14:paraId="7CED2376" w14:textId="77777777" w:rsidR="001E64AB" w:rsidRDefault="001D4C77">
      <w:pPr>
        <w:pStyle w:val="BodyText"/>
        <w:jc w:val="both"/>
      </w:pPr>
      <w:r>
        <w:t>4.2 Study Characteristics</w:t>
      </w:r>
    </w:p>
    <w:p w14:paraId="307658F5" w14:textId="77777777" w:rsidR="001E64AB" w:rsidRDefault="001D4C77">
      <w:pPr>
        <w:pStyle w:val="BodyText"/>
        <w:jc w:val="both"/>
      </w:pPr>
      <w:r>
        <w:t>The 42 studies included in it consisted of 28 randomized controlled trials (66.7%), 8 cluster-randomized controlled trials (19.0%), and 6 quasi-experimental research (14.3%). The studies were following 26 countries and high-income countries (n=28, 66.7%), middle-income countries (n=10, 23.8%) and low-income countries (n=4, 9.5%). North America (n=16), Europe (n=12), Asia-Pacific (n=8), Latin America (n=4), and Africa (n=2) were the geographical locations where the studies were done. The sample sizes of the participants were between 39 and 28,540 participants and the total number of participants in all the studies was 85,437. The mean follow-up was 18.6months (SD=16.2 months, 3 months to 4.9 years).</w:t>
      </w:r>
    </w:p>
    <w:p w14:paraId="473F88D8" w14:textId="77777777" w:rsidR="001E64AB" w:rsidRDefault="001D4C77">
      <w:pPr>
        <w:pStyle w:val="BodyText"/>
        <w:jc w:val="both"/>
      </w:pPr>
      <w:r>
        <w:t>The settings were primary care centers (n=14, 33.3%), community health centers (n=8, 19.0%), work places (n=10, 23.8%), schools (n=6, 14.3%), and community/neighborhood based programs (n=4, 9.5%). The general community populations (n=18, 42.9%), populations at-risk of diabetes (prediabetic individuals; n=16, 38.1%), populations at-risk of hypertension (prehypertensive individuals; n=5, 11.9%), and combined at-risk populations (n=3, 7.1%), were the target populations. The age of participants was between mean 32 years to 72 years. The majority of the studies had mostly females (mean 58.2% female; 28-82% range). Not much reporting of racial/ethnic composition was observed and only 24 (57.1%) studies reported it.</w:t>
      </w:r>
    </w:p>
    <w:p w14:paraId="6B719823" w14:textId="77777777" w:rsidR="001E64AB" w:rsidRDefault="00212251">
      <w:pPr>
        <w:jc w:val="both"/>
      </w:pPr>
      <w:r>
        <w:pict w14:anchorId="7F750DF0">
          <v:rect id="1033" o:spid="_x0000_i1031" style="width:0;height:1.5pt;visibility:visible;mso-wrap-distance-left:0;mso-wrap-distance-right:0" o:hralign="center" o:hrstd="t" o:hr="t"/>
        </w:pict>
      </w:r>
    </w:p>
    <w:p w14:paraId="7FE67677" w14:textId="77777777" w:rsidR="001E64AB" w:rsidRDefault="001D4C77">
      <w:pPr>
        <w:pStyle w:val="Heading21"/>
        <w:jc w:val="both"/>
        <w:rPr>
          <w:color w:val="000000"/>
        </w:rPr>
      </w:pPr>
      <w:bookmarkStart w:id="22" w:name="X9dd351416d6393555fa456e591756884d45eac6"/>
      <w:bookmarkEnd w:id="20"/>
      <w:bookmarkEnd w:id="21"/>
      <w:r>
        <w:rPr>
          <w:color w:val="000000"/>
        </w:rPr>
        <w:t>TABLE 2: CHARACTERISTICS OF INCLUDED STUDIES</w:t>
      </w:r>
    </w:p>
    <w:tbl>
      <w:tblPr>
        <w:tblStyle w:val="Table"/>
        <w:tblW w:w="0" w:type="auto"/>
        <w:tblLook w:val="0020" w:firstRow="1" w:lastRow="0" w:firstColumn="0" w:lastColumn="0" w:noHBand="0" w:noVBand="0"/>
      </w:tblPr>
      <w:tblGrid>
        <w:gridCol w:w="3086"/>
        <w:gridCol w:w="1771"/>
        <w:gridCol w:w="3665"/>
      </w:tblGrid>
      <w:tr w:rsidR="001E64AB" w14:paraId="6A019F6E" w14:textId="77777777" w:rsidTr="001E64AB">
        <w:trPr>
          <w:cnfStyle w:val="100000000000" w:firstRow="1" w:lastRow="0" w:firstColumn="0" w:lastColumn="0" w:oddVBand="0" w:evenVBand="0" w:oddHBand="0" w:evenHBand="0" w:firstRowFirstColumn="0" w:firstRowLastColumn="0" w:lastRowFirstColumn="0" w:lastRowLastColumn="0"/>
          <w:tblHeader/>
        </w:trPr>
        <w:tc>
          <w:tcPr>
            <w:tcW w:w="0" w:type="auto"/>
          </w:tcPr>
          <w:p w14:paraId="475BA7E5" w14:textId="77777777" w:rsidR="001E64AB" w:rsidRDefault="001D4C77">
            <w:pPr>
              <w:pStyle w:val="Compact"/>
              <w:jc w:val="both"/>
            </w:pPr>
            <w:r>
              <w:t>Characteristic</w:t>
            </w:r>
          </w:p>
        </w:tc>
        <w:tc>
          <w:tcPr>
            <w:tcW w:w="0" w:type="auto"/>
          </w:tcPr>
          <w:p w14:paraId="2244CEFD" w14:textId="77777777" w:rsidR="001E64AB" w:rsidRDefault="001D4C77">
            <w:pPr>
              <w:pStyle w:val="Compact"/>
              <w:jc w:val="both"/>
            </w:pPr>
            <w:r>
              <w:t>n (%)</w:t>
            </w:r>
          </w:p>
        </w:tc>
        <w:tc>
          <w:tcPr>
            <w:tcW w:w="0" w:type="auto"/>
          </w:tcPr>
          <w:p w14:paraId="44C58EBC" w14:textId="77777777" w:rsidR="001E64AB" w:rsidRDefault="001D4C77">
            <w:pPr>
              <w:pStyle w:val="Compact"/>
              <w:jc w:val="both"/>
            </w:pPr>
            <w:r>
              <w:t>Details</w:t>
            </w:r>
          </w:p>
        </w:tc>
      </w:tr>
      <w:tr w:rsidR="001E64AB" w14:paraId="52FBE082" w14:textId="77777777" w:rsidTr="001E64AB">
        <w:tc>
          <w:tcPr>
            <w:tcW w:w="0" w:type="auto"/>
          </w:tcPr>
          <w:p w14:paraId="5B4E36B2" w14:textId="77777777" w:rsidR="001E64AB" w:rsidRDefault="001D4C77">
            <w:pPr>
              <w:pStyle w:val="Compact"/>
              <w:jc w:val="both"/>
            </w:pPr>
            <w:r>
              <w:rPr>
                <w:b/>
                <w:bCs/>
              </w:rPr>
              <w:t>Study Design</w:t>
            </w:r>
          </w:p>
        </w:tc>
        <w:tc>
          <w:tcPr>
            <w:tcW w:w="0" w:type="auto"/>
          </w:tcPr>
          <w:p w14:paraId="62952E8B" w14:textId="77777777" w:rsidR="001E64AB" w:rsidRDefault="001E64AB">
            <w:pPr>
              <w:pStyle w:val="Compact"/>
              <w:jc w:val="both"/>
            </w:pPr>
          </w:p>
        </w:tc>
        <w:tc>
          <w:tcPr>
            <w:tcW w:w="0" w:type="auto"/>
          </w:tcPr>
          <w:p w14:paraId="10276935" w14:textId="77777777" w:rsidR="001E64AB" w:rsidRDefault="001E64AB">
            <w:pPr>
              <w:pStyle w:val="Compact"/>
              <w:jc w:val="both"/>
            </w:pPr>
          </w:p>
        </w:tc>
      </w:tr>
      <w:tr w:rsidR="001E64AB" w14:paraId="29EDFD8B" w14:textId="77777777" w:rsidTr="001E64AB">
        <w:tc>
          <w:tcPr>
            <w:tcW w:w="0" w:type="auto"/>
          </w:tcPr>
          <w:p w14:paraId="23E0B54B" w14:textId="77777777" w:rsidR="001E64AB" w:rsidRDefault="001D4C77">
            <w:pPr>
              <w:pStyle w:val="Compact"/>
              <w:jc w:val="both"/>
            </w:pPr>
            <w:r>
              <w:t>Randomized Controlled Trial</w:t>
            </w:r>
          </w:p>
        </w:tc>
        <w:tc>
          <w:tcPr>
            <w:tcW w:w="0" w:type="auto"/>
          </w:tcPr>
          <w:p w14:paraId="7E97BE75" w14:textId="77777777" w:rsidR="001E64AB" w:rsidRDefault="001D4C77">
            <w:pPr>
              <w:pStyle w:val="Compact"/>
              <w:jc w:val="both"/>
            </w:pPr>
            <w:r>
              <w:t>28 (66.7%)</w:t>
            </w:r>
          </w:p>
        </w:tc>
        <w:tc>
          <w:tcPr>
            <w:tcW w:w="0" w:type="auto"/>
          </w:tcPr>
          <w:p w14:paraId="1E7281E5" w14:textId="77777777" w:rsidR="001E64AB" w:rsidRDefault="001D4C77">
            <w:pPr>
              <w:pStyle w:val="Compact"/>
              <w:jc w:val="both"/>
            </w:pPr>
            <w:r>
              <w:t>Individually randomized</w:t>
            </w:r>
          </w:p>
        </w:tc>
      </w:tr>
      <w:tr w:rsidR="001E64AB" w14:paraId="45EE4D92" w14:textId="77777777" w:rsidTr="001E64AB">
        <w:tc>
          <w:tcPr>
            <w:tcW w:w="0" w:type="auto"/>
          </w:tcPr>
          <w:p w14:paraId="2A247EAF" w14:textId="77777777" w:rsidR="001E64AB" w:rsidRDefault="001D4C77">
            <w:pPr>
              <w:pStyle w:val="Compact"/>
              <w:jc w:val="both"/>
            </w:pPr>
            <w:r>
              <w:t>Cluster-Randomized Trial</w:t>
            </w:r>
          </w:p>
        </w:tc>
        <w:tc>
          <w:tcPr>
            <w:tcW w:w="0" w:type="auto"/>
          </w:tcPr>
          <w:p w14:paraId="551CDA76" w14:textId="77777777" w:rsidR="001E64AB" w:rsidRDefault="001D4C77">
            <w:pPr>
              <w:pStyle w:val="Compact"/>
              <w:jc w:val="both"/>
            </w:pPr>
            <w:r>
              <w:t>8 (19.0%)</w:t>
            </w:r>
          </w:p>
        </w:tc>
        <w:tc>
          <w:tcPr>
            <w:tcW w:w="0" w:type="auto"/>
          </w:tcPr>
          <w:p w14:paraId="4EF5C75E" w14:textId="77777777" w:rsidR="001E64AB" w:rsidRDefault="001D4C77">
            <w:pPr>
              <w:pStyle w:val="Compact"/>
              <w:jc w:val="both"/>
            </w:pPr>
            <w:r>
              <w:t>Community/worksite randomized</w:t>
            </w:r>
          </w:p>
        </w:tc>
      </w:tr>
      <w:tr w:rsidR="001E64AB" w14:paraId="137EE5C3" w14:textId="77777777" w:rsidTr="001E64AB">
        <w:tc>
          <w:tcPr>
            <w:tcW w:w="0" w:type="auto"/>
          </w:tcPr>
          <w:p w14:paraId="6222AD82" w14:textId="77777777" w:rsidR="001E64AB" w:rsidRDefault="001D4C77">
            <w:pPr>
              <w:pStyle w:val="Compact"/>
              <w:jc w:val="both"/>
            </w:pPr>
            <w:r>
              <w:t>Quasi-Experimental</w:t>
            </w:r>
          </w:p>
        </w:tc>
        <w:tc>
          <w:tcPr>
            <w:tcW w:w="0" w:type="auto"/>
          </w:tcPr>
          <w:p w14:paraId="67673B67" w14:textId="77777777" w:rsidR="001E64AB" w:rsidRDefault="001D4C77">
            <w:pPr>
              <w:pStyle w:val="Compact"/>
              <w:jc w:val="both"/>
            </w:pPr>
            <w:r>
              <w:t>6 (14.3%)</w:t>
            </w:r>
          </w:p>
        </w:tc>
        <w:tc>
          <w:tcPr>
            <w:tcW w:w="0" w:type="auto"/>
          </w:tcPr>
          <w:p w14:paraId="7E5EBCD3" w14:textId="77777777" w:rsidR="001E64AB" w:rsidRDefault="001D4C77">
            <w:pPr>
              <w:pStyle w:val="Compact"/>
              <w:jc w:val="both"/>
            </w:pPr>
            <w:r>
              <w:t>Non-randomized comparison group</w:t>
            </w:r>
          </w:p>
        </w:tc>
      </w:tr>
      <w:tr w:rsidR="001E64AB" w14:paraId="2CE3439A" w14:textId="77777777" w:rsidTr="001E64AB">
        <w:tc>
          <w:tcPr>
            <w:tcW w:w="0" w:type="auto"/>
          </w:tcPr>
          <w:p w14:paraId="06412E1A" w14:textId="77777777" w:rsidR="001E64AB" w:rsidRDefault="001E64AB">
            <w:pPr>
              <w:pStyle w:val="Compact"/>
              <w:jc w:val="both"/>
            </w:pPr>
          </w:p>
        </w:tc>
        <w:tc>
          <w:tcPr>
            <w:tcW w:w="0" w:type="auto"/>
          </w:tcPr>
          <w:p w14:paraId="0D926122" w14:textId="77777777" w:rsidR="001E64AB" w:rsidRDefault="001E64AB">
            <w:pPr>
              <w:pStyle w:val="Compact"/>
              <w:jc w:val="both"/>
            </w:pPr>
          </w:p>
        </w:tc>
        <w:tc>
          <w:tcPr>
            <w:tcW w:w="0" w:type="auto"/>
          </w:tcPr>
          <w:p w14:paraId="43A505FB" w14:textId="77777777" w:rsidR="001E64AB" w:rsidRDefault="001E64AB">
            <w:pPr>
              <w:pStyle w:val="Compact"/>
              <w:jc w:val="both"/>
            </w:pPr>
          </w:p>
        </w:tc>
      </w:tr>
      <w:tr w:rsidR="001E64AB" w14:paraId="448AE2D3" w14:textId="77777777" w:rsidTr="001E64AB">
        <w:tc>
          <w:tcPr>
            <w:tcW w:w="0" w:type="auto"/>
          </w:tcPr>
          <w:p w14:paraId="25A5477C" w14:textId="77777777" w:rsidR="001E64AB" w:rsidRDefault="001D4C77">
            <w:pPr>
              <w:pStyle w:val="Compact"/>
              <w:jc w:val="both"/>
            </w:pPr>
            <w:r>
              <w:rPr>
                <w:b/>
                <w:bCs/>
              </w:rPr>
              <w:t>Geographic Region</w:t>
            </w:r>
          </w:p>
        </w:tc>
        <w:tc>
          <w:tcPr>
            <w:tcW w:w="0" w:type="auto"/>
          </w:tcPr>
          <w:p w14:paraId="50B42009" w14:textId="77777777" w:rsidR="001E64AB" w:rsidRDefault="001E64AB">
            <w:pPr>
              <w:pStyle w:val="Compact"/>
              <w:jc w:val="both"/>
            </w:pPr>
          </w:p>
        </w:tc>
        <w:tc>
          <w:tcPr>
            <w:tcW w:w="0" w:type="auto"/>
          </w:tcPr>
          <w:p w14:paraId="293DD7C1" w14:textId="77777777" w:rsidR="001E64AB" w:rsidRDefault="001E64AB">
            <w:pPr>
              <w:pStyle w:val="Compact"/>
              <w:jc w:val="both"/>
            </w:pPr>
          </w:p>
        </w:tc>
      </w:tr>
      <w:tr w:rsidR="001E64AB" w14:paraId="146D2A21" w14:textId="77777777" w:rsidTr="001E64AB">
        <w:tc>
          <w:tcPr>
            <w:tcW w:w="0" w:type="auto"/>
          </w:tcPr>
          <w:p w14:paraId="1F2C9F15" w14:textId="77777777" w:rsidR="001E64AB" w:rsidRDefault="001D4C77">
            <w:pPr>
              <w:pStyle w:val="Compact"/>
              <w:jc w:val="both"/>
            </w:pPr>
            <w:r>
              <w:t>North America</w:t>
            </w:r>
          </w:p>
        </w:tc>
        <w:tc>
          <w:tcPr>
            <w:tcW w:w="0" w:type="auto"/>
          </w:tcPr>
          <w:p w14:paraId="0DDFA7B9" w14:textId="77777777" w:rsidR="001E64AB" w:rsidRDefault="001D4C77">
            <w:pPr>
              <w:pStyle w:val="Compact"/>
              <w:jc w:val="both"/>
            </w:pPr>
            <w:r>
              <w:t>16 (38.1%)</w:t>
            </w:r>
          </w:p>
        </w:tc>
        <w:tc>
          <w:tcPr>
            <w:tcW w:w="0" w:type="auto"/>
          </w:tcPr>
          <w:p w14:paraId="5832156F" w14:textId="77777777" w:rsidR="001E64AB" w:rsidRDefault="001D4C77">
            <w:pPr>
              <w:pStyle w:val="Compact"/>
              <w:jc w:val="both"/>
            </w:pPr>
            <w:r>
              <w:t>USA (13), Canada (3)</w:t>
            </w:r>
          </w:p>
        </w:tc>
      </w:tr>
      <w:tr w:rsidR="001E64AB" w14:paraId="59168ED2" w14:textId="77777777" w:rsidTr="001E64AB">
        <w:tc>
          <w:tcPr>
            <w:tcW w:w="0" w:type="auto"/>
          </w:tcPr>
          <w:p w14:paraId="3AF5EF8F" w14:textId="77777777" w:rsidR="001E64AB" w:rsidRDefault="001D4C77">
            <w:pPr>
              <w:pStyle w:val="Compact"/>
              <w:jc w:val="both"/>
            </w:pPr>
            <w:r>
              <w:t>Europe</w:t>
            </w:r>
          </w:p>
        </w:tc>
        <w:tc>
          <w:tcPr>
            <w:tcW w:w="0" w:type="auto"/>
          </w:tcPr>
          <w:p w14:paraId="07F403F0" w14:textId="77777777" w:rsidR="001E64AB" w:rsidRDefault="001D4C77">
            <w:pPr>
              <w:pStyle w:val="Compact"/>
              <w:jc w:val="both"/>
            </w:pPr>
            <w:r>
              <w:t>12 (28.6%)</w:t>
            </w:r>
          </w:p>
        </w:tc>
        <w:tc>
          <w:tcPr>
            <w:tcW w:w="0" w:type="auto"/>
          </w:tcPr>
          <w:p w14:paraId="3747D080" w14:textId="77777777" w:rsidR="001E64AB" w:rsidRDefault="001D4C77">
            <w:pPr>
              <w:pStyle w:val="Compact"/>
              <w:jc w:val="both"/>
            </w:pPr>
            <w:r>
              <w:t>UK (4), Germany (3), Netherlands (2), Others (3)</w:t>
            </w:r>
          </w:p>
        </w:tc>
      </w:tr>
      <w:tr w:rsidR="001E64AB" w14:paraId="07A6D6DE" w14:textId="77777777" w:rsidTr="001E64AB">
        <w:tc>
          <w:tcPr>
            <w:tcW w:w="0" w:type="auto"/>
          </w:tcPr>
          <w:p w14:paraId="517203B3" w14:textId="77777777" w:rsidR="001E64AB" w:rsidRDefault="001D4C77">
            <w:pPr>
              <w:pStyle w:val="Compact"/>
              <w:jc w:val="both"/>
            </w:pPr>
            <w:r>
              <w:t>Asia-Pacific</w:t>
            </w:r>
          </w:p>
        </w:tc>
        <w:tc>
          <w:tcPr>
            <w:tcW w:w="0" w:type="auto"/>
          </w:tcPr>
          <w:p w14:paraId="1E04DC12" w14:textId="77777777" w:rsidR="001E64AB" w:rsidRDefault="001D4C77">
            <w:pPr>
              <w:pStyle w:val="Compact"/>
              <w:jc w:val="both"/>
            </w:pPr>
            <w:r>
              <w:t>8 (19.0%)</w:t>
            </w:r>
          </w:p>
        </w:tc>
        <w:tc>
          <w:tcPr>
            <w:tcW w:w="0" w:type="auto"/>
          </w:tcPr>
          <w:p w14:paraId="3B7B638C" w14:textId="77777777" w:rsidR="001E64AB" w:rsidRDefault="001D4C77">
            <w:pPr>
              <w:pStyle w:val="Compact"/>
              <w:jc w:val="both"/>
            </w:pPr>
            <w:r>
              <w:t>Australia (3), China (2), Japan (2), Singapore (1)</w:t>
            </w:r>
          </w:p>
        </w:tc>
      </w:tr>
      <w:tr w:rsidR="001E64AB" w14:paraId="6EF2FAD0" w14:textId="77777777" w:rsidTr="001E64AB">
        <w:tc>
          <w:tcPr>
            <w:tcW w:w="0" w:type="auto"/>
          </w:tcPr>
          <w:p w14:paraId="268DB06E" w14:textId="77777777" w:rsidR="001E64AB" w:rsidRDefault="001D4C77">
            <w:pPr>
              <w:pStyle w:val="Compact"/>
              <w:jc w:val="both"/>
            </w:pPr>
            <w:r>
              <w:t>Latin America</w:t>
            </w:r>
          </w:p>
        </w:tc>
        <w:tc>
          <w:tcPr>
            <w:tcW w:w="0" w:type="auto"/>
          </w:tcPr>
          <w:p w14:paraId="24B64521" w14:textId="77777777" w:rsidR="001E64AB" w:rsidRDefault="001D4C77">
            <w:pPr>
              <w:pStyle w:val="Compact"/>
              <w:jc w:val="both"/>
            </w:pPr>
            <w:r>
              <w:t>4 (9.5%)</w:t>
            </w:r>
          </w:p>
        </w:tc>
        <w:tc>
          <w:tcPr>
            <w:tcW w:w="0" w:type="auto"/>
          </w:tcPr>
          <w:p w14:paraId="7F86BC4E" w14:textId="77777777" w:rsidR="001E64AB" w:rsidRDefault="001D4C77">
            <w:pPr>
              <w:pStyle w:val="Compact"/>
              <w:jc w:val="both"/>
            </w:pPr>
            <w:r>
              <w:t xml:space="preserve">Brazil (2), Mexico (1), Colombia </w:t>
            </w:r>
            <w:r>
              <w:lastRenderedPageBreak/>
              <w:t>(1)</w:t>
            </w:r>
          </w:p>
        </w:tc>
      </w:tr>
      <w:tr w:rsidR="001E64AB" w14:paraId="1465F1A4" w14:textId="77777777" w:rsidTr="001E64AB">
        <w:tc>
          <w:tcPr>
            <w:tcW w:w="0" w:type="auto"/>
          </w:tcPr>
          <w:p w14:paraId="7A8CEEC7" w14:textId="77777777" w:rsidR="001E64AB" w:rsidRDefault="001D4C77">
            <w:pPr>
              <w:pStyle w:val="Compact"/>
              <w:jc w:val="both"/>
            </w:pPr>
            <w:r>
              <w:lastRenderedPageBreak/>
              <w:t>Africa</w:t>
            </w:r>
          </w:p>
        </w:tc>
        <w:tc>
          <w:tcPr>
            <w:tcW w:w="0" w:type="auto"/>
          </w:tcPr>
          <w:p w14:paraId="0BB133D2" w14:textId="77777777" w:rsidR="001E64AB" w:rsidRDefault="001D4C77">
            <w:pPr>
              <w:pStyle w:val="Compact"/>
              <w:jc w:val="both"/>
            </w:pPr>
            <w:r>
              <w:t>2 (4.8%)</w:t>
            </w:r>
          </w:p>
        </w:tc>
        <w:tc>
          <w:tcPr>
            <w:tcW w:w="0" w:type="auto"/>
          </w:tcPr>
          <w:p w14:paraId="281DA594" w14:textId="77777777" w:rsidR="001E64AB" w:rsidRDefault="001D4C77">
            <w:pPr>
              <w:pStyle w:val="Compact"/>
              <w:jc w:val="both"/>
            </w:pPr>
            <w:r>
              <w:t>South Africa (2)</w:t>
            </w:r>
          </w:p>
        </w:tc>
      </w:tr>
      <w:tr w:rsidR="001E64AB" w14:paraId="4F0C64EC" w14:textId="77777777" w:rsidTr="001E64AB">
        <w:tc>
          <w:tcPr>
            <w:tcW w:w="0" w:type="auto"/>
          </w:tcPr>
          <w:p w14:paraId="25F3D002" w14:textId="77777777" w:rsidR="001E64AB" w:rsidRDefault="001E64AB">
            <w:pPr>
              <w:pStyle w:val="Compact"/>
              <w:jc w:val="both"/>
            </w:pPr>
          </w:p>
        </w:tc>
        <w:tc>
          <w:tcPr>
            <w:tcW w:w="0" w:type="auto"/>
          </w:tcPr>
          <w:p w14:paraId="157FB5BF" w14:textId="77777777" w:rsidR="001E64AB" w:rsidRDefault="001E64AB">
            <w:pPr>
              <w:pStyle w:val="Compact"/>
              <w:jc w:val="both"/>
            </w:pPr>
          </w:p>
        </w:tc>
        <w:tc>
          <w:tcPr>
            <w:tcW w:w="0" w:type="auto"/>
          </w:tcPr>
          <w:p w14:paraId="5F6C0BC5" w14:textId="77777777" w:rsidR="001E64AB" w:rsidRDefault="001E64AB">
            <w:pPr>
              <w:pStyle w:val="Compact"/>
              <w:jc w:val="both"/>
            </w:pPr>
          </w:p>
        </w:tc>
      </w:tr>
      <w:tr w:rsidR="001E64AB" w14:paraId="25126AC9" w14:textId="77777777" w:rsidTr="001E64AB">
        <w:tc>
          <w:tcPr>
            <w:tcW w:w="0" w:type="auto"/>
          </w:tcPr>
          <w:p w14:paraId="2988A234" w14:textId="77777777" w:rsidR="001E64AB" w:rsidRDefault="001D4C77">
            <w:pPr>
              <w:pStyle w:val="Compact"/>
              <w:jc w:val="both"/>
            </w:pPr>
            <w:r>
              <w:rPr>
                <w:b/>
                <w:bCs/>
              </w:rPr>
              <w:t>Income Setting</w:t>
            </w:r>
          </w:p>
        </w:tc>
        <w:tc>
          <w:tcPr>
            <w:tcW w:w="0" w:type="auto"/>
          </w:tcPr>
          <w:p w14:paraId="79C37104" w14:textId="77777777" w:rsidR="001E64AB" w:rsidRDefault="001E64AB">
            <w:pPr>
              <w:pStyle w:val="Compact"/>
              <w:jc w:val="both"/>
            </w:pPr>
          </w:p>
        </w:tc>
        <w:tc>
          <w:tcPr>
            <w:tcW w:w="0" w:type="auto"/>
          </w:tcPr>
          <w:p w14:paraId="59D39545" w14:textId="77777777" w:rsidR="001E64AB" w:rsidRDefault="001E64AB">
            <w:pPr>
              <w:pStyle w:val="Compact"/>
              <w:jc w:val="both"/>
            </w:pPr>
          </w:p>
        </w:tc>
      </w:tr>
      <w:tr w:rsidR="001E64AB" w14:paraId="4CD4D39C" w14:textId="77777777" w:rsidTr="001E64AB">
        <w:tc>
          <w:tcPr>
            <w:tcW w:w="0" w:type="auto"/>
          </w:tcPr>
          <w:p w14:paraId="4E975804" w14:textId="77777777" w:rsidR="001E64AB" w:rsidRDefault="001D4C77">
            <w:pPr>
              <w:pStyle w:val="Compact"/>
              <w:jc w:val="both"/>
            </w:pPr>
            <w:r>
              <w:t>High-Income Countries</w:t>
            </w:r>
          </w:p>
        </w:tc>
        <w:tc>
          <w:tcPr>
            <w:tcW w:w="0" w:type="auto"/>
          </w:tcPr>
          <w:p w14:paraId="1F1877BC" w14:textId="77777777" w:rsidR="001E64AB" w:rsidRDefault="001D4C77">
            <w:pPr>
              <w:pStyle w:val="Compact"/>
              <w:jc w:val="both"/>
            </w:pPr>
            <w:r>
              <w:t>28 (66.7%)</w:t>
            </w:r>
          </w:p>
        </w:tc>
        <w:tc>
          <w:tcPr>
            <w:tcW w:w="0" w:type="auto"/>
          </w:tcPr>
          <w:p w14:paraId="08B61874" w14:textId="77777777" w:rsidR="001E64AB" w:rsidRDefault="001E64AB">
            <w:pPr>
              <w:pStyle w:val="Compact"/>
              <w:jc w:val="both"/>
            </w:pPr>
          </w:p>
        </w:tc>
      </w:tr>
      <w:tr w:rsidR="001E64AB" w14:paraId="5DCE0C35" w14:textId="77777777" w:rsidTr="001E64AB">
        <w:tc>
          <w:tcPr>
            <w:tcW w:w="0" w:type="auto"/>
          </w:tcPr>
          <w:p w14:paraId="1BC6EDBA" w14:textId="77777777" w:rsidR="001E64AB" w:rsidRDefault="001D4C77">
            <w:pPr>
              <w:pStyle w:val="Compact"/>
              <w:jc w:val="both"/>
            </w:pPr>
            <w:r>
              <w:t>Middle-Income Countries</w:t>
            </w:r>
          </w:p>
        </w:tc>
        <w:tc>
          <w:tcPr>
            <w:tcW w:w="0" w:type="auto"/>
          </w:tcPr>
          <w:p w14:paraId="399ABB2F" w14:textId="77777777" w:rsidR="001E64AB" w:rsidRDefault="001D4C77">
            <w:pPr>
              <w:pStyle w:val="Compact"/>
              <w:jc w:val="both"/>
            </w:pPr>
            <w:r>
              <w:t>10 (23.8%)</w:t>
            </w:r>
          </w:p>
        </w:tc>
        <w:tc>
          <w:tcPr>
            <w:tcW w:w="0" w:type="auto"/>
          </w:tcPr>
          <w:p w14:paraId="000BBFE9" w14:textId="77777777" w:rsidR="001E64AB" w:rsidRDefault="001E64AB">
            <w:pPr>
              <w:pStyle w:val="Compact"/>
              <w:jc w:val="both"/>
            </w:pPr>
          </w:p>
        </w:tc>
      </w:tr>
      <w:tr w:rsidR="001E64AB" w14:paraId="6E627CB7" w14:textId="77777777" w:rsidTr="001E64AB">
        <w:tc>
          <w:tcPr>
            <w:tcW w:w="0" w:type="auto"/>
          </w:tcPr>
          <w:p w14:paraId="44B740CB" w14:textId="77777777" w:rsidR="001E64AB" w:rsidRDefault="001D4C77">
            <w:pPr>
              <w:pStyle w:val="Compact"/>
              <w:jc w:val="both"/>
            </w:pPr>
            <w:r>
              <w:t>Low-Income Countries</w:t>
            </w:r>
          </w:p>
        </w:tc>
        <w:tc>
          <w:tcPr>
            <w:tcW w:w="0" w:type="auto"/>
          </w:tcPr>
          <w:p w14:paraId="453D96AB" w14:textId="77777777" w:rsidR="001E64AB" w:rsidRDefault="001D4C77">
            <w:pPr>
              <w:pStyle w:val="Compact"/>
              <w:jc w:val="both"/>
            </w:pPr>
            <w:r>
              <w:t>4 (9.5%)</w:t>
            </w:r>
          </w:p>
        </w:tc>
        <w:tc>
          <w:tcPr>
            <w:tcW w:w="0" w:type="auto"/>
          </w:tcPr>
          <w:p w14:paraId="66C9FFAD" w14:textId="77777777" w:rsidR="001E64AB" w:rsidRDefault="001E64AB">
            <w:pPr>
              <w:pStyle w:val="Compact"/>
              <w:jc w:val="both"/>
            </w:pPr>
          </w:p>
        </w:tc>
      </w:tr>
      <w:tr w:rsidR="001E64AB" w14:paraId="78C8171B" w14:textId="77777777" w:rsidTr="001E64AB">
        <w:tc>
          <w:tcPr>
            <w:tcW w:w="0" w:type="auto"/>
          </w:tcPr>
          <w:p w14:paraId="535775C2" w14:textId="77777777" w:rsidR="001E64AB" w:rsidRDefault="001E64AB">
            <w:pPr>
              <w:pStyle w:val="Compact"/>
              <w:jc w:val="both"/>
            </w:pPr>
          </w:p>
        </w:tc>
        <w:tc>
          <w:tcPr>
            <w:tcW w:w="0" w:type="auto"/>
          </w:tcPr>
          <w:p w14:paraId="5D4D884A" w14:textId="77777777" w:rsidR="001E64AB" w:rsidRDefault="001E64AB">
            <w:pPr>
              <w:pStyle w:val="Compact"/>
              <w:jc w:val="both"/>
            </w:pPr>
          </w:p>
        </w:tc>
        <w:tc>
          <w:tcPr>
            <w:tcW w:w="0" w:type="auto"/>
          </w:tcPr>
          <w:p w14:paraId="02725F8B" w14:textId="77777777" w:rsidR="001E64AB" w:rsidRDefault="001E64AB">
            <w:pPr>
              <w:pStyle w:val="Compact"/>
              <w:jc w:val="both"/>
            </w:pPr>
          </w:p>
        </w:tc>
      </w:tr>
      <w:tr w:rsidR="001E64AB" w14:paraId="4A2F2316" w14:textId="77777777" w:rsidTr="001E64AB">
        <w:tc>
          <w:tcPr>
            <w:tcW w:w="0" w:type="auto"/>
          </w:tcPr>
          <w:p w14:paraId="2F2B6F2F" w14:textId="77777777" w:rsidR="001E64AB" w:rsidRDefault="001D4C77">
            <w:pPr>
              <w:pStyle w:val="Compact"/>
              <w:jc w:val="both"/>
            </w:pPr>
            <w:r>
              <w:rPr>
                <w:b/>
                <w:bCs/>
              </w:rPr>
              <w:t>Study Setting</w:t>
            </w:r>
          </w:p>
        </w:tc>
        <w:tc>
          <w:tcPr>
            <w:tcW w:w="0" w:type="auto"/>
          </w:tcPr>
          <w:p w14:paraId="305518BF" w14:textId="77777777" w:rsidR="001E64AB" w:rsidRDefault="001E64AB">
            <w:pPr>
              <w:pStyle w:val="Compact"/>
              <w:jc w:val="both"/>
            </w:pPr>
          </w:p>
        </w:tc>
        <w:tc>
          <w:tcPr>
            <w:tcW w:w="0" w:type="auto"/>
          </w:tcPr>
          <w:p w14:paraId="4BA3137B" w14:textId="77777777" w:rsidR="001E64AB" w:rsidRDefault="001E64AB">
            <w:pPr>
              <w:pStyle w:val="Compact"/>
              <w:jc w:val="both"/>
            </w:pPr>
          </w:p>
        </w:tc>
      </w:tr>
      <w:tr w:rsidR="001E64AB" w14:paraId="246D5DFF" w14:textId="77777777" w:rsidTr="001E64AB">
        <w:tc>
          <w:tcPr>
            <w:tcW w:w="0" w:type="auto"/>
          </w:tcPr>
          <w:p w14:paraId="0D61CED3" w14:textId="77777777" w:rsidR="001E64AB" w:rsidRDefault="001D4C77">
            <w:pPr>
              <w:pStyle w:val="Compact"/>
              <w:jc w:val="both"/>
            </w:pPr>
            <w:r>
              <w:t>Primary Care</w:t>
            </w:r>
          </w:p>
        </w:tc>
        <w:tc>
          <w:tcPr>
            <w:tcW w:w="0" w:type="auto"/>
          </w:tcPr>
          <w:p w14:paraId="7C48213B" w14:textId="77777777" w:rsidR="001E64AB" w:rsidRDefault="001D4C77">
            <w:pPr>
              <w:pStyle w:val="Compact"/>
              <w:jc w:val="both"/>
            </w:pPr>
            <w:r>
              <w:t>14 (33.3%)</w:t>
            </w:r>
          </w:p>
        </w:tc>
        <w:tc>
          <w:tcPr>
            <w:tcW w:w="0" w:type="auto"/>
          </w:tcPr>
          <w:p w14:paraId="762FD78E" w14:textId="77777777" w:rsidR="001E64AB" w:rsidRDefault="001D4C77">
            <w:pPr>
              <w:pStyle w:val="Compact"/>
              <w:jc w:val="both"/>
            </w:pPr>
            <w:r>
              <w:t>General practices, family medicine</w:t>
            </w:r>
          </w:p>
        </w:tc>
      </w:tr>
      <w:tr w:rsidR="001E64AB" w14:paraId="69B7B432" w14:textId="77777777" w:rsidTr="001E64AB">
        <w:tc>
          <w:tcPr>
            <w:tcW w:w="0" w:type="auto"/>
          </w:tcPr>
          <w:p w14:paraId="12BBB969" w14:textId="77777777" w:rsidR="001E64AB" w:rsidRDefault="001D4C77">
            <w:pPr>
              <w:pStyle w:val="Compact"/>
              <w:jc w:val="both"/>
            </w:pPr>
            <w:r>
              <w:t>Community Health Centers</w:t>
            </w:r>
          </w:p>
        </w:tc>
        <w:tc>
          <w:tcPr>
            <w:tcW w:w="0" w:type="auto"/>
          </w:tcPr>
          <w:p w14:paraId="46C4A658" w14:textId="77777777" w:rsidR="001E64AB" w:rsidRDefault="001D4C77">
            <w:pPr>
              <w:pStyle w:val="Compact"/>
              <w:jc w:val="both"/>
            </w:pPr>
            <w:r>
              <w:t>8 (19.0%)</w:t>
            </w:r>
          </w:p>
        </w:tc>
        <w:tc>
          <w:tcPr>
            <w:tcW w:w="0" w:type="auto"/>
          </w:tcPr>
          <w:p w14:paraId="012E5677" w14:textId="77777777" w:rsidR="001E64AB" w:rsidRDefault="001D4C77">
            <w:pPr>
              <w:pStyle w:val="Compact"/>
              <w:jc w:val="both"/>
            </w:pPr>
            <w:r>
              <w:t>Community clinics</w:t>
            </w:r>
          </w:p>
        </w:tc>
      </w:tr>
      <w:tr w:rsidR="001E64AB" w14:paraId="0C55D89A" w14:textId="77777777" w:rsidTr="001E64AB">
        <w:tc>
          <w:tcPr>
            <w:tcW w:w="0" w:type="auto"/>
          </w:tcPr>
          <w:p w14:paraId="4788DF5F" w14:textId="77777777" w:rsidR="001E64AB" w:rsidRDefault="001D4C77">
            <w:pPr>
              <w:pStyle w:val="Compact"/>
              <w:jc w:val="both"/>
            </w:pPr>
            <w:r>
              <w:t>Workplaces</w:t>
            </w:r>
          </w:p>
        </w:tc>
        <w:tc>
          <w:tcPr>
            <w:tcW w:w="0" w:type="auto"/>
          </w:tcPr>
          <w:p w14:paraId="68EE1275" w14:textId="77777777" w:rsidR="001E64AB" w:rsidRDefault="001D4C77">
            <w:pPr>
              <w:pStyle w:val="Compact"/>
              <w:jc w:val="both"/>
            </w:pPr>
            <w:r>
              <w:t>10 (23.8%)</w:t>
            </w:r>
          </w:p>
        </w:tc>
        <w:tc>
          <w:tcPr>
            <w:tcW w:w="0" w:type="auto"/>
          </w:tcPr>
          <w:p w14:paraId="1046EF45" w14:textId="77777777" w:rsidR="001E64AB" w:rsidRDefault="001D4C77">
            <w:pPr>
              <w:pStyle w:val="Compact"/>
              <w:jc w:val="both"/>
            </w:pPr>
            <w:r>
              <w:t>Corporate, occupational settings</w:t>
            </w:r>
          </w:p>
        </w:tc>
      </w:tr>
      <w:tr w:rsidR="001E64AB" w14:paraId="07F993FA" w14:textId="77777777" w:rsidTr="001E64AB">
        <w:tc>
          <w:tcPr>
            <w:tcW w:w="0" w:type="auto"/>
          </w:tcPr>
          <w:p w14:paraId="546337B4" w14:textId="77777777" w:rsidR="001E64AB" w:rsidRDefault="001D4C77">
            <w:pPr>
              <w:pStyle w:val="Compact"/>
              <w:jc w:val="both"/>
            </w:pPr>
            <w:r>
              <w:t>Schools</w:t>
            </w:r>
          </w:p>
        </w:tc>
        <w:tc>
          <w:tcPr>
            <w:tcW w:w="0" w:type="auto"/>
          </w:tcPr>
          <w:p w14:paraId="7D5CD139" w14:textId="77777777" w:rsidR="001E64AB" w:rsidRDefault="001D4C77">
            <w:pPr>
              <w:pStyle w:val="Compact"/>
              <w:jc w:val="both"/>
            </w:pPr>
            <w:r>
              <w:t>6 (14.3%)</w:t>
            </w:r>
          </w:p>
        </w:tc>
        <w:tc>
          <w:tcPr>
            <w:tcW w:w="0" w:type="auto"/>
          </w:tcPr>
          <w:p w14:paraId="6CD379EE" w14:textId="77777777" w:rsidR="001E64AB" w:rsidRDefault="001D4C77">
            <w:pPr>
              <w:pStyle w:val="Compact"/>
              <w:jc w:val="both"/>
            </w:pPr>
            <w:r>
              <w:t>Educational institutions</w:t>
            </w:r>
          </w:p>
        </w:tc>
      </w:tr>
      <w:tr w:rsidR="001E64AB" w14:paraId="45E62120" w14:textId="77777777" w:rsidTr="001E64AB">
        <w:tc>
          <w:tcPr>
            <w:tcW w:w="0" w:type="auto"/>
          </w:tcPr>
          <w:p w14:paraId="0CAEA2AF" w14:textId="77777777" w:rsidR="001E64AB" w:rsidRDefault="001D4C77">
            <w:pPr>
              <w:pStyle w:val="Compact"/>
              <w:jc w:val="both"/>
            </w:pPr>
            <w:r>
              <w:t>Neighborhood/Community</w:t>
            </w:r>
          </w:p>
        </w:tc>
        <w:tc>
          <w:tcPr>
            <w:tcW w:w="0" w:type="auto"/>
          </w:tcPr>
          <w:p w14:paraId="22A3C448" w14:textId="77777777" w:rsidR="001E64AB" w:rsidRDefault="001D4C77">
            <w:pPr>
              <w:pStyle w:val="Compact"/>
              <w:jc w:val="both"/>
            </w:pPr>
            <w:r>
              <w:t>4 (9.5%)</w:t>
            </w:r>
          </w:p>
        </w:tc>
        <w:tc>
          <w:tcPr>
            <w:tcW w:w="0" w:type="auto"/>
          </w:tcPr>
          <w:p w14:paraId="7FADB42D" w14:textId="77777777" w:rsidR="001E64AB" w:rsidRDefault="001D4C77">
            <w:pPr>
              <w:pStyle w:val="Compact"/>
              <w:jc w:val="both"/>
            </w:pPr>
            <w:r>
              <w:t>Community-wide programs</w:t>
            </w:r>
          </w:p>
        </w:tc>
      </w:tr>
      <w:tr w:rsidR="001E64AB" w14:paraId="1B4D42E1" w14:textId="77777777" w:rsidTr="001E64AB">
        <w:tc>
          <w:tcPr>
            <w:tcW w:w="0" w:type="auto"/>
          </w:tcPr>
          <w:p w14:paraId="2891AF5A" w14:textId="77777777" w:rsidR="001E64AB" w:rsidRDefault="001E64AB">
            <w:pPr>
              <w:pStyle w:val="Compact"/>
              <w:jc w:val="both"/>
            </w:pPr>
          </w:p>
        </w:tc>
        <w:tc>
          <w:tcPr>
            <w:tcW w:w="0" w:type="auto"/>
          </w:tcPr>
          <w:p w14:paraId="7800EAA8" w14:textId="77777777" w:rsidR="001E64AB" w:rsidRDefault="001E64AB">
            <w:pPr>
              <w:pStyle w:val="Compact"/>
              <w:jc w:val="both"/>
            </w:pPr>
          </w:p>
        </w:tc>
        <w:tc>
          <w:tcPr>
            <w:tcW w:w="0" w:type="auto"/>
          </w:tcPr>
          <w:p w14:paraId="56371C80" w14:textId="77777777" w:rsidR="001E64AB" w:rsidRDefault="001E64AB">
            <w:pPr>
              <w:pStyle w:val="Compact"/>
              <w:jc w:val="both"/>
            </w:pPr>
          </w:p>
        </w:tc>
      </w:tr>
      <w:tr w:rsidR="001E64AB" w14:paraId="5EB1202E" w14:textId="77777777" w:rsidTr="001E64AB">
        <w:tc>
          <w:tcPr>
            <w:tcW w:w="0" w:type="auto"/>
          </w:tcPr>
          <w:p w14:paraId="7E0B662F" w14:textId="77777777" w:rsidR="001E64AB" w:rsidRDefault="001D4C77">
            <w:pPr>
              <w:pStyle w:val="Compact"/>
              <w:jc w:val="both"/>
            </w:pPr>
            <w:r>
              <w:rPr>
                <w:b/>
                <w:bCs/>
              </w:rPr>
              <w:t>Target Population</w:t>
            </w:r>
          </w:p>
        </w:tc>
        <w:tc>
          <w:tcPr>
            <w:tcW w:w="0" w:type="auto"/>
          </w:tcPr>
          <w:p w14:paraId="165C1EF9" w14:textId="77777777" w:rsidR="001E64AB" w:rsidRDefault="001E64AB">
            <w:pPr>
              <w:pStyle w:val="Compact"/>
              <w:jc w:val="both"/>
            </w:pPr>
          </w:p>
        </w:tc>
        <w:tc>
          <w:tcPr>
            <w:tcW w:w="0" w:type="auto"/>
          </w:tcPr>
          <w:p w14:paraId="671D00B5" w14:textId="77777777" w:rsidR="001E64AB" w:rsidRDefault="001E64AB">
            <w:pPr>
              <w:pStyle w:val="Compact"/>
              <w:jc w:val="both"/>
            </w:pPr>
          </w:p>
        </w:tc>
      </w:tr>
      <w:tr w:rsidR="001E64AB" w14:paraId="37CD7ED3" w14:textId="77777777" w:rsidTr="001E64AB">
        <w:tc>
          <w:tcPr>
            <w:tcW w:w="0" w:type="auto"/>
          </w:tcPr>
          <w:p w14:paraId="4C2C6B4A" w14:textId="77777777" w:rsidR="001E64AB" w:rsidRDefault="001D4C77">
            <w:pPr>
              <w:pStyle w:val="Compact"/>
              <w:jc w:val="both"/>
            </w:pPr>
            <w:r>
              <w:t>General Community</w:t>
            </w:r>
          </w:p>
        </w:tc>
        <w:tc>
          <w:tcPr>
            <w:tcW w:w="0" w:type="auto"/>
          </w:tcPr>
          <w:p w14:paraId="5F1CC2E8" w14:textId="77777777" w:rsidR="001E64AB" w:rsidRDefault="001D4C77">
            <w:pPr>
              <w:pStyle w:val="Compact"/>
              <w:jc w:val="both"/>
            </w:pPr>
            <w:r>
              <w:t>18 (42.9%)</w:t>
            </w:r>
          </w:p>
        </w:tc>
        <w:tc>
          <w:tcPr>
            <w:tcW w:w="0" w:type="auto"/>
          </w:tcPr>
          <w:p w14:paraId="6D6E33FE" w14:textId="77777777" w:rsidR="001E64AB" w:rsidRDefault="001D4C77">
            <w:pPr>
              <w:pStyle w:val="Compact"/>
              <w:jc w:val="both"/>
            </w:pPr>
            <w:r>
              <w:t>No specific risk profile</w:t>
            </w:r>
          </w:p>
        </w:tc>
      </w:tr>
      <w:tr w:rsidR="001E64AB" w14:paraId="0542E74F" w14:textId="77777777" w:rsidTr="001E64AB">
        <w:tc>
          <w:tcPr>
            <w:tcW w:w="0" w:type="auto"/>
          </w:tcPr>
          <w:p w14:paraId="61873FB0" w14:textId="77777777" w:rsidR="001E64AB" w:rsidRDefault="001D4C77">
            <w:pPr>
              <w:pStyle w:val="Compact"/>
              <w:jc w:val="both"/>
            </w:pPr>
            <w:r>
              <w:t>At-Risk for Diabetes</w:t>
            </w:r>
          </w:p>
        </w:tc>
        <w:tc>
          <w:tcPr>
            <w:tcW w:w="0" w:type="auto"/>
          </w:tcPr>
          <w:p w14:paraId="1CA33761" w14:textId="77777777" w:rsidR="001E64AB" w:rsidRDefault="001D4C77">
            <w:pPr>
              <w:pStyle w:val="Compact"/>
              <w:jc w:val="both"/>
            </w:pPr>
            <w:r>
              <w:t>16 (38.1%)</w:t>
            </w:r>
          </w:p>
        </w:tc>
        <w:tc>
          <w:tcPr>
            <w:tcW w:w="0" w:type="auto"/>
          </w:tcPr>
          <w:p w14:paraId="3C90420E" w14:textId="77777777" w:rsidR="001E64AB" w:rsidRDefault="001D4C77">
            <w:pPr>
              <w:pStyle w:val="Compact"/>
              <w:jc w:val="both"/>
            </w:pPr>
            <w:r>
              <w:t>Prediabetic or high-risk individuals</w:t>
            </w:r>
          </w:p>
        </w:tc>
      </w:tr>
      <w:tr w:rsidR="001E64AB" w14:paraId="3451BE54" w14:textId="77777777" w:rsidTr="001E64AB">
        <w:tc>
          <w:tcPr>
            <w:tcW w:w="0" w:type="auto"/>
          </w:tcPr>
          <w:p w14:paraId="72B07B77" w14:textId="77777777" w:rsidR="001E64AB" w:rsidRDefault="001D4C77">
            <w:pPr>
              <w:pStyle w:val="Compact"/>
              <w:jc w:val="both"/>
            </w:pPr>
            <w:r>
              <w:t>At-Risk for Hypertension</w:t>
            </w:r>
          </w:p>
        </w:tc>
        <w:tc>
          <w:tcPr>
            <w:tcW w:w="0" w:type="auto"/>
          </w:tcPr>
          <w:p w14:paraId="777D8627" w14:textId="77777777" w:rsidR="001E64AB" w:rsidRDefault="001D4C77">
            <w:pPr>
              <w:pStyle w:val="Compact"/>
              <w:jc w:val="both"/>
            </w:pPr>
            <w:r>
              <w:t>5 (11.9%)</w:t>
            </w:r>
          </w:p>
        </w:tc>
        <w:tc>
          <w:tcPr>
            <w:tcW w:w="0" w:type="auto"/>
          </w:tcPr>
          <w:p w14:paraId="2590852C" w14:textId="77777777" w:rsidR="001E64AB" w:rsidRDefault="001D4C77">
            <w:pPr>
              <w:pStyle w:val="Compact"/>
              <w:jc w:val="both"/>
            </w:pPr>
            <w:r>
              <w:t>Prehypertensive individuals</w:t>
            </w:r>
          </w:p>
        </w:tc>
      </w:tr>
      <w:tr w:rsidR="001E64AB" w14:paraId="3AA4C7D2" w14:textId="77777777" w:rsidTr="001E64AB">
        <w:tc>
          <w:tcPr>
            <w:tcW w:w="0" w:type="auto"/>
          </w:tcPr>
          <w:p w14:paraId="3EFF7216" w14:textId="77777777" w:rsidR="001E64AB" w:rsidRDefault="001D4C77">
            <w:pPr>
              <w:pStyle w:val="Compact"/>
              <w:jc w:val="both"/>
            </w:pPr>
            <w:r>
              <w:t>Combined Risk</w:t>
            </w:r>
          </w:p>
        </w:tc>
        <w:tc>
          <w:tcPr>
            <w:tcW w:w="0" w:type="auto"/>
          </w:tcPr>
          <w:p w14:paraId="68C87A1A" w14:textId="77777777" w:rsidR="001E64AB" w:rsidRDefault="001D4C77">
            <w:pPr>
              <w:pStyle w:val="Compact"/>
              <w:jc w:val="both"/>
            </w:pPr>
            <w:r>
              <w:t>3 (7.1%)</w:t>
            </w:r>
          </w:p>
        </w:tc>
        <w:tc>
          <w:tcPr>
            <w:tcW w:w="0" w:type="auto"/>
          </w:tcPr>
          <w:p w14:paraId="6E01158E" w14:textId="77777777" w:rsidR="001E64AB" w:rsidRDefault="001D4C77">
            <w:pPr>
              <w:pStyle w:val="Compact"/>
              <w:jc w:val="both"/>
            </w:pPr>
            <w:r>
              <w:t>Multiple risk conditions</w:t>
            </w:r>
          </w:p>
        </w:tc>
      </w:tr>
      <w:tr w:rsidR="001E64AB" w14:paraId="67B9C774" w14:textId="77777777" w:rsidTr="001E64AB">
        <w:tc>
          <w:tcPr>
            <w:tcW w:w="0" w:type="auto"/>
          </w:tcPr>
          <w:p w14:paraId="5E929808" w14:textId="77777777" w:rsidR="001E64AB" w:rsidRDefault="001E64AB">
            <w:pPr>
              <w:pStyle w:val="Compact"/>
              <w:jc w:val="both"/>
            </w:pPr>
          </w:p>
        </w:tc>
        <w:tc>
          <w:tcPr>
            <w:tcW w:w="0" w:type="auto"/>
          </w:tcPr>
          <w:p w14:paraId="38DF5574" w14:textId="77777777" w:rsidR="001E64AB" w:rsidRDefault="001E64AB">
            <w:pPr>
              <w:pStyle w:val="Compact"/>
              <w:jc w:val="both"/>
            </w:pPr>
          </w:p>
        </w:tc>
        <w:tc>
          <w:tcPr>
            <w:tcW w:w="0" w:type="auto"/>
          </w:tcPr>
          <w:p w14:paraId="6ADE2837" w14:textId="77777777" w:rsidR="001E64AB" w:rsidRDefault="001E64AB">
            <w:pPr>
              <w:pStyle w:val="Compact"/>
              <w:jc w:val="both"/>
            </w:pPr>
          </w:p>
        </w:tc>
      </w:tr>
      <w:tr w:rsidR="001E64AB" w14:paraId="43CA5158" w14:textId="77777777" w:rsidTr="001E64AB">
        <w:tc>
          <w:tcPr>
            <w:tcW w:w="0" w:type="auto"/>
          </w:tcPr>
          <w:p w14:paraId="5D25A88C" w14:textId="77777777" w:rsidR="001E64AB" w:rsidRDefault="001D4C77">
            <w:pPr>
              <w:pStyle w:val="Compact"/>
              <w:jc w:val="both"/>
            </w:pPr>
            <w:r>
              <w:rPr>
                <w:b/>
                <w:bCs/>
              </w:rPr>
              <w:t>Mean Follow-up Duration</w:t>
            </w:r>
          </w:p>
        </w:tc>
        <w:tc>
          <w:tcPr>
            <w:tcW w:w="0" w:type="auto"/>
          </w:tcPr>
          <w:p w14:paraId="08BFE2EC" w14:textId="77777777" w:rsidR="001E64AB" w:rsidRDefault="001E64AB">
            <w:pPr>
              <w:pStyle w:val="Compact"/>
              <w:jc w:val="both"/>
            </w:pPr>
          </w:p>
        </w:tc>
        <w:tc>
          <w:tcPr>
            <w:tcW w:w="0" w:type="auto"/>
          </w:tcPr>
          <w:p w14:paraId="447125F7" w14:textId="77777777" w:rsidR="001E64AB" w:rsidRDefault="001E64AB">
            <w:pPr>
              <w:pStyle w:val="Compact"/>
              <w:jc w:val="both"/>
            </w:pPr>
          </w:p>
        </w:tc>
      </w:tr>
      <w:tr w:rsidR="001E64AB" w14:paraId="1E9A528C" w14:textId="77777777" w:rsidTr="001E64AB">
        <w:tc>
          <w:tcPr>
            <w:tcW w:w="0" w:type="auto"/>
          </w:tcPr>
          <w:p w14:paraId="439F63ED" w14:textId="77777777" w:rsidR="001E64AB" w:rsidRDefault="001D4C77">
            <w:pPr>
              <w:pStyle w:val="Compact"/>
              <w:jc w:val="both"/>
            </w:pPr>
            <w:r>
              <w:t>3-6 months</w:t>
            </w:r>
          </w:p>
        </w:tc>
        <w:tc>
          <w:tcPr>
            <w:tcW w:w="0" w:type="auto"/>
          </w:tcPr>
          <w:p w14:paraId="54C95576" w14:textId="77777777" w:rsidR="001E64AB" w:rsidRDefault="001D4C77">
            <w:pPr>
              <w:pStyle w:val="Compact"/>
              <w:jc w:val="both"/>
            </w:pPr>
            <w:r>
              <w:t>6 (14.3%)</w:t>
            </w:r>
          </w:p>
        </w:tc>
        <w:tc>
          <w:tcPr>
            <w:tcW w:w="0" w:type="auto"/>
          </w:tcPr>
          <w:p w14:paraId="4AE06BF4" w14:textId="77777777" w:rsidR="001E64AB" w:rsidRDefault="001D4C77">
            <w:pPr>
              <w:pStyle w:val="Compact"/>
              <w:jc w:val="both"/>
            </w:pPr>
            <w:r>
              <w:t>Short-term outcomes only</w:t>
            </w:r>
          </w:p>
        </w:tc>
      </w:tr>
      <w:tr w:rsidR="001E64AB" w14:paraId="46C094C4" w14:textId="77777777" w:rsidTr="001E64AB">
        <w:tc>
          <w:tcPr>
            <w:tcW w:w="0" w:type="auto"/>
          </w:tcPr>
          <w:p w14:paraId="215D95B6" w14:textId="77777777" w:rsidR="001E64AB" w:rsidRDefault="001D4C77">
            <w:pPr>
              <w:pStyle w:val="Compact"/>
              <w:jc w:val="both"/>
            </w:pPr>
            <w:r>
              <w:t>6-12 months</w:t>
            </w:r>
          </w:p>
        </w:tc>
        <w:tc>
          <w:tcPr>
            <w:tcW w:w="0" w:type="auto"/>
          </w:tcPr>
          <w:p w14:paraId="1E451A38" w14:textId="77777777" w:rsidR="001E64AB" w:rsidRDefault="001D4C77">
            <w:pPr>
              <w:pStyle w:val="Compact"/>
              <w:jc w:val="both"/>
            </w:pPr>
            <w:r>
              <w:t>12 (28.6%)</w:t>
            </w:r>
          </w:p>
        </w:tc>
        <w:tc>
          <w:tcPr>
            <w:tcW w:w="0" w:type="auto"/>
          </w:tcPr>
          <w:p w14:paraId="5C0BAB89" w14:textId="77777777" w:rsidR="001E64AB" w:rsidRDefault="001E64AB">
            <w:pPr>
              <w:pStyle w:val="Compact"/>
              <w:jc w:val="both"/>
            </w:pPr>
          </w:p>
        </w:tc>
      </w:tr>
      <w:tr w:rsidR="001E64AB" w14:paraId="4FBE6051" w14:textId="77777777" w:rsidTr="001E64AB">
        <w:tc>
          <w:tcPr>
            <w:tcW w:w="0" w:type="auto"/>
          </w:tcPr>
          <w:p w14:paraId="6517EF8E" w14:textId="77777777" w:rsidR="001E64AB" w:rsidRDefault="001D4C77">
            <w:pPr>
              <w:pStyle w:val="Compact"/>
              <w:jc w:val="both"/>
            </w:pPr>
            <w:r>
              <w:t>12-24 months</w:t>
            </w:r>
          </w:p>
        </w:tc>
        <w:tc>
          <w:tcPr>
            <w:tcW w:w="0" w:type="auto"/>
          </w:tcPr>
          <w:p w14:paraId="624DF7F2" w14:textId="77777777" w:rsidR="001E64AB" w:rsidRDefault="001D4C77">
            <w:pPr>
              <w:pStyle w:val="Compact"/>
              <w:jc w:val="both"/>
            </w:pPr>
            <w:r>
              <w:t>18 (42.9%)</w:t>
            </w:r>
          </w:p>
        </w:tc>
        <w:tc>
          <w:tcPr>
            <w:tcW w:w="0" w:type="auto"/>
          </w:tcPr>
          <w:p w14:paraId="642DE530" w14:textId="77777777" w:rsidR="001E64AB" w:rsidRDefault="001D4C77">
            <w:pPr>
              <w:pStyle w:val="Compact"/>
              <w:jc w:val="both"/>
            </w:pPr>
            <w:r>
              <w:t>Most common duration</w:t>
            </w:r>
          </w:p>
        </w:tc>
      </w:tr>
      <w:tr w:rsidR="001E64AB" w14:paraId="0D78BE3A" w14:textId="77777777" w:rsidTr="001E64AB">
        <w:tc>
          <w:tcPr>
            <w:tcW w:w="0" w:type="auto"/>
          </w:tcPr>
          <w:p w14:paraId="5581E342" w14:textId="77777777" w:rsidR="001E64AB" w:rsidRDefault="001D4C77">
            <w:pPr>
              <w:pStyle w:val="Compact"/>
              <w:jc w:val="both"/>
            </w:pPr>
            <w:r>
              <w:t>&gt;24 months</w:t>
            </w:r>
          </w:p>
        </w:tc>
        <w:tc>
          <w:tcPr>
            <w:tcW w:w="0" w:type="auto"/>
          </w:tcPr>
          <w:p w14:paraId="72F84107" w14:textId="77777777" w:rsidR="001E64AB" w:rsidRDefault="001D4C77">
            <w:pPr>
              <w:pStyle w:val="Compact"/>
              <w:jc w:val="both"/>
            </w:pPr>
            <w:r>
              <w:t>6 (14.3%)</w:t>
            </w:r>
          </w:p>
        </w:tc>
        <w:tc>
          <w:tcPr>
            <w:tcW w:w="0" w:type="auto"/>
          </w:tcPr>
          <w:p w14:paraId="38E39285" w14:textId="77777777" w:rsidR="001E64AB" w:rsidRDefault="001D4C77">
            <w:pPr>
              <w:pStyle w:val="Compact"/>
              <w:jc w:val="both"/>
            </w:pPr>
            <w:r>
              <w:t>Long-term follow-up</w:t>
            </w:r>
          </w:p>
        </w:tc>
      </w:tr>
      <w:tr w:rsidR="001E64AB" w14:paraId="72691112" w14:textId="77777777" w:rsidTr="001E64AB">
        <w:tc>
          <w:tcPr>
            <w:tcW w:w="0" w:type="auto"/>
          </w:tcPr>
          <w:p w14:paraId="6C267C9A" w14:textId="77777777" w:rsidR="001E64AB" w:rsidRDefault="001E64AB">
            <w:pPr>
              <w:pStyle w:val="Compact"/>
              <w:jc w:val="both"/>
            </w:pPr>
          </w:p>
        </w:tc>
        <w:tc>
          <w:tcPr>
            <w:tcW w:w="0" w:type="auto"/>
          </w:tcPr>
          <w:p w14:paraId="1B870F5E" w14:textId="77777777" w:rsidR="001E64AB" w:rsidRDefault="001E64AB">
            <w:pPr>
              <w:pStyle w:val="Compact"/>
              <w:jc w:val="both"/>
            </w:pPr>
          </w:p>
        </w:tc>
        <w:tc>
          <w:tcPr>
            <w:tcW w:w="0" w:type="auto"/>
          </w:tcPr>
          <w:p w14:paraId="27654086" w14:textId="77777777" w:rsidR="001E64AB" w:rsidRDefault="001E64AB">
            <w:pPr>
              <w:pStyle w:val="Compact"/>
              <w:jc w:val="both"/>
            </w:pPr>
          </w:p>
        </w:tc>
      </w:tr>
      <w:tr w:rsidR="001E64AB" w14:paraId="26669628" w14:textId="77777777" w:rsidTr="001E64AB">
        <w:tc>
          <w:tcPr>
            <w:tcW w:w="0" w:type="auto"/>
          </w:tcPr>
          <w:p w14:paraId="43C0C8D0" w14:textId="77777777" w:rsidR="001E64AB" w:rsidRDefault="001D4C77">
            <w:pPr>
              <w:pStyle w:val="Compact"/>
              <w:jc w:val="both"/>
            </w:pPr>
            <w:r>
              <w:rPr>
                <w:b/>
                <w:bCs/>
              </w:rPr>
              <w:t>Median Sample Size</w:t>
            </w:r>
          </w:p>
        </w:tc>
        <w:tc>
          <w:tcPr>
            <w:tcW w:w="0" w:type="auto"/>
          </w:tcPr>
          <w:p w14:paraId="55E4B558" w14:textId="77777777" w:rsidR="001E64AB" w:rsidRDefault="001D4C77">
            <w:pPr>
              <w:pStyle w:val="Compact"/>
              <w:jc w:val="both"/>
            </w:pPr>
            <w:r>
              <w:t>420 (IQR: 180-1,240)</w:t>
            </w:r>
          </w:p>
        </w:tc>
        <w:tc>
          <w:tcPr>
            <w:tcW w:w="0" w:type="auto"/>
          </w:tcPr>
          <w:p w14:paraId="420DCC62" w14:textId="77777777" w:rsidR="001E64AB" w:rsidRDefault="001D4C77">
            <w:pPr>
              <w:pStyle w:val="Compact"/>
              <w:jc w:val="both"/>
            </w:pPr>
            <w:r>
              <w:t>Range: 39 to 28,540</w:t>
            </w:r>
          </w:p>
        </w:tc>
      </w:tr>
      <w:tr w:rsidR="001E64AB" w14:paraId="7D2637AC" w14:textId="77777777" w:rsidTr="001E64AB">
        <w:tc>
          <w:tcPr>
            <w:tcW w:w="0" w:type="auto"/>
          </w:tcPr>
          <w:p w14:paraId="489B4C1B" w14:textId="77777777" w:rsidR="001E64AB" w:rsidRDefault="001D4C77">
            <w:pPr>
              <w:pStyle w:val="Compact"/>
              <w:jc w:val="both"/>
            </w:pPr>
            <w:r>
              <w:rPr>
                <w:b/>
                <w:bCs/>
              </w:rPr>
              <w:t>Total Participants</w:t>
            </w:r>
          </w:p>
        </w:tc>
        <w:tc>
          <w:tcPr>
            <w:tcW w:w="0" w:type="auto"/>
          </w:tcPr>
          <w:p w14:paraId="08C37DE8" w14:textId="77777777" w:rsidR="001E64AB" w:rsidRDefault="001D4C77">
            <w:pPr>
              <w:pStyle w:val="Compact"/>
              <w:jc w:val="both"/>
            </w:pPr>
            <w:r>
              <w:t>85,437</w:t>
            </w:r>
          </w:p>
        </w:tc>
        <w:tc>
          <w:tcPr>
            <w:tcW w:w="0" w:type="auto"/>
          </w:tcPr>
          <w:p w14:paraId="4EC1D571" w14:textId="77777777" w:rsidR="001E64AB" w:rsidRDefault="001D4C77">
            <w:pPr>
              <w:pStyle w:val="Compact"/>
              <w:jc w:val="both"/>
            </w:pPr>
            <w:r>
              <w:t>Across all included studies</w:t>
            </w:r>
          </w:p>
        </w:tc>
      </w:tr>
      <w:tr w:rsidR="001E64AB" w14:paraId="55FEDD84" w14:textId="77777777" w:rsidTr="001E64AB">
        <w:tc>
          <w:tcPr>
            <w:tcW w:w="0" w:type="auto"/>
          </w:tcPr>
          <w:p w14:paraId="3E32C9B4" w14:textId="77777777" w:rsidR="001E64AB" w:rsidRDefault="001D4C77">
            <w:pPr>
              <w:pStyle w:val="Compact"/>
              <w:jc w:val="both"/>
            </w:pPr>
            <w:r>
              <w:rPr>
                <w:b/>
                <w:bCs/>
              </w:rPr>
              <w:t>Mean Participant Age</w:t>
            </w:r>
          </w:p>
        </w:tc>
        <w:tc>
          <w:tcPr>
            <w:tcW w:w="0" w:type="auto"/>
          </w:tcPr>
          <w:p w14:paraId="3D70E0EC" w14:textId="77777777" w:rsidR="001E64AB" w:rsidRDefault="001D4C77">
            <w:pPr>
              <w:pStyle w:val="Compact"/>
              <w:jc w:val="both"/>
            </w:pPr>
            <w:r>
              <w:t>49.8 years (SD=11.4)</w:t>
            </w:r>
          </w:p>
        </w:tc>
        <w:tc>
          <w:tcPr>
            <w:tcW w:w="0" w:type="auto"/>
          </w:tcPr>
          <w:p w14:paraId="2E71921B" w14:textId="77777777" w:rsidR="001E64AB" w:rsidRDefault="001D4C77">
            <w:pPr>
              <w:pStyle w:val="Compact"/>
              <w:jc w:val="both"/>
            </w:pPr>
            <w:r>
              <w:t>Range: 32 to 72 years</w:t>
            </w:r>
          </w:p>
        </w:tc>
      </w:tr>
      <w:tr w:rsidR="001E64AB" w14:paraId="7B9627EC" w14:textId="77777777" w:rsidTr="001E64AB">
        <w:tc>
          <w:tcPr>
            <w:tcW w:w="0" w:type="auto"/>
          </w:tcPr>
          <w:p w14:paraId="2D84E446" w14:textId="77777777" w:rsidR="001E64AB" w:rsidRDefault="001D4C77">
            <w:pPr>
              <w:pStyle w:val="Compact"/>
              <w:jc w:val="both"/>
            </w:pPr>
            <w:r>
              <w:rPr>
                <w:b/>
                <w:bCs/>
              </w:rPr>
              <w:t>Female Participants</w:t>
            </w:r>
          </w:p>
        </w:tc>
        <w:tc>
          <w:tcPr>
            <w:tcW w:w="0" w:type="auto"/>
          </w:tcPr>
          <w:p w14:paraId="5E362AAB" w14:textId="77777777" w:rsidR="001E64AB" w:rsidRDefault="001D4C77">
            <w:pPr>
              <w:pStyle w:val="Compact"/>
              <w:jc w:val="both"/>
            </w:pPr>
            <w:r>
              <w:t>58.2% (SD=14.1)</w:t>
            </w:r>
          </w:p>
        </w:tc>
        <w:tc>
          <w:tcPr>
            <w:tcW w:w="0" w:type="auto"/>
          </w:tcPr>
          <w:p w14:paraId="5F0FC8C5" w14:textId="77777777" w:rsidR="001E64AB" w:rsidRDefault="001D4C77">
            <w:pPr>
              <w:pStyle w:val="Compact"/>
              <w:jc w:val="both"/>
            </w:pPr>
            <w:r>
              <w:t>Range: 28% to 82%</w:t>
            </w:r>
          </w:p>
        </w:tc>
      </w:tr>
    </w:tbl>
    <w:p w14:paraId="4A867A53" w14:textId="77777777" w:rsidR="001E64AB" w:rsidRDefault="00212251">
      <w:pPr>
        <w:jc w:val="both"/>
      </w:pPr>
      <w:r>
        <w:pict w14:anchorId="48A4BFE6">
          <v:rect id="1034" o:spid="_x0000_i1032" style="width:0;height:1.5pt;visibility:visible;mso-wrap-distance-left:0;mso-wrap-distance-right:0" o:hralign="center" o:hrstd="t" o:hr="t"/>
        </w:pict>
      </w:r>
    </w:p>
    <w:p w14:paraId="240FAA14" w14:textId="77777777" w:rsidR="001E64AB" w:rsidRDefault="001D4C77">
      <w:pPr>
        <w:pStyle w:val="Heading31"/>
        <w:jc w:val="both"/>
        <w:rPr>
          <w:color w:val="000000"/>
        </w:rPr>
      </w:pPr>
      <w:bookmarkStart w:id="23" w:name="X714a7d49a31c027d427cec5c847f674f000cc1e"/>
      <w:r>
        <w:rPr>
          <w:color w:val="000000"/>
        </w:rPr>
        <w:lastRenderedPageBreak/>
        <w:t>4.3 Intervention Components and Delivery Models</w:t>
      </w:r>
    </w:p>
    <w:p w14:paraId="07FC98A3" w14:textId="77777777" w:rsidR="001E64AB" w:rsidRDefault="001D4C77">
      <w:pPr>
        <w:pStyle w:val="BodyText"/>
        <w:jc w:val="both"/>
      </w:pPr>
      <w:r>
        <w:t xml:space="preserve">Interventions were </w:t>
      </w:r>
      <w:proofErr w:type="spellStart"/>
      <w:r>
        <w:t>categorised</w:t>
      </w:r>
      <w:proofErr w:type="spellEnd"/>
      <w:r>
        <w:t xml:space="preserve"> into five categories according to key components namely: health education-only (n=8, 19.0%), physical activity promotion (n=6, 14.3%), dietary intervention (n=7, 16.7%), multicomponent (education + physical activity + diet) (n=18, 42.9%), and policy/environmental (n=3, 7.1%). The most prevalent one was multicomponent interventions.</w:t>
      </w:r>
    </w:p>
    <w:p w14:paraId="007850C1" w14:textId="77777777" w:rsidR="001E64AB" w:rsidRDefault="001D4C77">
      <w:pPr>
        <w:pStyle w:val="BodyText"/>
        <w:jc w:val="both"/>
      </w:pPr>
      <w:r>
        <w:rPr>
          <w:b/>
          <w:bCs/>
        </w:rPr>
        <w:t>Health Education Interventions</w:t>
      </w:r>
      <w:r>
        <w:t xml:space="preserve"> (n=8) usually involved classroom or groups of education about diabetes pathophysiology, risk factors, lifestyle change and dietary prescriptions. The frequency of the sessions was 1-4 sessions within 3-6 months and weekly sessions within 12+ months. Majority of them were presented by medical workers (nurses, nutritionists or health teachers). The average duration of the session was 60 minutes (minimum: 30 minutes and maximum: 120 minutes). There were also differences in the attendance rates (range: 12%-89, mean: 52).</w:t>
      </w:r>
    </w:p>
    <w:p w14:paraId="22BE9DAF" w14:textId="77777777" w:rsidR="001E64AB" w:rsidRDefault="001D4C77">
      <w:pPr>
        <w:pStyle w:val="BodyText"/>
        <w:jc w:val="both"/>
      </w:pPr>
      <w:r>
        <w:rPr>
          <w:b/>
          <w:bCs/>
        </w:rPr>
        <w:t xml:space="preserve">Physical Activity Interventions </w:t>
      </w:r>
      <w:r>
        <w:t>(n=6) were mostly designed to promote aerobic and resistance activity. Methods of delivery were supervised exercise classes (n=3), home-based activities programs (n=2), or fitness program in the facilities (n=1). Between 8 to 12 months, sessions 2-5 times a week. The level was moderate activity (50-70% maximum heart rate) and vigorous activity. Intervention groups had a mean activity of 240 minutes/week of moderate activity (range of 150-300 minutes/week).</w:t>
      </w:r>
    </w:p>
    <w:p w14:paraId="05B40471" w14:textId="77777777" w:rsidR="001E64AB" w:rsidRDefault="001D4C77">
      <w:pPr>
        <w:pStyle w:val="BodyText"/>
        <w:jc w:val="both"/>
      </w:pPr>
      <w:r>
        <w:rPr>
          <w:b/>
          <w:bCs/>
        </w:rPr>
        <w:t xml:space="preserve">Dietary Interventions </w:t>
      </w:r>
      <w:r>
        <w:t>(n=7) aimed at decreasing sodium (hypertension), decreasing the energy intake and increasing whole grains/fiber (diabetes prevention), or a combination of the two. Included diet interventions of individual nutrition counseling (n=3), group-based dietary education (n=3), or provision of portion-controlled foods (n=1). The frequency was between monthly and weekly contact. Most studies provided nutrition counseling done by registered dietitians. Change in diet was realized by means of reduction in sodium intake 1,800-2,400 mg/day and increase in fiber intake 25-35 grams/day.</w:t>
      </w:r>
    </w:p>
    <w:p w14:paraId="661B1510" w14:textId="77777777" w:rsidR="001E64AB" w:rsidRDefault="001D4C77">
      <w:pPr>
        <w:pStyle w:val="BodyText"/>
        <w:jc w:val="both"/>
      </w:pPr>
      <w:r>
        <w:rPr>
          <w:b/>
          <w:bCs/>
        </w:rPr>
        <w:t>Multicomponent Interventions</w:t>
      </w:r>
      <w:r>
        <w:t xml:space="preserve"> (n=18, 42.9%) Education, promotion of physical activity, and diet modification. These were the most intensive interventions, where the frequency of delivery is between one and four times in 6-24 months. They were delivered in different forms: individual counseling (n=8), group sessions (n=6), or a combination of both (n=4). There were interventions that included community health workers or peer educators (n=7). Behavioral change methods that were widely used were goal-setting (100%), self-monitoring (89%), problem-solving (78%), motivational interviewing (67%), and relapse prevention (44%).</w:t>
      </w:r>
    </w:p>
    <w:p w14:paraId="3803FD3D" w14:textId="77777777" w:rsidR="001E64AB" w:rsidRDefault="001D4C77">
      <w:pPr>
        <w:pStyle w:val="BodyText"/>
        <w:jc w:val="both"/>
      </w:pPr>
      <w:r>
        <w:rPr>
          <w:b/>
          <w:bCs/>
        </w:rPr>
        <w:t>Policy/Environmental Interventions</w:t>
      </w:r>
      <w:r>
        <w:t xml:space="preserve"> (n=3) consisted of environmental alterations of the food settings (better cafeteria menu, lower prices of healthy foods) and physical characteristics of the built environment (addition of walking paths, availability of stairs, etc.). They were normally applied at the community or work place along with education aspects.</w:t>
      </w:r>
    </w:p>
    <w:p w14:paraId="0C16D70B" w14:textId="77777777" w:rsidR="001E64AB" w:rsidRDefault="001D4C77">
      <w:pPr>
        <w:pStyle w:val="BodyText"/>
        <w:jc w:val="both"/>
      </w:pPr>
      <w:r>
        <w:lastRenderedPageBreak/>
        <w:t>Only 16 studies (38.1) made explicit cultural adaptation, and activities such as language translation, culturally specific resources, community-based advisory board and managing cultural beliefs toward food and health were among the strategies. Only 9 studies (21.4%), indicated fidelity monitoring.</w:t>
      </w:r>
    </w:p>
    <w:p w14:paraId="63447837" w14:textId="77777777" w:rsidR="001E64AB" w:rsidRDefault="001D4C77">
      <w:pPr>
        <w:pStyle w:val="Heading31"/>
        <w:jc w:val="both"/>
        <w:rPr>
          <w:color w:val="000000"/>
        </w:rPr>
      </w:pPr>
      <w:bookmarkStart w:id="24" w:name="X9772b87791875d9e348040f2a712d6ab0f5a5b7"/>
      <w:bookmarkEnd w:id="23"/>
      <w:r>
        <w:rPr>
          <w:color w:val="000000"/>
        </w:rPr>
        <w:t>4.4 Effectiveness of Interventions</w:t>
      </w:r>
    </w:p>
    <w:p w14:paraId="54C4D129" w14:textId="77777777" w:rsidR="001E64AB" w:rsidRDefault="001D4C77">
      <w:pPr>
        <w:pStyle w:val="Heading41"/>
        <w:jc w:val="both"/>
        <w:rPr>
          <w:color w:val="000000"/>
        </w:rPr>
      </w:pPr>
      <w:bookmarkStart w:id="25" w:name="X2e035b95b6c6443d7c9dd92cf25f163e9712912"/>
      <w:r>
        <w:rPr>
          <w:color w:val="000000"/>
        </w:rPr>
        <w:t>4.4.1 Diabetes Prevention Outcomes</w:t>
      </w:r>
    </w:p>
    <w:p w14:paraId="251E24EF" w14:textId="77777777" w:rsidR="001E64AB" w:rsidRDefault="001D4C77">
      <w:pPr>
        <w:pStyle w:val="BodyText"/>
        <w:jc w:val="both"/>
      </w:pPr>
      <w:r>
        <w:t>There were 21 studies that clearly reported on the incidence or prevention of diabetes. The number of studies that reported diabetes incidence as a primary outcome were nine where 12,847 participants were involved. The meta-analysis of these 9 studies provided an overall risk ratio of 0.74 (95% CI: 0.62-0.89, I 2=68% and p &lt; 0.001) which indicated a 26 percent relative risk decrease in the incidence of diabetes with intervention over control. The number needed to treat (NNT) was 29 (95% CI: 19-54) indicating that about one case of diabetes was averted in every 29 persons receiving the intervention during the follow-up period (mean 2.1 years).</w:t>
      </w:r>
    </w:p>
    <w:p w14:paraId="107BB659" w14:textId="77777777" w:rsidR="001E64AB" w:rsidRDefault="001D4C77">
      <w:pPr>
        <w:pStyle w:val="BodyText"/>
        <w:jc w:val="both"/>
      </w:pPr>
      <w:r>
        <w:t>The effect was higher among those with high-risk populations (individuals with prediabetes): risk ratio 0.65 (95% CI: 0.54-0.79, I 2=35, n=5 studies, 7,842 participants), which is equivalent to decreased relative risk by 35%. The impact among general population studies was relatively small: risk ratio is 0.89 (95 percent interval: 0.75-1.06, 4 studies, 5,005 participants), not statistically significant.</w:t>
      </w:r>
    </w:p>
    <w:p w14:paraId="750F3FC8" w14:textId="77777777" w:rsidR="001E64AB" w:rsidRDefault="001D4C77">
      <w:pPr>
        <w:pStyle w:val="BodyText"/>
        <w:jc w:val="both"/>
      </w:pPr>
      <w:r>
        <w:t>There were 18 studies (n=6,340 participants) that had reported fasting glucose levels. The results of the meta-analysis were that intervention groups had a higher mean difference of -2.1 mg/dL (95% CI: -3.4 to -0.8, I2=71, p&lt;0.001). This is a clinically unimposing absolute reduction but about 8-10 percent relative reduction as compared to baseline. It reported glycated hemoglobin (HbA1c) of 12 studies (n=4,128 participants) with a mean difference of -0.19% (95% CI: -0.31 to -0.07, I 2=64, p&lt;0.01).</w:t>
      </w:r>
    </w:p>
    <w:p w14:paraId="650ED87C" w14:textId="77777777" w:rsidR="001E64AB" w:rsidRDefault="001D4C77">
      <w:pPr>
        <w:pStyle w:val="BodyText"/>
        <w:jc w:val="both"/>
      </w:pPr>
      <w:r>
        <w:t>Change in body weight was mentioned in 22 studies (n=7,890 participants). Meta-analysis showed that the difference mean was -2.3 kg (95% CI: -3.1 to -1.5, I</w:t>
      </w:r>
      <w:r>
        <w:rPr>
          <w:vertAlign w:val="superscript"/>
        </w:rPr>
        <w:t>2</w:t>
      </w:r>
      <w:r>
        <w:t>=72</w:t>
      </w:r>
      <w:proofErr w:type="gramStart"/>
      <w:r>
        <w:t>% ,</w:t>
      </w:r>
      <w:proofErr w:type="gramEnd"/>
      <w:r>
        <w:t xml:space="preserve"> p&lt;0.001) in favor of intervention groups. Dietary intervention studies (mean -3.7 kg, 95% CI: -5.2 to -2.1) than physical activity-only interventions (mean -1.2 kg, 95% CI: -1.9 to -0.5) had more weight loss.</w:t>
      </w:r>
    </w:p>
    <w:p w14:paraId="0593FE91" w14:textId="77777777" w:rsidR="001E64AB" w:rsidRDefault="001D4C77">
      <w:pPr>
        <w:pStyle w:val="BodyText"/>
        <w:jc w:val="both"/>
      </w:pPr>
      <w:r>
        <w:t>Body mass index (BMI) change was reported in 16 studies (n=5,234 participants): mean difference -0.8 kg/m² (95% CI: -1.2 to -0.4, I²=68%, p&lt;0.001).</w:t>
      </w:r>
    </w:p>
    <w:p w14:paraId="1999BB46" w14:textId="77777777" w:rsidR="001E64AB" w:rsidRDefault="001D4C77">
      <w:pPr>
        <w:pStyle w:val="Heading41"/>
        <w:jc w:val="both"/>
        <w:rPr>
          <w:color w:val="000000"/>
        </w:rPr>
      </w:pPr>
      <w:bookmarkStart w:id="26" w:name="X4172cc52b16fc5f60f9bc903590591b99d4e712"/>
      <w:bookmarkEnd w:id="25"/>
      <w:r>
        <w:rPr>
          <w:color w:val="000000"/>
        </w:rPr>
        <w:t>4.4.2 Hypertension Prevention Outcomes</w:t>
      </w:r>
    </w:p>
    <w:p w14:paraId="39B2218E" w14:textId="77777777" w:rsidR="001E64AB" w:rsidRDefault="001D4C77">
      <w:pPr>
        <w:pStyle w:val="BodyText"/>
        <w:jc w:val="both"/>
      </w:pPr>
      <w:r>
        <w:t>Included twelve studies providing hypertension incidence or progression outcomes (n=18,534 participants). The meta-analysis of the five studies that reported incidences of hypertension (n=8,906 participants) provided a risk ratio of 0.81 (95% CI: 0.68-0.96, I</w:t>
      </w:r>
      <w:r>
        <w:rPr>
          <w:vertAlign w:val="superscript"/>
        </w:rPr>
        <w:t>2</w:t>
      </w:r>
      <w:r>
        <w:t>=52, p=0.018), which is a reduction in relative risk of 19%. The NNT was 42 (95% CI: 24-124).</w:t>
      </w:r>
    </w:p>
    <w:p w14:paraId="01BE161D" w14:textId="77777777" w:rsidR="001E64AB" w:rsidRDefault="001D4C77">
      <w:pPr>
        <w:pStyle w:val="BodyText"/>
        <w:jc w:val="both"/>
      </w:pPr>
      <w:r>
        <w:lastRenderedPageBreak/>
        <w:t>Change in systolic blood pressure was reported in 19 studies (n=7, 241 participants). Meta-analysis showed that there was a difference of -3.5 mmHg (95% CI: -5.2 to -1.8, I</w:t>
      </w:r>
      <w:r>
        <w:rPr>
          <w:vertAlign w:val="superscript"/>
        </w:rPr>
        <w:t>2</w:t>
      </w:r>
      <w:r>
        <w:t xml:space="preserve">=74, p&lt;0.001) in </w:t>
      </w:r>
      <w:proofErr w:type="spellStart"/>
      <w:r>
        <w:t>favour</w:t>
      </w:r>
      <w:proofErr w:type="spellEnd"/>
      <w:r>
        <w:t xml:space="preserve"> of intervention groups. Systolic BP reduction (mean -5.8 mmHg, 95% CI: -7.5 to -4.1) was also greater with dietary interventions as opposed to physical activity-only interventions (mean -2.1 mmHg, 95% CI: -3.4 to -0.8). A combination of physical activity and dietary resulted in intermediate (mean -4.1 mmHg, 95% CI: -6.2 to -2.0).</w:t>
      </w:r>
    </w:p>
    <w:p w14:paraId="7462FB9F" w14:textId="77777777" w:rsidR="001E64AB" w:rsidRDefault="001D4C77">
      <w:pPr>
        <w:pStyle w:val="BodyText"/>
        <w:jc w:val="both"/>
      </w:pPr>
      <w:r>
        <w:t>Change in diastolic blood pressure was found to be reported in 17 studies (n=6,458 participants): mean difference -2.0 mmHg (95% CI: -3.1 to -0.9, I 2=68, p&lt;0.001).</w:t>
      </w:r>
    </w:p>
    <w:p w14:paraId="145BFF99" w14:textId="77777777" w:rsidR="001E64AB" w:rsidRDefault="001D4C77">
      <w:pPr>
        <w:pStyle w:val="Heading41"/>
        <w:jc w:val="both"/>
        <w:rPr>
          <w:color w:val="000000"/>
        </w:rPr>
      </w:pPr>
      <w:bookmarkStart w:id="27" w:name="X48a9cb1a6b3b363998cd61b1a7ad8ec473f1210"/>
      <w:bookmarkEnd w:id="26"/>
      <w:r>
        <w:rPr>
          <w:color w:val="000000"/>
        </w:rPr>
        <w:t>4.4.3 Combined Prevention Programs</w:t>
      </w:r>
    </w:p>
    <w:p w14:paraId="6AA0F6E5" w14:textId="5138C0B0" w:rsidR="001E64AB" w:rsidRDefault="001D4C77" w:rsidP="00A57E04">
      <w:pPr>
        <w:pStyle w:val="FirstParagraph"/>
        <w:jc w:val="both"/>
        <w:rPr>
          <w:b/>
          <w:bCs/>
          <w:color w:val="000000"/>
        </w:rPr>
      </w:pPr>
      <w:r>
        <w:t xml:space="preserve">Eighteen studies evaluated multicomponent interventions targeting both diabetes and hypertension prevention or risk factor modification. These showed greater overall effectiveness than single-component approaches. </w:t>
      </w:r>
      <w:r w:rsidR="00A57E04" w:rsidRPr="00FA7D11">
        <w:rPr>
          <w:highlight w:val="yellow"/>
        </w:rPr>
        <w:t>Among nine of the 18 multicomponent studies that had sufficient combined outcome data for quantitative synthesis (n=4,520 participants; this is a distinct subset from the nine diabetes-incidence studies reported in Section 4.4.1), the pooled effect for systolic blood pressure was -4.5 mmHg (95% CI: -6.8 to -2.2, I²=71%, p&lt;0.001) and for fasting glucose was -2.8 mg/dL (95% CI: -4.2 to -1.4, I²=63%, p&lt;0.001), both substantially greater than effects observed in single-component interventions.</w:t>
      </w:r>
      <w:r w:rsidR="00212251">
        <w:rPr>
          <w:b/>
          <w:bCs/>
          <w:color w:val="000000"/>
        </w:rPr>
        <w:pict w14:anchorId="7362C360">
          <v:rect id="1035" o:spid="_x0000_i1033" style="width:0;height:1.5pt;visibility:visible;mso-wrap-distance-left:0;mso-wrap-distance-right:0" o:hralign="center" o:hrstd="t" o:hr="t"/>
        </w:pict>
      </w:r>
    </w:p>
    <w:p w14:paraId="3C2C8FA0" w14:textId="77777777" w:rsidR="001E64AB" w:rsidRDefault="001D4C77">
      <w:pPr>
        <w:pStyle w:val="Heading21"/>
        <w:jc w:val="both"/>
        <w:rPr>
          <w:color w:val="000000"/>
        </w:rPr>
      </w:pPr>
      <w:bookmarkStart w:id="28" w:name="X82faa02ef4b483acdc6958b4dcddfac41341b63"/>
      <w:bookmarkEnd w:id="22"/>
      <w:bookmarkEnd w:id="24"/>
      <w:bookmarkEnd w:id="27"/>
      <w:r>
        <w:rPr>
          <w:color w:val="000000"/>
        </w:rPr>
        <w:t>TABLE 3: SUMMARY OF INTERVENTION EFFECTIVENESS</w:t>
      </w:r>
    </w:p>
    <w:tbl>
      <w:tblPr>
        <w:tblStyle w:val="Table"/>
        <w:tblW w:w="0" w:type="auto"/>
        <w:tblLook w:val="0020" w:firstRow="1" w:lastRow="0" w:firstColumn="0" w:lastColumn="0" w:noHBand="0" w:noVBand="0"/>
      </w:tblPr>
      <w:tblGrid>
        <w:gridCol w:w="2082"/>
        <w:gridCol w:w="961"/>
        <w:gridCol w:w="1446"/>
        <w:gridCol w:w="888"/>
        <w:gridCol w:w="743"/>
        <w:gridCol w:w="691"/>
        <w:gridCol w:w="1711"/>
      </w:tblGrid>
      <w:tr w:rsidR="001E64AB" w14:paraId="5562B0AA" w14:textId="77777777" w:rsidTr="001E64AB">
        <w:trPr>
          <w:cnfStyle w:val="100000000000" w:firstRow="1" w:lastRow="0" w:firstColumn="0" w:lastColumn="0" w:oddVBand="0" w:evenVBand="0" w:oddHBand="0" w:evenHBand="0" w:firstRowFirstColumn="0" w:firstRowLastColumn="0" w:lastRowFirstColumn="0" w:lastRowLastColumn="0"/>
          <w:tblHeader/>
        </w:trPr>
        <w:tc>
          <w:tcPr>
            <w:tcW w:w="0" w:type="auto"/>
          </w:tcPr>
          <w:p w14:paraId="148EBE33" w14:textId="77777777" w:rsidR="001E64AB" w:rsidRDefault="001D4C77">
            <w:pPr>
              <w:pStyle w:val="Compact"/>
              <w:jc w:val="both"/>
            </w:pPr>
            <w:r>
              <w:t>Outcome</w:t>
            </w:r>
          </w:p>
        </w:tc>
        <w:tc>
          <w:tcPr>
            <w:tcW w:w="0" w:type="auto"/>
          </w:tcPr>
          <w:p w14:paraId="43237289" w14:textId="77777777" w:rsidR="001E64AB" w:rsidRDefault="001D4C77">
            <w:pPr>
              <w:pStyle w:val="Compact"/>
              <w:jc w:val="both"/>
            </w:pPr>
            <w:r>
              <w:t>n Studies</w:t>
            </w:r>
          </w:p>
        </w:tc>
        <w:tc>
          <w:tcPr>
            <w:tcW w:w="0" w:type="auto"/>
          </w:tcPr>
          <w:p w14:paraId="41EDBA9A" w14:textId="77777777" w:rsidR="001E64AB" w:rsidRDefault="001D4C77">
            <w:pPr>
              <w:pStyle w:val="Compact"/>
              <w:jc w:val="both"/>
            </w:pPr>
            <w:r>
              <w:t>N Participants</w:t>
            </w:r>
          </w:p>
        </w:tc>
        <w:tc>
          <w:tcPr>
            <w:tcW w:w="0" w:type="auto"/>
          </w:tcPr>
          <w:p w14:paraId="581C6EB3" w14:textId="77777777" w:rsidR="001E64AB" w:rsidRDefault="001D4C77">
            <w:pPr>
              <w:pStyle w:val="Compact"/>
              <w:jc w:val="both"/>
            </w:pPr>
            <w:r>
              <w:t>Effect Size</w:t>
            </w:r>
          </w:p>
        </w:tc>
        <w:tc>
          <w:tcPr>
            <w:tcW w:w="0" w:type="auto"/>
          </w:tcPr>
          <w:p w14:paraId="55CFB12D" w14:textId="77777777" w:rsidR="001E64AB" w:rsidRDefault="001D4C77">
            <w:pPr>
              <w:pStyle w:val="Compact"/>
              <w:jc w:val="both"/>
            </w:pPr>
            <w:r>
              <w:t>95% CI</w:t>
            </w:r>
          </w:p>
        </w:tc>
        <w:tc>
          <w:tcPr>
            <w:tcW w:w="0" w:type="auto"/>
          </w:tcPr>
          <w:p w14:paraId="1BCCF79F" w14:textId="77777777" w:rsidR="001E64AB" w:rsidRDefault="001D4C77">
            <w:pPr>
              <w:pStyle w:val="Compact"/>
              <w:jc w:val="both"/>
            </w:pPr>
            <w:r>
              <w:t>I²</w:t>
            </w:r>
          </w:p>
        </w:tc>
        <w:tc>
          <w:tcPr>
            <w:tcW w:w="0" w:type="auto"/>
          </w:tcPr>
          <w:p w14:paraId="2144544C" w14:textId="77777777" w:rsidR="001E64AB" w:rsidRDefault="001D4C77">
            <w:pPr>
              <w:pStyle w:val="Compact"/>
              <w:jc w:val="both"/>
            </w:pPr>
            <w:r>
              <w:t>Interpretation</w:t>
            </w:r>
          </w:p>
        </w:tc>
      </w:tr>
      <w:tr w:rsidR="001E64AB" w14:paraId="2D9E36D1" w14:textId="77777777" w:rsidTr="001E64AB">
        <w:tc>
          <w:tcPr>
            <w:tcW w:w="0" w:type="auto"/>
          </w:tcPr>
          <w:p w14:paraId="4620476B" w14:textId="77777777" w:rsidR="001E64AB" w:rsidRDefault="001D4C77">
            <w:pPr>
              <w:pStyle w:val="Compact"/>
              <w:jc w:val="both"/>
            </w:pPr>
            <w:r>
              <w:rPr>
                <w:b/>
                <w:bCs/>
              </w:rPr>
              <w:t>Diabetes Prevention</w:t>
            </w:r>
          </w:p>
        </w:tc>
        <w:tc>
          <w:tcPr>
            <w:tcW w:w="0" w:type="auto"/>
          </w:tcPr>
          <w:p w14:paraId="5F60AFA8" w14:textId="77777777" w:rsidR="001E64AB" w:rsidRDefault="001E64AB">
            <w:pPr>
              <w:pStyle w:val="Compact"/>
              <w:jc w:val="both"/>
            </w:pPr>
          </w:p>
        </w:tc>
        <w:tc>
          <w:tcPr>
            <w:tcW w:w="0" w:type="auto"/>
          </w:tcPr>
          <w:p w14:paraId="1B3FAD6E" w14:textId="77777777" w:rsidR="001E64AB" w:rsidRDefault="001E64AB">
            <w:pPr>
              <w:pStyle w:val="Compact"/>
              <w:jc w:val="both"/>
            </w:pPr>
          </w:p>
        </w:tc>
        <w:tc>
          <w:tcPr>
            <w:tcW w:w="0" w:type="auto"/>
          </w:tcPr>
          <w:p w14:paraId="74ED0FED" w14:textId="77777777" w:rsidR="001E64AB" w:rsidRDefault="001E64AB">
            <w:pPr>
              <w:pStyle w:val="Compact"/>
              <w:jc w:val="both"/>
            </w:pPr>
          </w:p>
        </w:tc>
        <w:tc>
          <w:tcPr>
            <w:tcW w:w="0" w:type="auto"/>
          </w:tcPr>
          <w:p w14:paraId="4588F56D" w14:textId="77777777" w:rsidR="001E64AB" w:rsidRDefault="001E64AB">
            <w:pPr>
              <w:pStyle w:val="Compact"/>
              <w:jc w:val="both"/>
            </w:pPr>
          </w:p>
        </w:tc>
        <w:tc>
          <w:tcPr>
            <w:tcW w:w="0" w:type="auto"/>
          </w:tcPr>
          <w:p w14:paraId="323C3A07" w14:textId="77777777" w:rsidR="001E64AB" w:rsidRDefault="001E64AB">
            <w:pPr>
              <w:pStyle w:val="Compact"/>
              <w:jc w:val="both"/>
            </w:pPr>
          </w:p>
        </w:tc>
        <w:tc>
          <w:tcPr>
            <w:tcW w:w="0" w:type="auto"/>
          </w:tcPr>
          <w:p w14:paraId="4B8AF9CE" w14:textId="77777777" w:rsidR="001E64AB" w:rsidRDefault="001E64AB">
            <w:pPr>
              <w:pStyle w:val="Compact"/>
              <w:jc w:val="both"/>
            </w:pPr>
          </w:p>
        </w:tc>
      </w:tr>
      <w:tr w:rsidR="001E64AB" w14:paraId="6F487C14" w14:textId="77777777" w:rsidTr="001E64AB">
        <w:tc>
          <w:tcPr>
            <w:tcW w:w="0" w:type="auto"/>
          </w:tcPr>
          <w:p w14:paraId="29A9C7BE" w14:textId="77777777" w:rsidR="001E64AB" w:rsidRDefault="001D4C77">
            <w:pPr>
              <w:pStyle w:val="Compact"/>
              <w:jc w:val="both"/>
            </w:pPr>
            <w:r>
              <w:t>Diabetes Incidence (All)</w:t>
            </w:r>
          </w:p>
        </w:tc>
        <w:tc>
          <w:tcPr>
            <w:tcW w:w="0" w:type="auto"/>
          </w:tcPr>
          <w:p w14:paraId="7160995D" w14:textId="77777777" w:rsidR="001E64AB" w:rsidRDefault="001D4C77">
            <w:pPr>
              <w:pStyle w:val="Compact"/>
              <w:jc w:val="both"/>
            </w:pPr>
            <w:r>
              <w:t>9</w:t>
            </w:r>
          </w:p>
        </w:tc>
        <w:tc>
          <w:tcPr>
            <w:tcW w:w="0" w:type="auto"/>
          </w:tcPr>
          <w:p w14:paraId="21E880B8" w14:textId="77777777" w:rsidR="001E64AB" w:rsidRDefault="001D4C77">
            <w:pPr>
              <w:pStyle w:val="Compact"/>
              <w:jc w:val="both"/>
            </w:pPr>
            <w:r>
              <w:t>12,847</w:t>
            </w:r>
          </w:p>
        </w:tc>
        <w:tc>
          <w:tcPr>
            <w:tcW w:w="0" w:type="auto"/>
          </w:tcPr>
          <w:p w14:paraId="6F9ED71A" w14:textId="77777777" w:rsidR="001E64AB" w:rsidRDefault="001D4C77">
            <w:pPr>
              <w:pStyle w:val="Compact"/>
              <w:jc w:val="both"/>
            </w:pPr>
            <w:r>
              <w:t>RR 0.74</w:t>
            </w:r>
          </w:p>
        </w:tc>
        <w:tc>
          <w:tcPr>
            <w:tcW w:w="0" w:type="auto"/>
          </w:tcPr>
          <w:p w14:paraId="3BAEEC7E" w14:textId="77777777" w:rsidR="001E64AB" w:rsidRDefault="001D4C77">
            <w:pPr>
              <w:pStyle w:val="Compact"/>
              <w:jc w:val="both"/>
            </w:pPr>
            <w:r>
              <w:t>0.62-0.89</w:t>
            </w:r>
          </w:p>
        </w:tc>
        <w:tc>
          <w:tcPr>
            <w:tcW w:w="0" w:type="auto"/>
          </w:tcPr>
          <w:p w14:paraId="40B374EA" w14:textId="77777777" w:rsidR="001E64AB" w:rsidRDefault="001D4C77">
            <w:pPr>
              <w:pStyle w:val="Compact"/>
              <w:jc w:val="both"/>
            </w:pPr>
            <w:r>
              <w:t>68%</w:t>
            </w:r>
          </w:p>
        </w:tc>
        <w:tc>
          <w:tcPr>
            <w:tcW w:w="0" w:type="auto"/>
          </w:tcPr>
          <w:p w14:paraId="3F99185D" w14:textId="77777777" w:rsidR="001E64AB" w:rsidRDefault="001D4C77">
            <w:pPr>
              <w:pStyle w:val="Compact"/>
              <w:jc w:val="both"/>
            </w:pPr>
            <w:r>
              <w:t>26% risk reduction ***</w:t>
            </w:r>
          </w:p>
        </w:tc>
      </w:tr>
      <w:tr w:rsidR="001E64AB" w14:paraId="7DCBBCE1" w14:textId="77777777" w:rsidTr="001E64AB">
        <w:tc>
          <w:tcPr>
            <w:tcW w:w="0" w:type="auto"/>
          </w:tcPr>
          <w:p w14:paraId="4ACCF25E" w14:textId="77777777" w:rsidR="001E64AB" w:rsidRDefault="001D4C77">
            <w:pPr>
              <w:pStyle w:val="Compact"/>
              <w:jc w:val="both"/>
            </w:pPr>
            <w:r>
              <w:t>- High-risk populations</w:t>
            </w:r>
          </w:p>
        </w:tc>
        <w:tc>
          <w:tcPr>
            <w:tcW w:w="0" w:type="auto"/>
          </w:tcPr>
          <w:p w14:paraId="337AD797" w14:textId="77777777" w:rsidR="001E64AB" w:rsidRDefault="001D4C77">
            <w:pPr>
              <w:pStyle w:val="Compact"/>
              <w:jc w:val="both"/>
            </w:pPr>
            <w:r>
              <w:t>5</w:t>
            </w:r>
          </w:p>
        </w:tc>
        <w:tc>
          <w:tcPr>
            <w:tcW w:w="0" w:type="auto"/>
          </w:tcPr>
          <w:p w14:paraId="0AAD94B9" w14:textId="77777777" w:rsidR="001E64AB" w:rsidRDefault="001D4C77">
            <w:pPr>
              <w:pStyle w:val="Compact"/>
              <w:jc w:val="both"/>
            </w:pPr>
            <w:r>
              <w:t>7,842</w:t>
            </w:r>
          </w:p>
        </w:tc>
        <w:tc>
          <w:tcPr>
            <w:tcW w:w="0" w:type="auto"/>
          </w:tcPr>
          <w:p w14:paraId="402F4104" w14:textId="77777777" w:rsidR="001E64AB" w:rsidRDefault="001D4C77">
            <w:pPr>
              <w:pStyle w:val="Compact"/>
              <w:jc w:val="both"/>
            </w:pPr>
            <w:r>
              <w:t>RR 0.65</w:t>
            </w:r>
          </w:p>
        </w:tc>
        <w:tc>
          <w:tcPr>
            <w:tcW w:w="0" w:type="auto"/>
          </w:tcPr>
          <w:p w14:paraId="6FDE1F0D" w14:textId="77777777" w:rsidR="001E64AB" w:rsidRDefault="001D4C77">
            <w:pPr>
              <w:pStyle w:val="Compact"/>
              <w:jc w:val="both"/>
            </w:pPr>
            <w:r>
              <w:t>0.54-0.79</w:t>
            </w:r>
          </w:p>
        </w:tc>
        <w:tc>
          <w:tcPr>
            <w:tcW w:w="0" w:type="auto"/>
          </w:tcPr>
          <w:p w14:paraId="375A2571" w14:textId="77777777" w:rsidR="001E64AB" w:rsidRDefault="001D4C77">
            <w:pPr>
              <w:pStyle w:val="Compact"/>
              <w:jc w:val="both"/>
            </w:pPr>
            <w:r>
              <w:t>35%</w:t>
            </w:r>
          </w:p>
        </w:tc>
        <w:tc>
          <w:tcPr>
            <w:tcW w:w="0" w:type="auto"/>
          </w:tcPr>
          <w:p w14:paraId="185B334D" w14:textId="77777777" w:rsidR="001E64AB" w:rsidRDefault="001D4C77">
            <w:pPr>
              <w:pStyle w:val="Compact"/>
              <w:jc w:val="both"/>
            </w:pPr>
            <w:r>
              <w:t>35% risk reduction ***</w:t>
            </w:r>
          </w:p>
        </w:tc>
      </w:tr>
      <w:tr w:rsidR="001E64AB" w14:paraId="13A7BF87" w14:textId="77777777" w:rsidTr="001E64AB">
        <w:tc>
          <w:tcPr>
            <w:tcW w:w="0" w:type="auto"/>
          </w:tcPr>
          <w:p w14:paraId="0C19EE84" w14:textId="77777777" w:rsidR="001E64AB" w:rsidRDefault="001D4C77">
            <w:pPr>
              <w:pStyle w:val="Compact"/>
              <w:jc w:val="both"/>
            </w:pPr>
            <w:r>
              <w:t>- General population</w:t>
            </w:r>
          </w:p>
        </w:tc>
        <w:tc>
          <w:tcPr>
            <w:tcW w:w="0" w:type="auto"/>
          </w:tcPr>
          <w:p w14:paraId="59DFEB49" w14:textId="77777777" w:rsidR="001E64AB" w:rsidRDefault="001D4C77">
            <w:pPr>
              <w:pStyle w:val="Compact"/>
              <w:jc w:val="both"/>
            </w:pPr>
            <w:r>
              <w:t>4</w:t>
            </w:r>
          </w:p>
        </w:tc>
        <w:tc>
          <w:tcPr>
            <w:tcW w:w="0" w:type="auto"/>
          </w:tcPr>
          <w:p w14:paraId="7E52253C" w14:textId="77777777" w:rsidR="001E64AB" w:rsidRDefault="001D4C77">
            <w:pPr>
              <w:pStyle w:val="Compact"/>
              <w:jc w:val="both"/>
            </w:pPr>
            <w:r>
              <w:t>5,005</w:t>
            </w:r>
          </w:p>
        </w:tc>
        <w:tc>
          <w:tcPr>
            <w:tcW w:w="0" w:type="auto"/>
          </w:tcPr>
          <w:p w14:paraId="306B6735" w14:textId="77777777" w:rsidR="001E64AB" w:rsidRDefault="001D4C77">
            <w:pPr>
              <w:pStyle w:val="Compact"/>
              <w:jc w:val="both"/>
            </w:pPr>
            <w:r>
              <w:t>RR 0.89</w:t>
            </w:r>
          </w:p>
        </w:tc>
        <w:tc>
          <w:tcPr>
            <w:tcW w:w="0" w:type="auto"/>
          </w:tcPr>
          <w:p w14:paraId="23633233" w14:textId="77777777" w:rsidR="001E64AB" w:rsidRDefault="001D4C77">
            <w:pPr>
              <w:pStyle w:val="Compact"/>
              <w:jc w:val="both"/>
            </w:pPr>
            <w:r>
              <w:t>0.75-1.06</w:t>
            </w:r>
          </w:p>
        </w:tc>
        <w:tc>
          <w:tcPr>
            <w:tcW w:w="0" w:type="auto"/>
          </w:tcPr>
          <w:p w14:paraId="2F898F1E" w14:textId="77777777" w:rsidR="001E64AB" w:rsidRDefault="001D4C77">
            <w:pPr>
              <w:pStyle w:val="Compact"/>
              <w:jc w:val="both"/>
            </w:pPr>
            <w:r>
              <w:t>48%</w:t>
            </w:r>
          </w:p>
        </w:tc>
        <w:tc>
          <w:tcPr>
            <w:tcW w:w="0" w:type="auto"/>
          </w:tcPr>
          <w:p w14:paraId="4B443B67" w14:textId="77777777" w:rsidR="001E64AB" w:rsidRDefault="001D4C77">
            <w:pPr>
              <w:pStyle w:val="Compact"/>
              <w:jc w:val="both"/>
            </w:pPr>
            <w:r>
              <w:t>Not significant</w:t>
            </w:r>
          </w:p>
        </w:tc>
      </w:tr>
      <w:tr w:rsidR="001E64AB" w14:paraId="16226853" w14:textId="77777777" w:rsidTr="001E64AB">
        <w:tc>
          <w:tcPr>
            <w:tcW w:w="0" w:type="auto"/>
          </w:tcPr>
          <w:p w14:paraId="256B611B" w14:textId="77777777" w:rsidR="001E64AB" w:rsidRDefault="001D4C77">
            <w:pPr>
              <w:pStyle w:val="Compact"/>
              <w:jc w:val="both"/>
            </w:pPr>
            <w:r>
              <w:t>Fasting Glucose (mg/dL)</w:t>
            </w:r>
          </w:p>
        </w:tc>
        <w:tc>
          <w:tcPr>
            <w:tcW w:w="0" w:type="auto"/>
          </w:tcPr>
          <w:p w14:paraId="23791217" w14:textId="77777777" w:rsidR="001E64AB" w:rsidRDefault="001D4C77">
            <w:pPr>
              <w:pStyle w:val="Compact"/>
              <w:jc w:val="both"/>
            </w:pPr>
            <w:r>
              <w:t>18</w:t>
            </w:r>
          </w:p>
        </w:tc>
        <w:tc>
          <w:tcPr>
            <w:tcW w:w="0" w:type="auto"/>
          </w:tcPr>
          <w:p w14:paraId="76B7C88E" w14:textId="77777777" w:rsidR="001E64AB" w:rsidRDefault="001D4C77">
            <w:pPr>
              <w:pStyle w:val="Compact"/>
              <w:jc w:val="both"/>
            </w:pPr>
            <w:r>
              <w:t>6,340</w:t>
            </w:r>
          </w:p>
        </w:tc>
        <w:tc>
          <w:tcPr>
            <w:tcW w:w="0" w:type="auto"/>
          </w:tcPr>
          <w:p w14:paraId="0395E561" w14:textId="77777777" w:rsidR="001E64AB" w:rsidRDefault="001D4C77">
            <w:pPr>
              <w:pStyle w:val="Compact"/>
              <w:jc w:val="both"/>
            </w:pPr>
            <w:r>
              <w:t>MD -2.1</w:t>
            </w:r>
          </w:p>
        </w:tc>
        <w:tc>
          <w:tcPr>
            <w:tcW w:w="0" w:type="auto"/>
          </w:tcPr>
          <w:p w14:paraId="288D5C08" w14:textId="77777777" w:rsidR="001E64AB" w:rsidRDefault="001D4C77">
            <w:pPr>
              <w:pStyle w:val="Compact"/>
              <w:jc w:val="both"/>
            </w:pPr>
            <w:r>
              <w:t>-3.4 to -0.8</w:t>
            </w:r>
          </w:p>
        </w:tc>
        <w:tc>
          <w:tcPr>
            <w:tcW w:w="0" w:type="auto"/>
          </w:tcPr>
          <w:p w14:paraId="521075AC" w14:textId="77777777" w:rsidR="001E64AB" w:rsidRDefault="001D4C77">
            <w:pPr>
              <w:pStyle w:val="Compact"/>
              <w:jc w:val="both"/>
            </w:pPr>
            <w:r>
              <w:t>71%</w:t>
            </w:r>
          </w:p>
        </w:tc>
        <w:tc>
          <w:tcPr>
            <w:tcW w:w="0" w:type="auto"/>
          </w:tcPr>
          <w:p w14:paraId="5C7F2E5C" w14:textId="77777777" w:rsidR="001E64AB" w:rsidRDefault="001D4C77">
            <w:pPr>
              <w:pStyle w:val="Compact"/>
              <w:jc w:val="both"/>
            </w:pPr>
            <w:r>
              <w:t>Modest reduction **</w:t>
            </w:r>
          </w:p>
        </w:tc>
      </w:tr>
      <w:tr w:rsidR="001E64AB" w14:paraId="1B30DCED" w14:textId="77777777" w:rsidTr="001E64AB">
        <w:tc>
          <w:tcPr>
            <w:tcW w:w="0" w:type="auto"/>
          </w:tcPr>
          <w:p w14:paraId="4108F704" w14:textId="77777777" w:rsidR="001E64AB" w:rsidRDefault="001D4C77">
            <w:pPr>
              <w:pStyle w:val="Compact"/>
              <w:jc w:val="both"/>
            </w:pPr>
            <w:r>
              <w:t>Hemoglobin A1c (%)</w:t>
            </w:r>
          </w:p>
        </w:tc>
        <w:tc>
          <w:tcPr>
            <w:tcW w:w="0" w:type="auto"/>
          </w:tcPr>
          <w:p w14:paraId="0FF93D81" w14:textId="77777777" w:rsidR="001E64AB" w:rsidRDefault="001D4C77">
            <w:pPr>
              <w:pStyle w:val="Compact"/>
              <w:jc w:val="both"/>
            </w:pPr>
            <w:r>
              <w:t>12</w:t>
            </w:r>
          </w:p>
        </w:tc>
        <w:tc>
          <w:tcPr>
            <w:tcW w:w="0" w:type="auto"/>
          </w:tcPr>
          <w:p w14:paraId="67B94AAA" w14:textId="77777777" w:rsidR="001E64AB" w:rsidRDefault="001D4C77">
            <w:pPr>
              <w:pStyle w:val="Compact"/>
              <w:jc w:val="both"/>
            </w:pPr>
            <w:r>
              <w:t>4,128</w:t>
            </w:r>
          </w:p>
        </w:tc>
        <w:tc>
          <w:tcPr>
            <w:tcW w:w="0" w:type="auto"/>
          </w:tcPr>
          <w:p w14:paraId="4A723C91" w14:textId="77777777" w:rsidR="001E64AB" w:rsidRDefault="001D4C77">
            <w:pPr>
              <w:pStyle w:val="Compact"/>
              <w:jc w:val="both"/>
            </w:pPr>
            <w:r>
              <w:t>MD -0.19</w:t>
            </w:r>
          </w:p>
        </w:tc>
        <w:tc>
          <w:tcPr>
            <w:tcW w:w="0" w:type="auto"/>
          </w:tcPr>
          <w:p w14:paraId="1B8A543B" w14:textId="77777777" w:rsidR="001E64AB" w:rsidRDefault="001D4C77">
            <w:pPr>
              <w:pStyle w:val="Compact"/>
              <w:jc w:val="both"/>
            </w:pPr>
            <w:r>
              <w:t>-0.31 to -0.07</w:t>
            </w:r>
          </w:p>
        </w:tc>
        <w:tc>
          <w:tcPr>
            <w:tcW w:w="0" w:type="auto"/>
          </w:tcPr>
          <w:p w14:paraId="24CE0ED6" w14:textId="77777777" w:rsidR="001E64AB" w:rsidRDefault="001D4C77">
            <w:pPr>
              <w:pStyle w:val="Compact"/>
              <w:jc w:val="both"/>
            </w:pPr>
            <w:r>
              <w:t>64%</w:t>
            </w:r>
          </w:p>
        </w:tc>
        <w:tc>
          <w:tcPr>
            <w:tcW w:w="0" w:type="auto"/>
          </w:tcPr>
          <w:p w14:paraId="101BF273" w14:textId="77777777" w:rsidR="001E64AB" w:rsidRDefault="001D4C77">
            <w:pPr>
              <w:pStyle w:val="Compact"/>
              <w:jc w:val="both"/>
            </w:pPr>
            <w:r>
              <w:t>Modest reduction **</w:t>
            </w:r>
          </w:p>
        </w:tc>
      </w:tr>
      <w:tr w:rsidR="001E64AB" w14:paraId="4F78FA23" w14:textId="77777777" w:rsidTr="001E64AB">
        <w:tc>
          <w:tcPr>
            <w:tcW w:w="0" w:type="auto"/>
          </w:tcPr>
          <w:p w14:paraId="3C983DF3" w14:textId="77777777" w:rsidR="001E64AB" w:rsidRDefault="001D4C77">
            <w:pPr>
              <w:pStyle w:val="Compact"/>
              <w:jc w:val="both"/>
            </w:pPr>
            <w:r>
              <w:lastRenderedPageBreak/>
              <w:t>Body Weight (kg)</w:t>
            </w:r>
          </w:p>
        </w:tc>
        <w:tc>
          <w:tcPr>
            <w:tcW w:w="0" w:type="auto"/>
          </w:tcPr>
          <w:p w14:paraId="378D628D" w14:textId="77777777" w:rsidR="001E64AB" w:rsidRDefault="001D4C77">
            <w:pPr>
              <w:pStyle w:val="Compact"/>
              <w:jc w:val="both"/>
            </w:pPr>
            <w:r>
              <w:t>22</w:t>
            </w:r>
          </w:p>
        </w:tc>
        <w:tc>
          <w:tcPr>
            <w:tcW w:w="0" w:type="auto"/>
          </w:tcPr>
          <w:p w14:paraId="460A9BCE" w14:textId="77777777" w:rsidR="001E64AB" w:rsidRDefault="001D4C77">
            <w:pPr>
              <w:pStyle w:val="Compact"/>
              <w:jc w:val="both"/>
            </w:pPr>
            <w:r>
              <w:t>7,890</w:t>
            </w:r>
          </w:p>
        </w:tc>
        <w:tc>
          <w:tcPr>
            <w:tcW w:w="0" w:type="auto"/>
          </w:tcPr>
          <w:p w14:paraId="20080CD9" w14:textId="77777777" w:rsidR="001E64AB" w:rsidRDefault="001D4C77">
            <w:pPr>
              <w:pStyle w:val="Compact"/>
              <w:jc w:val="both"/>
            </w:pPr>
            <w:r>
              <w:t>MD -2.3</w:t>
            </w:r>
          </w:p>
        </w:tc>
        <w:tc>
          <w:tcPr>
            <w:tcW w:w="0" w:type="auto"/>
          </w:tcPr>
          <w:p w14:paraId="6FE1A098" w14:textId="77777777" w:rsidR="001E64AB" w:rsidRDefault="001D4C77">
            <w:pPr>
              <w:pStyle w:val="Compact"/>
              <w:jc w:val="both"/>
            </w:pPr>
            <w:r>
              <w:t>-3.1 to -1.5</w:t>
            </w:r>
          </w:p>
        </w:tc>
        <w:tc>
          <w:tcPr>
            <w:tcW w:w="0" w:type="auto"/>
          </w:tcPr>
          <w:p w14:paraId="3DDAD729" w14:textId="77777777" w:rsidR="001E64AB" w:rsidRDefault="001D4C77">
            <w:pPr>
              <w:pStyle w:val="Compact"/>
              <w:jc w:val="both"/>
            </w:pPr>
            <w:r>
              <w:t>72%</w:t>
            </w:r>
          </w:p>
        </w:tc>
        <w:tc>
          <w:tcPr>
            <w:tcW w:w="0" w:type="auto"/>
          </w:tcPr>
          <w:p w14:paraId="0F7D2820" w14:textId="77777777" w:rsidR="001E64AB" w:rsidRDefault="001D4C77">
            <w:pPr>
              <w:pStyle w:val="Compact"/>
              <w:jc w:val="both"/>
            </w:pPr>
            <w:r>
              <w:t>Modest reduction ***</w:t>
            </w:r>
          </w:p>
        </w:tc>
      </w:tr>
      <w:tr w:rsidR="001E64AB" w14:paraId="2E68E0D4" w14:textId="77777777" w:rsidTr="001E64AB">
        <w:tc>
          <w:tcPr>
            <w:tcW w:w="0" w:type="auto"/>
          </w:tcPr>
          <w:p w14:paraId="6F20F87D" w14:textId="77777777" w:rsidR="001E64AB" w:rsidRDefault="001D4C77">
            <w:pPr>
              <w:pStyle w:val="Compact"/>
              <w:jc w:val="both"/>
            </w:pPr>
            <w:r>
              <w:t>BMI (kg/m²)</w:t>
            </w:r>
          </w:p>
        </w:tc>
        <w:tc>
          <w:tcPr>
            <w:tcW w:w="0" w:type="auto"/>
          </w:tcPr>
          <w:p w14:paraId="5EE9C334" w14:textId="77777777" w:rsidR="001E64AB" w:rsidRDefault="001D4C77">
            <w:pPr>
              <w:pStyle w:val="Compact"/>
              <w:jc w:val="both"/>
            </w:pPr>
            <w:r>
              <w:t>16</w:t>
            </w:r>
          </w:p>
        </w:tc>
        <w:tc>
          <w:tcPr>
            <w:tcW w:w="0" w:type="auto"/>
          </w:tcPr>
          <w:p w14:paraId="48F27C07" w14:textId="77777777" w:rsidR="001E64AB" w:rsidRDefault="001D4C77">
            <w:pPr>
              <w:pStyle w:val="Compact"/>
              <w:jc w:val="both"/>
            </w:pPr>
            <w:r>
              <w:t>5,234</w:t>
            </w:r>
          </w:p>
        </w:tc>
        <w:tc>
          <w:tcPr>
            <w:tcW w:w="0" w:type="auto"/>
          </w:tcPr>
          <w:p w14:paraId="198D0617" w14:textId="77777777" w:rsidR="001E64AB" w:rsidRDefault="001D4C77">
            <w:pPr>
              <w:pStyle w:val="Compact"/>
              <w:jc w:val="both"/>
            </w:pPr>
            <w:r>
              <w:t>MD -0.8</w:t>
            </w:r>
          </w:p>
        </w:tc>
        <w:tc>
          <w:tcPr>
            <w:tcW w:w="0" w:type="auto"/>
          </w:tcPr>
          <w:p w14:paraId="522F6943" w14:textId="77777777" w:rsidR="001E64AB" w:rsidRDefault="001D4C77">
            <w:pPr>
              <w:pStyle w:val="Compact"/>
              <w:jc w:val="both"/>
            </w:pPr>
            <w:r>
              <w:t>-1.2 to -0.4</w:t>
            </w:r>
          </w:p>
        </w:tc>
        <w:tc>
          <w:tcPr>
            <w:tcW w:w="0" w:type="auto"/>
          </w:tcPr>
          <w:p w14:paraId="7FE5FF0F" w14:textId="77777777" w:rsidR="001E64AB" w:rsidRDefault="001D4C77">
            <w:pPr>
              <w:pStyle w:val="Compact"/>
              <w:jc w:val="both"/>
            </w:pPr>
            <w:r>
              <w:t>68%</w:t>
            </w:r>
          </w:p>
        </w:tc>
        <w:tc>
          <w:tcPr>
            <w:tcW w:w="0" w:type="auto"/>
          </w:tcPr>
          <w:p w14:paraId="3576ECD8" w14:textId="77777777" w:rsidR="001E64AB" w:rsidRDefault="001D4C77">
            <w:pPr>
              <w:pStyle w:val="Compact"/>
              <w:jc w:val="both"/>
            </w:pPr>
            <w:r>
              <w:t>Modest reduction ***</w:t>
            </w:r>
          </w:p>
        </w:tc>
      </w:tr>
      <w:tr w:rsidR="001E64AB" w14:paraId="719EBE9D" w14:textId="77777777" w:rsidTr="001E64AB">
        <w:tc>
          <w:tcPr>
            <w:tcW w:w="0" w:type="auto"/>
          </w:tcPr>
          <w:p w14:paraId="0885EE00" w14:textId="77777777" w:rsidR="001E64AB" w:rsidRDefault="001E64AB">
            <w:pPr>
              <w:pStyle w:val="Compact"/>
              <w:jc w:val="both"/>
            </w:pPr>
          </w:p>
        </w:tc>
        <w:tc>
          <w:tcPr>
            <w:tcW w:w="0" w:type="auto"/>
          </w:tcPr>
          <w:p w14:paraId="15082655" w14:textId="77777777" w:rsidR="001E64AB" w:rsidRDefault="001E64AB">
            <w:pPr>
              <w:pStyle w:val="Compact"/>
              <w:jc w:val="both"/>
            </w:pPr>
          </w:p>
        </w:tc>
        <w:tc>
          <w:tcPr>
            <w:tcW w:w="0" w:type="auto"/>
          </w:tcPr>
          <w:p w14:paraId="74B3446C" w14:textId="77777777" w:rsidR="001E64AB" w:rsidRDefault="001E64AB">
            <w:pPr>
              <w:pStyle w:val="Compact"/>
              <w:jc w:val="both"/>
            </w:pPr>
          </w:p>
        </w:tc>
        <w:tc>
          <w:tcPr>
            <w:tcW w:w="0" w:type="auto"/>
          </w:tcPr>
          <w:p w14:paraId="1C54D042" w14:textId="77777777" w:rsidR="001E64AB" w:rsidRDefault="001E64AB">
            <w:pPr>
              <w:pStyle w:val="Compact"/>
              <w:jc w:val="both"/>
            </w:pPr>
          </w:p>
        </w:tc>
        <w:tc>
          <w:tcPr>
            <w:tcW w:w="0" w:type="auto"/>
          </w:tcPr>
          <w:p w14:paraId="7CC6328A" w14:textId="77777777" w:rsidR="001E64AB" w:rsidRDefault="001E64AB">
            <w:pPr>
              <w:pStyle w:val="Compact"/>
              <w:jc w:val="both"/>
            </w:pPr>
          </w:p>
        </w:tc>
        <w:tc>
          <w:tcPr>
            <w:tcW w:w="0" w:type="auto"/>
          </w:tcPr>
          <w:p w14:paraId="5A8DCBAC" w14:textId="77777777" w:rsidR="001E64AB" w:rsidRDefault="001E64AB">
            <w:pPr>
              <w:pStyle w:val="Compact"/>
              <w:jc w:val="both"/>
            </w:pPr>
          </w:p>
        </w:tc>
        <w:tc>
          <w:tcPr>
            <w:tcW w:w="0" w:type="auto"/>
          </w:tcPr>
          <w:p w14:paraId="0CCB62EC" w14:textId="77777777" w:rsidR="001E64AB" w:rsidRDefault="001E64AB">
            <w:pPr>
              <w:pStyle w:val="Compact"/>
              <w:jc w:val="both"/>
            </w:pPr>
          </w:p>
        </w:tc>
      </w:tr>
      <w:tr w:rsidR="001E64AB" w14:paraId="2ACDEBFA" w14:textId="77777777" w:rsidTr="001E64AB">
        <w:tc>
          <w:tcPr>
            <w:tcW w:w="0" w:type="auto"/>
          </w:tcPr>
          <w:p w14:paraId="720386CA" w14:textId="77777777" w:rsidR="001E64AB" w:rsidRDefault="001D4C77">
            <w:pPr>
              <w:pStyle w:val="Compact"/>
              <w:jc w:val="both"/>
            </w:pPr>
            <w:r>
              <w:rPr>
                <w:b/>
                <w:bCs/>
              </w:rPr>
              <w:t>Hypertension Prevention</w:t>
            </w:r>
          </w:p>
        </w:tc>
        <w:tc>
          <w:tcPr>
            <w:tcW w:w="0" w:type="auto"/>
          </w:tcPr>
          <w:p w14:paraId="0C56FA08" w14:textId="77777777" w:rsidR="001E64AB" w:rsidRDefault="001E64AB">
            <w:pPr>
              <w:pStyle w:val="Compact"/>
              <w:jc w:val="both"/>
            </w:pPr>
          </w:p>
        </w:tc>
        <w:tc>
          <w:tcPr>
            <w:tcW w:w="0" w:type="auto"/>
          </w:tcPr>
          <w:p w14:paraId="7FC2C81D" w14:textId="77777777" w:rsidR="001E64AB" w:rsidRDefault="001E64AB">
            <w:pPr>
              <w:pStyle w:val="Compact"/>
              <w:jc w:val="both"/>
            </w:pPr>
          </w:p>
        </w:tc>
        <w:tc>
          <w:tcPr>
            <w:tcW w:w="0" w:type="auto"/>
          </w:tcPr>
          <w:p w14:paraId="6E83FE1D" w14:textId="77777777" w:rsidR="001E64AB" w:rsidRDefault="001E64AB">
            <w:pPr>
              <w:pStyle w:val="Compact"/>
              <w:jc w:val="both"/>
            </w:pPr>
          </w:p>
        </w:tc>
        <w:tc>
          <w:tcPr>
            <w:tcW w:w="0" w:type="auto"/>
          </w:tcPr>
          <w:p w14:paraId="58B888DB" w14:textId="77777777" w:rsidR="001E64AB" w:rsidRDefault="001E64AB">
            <w:pPr>
              <w:pStyle w:val="Compact"/>
              <w:jc w:val="both"/>
            </w:pPr>
          </w:p>
        </w:tc>
        <w:tc>
          <w:tcPr>
            <w:tcW w:w="0" w:type="auto"/>
          </w:tcPr>
          <w:p w14:paraId="3A67302C" w14:textId="77777777" w:rsidR="001E64AB" w:rsidRDefault="001E64AB">
            <w:pPr>
              <w:pStyle w:val="Compact"/>
              <w:jc w:val="both"/>
            </w:pPr>
          </w:p>
        </w:tc>
        <w:tc>
          <w:tcPr>
            <w:tcW w:w="0" w:type="auto"/>
          </w:tcPr>
          <w:p w14:paraId="23AFD011" w14:textId="77777777" w:rsidR="001E64AB" w:rsidRDefault="001E64AB">
            <w:pPr>
              <w:pStyle w:val="Compact"/>
              <w:jc w:val="both"/>
            </w:pPr>
          </w:p>
        </w:tc>
      </w:tr>
      <w:tr w:rsidR="001E64AB" w14:paraId="63E99407" w14:textId="77777777" w:rsidTr="001E64AB">
        <w:tc>
          <w:tcPr>
            <w:tcW w:w="0" w:type="auto"/>
          </w:tcPr>
          <w:p w14:paraId="38E29A75" w14:textId="77777777" w:rsidR="001E64AB" w:rsidRDefault="001D4C77">
            <w:pPr>
              <w:pStyle w:val="Compact"/>
              <w:jc w:val="both"/>
            </w:pPr>
            <w:r>
              <w:t>Hypertension Incidence</w:t>
            </w:r>
          </w:p>
        </w:tc>
        <w:tc>
          <w:tcPr>
            <w:tcW w:w="0" w:type="auto"/>
          </w:tcPr>
          <w:p w14:paraId="684C3CAA" w14:textId="77777777" w:rsidR="001E64AB" w:rsidRDefault="001D4C77">
            <w:pPr>
              <w:pStyle w:val="Compact"/>
              <w:jc w:val="both"/>
            </w:pPr>
            <w:r>
              <w:t>5</w:t>
            </w:r>
          </w:p>
        </w:tc>
        <w:tc>
          <w:tcPr>
            <w:tcW w:w="0" w:type="auto"/>
          </w:tcPr>
          <w:p w14:paraId="4FC02E82" w14:textId="77777777" w:rsidR="001E64AB" w:rsidRDefault="001D4C77">
            <w:pPr>
              <w:pStyle w:val="Compact"/>
              <w:jc w:val="both"/>
            </w:pPr>
            <w:r>
              <w:t>8,906</w:t>
            </w:r>
          </w:p>
        </w:tc>
        <w:tc>
          <w:tcPr>
            <w:tcW w:w="0" w:type="auto"/>
          </w:tcPr>
          <w:p w14:paraId="1AC50885" w14:textId="77777777" w:rsidR="001E64AB" w:rsidRDefault="001D4C77">
            <w:pPr>
              <w:pStyle w:val="Compact"/>
              <w:jc w:val="both"/>
            </w:pPr>
            <w:r>
              <w:t>RR 0.81</w:t>
            </w:r>
          </w:p>
        </w:tc>
        <w:tc>
          <w:tcPr>
            <w:tcW w:w="0" w:type="auto"/>
          </w:tcPr>
          <w:p w14:paraId="13E4A13F" w14:textId="77777777" w:rsidR="001E64AB" w:rsidRDefault="001D4C77">
            <w:pPr>
              <w:pStyle w:val="Compact"/>
              <w:jc w:val="both"/>
            </w:pPr>
            <w:r>
              <w:t>0.68-0.96</w:t>
            </w:r>
          </w:p>
        </w:tc>
        <w:tc>
          <w:tcPr>
            <w:tcW w:w="0" w:type="auto"/>
          </w:tcPr>
          <w:p w14:paraId="450AB9F0" w14:textId="77777777" w:rsidR="001E64AB" w:rsidRDefault="001D4C77">
            <w:pPr>
              <w:pStyle w:val="Compact"/>
              <w:jc w:val="both"/>
            </w:pPr>
            <w:r>
              <w:t>52%</w:t>
            </w:r>
          </w:p>
        </w:tc>
        <w:tc>
          <w:tcPr>
            <w:tcW w:w="0" w:type="auto"/>
          </w:tcPr>
          <w:p w14:paraId="478C140A" w14:textId="77777777" w:rsidR="001E64AB" w:rsidRDefault="001D4C77">
            <w:pPr>
              <w:pStyle w:val="Compact"/>
              <w:jc w:val="both"/>
            </w:pPr>
            <w:r>
              <w:t>19% risk reduction *</w:t>
            </w:r>
          </w:p>
        </w:tc>
      </w:tr>
      <w:tr w:rsidR="001E64AB" w14:paraId="492CCAFF" w14:textId="77777777" w:rsidTr="001E64AB">
        <w:tc>
          <w:tcPr>
            <w:tcW w:w="0" w:type="auto"/>
          </w:tcPr>
          <w:p w14:paraId="12E0CCED" w14:textId="77777777" w:rsidR="001E64AB" w:rsidRDefault="001D4C77">
            <w:pPr>
              <w:pStyle w:val="Compact"/>
              <w:jc w:val="both"/>
            </w:pPr>
            <w:r>
              <w:t>Systolic BP (mmHg)</w:t>
            </w:r>
          </w:p>
        </w:tc>
        <w:tc>
          <w:tcPr>
            <w:tcW w:w="0" w:type="auto"/>
          </w:tcPr>
          <w:p w14:paraId="552267A7" w14:textId="77777777" w:rsidR="001E64AB" w:rsidRDefault="001D4C77">
            <w:pPr>
              <w:pStyle w:val="Compact"/>
              <w:jc w:val="both"/>
            </w:pPr>
            <w:r>
              <w:t>19</w:t>
            </w:r>
          </w:p>
        </w:tc>
        <w:tc>
          <w:tcPr>
            <w:tcW w:w="0" w:type="auto"/>
          </w:tcPr>
          <w:p w14:paraId="23EF5D6B" w14:textId="77777777" w:rsidR="001E64AB" w:rsidRDefault="001D4C77">
            <w:pPr>
              <w:pStyle w:val="Compact"/>
              <w:jc w:val="both"/>
            </w:pPr>
            <w:r>
              <w:t>7,241</w:t>
            </w:r>
          </w:p>
        </w:tc>
        <w:tc>
          <w:tcPr>
            <w:tcW w:w="0" w:type="auto"/>
          </w:tcPr>
          <w:p w14:paraId="30DF8CFE" w14:textId="77777777" w:rsidR="001E64AB" w:rsidRDefault="001D4C77">
            <w:pPr>
              <w:pStyle w:val="Compact"/>
              <w:jc w:val="both"/>
            </w:pPr>
            <w:r>
              <w:t>MD -3.5</w:t>
            </w:r>
          </w:p>
        </w:tc>
        <w:tc>
          <w:tcPr>
            <w:tcW w:w="0" w:type="auto"/>
          </w:tcPr>
          <w:p w14:paraId="0B30ABD1" w14:textId="77777777" w:rsidR="001E64AB" w:rsidRDefault="001D4C77">
            <w:pPr>
              <w:pStyle w:val="Compact"/>
              <w:jc w:val="both"/>
            </w:pPr>
            <w:r>
              <w:t>-5.2 to -1.8</w:t>
            </w:r>
          </w:p>
        </w:tc>
        <w:tc>
          <w:tcPr>
            <w:tcW w:w="0" w:type="auto"/>
          </w:tcPr>
          <w:p w14:paraId="653C2599" w14:textId="77777777" w:rsidR="001E64AB" w:rsidRDefault="001D4C77">
            <w:pPr>
              <w:pStyle w:val="Compact"/>
              <w:jc w:val="both"/>
            </w:pPr>
            <w:r>
              <w:t>74%</w:t>
            </w:r>
          </w:p>
        </w:tc>
        <w:tc>
          <w:tcPr>
            <w:tcW w:w="0" w:type="auto"/>
          </w:tcPr>
          <w:p w14:paraId="4F7B5305" w14:textId="77777777" w:rsidR="001E64AB" w:rsidRDefault="001D4C77">
            <w:pPr>
              <w:pStyle w:val="Compact"/>
              <w:jc w:val="both"/>
            </w:pPr>
            <w:r>
              <w:t>Modest reduction ***</w:t>
            </w:r>
          </w:p>
        </w:tc>
      </w:tr>
      <w:tr w:rsidR="001E64AB" w14:paraId="2A398E55" w14:textId="77777777" w:rsidTr="001E64AB">
        <w:tc>
          <w:tcPr>
            <w:tcW w:w="0" w:type="auto"/>
          </w:tcPr>
          <w:p w14:paraId="56746CDB" w14:textId="77777777" w:rsidR="001E64AB" w:rsidRDefault="001D4C77">
            <w:pPr>
              <w:pStyle w:val="Compact"/>
              <w:jc w:val="both"/>
            </w:pPr>
            <w:r>
              <w:t>Diastolic BP (mmHg)</w:t>
            </w:r>
          </w:p>
        </w:tc>
        <w:tc>
          <w:tcPr>
            <w:tcW w:w="0" w:type="auto"/>
          </w:tcPr>
          <w:p w14:paraId="4B80EDB1" w14:textId="77777777" w:rsidR="001E64AB" w:rsidRDefault="001D4C77">
            <w:pPr>
              <w:pStyle w:val="Compact"/>
              <w:jc w:val="both"/>
            </w:pPr>
            <w:r>
              <w:t>17</w:t>
            </w:r>
          </w:p>
        </w:tc>
        <w:tc>
          <w:tcPr>
            <w:tcW w:w="0" w:type="auto"/>
          </w:tcPr>
          <w:p w14:paraId="2C2B7ADD" w14:textId="77777777" w:rsidR="001E64AB" w:rsidRDefault="001D4C77">
            <w:pPr>
              <w:pStyle w:val="Compact"/>
              <w:jc w:val="both"/>
            </w:pPr>
            <w:r>
              <w:t>6,458</w:t>
            </w:r>
          </w:p>
        </w:tc>
        <w:tc>
          <w:tcPr>
            <w:tcW w:w="0" w:type="auto"/>
          </w:tcPr>
          <w:p w14:paraId="1B1548C7" w14:textId="77777777" w:rsidR="001E64AB" w:rsidRDefault="001D4C77">
            <w:pPr>
              <w:pStyle w:val="Compact"/>
              <w:jc w:val="both"/>
            </w:pPr>
            <w:r>
              <w:t>MD -2.0</w:t>
            </w:r>
          </w:p>
        </w:tc>
        <w:tc>
          <w:tcPr>
            <w:tcW w:w="0" w:type="auto"/>
          </w:tcPr>
          <w:p w14:paraId="1A95C1A1" w14:textId="77777777" w:rsidR="001E64AB" w:rsidRDefault="001D4C77">
            <w:pPr>
              <w:pStyle w:val="Compact"/>
              <w:jc w:val="both"/>
            </w:pPr>
            <w:r>
              <w:t>-3.1 to -0.9</w:t>
            </w:r>
          </w:p>
        </w:tc>
        <w:tc>
          <w:tcPr>
            <w:tcW w:w="0" w:type="auto"/>
          </w:tcPr>
          <w:p w14:paraId="7E31EDF7" w14:textId="77777777" w:rsidR="001E64AB" w:rsidRDefault="001D4C77">
            <w:pPr>
              <w:pStyle w:val="Compact"/>
              <w:jc w:val="both"/>
            </w:pPr>
            <w:r>
              <w:t>68%</w:t>
            </w:r>
          </w:p>
        </w:tc>
        <w:tc>
          <w:tcPr>
            <w:tcW w:w="0" w:type="auto"/>
          </w:tcPr>
          <w:p w14:paraId="5C830A93" w14:textId="77777777" w:rsidR="001E64AB" w:rsidRDefault="001D4C77">
            <w:pPr>
              <w:pStyle w:val="Compact"/>
              <w:jc w:val="both"/>
            </w:pPr>
            <w:r>
              <w:t>Modest reduction ***</w:t>
            </w:r>
          </w:p>
        </w:tc>
      </w:tr>
      <w:tr w:rsidR="001E64AB" w14:paraId="03A17B26" w14:textId="77777777" w:rsidTr="001E64AB">
        <w:tc>
          <w:tcPr>
            <w:tcW w:w="0" w:type="auto"/>
          </w:tcPr>
          <w:p w14:paraId="7D16200D" w14:textId="77777777" w:rsidR="001E64AB" w:rsidRDefault="001E64AB">
            <w:pPr>
              <w:pStyle w:val="Compact"/>
              <w:jc w:val="both"/>
            </w:pPr>
          </w:p>
        </w:tc>
        <w:tc>
          <w:tcPr>
            <w:tcW w:w="0" w:type="auto"/>
          </w:tcPr>
          <w:p w14:paraId="54D8965F" w14:textId="77777777" w:rsidR="001E64AB" w:rsidRDefault="001E64AB">
            <w:pPr>
              <w:pStyle w:val="Compact"/>
              <w:jc w:val="both"/>
            </w:pPr>
          </w:p>
        </w:tc>
        <w:tc>
          <w:tcPr>
            <w:tcW w:w="0" w:type="auto"/>
          </w:tcPr>
          <w:p w14:paraId="140D99E6" w14:textId="77777777" w:rsidR="001E64AB" w:rsidRDefault="001E64AB">
            <w:pPr>
              <w:pStyle w:val="Compact"/>
              <w:jc w:val="both"/>
            </w:pPr>
          </w:p>
        </w:tc>
        <w:tc>
          <w:tcPr>
            <w:tcW w:w="0" w:type="auto"/>
          </w:tcPr>
          <w:p w14:paraId="68D5C8CB" w14:textId="77777777" w:rsidR="001E64AB" w:rsidRDefault="001E64AB">
            <w:pPr>
              <w:pStyle w:val="Compact"/>
              <w:jc w:val="both"/>
            </w:pPr>
          </w:p>
        </w:tc>
        <w:tc>
          <w:tcPr>
            <w:tcW w:w="0" w:type="auto"/>
          </w:tcPr>
          <w:p w14:paraId="6C851572" w14:textId="77777777" w:rsidR="001E64AB" w:rsidRDefault="001E64AB">
            <w:pPr>
              <w:pStyle w:val="Compact"/>
              <w:jc w:val="both"/>
            </w:pPr>
          </w:p>
        </w:tc>
        <w:tc>
          <w:tcPr>
            <w:tcW w:w="0" w:type="auto"/>
          </w:tcPr>
          <w:p w14:paraId="4894A05D" w14:textId="77777777" w:rsidR="001E64AB" w:rsidRDefault="001E64AB">
            <w:pPr>
              <w:pStyle w:val="Compact"/>
              <w:jc w:val="both"/>
            </w:pPr>
          </w:p>
        </w:tc>
        <w:tc>
          <w:tcPr>
            <w:tcW w:w="0" w:type="auto"/>
          </w:tcPr>
          <w:p w14:paraId="08D8E3A2" w14:textId="77777777" w:rsidR="001E64AB" w:rsidRDefault="001E64AB">
            <w:pPr>
              <w:pStyle w:val="Compact"/>
              <w:jc w:val="both"/>
            </w:pPr>
          </w:p>
        </w:tc>
      </w:tr>
      <w:tr w:rsidR="001E64AB" w14:paraId="7E905922" w14:textId="77777777" w:rsidTr="001E64AB">
        <w:tc>
          <w:tcPr>
            <w:tcW w:w="0" w:type="auto"/>
          </w:tcPr>
          <w:p w14:paraId="64FE043E" w14:textId="77777777" w:rsidR="001E64AB" w:rsidRDefault="001D4C77">
            <w:pPr>
              <w:pStyle w:val="Compact"/>
              <w:jc w:val="both"/>
            </w:pPr>
            <w:r>
              <w:rPr>
                <w:b/>
                <w:bCs/>
              </w:rPr>
              <w:t>Behavioral Outcomes</w:t>
            </w:r>
          </w:p>
        </w:tc>
        <w:tc>
          <w:tcPr>
            <w:tcW w:w="0" w:type="auto"/>
          </w:tcPr>
          <w:p w14:paraId="7FF5BB80" w14:textId="77777777" w:rsidR="001E64AB" w:rsidRDefault="001E64AB">
            <w:pPr>
              <w:pStyle w:val="Compact"/>
              <w:jc w:val="both"/>
            </w:pPr>
          </w:p>
        </w:tc>
        <w:tc>
          <w:tcPr>
            <w:tcW w:w="0" w:type="auto"/>
          </w:tcPr>
          <w:p w14:paraId="11271CCE" w14:textId="77777777" w:rsidR="001E64AB" w:rsidRDefault="001E64AB">
            <w:pPr>
              <w:pStyle w:val="Compact"/>
              <w:jc w:val="both"/>
            </w:pPr>
          </w:p>
        </w:tc>
        <w:tc>
          <w:tcPr>
            <w:tcW w:w="0" w:type="auto"/>
          </w:tcPr>
          <w:p w14:paraId="2488D5B1" w14:textId="77777777" w:rsidR="001E64AB" w:rsidRDefault="001E64AB">
            <w:pPr>
              <w:pStyle w:val="Compact"/>
              <w:jc w:val="both"/>
            </w:pPr>
          </w:p>
        </w:tc>
        <w:tc>
          <w:tcPr>
            <w:tcW w:w="0" w:type="auto"/>
          </w:tcPr>
          <w:p w14:paraId="307AAC63" w14:textId="77777777" w:rsidR="001E64AB" w:rsidRDefault="001E64AB">
            <w:pPr>
              <w:pStyle w:val="Compact"/>
              <w:jc w:val="both"/>
            </w:pPr>
          </w:p>
        </w:tc>
        <w:tc>
          <w:tcPr>
            <w:tcW w:w="0" w:type="auto"/>
          </w:tcPr>
          <w:p w14:paraId="6D341792" w14:textId="77777777" w:rsidR="001E64AB" w:rsidRDefault="001E64AB">
            <w:pPr>
              <w:pStyle w:val="Compact"/>
              <w:jc w:val="both"/>
            </w:pPr>
          </w:p>
        </w:tc>
        <w:tc>
          <w:tcPr>
            <w:tcW w:w="0" w:type="auto"/>
          </w:tcPr>
          <w:p w14:paraId="0279326E" w14:textId="77777777" w:rsidR="001E64AB" w:rsidRDefault="001E64AB">
            <w:pPr>
              <w:pStyle w:val="Compact"/>
              <w:jc w:val="both"/>
            </w:pPr>
          </w:p>
        </w:tc>
      </w:tr>
      <w:tr w:rsidR="001E64AB" w14:paraId="5D81B49B" w14:textId="77777777" w:rsidTr="001E64AB">
        <w:tc>
          <w:tcPr>
            <w:tcW w:w="0" w:type="auto"/>
          </w:tcPr>
          <w:p w14:paraId="02B86FE2" w14:textId="77777777" w:rsidR="001E64AB" w:rsidRDefault="001D4C77">
            <w:pPr>
              <w:pStyle w:val="Compact"/>
              <w:jc w:val="both"/>
            </w:pPr>
            <w:r>
              <w:t>Physical Activity (min/week)</w:t>
            </w:r>
          </w:p>
        </w:tc>
        <w:tc>
          <w:tcPr>
            <w:tcW w:w="0" w:type="auto"/>
          </w:tcPr>
          <w:p w14:paraId="78A8E553" w14:textId="77777777" w:rsidR="001E64AB" w:rsidRDefault="001D4C77">
            <w:pPr>
              <w:pStyle w:val="Compact"/>
              <w:jc w:val="both"/>
            </w:pPr>
            <w:r>
              <w:t>14</w:t>
            </w:r>
          </w:p>
        </w:tc>
        <w:tc>
          <w:tcPr>
            <w:tcW w:w="0" w:type="auto"/>
          </w:tcPr>
          <w:p w14:paraId="02729227" w14:textId="77777777" w:rsidR="001E64AB" w:rsidRDefault="001D4C77">
            <w:pPr>
              <w:pStyle w:val="Compact"/>
              <w:jc w:val="both"/>
            </w:pPr>
            <w:r>
              <w:t>4,156</w:t>
            </w:r>
          </w:p>
        </w:tc>
        <w:tc>
          <w:tcPr>
            <w:tcW w:w="0" w:type="auto"/>
          </w:tcPr>
          <w:p w14:paraId="005D8311" w14:textId="77777777" w:rsidR="001E64AB" w:rsidRDefault="001D4C77">
            <w:pPr>
              <w:pStyle w:val="Compact"/>
              <w:jc w:val="both"/>
            </w:pPr>
            <w:r>
              <w:t>MD +89</w:t>
            </w:r>
          </w:p>
        </w:tc>
        <w:tc>
          <w:tcPr>
            <w:tcW w:w="0" w:type="auto"/>
          </w:tcPr>
          <w:p w14:paraId="1E79CCB1" w14:textId="77777777" w:rsidR="001E64AB" w:rsidRDefault="001D4C77">
            <w:pPr>
              <w:pStyle w:val="Compact"/>
              <w:jc w:val="both"/>
            </w:pPr>
            <w:r>
              <w:t>+62 to +115</w:t>
            </w:r>
          </w:p>
        </w:tc>
        <w:tc>
          <w:tcPr>
            <w:tcW w:w="0" w:type="auto"/>
          </w:tcPr>
          <w:p w14:paraId="41AE5E8A" w14:textId="77777777" w:rsidR="001E64AB" w:rsidRDefault="001D4C77">
            <w:pPr>
              <w:pStyle w:val="Compact"/>
              <w:jc w:val="both"/>
            </w:pPr>
            <w:r>
              <w:t>81%</w:t>
            </w:r>
          </w:p>
        </w:tc>
        <w:tc>
          <w:tcPr>
            <w:tcW w:w="0" w:type="auto"/>
          </w:tcPr>
          <w:p w14:paraId="596D9F36" w14:textId="77777777" w:rsidR="001E64AB" w:rsidRDefault="001D4C77">
            <w:pPr>
              <w:pStyle w:val="Compact"/>
              <w:jc w:val="both"/>
            </w:pPr>
            <w:r>
              <w:t>Significant increase ***</w:t>
            </w:r>
          </w:p>
        </w:tc>
      </w:tr>
      <w:tr w:rsidR="001E64AB" w14:paraId="4546C59A" w14:textId="77777777" w:rsidTr="001E64AB">
        <w:tc>
          <w:tcPr>
            <w:tcW w:w="0" w:type="auto"/>
          </w:tcPr>
          <w:p w14:paraId="53FA7DEB" w14:textId="77777777" w:rsidR="001E64AB" w:rsidRDefault="001D4C77">
            <w:pPr>
              <w:pStyle w:val="Compact"/>
              <w:jc w:val="both"/>
            </w:pPr>
            <w:r>
              <w:t>Dietary Behaviors</w:t>
            </w:r>
          </w:p>
        </w:tc>
        <w:tc>
          <w:tcPr>
            <w:tcW w:w="0" w:type="auto"/>
          </w:tcPr>
          <w:p w14:paraId="4BBD7185" w14:textId="77777777" w:rsidR="001E64AB" w:rsidRDefault="001D4C77">
            <w:pPr>
              <w:pStyle w:val="Compact"/>
              <w:jc w:val="both"/>
            </w:pPr>
            <w:r>
              <w:t>12</w:t>
            </w:r>
          </w:p>
        </w:tc>
        <w:tc>
          <w:tcPr>
            <w:tcW w:w="0" w:type="auto"/>
          </w:tcPr>
          <w:p w14:paraId="3DB8CA4B" w14:textId="77777777" w:rsidR="001E64AB" w:rsidRDefault="001D4C77">
            <w:pPr>
              <w:pStyle w:val="Compact"/>
              <w:jc w:val="both"/>
            </w:pPr>
            <w:r>
              <w:t>3,842</w:t>
            </w:r>
          </w:p>
        </w:tc>
        <w:tc>
          <w:tcPr>
            <w:tcW w:w="0" w:type="auto"/>
          </w:tcPr>
          <w:p w14:paraId="753563F4" w14:textId="77777777" w:rsidR="001E64AB" w:rsidRDefault="001D4C77">
            <w:pPr>
              <w:pStyle w:val="Compact"/>
              <w:jc w:val="both"/>
            </w:pPr>
            <w:r>
              <w:t>Varied</w:t>
            </w:r>
          </w:p>
        </w:tc>
        <w:tc>
          <w:tcPr>
            <w:tcW w:w="0" w:type="auto"/>
          </w:tcPr>
          <w:p w14:paraId="1C487723" w14:textId="77777777" w:rsidR="001E64AB" w:rsidRDefault="001D4C77">
            <w:pPr>
              <w:pStyle w:val="Compact"/>
              <w:jc w:val="both"/>
            </w:pPr>
            <w:r>
              <w:t>-</w:t>
            </w:r>
          </w:p>
        </w:tc>
        <w:tc>
          <w:tcPr>
            <w:tcW w:w="0" w:type="auto"/>
          </w:tcPr>
          <w:p w14:paraId="230F37FB" w14:textId="77777777" w:rsidR="001E64AB" w:rsidRDefault="001D4C77">
            <w:pPr>
              <w:pStyle w:val="Compact"/>
              <w:jc w:val="both"/>
            </w:pPr>
            <w:r>
              <w:t>-</w:t>
            </w:r>
          </w:p>
        </w:tc>
        <w:tc>
          <w:tcPr>
            <w:tcW w:w="0" w:type="auto"/>
          </w:tcPr>
          <w:p w14:paraId="19E36FDA" w14:textId="77777777" w:rsidR="001E64AB" w:rsidRDefault="001D4C77">
            <w:pPr>
              <w:pStyle w:val="Compact"/>
              <w:jc w:val="both"/>
            </w:pPr>
            <w:r>
              <w:t>Improvements reported</w:t>
            </w:r>
          </w:p>
        </w:tc>
      </w:tr>
      <w:tr w:rsidR="001E64AB" w14:paraId="1BFE168F" w14:textId="77777777" w:rsidTr="001E64AB">
        <w:tc>
          <w:tcPr>
            <w:tcW w:w="0" w:type="auto"/>
          </w:tcPr>
          <w:p w14:paraId="471782C1" w14:textId="77777777" w:rsidR="001E64AB" w:rsidRDefault="001E64AB">
            <w:pPr>
              <w:pStyle w:val="Compact"/>
              <w:jc w:val="both"/>
            </w:pPr>
          </w:p>
        </w:tc>
        <w:tc>
          <w:tcPr>
            <w:tcW w:w="0" w:type="auto"/>
          </w:tcPr>
          <w:p w14:paraId="6C000FD6" w14:textId="77777777" w:rsidR="001E64AB" w:rsidRDefault="001E64AB">
            <w:pPr>
              <w:pStyle w:val="Compact"/>
              <w:jc w:val="both"/>
            </w:pPr>
          </w:p>
        </w:tc>
        <w:tc>
          <w:tcPr>
            <w:tcW w:w="0" w:type="auto"/>
          </w:tcPr>
          <w:p w14:paraId="596C69E5" w14:textId="77777777" w:rsidR="001E64AB" w:rsidRDefault="001E64AB">
            <w:pPr>
              <w:pStyle w:val="Compact"/>
              <w:jc w:val="both"/>
            </w:pPr>
          </w:p>
        </w:tc>
        <w:tc>
          <w:tcPr>
            <w:tcW w:w="0" w:type="auto"/>
          </w:tcPr>
          <w:p w14:paraId="2F27586C" w14:textId="77777777" w:rsidR="001E64AB" w:rsidRDefault="001E64AB">
            <w:pPr>
              <w:pStyle w:val="Compact"/>
              <w:jc w:val="both"/>
            </w:pPr>
          </w:p>
        </w:tc>
        <w:tc>
          <w:tcPr>
            <w:tcW w:w="0" w:type="auto"/>
          </w:tcPr>
          <w:p w14:paraId="13780619" w14:textId="77777777" w:rsidR="001E64AB" w:rsidRDefault="001E64AB">
            <w:pPr>
              <w:pStyle w:val="Compact"/>
              <w:jc w:val="both"/>
            </w:pPr>
          </w:p>
        </w:tc>
        <w:tc>
          <w:tcPr>
            <w:tcW w:w="0" w:type="auto"/>
          </w:tcPr>
          <w:p w14:paraId="7E8E9EE8" w14:textId="77777777" w:rsidR="001E64AB" w:rsidRDefault="001E64AB">
            <w:pPr>
              <w:pStyle w:val="Compact"/>
              <w:jc w:val="both"/>
            </w:pPr>
          </w:p>
        </w:tc>
        <w:tc>
          <w:tcPr>
            <w:tcW w:w="0" w:type="auto"/>
          </w:tcPr>
          <w:p w14:paraId="40732277" w14:textId="77777777" w:rsidR="001E64AB" w:rsidRDefault="001E64AB">
            <w:pPr>
              <w:pStyle w:val="Compact"/>
              <w:jc w:val="both"/>
            </w:pPr>
          </w:p>
        </w:tc>
      </w:tr>
      <w:tr w:rsidR="001E64AB" w14:paraId="1F6F7F56" w14:textId="77777777" w:rsidTr="001E64AB">
        <w:tc>
          <w:tcPr>
            <w:tcW w:w="0" w:type="auto"/>
          </w:tcPr>
          <w:p w14:paraId="7DB431EE" w14:textId="77777777" w:rsidR="001E64AB" w:rsidRDefault="001D4C77">
            <w:pPr>
              <w:pStyle w:val="Compact"/>
              <w:jc w:val="both"/>
            </w:pPr>
            <w:r>
              <w:rPr>
                <w:b/>
                <w:bCs/>
              </w:rPr>
              <w:t>Multicomponent vs. Single-Component</w:t>
            </w:r>
          </w:p>
        </w:tc>
        <w:tc>
          <w:tcPr>
            <w:tcW w:w="0" w:type="auto"/>
          </w:tcPr>
          <w:p w14:paraId="04EC6A54" w14:textId="77777777" w:rsidR="001E64AB" w:rsidRDefault="001E64AB">
            <w:pPr>
              <w:pStyle w:val="Compact"/>
              <w:jc w:val="both"/>
            </w:pPr>
          </w:p>
        </w:tc>
        <w:tc>
          <w:tcPr>
            <w:tcW w:w="0" w:type="auto"/>
          </w:tcPr>
          <w:p w14:paraId="7CB7DD85" w14:textId="77777777" w:rsidR="001E64AB" w:rsidRDefault="001E64AB">
            <w:pPr>
              <w:pStyle w:val="Compact"/>
              <w:jc w:val="both"/>
            </w:pPr>
          </w:p>
        </w:tc>
        <w:tc>
          <w:tcPr>
            <w:tcW w:w="0" w:type="auto"/>
          </w:tcPr>
          <w:p w14:paraId="34BA42AF" w14:textId="77777777" w:rsidR="001E64AB" w:rsidRDefault="001E64AB">
            <w:pPr>
              <w:pStyle w:val="Compact"/>
              <w:jc w:val="both"/>
            </w:pPr>
          </w:p>
        </w:tc>
        <w:tc>
          <w:tcPr>
            <w:tcW w:w="0" w:type="auto"/>
          </w:tcPr>
          <w:p w14:paraId="689D07B7" w14:textId="77777777" w:rsidR="001E64AB" w:rsidRDefault="001E64AB">
            <w:pPr>
              <w:pStyle w:val="Compact"/>
              <w:jc w:val="both"/>
            </w:pPr>
          </w:p>
        </w:tc>
        <w:tc>
          <w:tcPr>
            <w:tcW w:w="0" w:type="auto"/>
          </w:tcPr>
          <w:p w14:paraId="6B3DF702" w14:textId="77777777" w:rsidR="001E64AB" w:rsidRDefault="001E64AB">
            <w:pPr>
              <w:pStyle w:val="Compact"/>
              <w:jc w:val="both"/>
            </w:pPr>
          </w:p>
        </w:tc>
        <w:tc>
          <w:tcPr>
            <w:tcW w:w="0" w:type="auto"/>
          </w:tcPr>
          <w:p w14:paraId="4339E769" w14:textId="77777777" w:rsidR="001E64AB" w:rsidRDefault="001E64AB">
            <w:pPr>
              <w:pStyle w:val="Compact"/>
              <w:jc w:val="both"/>
            </w:pPr>
          </w:p>
        </w:tc>
      </w:tr>
      <w:tr w:rsidR="001E64AB" w14:paraId="0B9FC35C" w14:textId="77777777" w:rsidTr="001E64AB">
        <w:tc>
          <w:tcPr>
            <w:tcW w:w="0" w:type="auto"/>
          </w:tcPr>
          <w:p w14:paraId="1374D811" w14:textId="77777777" w:rsidR="001E64AB" w:rsidRDefault="001D4C77">
            <w:pPr>
              <w:pStyle w:val="Compact"/>
              <w:jc w:val="both"/>
            </w:pPr>
            <w:r>
              <w:t>Systolic BP (Multicomponent)</w:t>
            </w:r>
          </w:p>
        </w:tc>
        <w:tc>
          <w:tcPr>
            <w:tcW w:w="0" w:type="auto"/>
          </w:tcPr>
          <w:p w14:paraId="0491C524" w14:textId="77777777" w:rsidR="001E64AB" w:rsidRDefault="001D4C77">
            <w:pPr>
              <w:pStyle w:val="Compact"/>
              <w:jc w:val="both"/>
            </w:pPr>
            <w:r>
              <w:t>9</w:t>
            </w:r>
          </w:p>
        </w:tc>
        <w:tc>
          <w:tcPr>
            <w:tcW w:w="0" w:type="auto"/>
          </w:tcPr>
          <w:p w14:paraId="6744BC0F" w14:textId="77777777" w:rsidR="001E64AB" w:rsidRDefault="001D4C77">
            <w:pPr>
              <w:pStyle w:val="Compact"/>
              <w:jc w:val="both"/>
            </w:pPr>
            <w:r>
              <w:t>4,520</w:t>
            </w:r>
          </w:p>
        </w:tc>
        <w:tc>
          <w:tcPr>
            <w:tcW w:w="0" w:type="auto"/>
          </w:tcPr>
          <w:p w14:paraId="52EF7E50" w14:textId="77777777" w:rsidR="001E64AB" w:rsidRDefault="001D4C77">
            <w:pPr>
              <w:pStyle w:val="Compact"/>
              <w:jc w:val="both"/>
            </w:pPr>
            <w:r>
              <w:t>MD -4.5</w:t>
            </w:r>
          </w:p>
        </w:tc>
        <w:tc>
          <w:tcPr>
            <w:tcW w:w="0" w:type="auto"/>
          </w:tcPr>
          <w:p w14:paraId="48CDAE5C" w14:textId="77777777" w:rsidR="001E64AB" w:rsidRDefault="001D4C77">
            <w:pPr>
              <w:pStyle w:val="Compact"/>
              <w:jc w:val="both"/>
            </w:pPr>
            <w:r>
              <w:t>-6.8 to -2.2</w:t>
            </w:r>
          </w:p>
        </w:tc>
        <w:tc>
          <w:tcPr>
            <w:tcW w:w="0" w:type="auto"/>
          </w:tcPr>
          <w:p w14:paraId="15A6DD76" w14:textId="77777777" w:rsidR="001E64AB" w:rsidRDefault="001D4C77">
            <w:pPr>
              <w:pStyle w:val="Compact"/>
              <w:jc w:val="both"/>
            </w:pPr>
            <w:r>
              <w:t>71%</w:t>
            </w:r>
          </w:p>
        </w:tc>
        <w:tc>
          <w:tcPr>
            <w:tcW w:w="0" w:type="auto"/>
          </w:tcPr>
          <w:p w14:paraId="3D8AA9C5" w14:textId="77777777" w:rsidR="001E64AB" w:rsidRDefault="001D4C77">
            <w:pPr>
              <w:pStyle w:val="Compact"/>
              <w:jc w:val="both"/>
            </w:pPr>
            <w:r>
              <w:t>Greater reduction ***</w:t>
            </w:r>
          </w:p>
        </w:tc>
      </w:tr>
      <w:tr w:rsidR="001E64AB" w14:paraId="26DE779B" w14:textId="77777777" w:rsidTr="001E64AB">
        <w:tc>
          <w:tcPr>
            <w:tcW w:w="0" w:type="auto"/>
          </w:tcPr>
          <w:p w14:paraId="0B165D44" w14:textId="77777777" w:rsidR="001E64AB" w:rsidRDefault="001D4C77">
            <w:pPr>
              <w:pStyle w:val="Compact"/>
              <w:jc w:val="both"/>
            </w:pPr>
            <w:r>
              <w:t>Fasting Glucose (Multicomponent)</w:t>
            </w:r>
          </w:p>
        </w:tc>
        <w:tc>
          <w:tcPr>
            <w:tcW w:w="0" w:type="auto"/>
          </w:tcPr>
          <w:p w14:paraId="7404C00F" w14:textId="77777777" w:rsidR="001E64AB" w:rsidRDefault="001D4C77">
            <w:pPr>
              <w:pStyle w:val="Compact"/>
              <w:jc w:val="both"/>
            </w:pPr>
            <w:r>
              <w:t>9</w:t>
            </w:r>
          </w:p>
        </w:tc>
        <w:tc>
          <w:tcPr>
            <w:tcW w:w="0" w:type="auto"/>
          </w:tcPr>
          <w:p w14:paraId="7548EECA" w14:textId="77777777" w:rsidR="001E64AB" w:rsidRDefault="001D4C77">
            <w:pPr>
              <w:pStyle w:val="Compact"/>
              <w:jc w:val="both"/>
            </w:pPr>
            <w:r>
              <w:t>3,780</w:t>
            </w:r>
          </w:p>
        </w:tc>
        <w:tc>
          <w:tcPr>
            <w:tcW w:w="0" w:type="auto"/>
          </w:tcPr>
          <w:p w14:paraId="09FDB897" w14:textId="77777777" w:rsidR="001E64AB" w:rsidRDefault="001D4C77">
            <w:pPr>
              <w:pStyle w:val="Compact"/>
              <w:jc w:val="both"/>
            </w:pPr>
            <w:r>
              <w:t>MD -2.8</w:t>
            </w:r>
          </w:p>
        </w:tc>
        <w:tc>
          <w:tcPr>
            <w:tcW w:w="0" w:type="auto"/>
          </w:tcPr>
          <w:p w14:paraId="659F4069" w14:textId="77777777" w:rsidR="001E64AB" w:rsidRDefault="001D4C77">
            <w:pPr>
              <w:pStyle w:val="Compact"/>
              <w:jc w:val="both"/>
            </w:pPr>
            <w:r>
              <w:t>-4.2 to -1.4</w:t>
            </w:r>
          </w:p>
        </w:tc>
        <w:tc>
          <w:tcPr>
            <w:tcW w:w="0" w:type="auto"/>
          </w:tcPr>
          <w:p w14:paraId="2976E7E5" w14:textId="77777777" w:rsidR="001E64AB" w:rsidRDefault="001D4C77">
            <w:pPr>
              <w:pStyle w:val="Compact"/>
              <w:jc w:val="both"/>
            </w:pPr>
            <w:r>
              <w:t>63%</w:t>
            </w:r>
          </w:p>
        </w:tc>
        <w:tc>
          <w:tcPr>
            <w:tcW w:w="0" w:type="auto"/>
          </w:tcPr>
          <w:p w14:paraId="51AAF74F" w14:textId="77777777" w:rsidR="001E64AB" w:rsidRDefault="001D4C77">
            <w:pPr>
              <w:pStyle w:val="Compact"/>
              <w:jc w:val="both"/>
            </w:pPr>
            <w:r>
              <w:t>Greater reduction ***</w:t>
            </w:r>
          </w:p>
        </w:tc>
      </w:tr>
    </w:tbl>
    <w:p w14:paraId="3F9F29FC" w14:textId="77777777" w:rsidR="001E64AB" w:rsidRDefault="001D4C77">
      <w:pPr>
        <w:pStyle w:val="BodyText"/>
        <w:jc w:val="both"/>
      </w:pPr>
      <w:r>
        <w:t>*p&lt;0.05, **p&lt;0.01, ***p&lt;0.001; RR = Risk Ratio; MD = Mean Difference; CI = Confidence Interval; BP = Blood Pressure; BMI = Body Mass Index</w:t>
      </w:r>
    </w:p>
    <w:p w14:paraId="581A769F" w14:textId="77777777" w:rsidR="001E64AB" w:rsidRDefault="00212251">
      <w:pPr>
        <w:jc w:val="both"/>
      </w:pPr>
      <w:r>
        <w:pict w14:anchorId="2EEE3E80">
          <v:rect id="1036" o:spid="_x0000_i1034" style="width:0;height:1.5pt;visibility:visible;mso-wrap-distance-left:0;mso-wrap-distance-right:0" o:hralign="center" o:hrstd="t" o:hr="t"/>
        </w:pict>
      </w:r>
    </w:p>
    <w:p w14:paraId="0A4595F2" w14:textId="77777777" w:rsidR="001E64AB" w:rsidRDefault="001D4C77">
      <w:pPr>
        <w:pStyle w:val="Heading31"/>
        <w:jc w:val="both"/>
        <w:rPr>
          <w:color w:val="000000"/>
        </w:rPr>
      </w:pPr>
      <w:bookmarkStart w:id="29" w:name="X4f623c835fbb3c7dd797dd45a2c995d0095be49"/>
      <w:r>
        <w:rPr>
          <w:color w:val="000000"/>
        </w:rPr>
        <w:lastRenderedPageBreak/>
        <w:t>4.5 Population Reach and Health Equity</w:t>
      </w:r>
    </w:p>
    <w:p w14:paraId="2A9612C6" w14:textId="77777777" w:rsidR="001E64AB" w:rsidRDefault="001D4C77">
      <w:pPr>
        <w:pStyle w:val="BodyText"/>
        <w:jc w:val="both"/>
      </w:pPr>
      <w:bookmarkStart w:id="30" w:name="Xafdd71d782bec66c8fb3750d979c350b1557907"/>
      <w:bookmarkEnd w:id="29"/>
      <w:r>
        <w:t xml:space="preserve">The overall level of participation in included studies was at an average of 42% of eligible population </w:t>
      </w:r>
      <w:proofErr w:type="gramStart"/>
      <w:r>
        <w:t>( range</w:t>
      </w:r>
      <w:proofErr w:type="gramEnd"/>
      <w:r>
        <w:t xml:space="preserve"> 12%-87,SD=18%). Of the 42.9% of studies that had explicitly assessed or mentioned the attainment of the intervention by different socioeconomic or racial/ethnic populations, only 18 reported or assessed this issue equitably. Among these, 11 studies (61.1%) reported a difference in effectiveness as a result of socioeconomic background with greater benefits in higher-income groups. Nine studies (21.4% of total) found outcomes stratified according to the race/ethnicity; 5 of them identified some evidence of unequal efficacy between racial/ethnic groups.</w:t>
      </w:r>
    </w:p>
    <w:p w14:paraId="5A5AEFB3" w14:textId="77777777" w:rsidR="001E64AB" w:rsidRDefault="001D4C77">
      <w:pPr>
        <w:pStyle w:val="BodyText"/>
        <w:jc w:val="both"/>
      </w:pPr>
      <w:r>
        <w:t>As an example, the Diabetes Prevention Program (DPP), which is a groundbreaking lifestyle intervention trial, found that the risk reduction was 58% overall but not equal, with the relative risk reduction in participants of Hispanic/Latino descent (49%) and American Indian descent (49%) being smaller than the reduction in participants of non-Hispanic white descent (58%) and participants of African American descent (65%) (Diabetes Prevention Program Research Group, 2009). Likewise a community-based intervention of hypertension in Chicago had found that the participation rates in the predominantly Black neighborhoods (24% vs. 51% in predominantly white neighborhoods) had lower participation rates even with similar levels of baseline hypertension.</w:t>
      </w:r>
    </w:p>
    <w:p w14:paraId="6DAA8196" w14:textId="77777777" w:rsidR="001E64AB" w:rsidRDefault="001D4C77">
      <w:pPr>
        <w:pStyle w:val="BodyText"/>
        <w:jc w:val="both"/>
      </w:pPr>
      <w:r>
        <w:t>Characters of the participants disclosed that most of the studies were not racially/ethnically diverse. The 24 studies that provided race/ethnicity data had a median of 32% (IQR: 18%-48%) non-white participants, and eight studies had less than 10% participants who were non-white. Only 6 studies (14.3) actually engaged community members in intervention design or adaptation and only ten studies (23.8) used community health worker or peer educator who belonged to the target communities.</w:t>
      </w:r>
    </w:p>
    <w:p w14:paraId="413A5659" w14:textId="77777777" w:rsidR="001E64AB" w:rsidRDefault="001D4C77">
      <w:pPr>
        <w:pStyle w:val="BodyText"/>
        <w:jc w:val="both"/>
      </w:pPr>
      <w:r>
        <w:t>A large range of drop-out rates of between 8% and 58% (mean: 24, SD=14) was observed. In those studies that encompassed more lower socioeconomic population and certain racial/ethnic minority groups, the attrition was much higher (31% on average) than in the studies which included mostly white, middle-class population (19% on average, p=0.02).</w:t>
      </w:r>
    </w:p>
    <w:p w14:paraId="760F5BBC" w14:textId="77777777" w:rsidR="001E64AB" w:rsidRDefault="001D4C77">
      <w:pPr>
        <w:pStyle w:val="BodyText"/>
        <w:jc w:val="both"/>
        <w:rPr>
          <w:b/>
          <w:bCs/>
        </w:rPr>
      </w:pPr>
      <w:r>
        <w:rPr>
          <w:b/>
          <w:bCs/>
        </w:rPr>
        <w:t>4.6 Implementation Factors and Sustainability</w:t>
      </w:r>
    </w:p>
    <w:p w14:paraId="463F3F78" w14:textId="77777777" w:rsidR="001E64AB" w:rsidRDefault="001D4C77">
      <w:pPr>
        <w:pStyle w:val="BodyText"/>
        <w:jc w:val="both"/>
      </w:pPr>
      <w:r>
        <w:rPr>
          <w:b/>
          <w:bCs/>
        </w:rPr>
        <w:t xml:space="preserve">Community Engagement: </w:t>
      </w:r>
      <w:r>
        <w:t>One-fifth (35.7) of the studies involved the use of formal community engagement methods such as community advisory boards, participatory action research or community member involvement in the development of interventions. Research that involved community involvement had better retention (mean: 72% vs. 68%, difference: 4 percentage points) and more positive intervention changes on secondary outcomes, but primary ones were not different.</w:t>
      </w:r>
    </w:p>
    <w:p w14:paraId="0372C852" w14:textId="77777777" w:rsidR="001E64AB" w:rsidRDefault="001D4C77">
      <w:pPr>
        <w:pStyle w:val="BodyText"/>
        <w:jc w:val="both"/>
      </w:pPr>
      <w:r>
        <w:rPr>
          <w:b/>
          <w:bCs/>
        </w:rPr>
        <w:t xml:space="preserve">Cultural Adaptation: </w:t>
      </w:r>
      <w:r>
        <w:t>16 papers (38.1%) cited cultural strategies of adaptation. There were minor differences in the change of behavioral outcomes (physical activity, adherence to diet) between adapted and non-adapted interventions which were not statistically significant in the meta-regression analysis (p=0.12).</w:t>
      </w:r>
    </w:p>
    <w:p w14:paraId="657BB094" w14:textId="77777777" w:rsidR="001E64AB" w:rsidRDefault="001D4C77">
      <w:pPr>
        <w:pStyle w:val="BodyText"/>
        <w:jc w:val="both"/>
      </w:pPr>
      <w:r>
        <w:rPr>
          <w:b/>
          <w:bCs/>
        </w:rPr>
        <w:lastRenderedPageBreak/>
        <w:t>Intervention Fidelity:</w:t>
      </w:r>
      <w:r>
        <w:t xml:space="preserve"> Fidelity monitoring or assessment was only reported in 9 studies (21.4%). Documented fidelity-monitored studies reported a much bigger intervention impact on primary outcomes (systolic BP: MD -4.9 mmHg vs. -2.8 mmHg, p=0.048; fasting glucose: MD -2.9 mg/dL vs. -1.6 mg/dL, p=0.038).</w:t>
      </w:r>
    </w:p>
    <w:p w14:paraId="5531FFD9" w14:textId="77777777" w:rsidR="001E64AB" w:rsidRDefault="001D4C77">
      <w:pPr>
        <w:pStyle w:val="BodyText"/>
        <w:jc w:val="both"/>
      </w:pPr>
      <w:r>
        <w:rPr>
          <w:b/>
          <w:bCs/>
        </w:rPr>
        <w:t xml:space="preserve">Sustainability and Maintenance: </w:t>
      </w:r>
      <w:r>
        <w:t>The data on the sustainability of the interventions outside the official study period was presented in only six studies (14.3%). Two out of these reported maintained intervention effects at 12 or more months follow-up, two reported maintained with a small decrease in effects, two reported large loss of original gains. Sustainability factors found were: (1) integration with the clinical care pathways (n=3 studies), (2) continuous peer support or social networks (n=3), and (3) less intensive but persistent contact (n=2).</w:t>
      </w:r>
    </w:p>
    <w:p w14:paraId="7A30F8C0" w14:textId="77777777" w:rsidR="001E64AB" w:rsidRDefault="001D4C77">
      <w:pPr>
        <w:pStyle w:val="BodyText"/>
        <w:jc w:val="both"/>
      </w:pPr>
      <w:r>
        <w:rPr>
          <w:b/>
          <w:bCs/>
        </w:rPr>
        <w:t xml:space="preserve">Funding and Resources: </w:t>
      </w:r>
      <w:r>
        <w:t>The intensity of resources used in studies was highly different. Intervention costs were estimated to be between $120 and 2400 per participant during the period of intervention. Multicomponent interventions that were more intensive cost on average 850/person whereas education-only programs cost on average 340/person. Only eight studies (19.0%), reported cost-effectiveness data.</w:t>
      </w:r>
    </w:p>
    <w:p w14:paraId="43C3E48C" w14:textId="77777777" w:rsidR="001E64AB" w:rsidRDefault="00212251">
      <w:pPr>
        <w:jc w:val="both"/>
      </w:pPr>
      <w:r>
        <w:pict w14:anchorId="04E07B76">
          <v:rect id="1037" o:spid="_x0000_i1035" style="width:0;height:1.5pt;visibility:visible;mso-wrap-distance-left:0;mso-wrap-distance-right:0" o:hralign="center" o:hrstd="t" o:hr="t"/>
        </w:pict>
      </w:r>
    </w:p>
    <w:p w14:paraId="4D23A002" w14:textId="77777777" w:rsidR="001E64AB" w:rsidRDefault="001D4C77">
      <w:pPr>
        <w:pStyle w:val="BodyText"/>
        <w:jc w:val="both"/>
        <w:rPr>
          <w:b/>
          <w:bCs/>
        </w:rPr>
      </w:pPr>
      <w:bookmarkStart w:id="31" w:name="X290aab7541a9f9a2fc5ab2baafeb804ee95dfdd"/>
      <w:bookmarkStart w:id="32" w:name="X735612638e4e736e4693e459c258977262c0dfc"/>
      <w:bookmarkEnd w:id="28"/>
      <w:bookmarkEnd w:id="30"/>
      <w:r>
        <w:rPr>
          <w:b/>
          <w:bCs/>
        </w:rPr>
        <w:t>5. DISCUSSION</w:t>
      </w:r>
    </w:p>
    <w:p w14:paraId="6ABE3BB3" w14:textId="77777777" w:rsidR="001E64AB" w:rsidRDefault="001D4C77">
      <w:pPr>
        <w:pStyle w:val="BodyText"/>
        <w:jc w:val="both"/>
        <w:rPr>
          <w:b/>
          <w:bCs/>
        </w:rPr>
      </w:pPr>
      <w:r>
        <w:rPr>
          <w:b/>
          <w:bCs/>
        </w:rPr>
        <w:t>5.1 Principal Findings</w:t>
      </w:r>
    </w:p>
    <w:p w14:paraId="1F052D1A" w14:textId="77777777" w:rsidR="001E64AB" w:rsidRDefault="001D4C77">
      <w:pPr>
        <w:pStyle w:val="BodyText"/>
        <w:jc w:val="both"/>
      </w:pPr>
      <w:r>
        <w:t>This is a systematic review of 42 community-based intervention studies including 85,437 participants in 26 countries which has shown evidence that community-based interventions could make a significant contribution to the prevention of diabetes and hypertension. The key findings are:</w:t>
      </w:r>
    </w:p>
    <w:p w14:paraId="24A00794" w14:textId="56FE61D1" w:rsidR="001E64AB" w:rsidRDefault="008A544E">
      <w:pPr>
        <w:pStyle w:val="BodyText"/>
        <w:jc w:val="both"/>
      </w:pPr>
      <w:r w:rsidRPr="008A544E">
        <w:rPr>
          <w:highlight w:val="yellow"/>
        </w:rPr>
        <w:t>First and foremost</w:t>
      </w:r>
      <w:r w:rsidR="001D4C77">
        <w:t>, community-based interventions are effective in preventing or delaying the onset of both type 2 diabetes and hypertension with an absolute risk reduction of about 3-5% in 2 years, which equates to NNT of 29-42. This is clinically significant prevention. The effect was much greater in the high risk groups (pre-diabetic individuals) than in the general populations, which is aligned with the prevention paradox and with which risk stratification is still relevant in the targeting of interventions.</w:t>
      </w:r>
    </w:p>
    <w:p w14:paraId="2A4F7708" w14:textId="7C1238B9" w:rsidR="001E64AB" w:rsidRDefault="008A544E">
      <w:pPr>
        <w:pStyle w:val="BodyText"/>
        <w:jc w:val="both"/>
      </w:pPr>
      <w:r w:rsidRPr="008A544E">
        <w:rPr>
          <w:highlight w:val="yellow"/>
        </w:rPr>
        <w:t>Furthermore</w:t>
      </w:r>
      <w:r w:rsidR="001D4C77">
        <w:t xml:space="preserve">, the multicomponent interventions that combine health education and promotion of physical exercise and diet modification can be much more effective than single-component ones. </w:t>
      </w:r>
      <w:r w:rsidR="004C29EA" w:rsidRPr="004C29EA">
        <w:rPr>
          <w:highlight w:val="yellow"/>
        </w:rPr>
        <w:t>Multicomponent interventions demonstrated approximately 30–40% greater reductions in systolic blood pressure and fasting glucose compared to single-component approaches</w:t>
      </w:r>
      <w:r w:rsidR="001D4C77" w:rsidRPr="004C29EA">
        <w:rPr>
          <w:highlight w:val="yellow"/>
        </w:rPr>
        <w:t>.</w:t>
      </w:r>
      <w:r w:rsidR="001D4C77">
        <w:t xml:space="preserve"> </w:t>
      </w:r>
    </w:p>
    <w:p w14:paraId="45964593" w14:textId="516A84C0" w:rsidR="001E64AB" w:rsidRDefault="008A544E">
      <w:pPr>
        <w:pStyle w:val="BodyText"/>
        <w:jc w:val="both"/>
      </w:pPr>
      <w:r w:rsidRPr="008A544E">
        <w:rPr>
          <w:highlight w:val="yellow"/>
        </w:rPr>
        <w:t>A third key finding concerns</w:t>
      </w:r>
      <w:r w:rsidR="001D4C77">
        <w:t xml:space="preserve">, the quality of implementation and contextual aspects of intervention are crucial determinants of intervention effect. The systematic fidelity-monitored studies reported 50-80 percent greater effect sizes of primary outcomes than those studies that did not report fidelity testing. Equally, interventions that included community engagement strategies had better retention and secondary outcomes were better. These results highlight the </w:t>
      </w:r>
      <w:r w:rsidR="001D4C77">
        <w:lastRenderedPageBreak/>
        <w:t>paramount significance of implementation science frameworks in non-ignoring the difference between efficacy (whether an intervention performs well in ideal settings) and effectiveness (whether it performs in real-life settings) (Brownson et al., 2012).</w:t>
      </w:r>
    </w:p>
    <w:p w14:paraId="30F7DFCF" w14:textId="667F6669" w:rsidR="001E64AB" w:rsidRDefault="008A544E">
      <w:pPr>
        <w:pStyle w:val="BodyText"/>
        <w:jc w:val="both"/>
      </w:pPr>
      <w:r w:rsidRPr="008A544E">
        <w:rPr>
          <w:highlight w:val="yellow"/>
        </w:rPr>
        <w:t>Finally</w:t>
      </w:r>
      <w:r w:rsidR="001D4C77">
        <w:t>, intervention effectiveness and reach have extensive indicators of health inequity. The participation</w:t>
      </w:r>
      <w:r w:rsidR="000F780B">
        <w:t xml:space="preserve"> </w:t>
      </w:r>
      <w:r w:rsidR="001D4C77">
        <w:t>rates were much lower in areas with a higher socioeconomic disadvantage and larger proportions of racial/ethnic minorities. Of those studies that reported stratified results, about 60% of them found varied effect by socioeconomic status or race/ethnicity with the greater benefits were usually found in more advantaged groups. This problematic trend is consistent with the results of previous studies concerning health interventions and indicates that existing methods might end up expanding instead of decreasing health disparities (Winnick et al., 2015; Frieden and Berwick, 2011).</w:t>
      </w:r>
    </w:p>
    <w:p w14:paraId="3051E603" w14:textId="77777777" w:rsidR="001E64AB" w:rsidRDefault="001D4C77">
      <w:pPr>
        <w:pStyle w:val="BodyText"/>
        <w:jc w:val="both"/>
        <w:rPr>
          <w:b/>
          <w:bCs/>
        </w:rPr>
      </w:pPr>
      <w:bookmarkStart w:id="33" w:name="X0180b0edc70fe475c94584fe7e1ed60ad4917a0"/>
      <w:bookmarkEnd w:id="31"/>
      <w:r>
        <w:rPr>
          <w:b/>
          <w:bCs/>
        </w:rPr>
        <w:t>5.2 Population Health Implications.</w:t>
      </w:r>
    </w:p>
    <w:p w14:paraId="50F1C473" w14:textId="77777777" w:rsidR="001E64AB" w:rsidRDefault="001D4C77">
      <w:pPr>
        <w:pStyle w:val="BodyText"/>
        <w:jc w:val="both"/>
      </w:pPr>
      <w:r>
        <w:t>The research has significant implications to the population health strategy and policy:</w:t>
      </w:r>
    </w:p>
    <w:p w14:paraId="660A54EE" w14:textId="6A6DBFC4" w:rsidR="001E64AB" w:rsidRDefault="001D4C77">
      <w:pPr>
        <w:pStyle w:val="BodyText"/>
        <w:jc w:val="both"/>
      </w:pPr>
      <w:r>
        <w:rPr>
          <w:b/>
          <w:bCs/>
        </w:rPr>
        <w:t xml:space="preserve">Prevention Level and Type. </w:t>
      </w:r>
      <w:r>
        <w:t xml:space="preserve">The small absolute risk changes seen (3-5% in 2 years) can be described as disappointing in terms of an individual clinical point of view. The impact of these however, in population health terms is enormous. By extension to the entire population at-risk, even a small amount of reduction in risk on a population level would yield vast amounts of disease-cases prevented. </w:t>
      </w:r>
      <w:r w:rsidR="00B04D34" w:rsidRPr="00B04D34">
        <w:rPr>
          <w:highlight w:val="yellow"/>
        </w:rPr>
        <w:t>Applying the observed 26% relative risk reduction to the approximately 85 million American adults with prediabetes could prevent an estimated 660,000 new cases of diabetes annually</w:t>
      </w:r>
      <w:r w:rsidRPr="00B04D34">
        <w:rPr>
          <w:highlight w:val="yellow"/>
        </w:rPr>
        <w:t>.</w:t>
      </w:r>
      <w:r>
        <w:t xml:space="preserve"> Also, small changes in risk distribution at the population level as exemplified by Rose (1985) can create more absolute benefits than high-intensity clinical interventions of people who are at risk.</w:t>
      </w:r>
    </w:p>
    <w:p w14:paraId="3569108B" w14:textId="77777777" w:rsidR="001E64AB" w:rsidRDefault="001D4C77">
      <w:pPr>
        <w:pStyle w:val="BodyText"/>
        <w:jc w:val="both"/>
      </w:pPr>
      <w:r>
        <w:rPr>
          <w:b/>
          <w:bCs/>
        </w:rPr>
        <w:t>Primacy Multicomponent and Multilevel Approaches.</w:t>
      </w:r>
      <w:r>
        <w:t xml:space="preserve"> The effectiveness of multicomponent interventions justifies a socioecological perspective of preventing chronic diseases by focusing on several levels of health behavioral impacts. Education at an individual level cannot be effective to counter the strong forces of food systems, built environments, norms at the workplace, and community resources that determine health behaviors. The policy and environmental elements must be included in the community-based interventions, as well as incorporating the element of education both at individual and group level (Frieden, 2010).</w:t>
      </w:r>
    </w:p>
    <w:p w14:paraId="1AAC756C" w14:textId="77777777" w:rsidR="001E64AB" w:rsidRDefault="001D4C77">
      <w:pPr>
        <w:pStyle w:val="BodyText"/>
        <w:jc w:val="both"/>
      </w:pPr>
      <w:r>
        <w:rPr>
          <w:b/>
          <w:bCs/>
        </w:rPr>
        <w:t>Equity as a Central Outcome.</w:t>
      </w:r>
      <w:r>
        <w:t xml:space="preserve"> The disparities in reach and effectiveness by socioeconomic status and race/ethnicity should lead to a fundamental change in the method of designing and implementing interventions. Fairness should be placed as a secondary factor to a primary result. This involves: (1) specific focus on the design of interventions that would target structural and systemic barriers to participation and behavior change in underserved communities, (2) community-oriented solutions and true power-sharing with impacted communities to design and implement interventions, (3) active recruitment and retention of underrepresented groups, and (4) outcome stratification based on socioeconomic status, race/ethnicity, and other demographic factors (Bauer et </w:t>
      </w:r>
      <w:r>
        <w:lastRenderedPageBreak/>
        <w:t>al., 2015). The observation that 42 percent of the included studies specifically assessed reach in various populations is an indication that the existing research practice is not fundamentally focused on equity.</w:t>
      </w:r>
    </w:p>
    <w:p w14:paraId="65216A4D" w14:textId="77777777" w:rsidR="001E64AB" w:rsidRDefault="001D4C77">
      <w:pPr>
        <w:pStyle w:val="BodyText"/>
        <w:jc w:val="both"/>
        <w:rPr>
          <w:b/>
          <w:bCs/>
        </w:rPr>
      </w:pPr>
      <w:bookmarkStart w:id="34" w:name="X70130c7a90d06c17d3adccd59163a1131da7deb"/>
      <w:bookmarkEnd w:id="33"/>
      <w:r>
        <w:rPr>
          <w:b/>
          <w:bCs/>
        </w:rPr>
        <w:t>5.3 Considerations of implementation.</w:t>
      </w:r>
    </w:p>
    <w:p w14:paraId="4DF80368" w14:textId="77777777" w:rsidR="001E64AB" w:rsidRDefault="001D4C77">
      <w:pPr>
        <w:pStyle w:val="BodyText"/>
        <w:jc w:val="both"/>
      </w:pPr>
      <w:r>
        <w:t>A number of factors that came up during the implementation process were found to be important to the success of the intervention and as such, will be a priority in upcoming programs and research:</w:t>
      </w:r>
    </w:p>
    <w:p w14:paraId="3EA79B27" w14:textId="77777777" w:rsidR="001E64AB" w:rsidRDefault="001D4C77">
      <w:pPr>
        <w:pStyle w:val="BodyText"/>
        <w:jc w:val="both"/>
      </w:pPr>
      <w:r>
        <w:rPr>
          <w:b/>
          <w:bCs/>
        </w:rPr>
        <w:t>Community Involvement and Collaboration.</w:t>
      </w:r>
      <w:r>
        <w:t xml:space="preserve"> Interventions that involved formal involvement of community, either in the form of advisory boards and participation design or through involvement of the community members showed better retention and better secondary outcomes. Outside the empirical evidence, there are moral and practical reasons why communities need to be engaged in health promotion activities. Communities recognize their own realities, obstacles and resources; participation observes community autonomy and self-determination and real partnership improves intervention relevance and sustainability. The paradigms of implementation science, including the Consolidated Framework of Implementation Research (CFIR), highlight the need to include stakeholders in the community in the process of adapting the intervention and planning the implementation (Damschroder et al., 2009).</w:t>
      </w:r>
    </w:p>
    <w:p w14:paraId="3EF7F000" w14:textId="571A2A32" w:rsidR="001E64AB" w:rsidRDefault="001D4C77">
      <w:pPr>
        <w:pStyle w:val="BodyText"/>
        <w:jc w:val="both"/>
      </w:pPr>
      <w:r>
        <w:rPr>
          <w:b/>
          <w:bCs/>
        </w:rPr>
        <w:t>Adaptation and customization of culture.</w:t>
      </w:r>
      <w:r>
        <w:t xml:space="preserve"> Although the explicit cultural adaptation was noted in 38% of the studies, the ones that reported adaptation exhibited tendencies of better behavioral outcomes. Cultural adaptation, altering interventions to support the values, beliefs, preferences, and life situations of target populations is necessary to enhance both reach and effectiveness, especially to interventions aimed at racial/ethnic minorities and other disadvantaged groups (</w:t>
      </w:r>
      <w:proofErr w:type="spellStart"/>
      <w:r>
        <w:t>Resnicow</w:t>
      </w:r>
      <w:proofErr w:type="spellEnd"/>
      <w:r>
        <w:t xml:space="preserve"> et al., 1999). </w:t>
      </w:r>
      <w:r w:rsidR="002A3674" w:rsidRPr="002A3674">
        <w:rPr>
          <w:highlight w:val="yellow"/>
        </w:rPr>
        <w:t>However, adaptation must be thoughtful and substantive; superficial translation of existing programs without genuine community input is unlikely to address the deep structural determinants of health behavior change.</w:t>
      </w:r>
    </w:p>
    <w:p w14:paraId="48BEF8C1" w14:textId="77777777" w:rsidR="001E64AB" w:rsidRDefault="001D4C77">
      <w:pPr>
        <w:pStyle w:val="BodyText"/>
        <w:jc w:val="both"/>
      </w:pPr>
      <w:r>
        <w:rPr>
          <w:b/>
          <w:bCs/>
        </w:rPr>
        <w:t>Fidelity Supervision and Quality Enhancement.</w:t>
      </w:r>
      <w:r>
        <w:t xml:space="preserve"> The reported systematic fidelity monitoring was found in only 21% of the studies that were included on the implementation research despite its well-documented significance. The much bigger effects that have been reported in research in which fidelity monitoring was reported implies that quality assurance practices are important. The implementation science strategies, including continuous quality improvement, can be used to ensure fidelity, but enable the proper adaptation of the program to the local conditions (Davidoff et al., 2015).</w:t>
      </w:r>
    </w:p>
    <w:p w14:paraId="6159EC43" w14:textId="77777777" w:rsidR="001E64AB" w:rsidRDefault="001D4C77">
      <w:pPr>
        <w:pStyle w:val="BodyText"/>
        <w:jc w:val="both"/>
      </w:pPr>
      <w:r>
        <w:rPr>
          <w:b/>
          <w:bCs/>
        </w:rPr>
        <w:t xml:space="preserve">Clinical Care and Policy Integration. </w:t>
      </w:r>
      <w:r>
        <w:t>Interventions combined with clinical care pathways and policies (e.g. physical activity prescription as a routine clinical intervention, workplace wellness policies) increased sustainability. This implies that community-based prevention initiatives are best maintained when they are integrated into larger health system and policy realms and not implemented as individual programs.</w:t>
      </w:r>
    </w:p>
    <w:p w14:paraId="51C9B29C" w14:textId="77777777" w:rsidR="001E64AB" w:rsidRDefault="001E64AB">
      <w:pPr>
        <w:pStyle w:val="BodyText"/>
        <w:jc w:val="both"/>
      </w:pPr>
      <w:bookmarkStart w:id="35" w:name="X47b33dbf897054d79ce3d759da46f0a1ef21be8"/>
      <w:bookmarkEnd w:id="34"/>
    </w:p>
    <w:p w14:paraId="41D5F692" w14:textId="77777777" w:rsidR="001E64AB" w:rsidRDefault="001D4C77">
      <w:pPr>
        <w:pStyle w:val="BodyText"/>
        <w:jc w:val="both"/>
        <w:rPr>
          <w:b/>
          <w:bCs/>
        </w:rPr>
      </w:pPr>
      <w:r>
        <w:rPr>
          <w:b/>
          <w:bCs/>
        </w:rPr>
        <w:lastRenderedPageBreak/>
        <w:t>5.4 Limitations</w:t>
      </w:r>
    </w:p>
    <w:p w14:paraId="48610818" w14:textId="77777777" w:rsidR="001E64AB" w:rsidRDefault="001D4C77">
      <w:pPr>
        <w:pStyle w:val="BodyText"/>
        <w:jc w:val="both"/>
      </w:pPr>
      <w:r>
        <w:t>There are several limitations associated with this review that need to be mentioned:</w:t>
      </w:r>
    </w:p>
    <w:p w14:paraId="4D805E61" w14:textId="77777777" w:rsidR="001E64AB" w:rsidRDefault="001D4C77">
      <w:pPr>
        <w:pStyle w:val="BodyText"/>
        <w:jc w:val="both"/>
      </w:pPr>
      <w:r>
        <w:rPr>
          <w:b/>
          <w:bCs/>
        </w:rPr>
        <w:t xml:space="preserve">Study Quality and Design. </w:t>
      </w:r>
      <w:r>
        <w:t>Although the methodological rigor of included studies was moderate- to good, risk of bias occurred in various domains. A total of 66.7% of studies were randomized controlled trial and quasi-experimental designs had 14.3 percent of the sample. Publication bias can act in the favor of studies that report positive data, though funnel plot analysis did not show the presence of gross asymmetry, selective reporting of results of studies cannot be ruled out.</w:t>
      </w:r>
    </w:p>
    <w:p w14:paraId="50B18B06" w14:textId="77777777" w:rsidR="001E64AB" w:rsidRDefault="001D4C77">
      <w:pPr>
        <w:pStyle w:val="BodyText"/>
        <w:jc w:val="both"/>
      </w:pPr>
      <w:r>
        <w:rPr>
          <w:b/>
          <w:bCs/>
        </w:rPr>
        <w:t xml:space="preserve">Generalizability and Heterogeneity. </w:t>
      </w:r>
      <w:r>
        <w:t>The heterogeneity was found to be significant on the outcomes (I 2 values 52-81%), which indicates variability in the components of interventions, population, time, and measures. Such heterogeneity discourages a trust in pooled estimates and implies a bit of care in extrapolation. In addition, the majority of the studies were held in high-income nations (66.7%), which does not allow generalizing to the low- and middle-income country settings where the incidence of diabetes and hypertension is centralized and quickly increasing.</w:t>
      </w:r>
    </w:p>
    <w:p w14:paraId="462F5293" w14:textId="77777777" w:rsidR="001E64AB" w:rsidRDefault="001D4C77">
      <w:pPr>
        <w:pStyle w:val="BodyText"/>
        <w:jc w:val="both"/>
      </w:pPr>
      <w:r>
        <w:rPr>
          <w:b/>
          <w:bCs/>
        </w:rPr>
        <w:t xml:space="preserve">Limited Equity Data. </w:t>
      </w:r>
      <w:r>
        <w:t>As covered, the majority of studies have not clearly compared reach and effectiveness in various socioeconomic and racial/ethnic groups. The evidence base of health equity is therefore sparse and the conclusion as to whether the interventions are effective in dealing with disparities should be tentative. This is a gap that is vital in evidence base and it is important to enhance equity outcomes reporting and assessment.</w:t>
      </w:r>
    </w:p>
    <w:p w14:paraId="207FB2BD" w14:textId="77777777" w:rsidR="001E64AB" w:rsidRDefault="001D4C77">
      <w:pPr>
        <w:pStyle w:val="BodyText"/>
        <w:jc w:val="both"/>
      </w:pPr>
      <w:r>
        <w:rPr>
          <w:b/>
          <w:bCs/>
        </w:rPr>
        <w:t xml:space="preserve">Limited Long-term Follow-up. </w:t>
      </w:r>
      <w:r>
        <w:t>Only 14 per cent of studies were followed up after 24 months. It is still poorly characterized in terms of the sustainability of the effects of behavior change and prevention over and above the intervention period. Follow-up should take a long term perspective in order to determine whether the effects of the initial interventions are lasting and whether they are more beneficial than detrimental over a lifetime.</w:t>
      </w:r>
    </w:p>
    <w:p w14:paraId="5DF8AE43" w14:textId="77777777" w:rsidR="001E64AB" w:rsidRDefault="001D4C77">
      <w:pPr>
        <w:pStyle w:val="BodyText"/>
        <w:jc w:val="both"/>
      </w:pPr>
      <w:r>
        <w:rPr>
          <w:b/>
          <w:bCs/>
        </w:rPr>
        <w:t>Factors of implementation under characterized.</w:t>
      </w:r>
      <w:r>
        <w:t xml:space="preserve"> Fidelity assessment, community engagement, and sustainability data after the intervention period were only reported by 21 and 36 percent and 14 percent of the studies respectively. The systematic characterization of the factors of implementation, barriers, and facilitators is needed to understand how it is possible to transform the efficacious interventions into the effective and scalable programs within the community. The future study must be more explicit in using the implementation science frameworks.</w:t>
      </w:r>
    </w:p>
    <w:p w14:paraId="2842239F" w14:textId="77777777" w:rsidR="001E64AB" w:rsidRDefault="001D4C77">
      <w:pPr>
        <w:pStyle w:val="BodyText"/>
        <w:jc w:val="both"/>
      </w:pPr>
      <w:r>
        <w:rPr>
          <w:b/>
          <w:bCs/>
        </w:rPr>
        <w:t>Lack of Cost-Effectiveness Analysis.</w:t>
      </w:r>
      <w:r>
        <w:t xml:space="preserve"> Only 19% of the studies reported cost-effectiveness. The policymakers need a solid cost-effectiveness analysis to make sound judgments regarding the allocation of resources. The economic analysis should be introduced systematically into the future research.</w:t>
      </w:r>
    </w:p>
    <w:p w14:paraId="0C5D5817" w14:textId="77777777" w:rsidR="001E64AB" w:rsidRDefault="001D4C77">
      <w:pPr>
        <w:jc w:val="both"/>
        <w:rPr>
          <w:b/>
          <w:bCs/>
        </w:rPr>
      </w:pPr>
      <w:bookmarkStart w:id="36" w:name="X3cfc141422a0cef690a7cbf2f924733fe824c2b"/>
      <w:bookmarkEnd w:id="35"/>
      <w:r>
        <w:rPr>
          <w:b/>
          <w:bCs/>
        </w:rPr>
        <w:t>5.5 Future Research Directions</w:t>
      </w:r>
    </w:p>
    <w:p w14:paraId="74092F36" w14:textId="77777777" w:rsidR="001E64AB" w:rsidRDefault="001D4C77">
      <w:pPr>
        <w:jc w:val="both"/>
      </w:pPr>
      <w:r>
        <w:lastRenderedPageBreak/>
        <w:t>The priorities of the research as a result of this review are:</w:t>
      </w:r>
    </w:p>
    <w:p w14:paraId="1F65280D" w14:textId="77777777" w:rsidR="001E64AB" w:rsidRDefault="001D4C77">
      <w:pPr>
        <w:numPr>
          <w:ilvl w:val="0"/>
          <w:numId w:val="4"/>
        </w:numPr>
        <w:jc w:val="both"/>
      </w:pPr>
      <w:r>
        <w:rPr>
          <w:b/>
          <w:bCs/>
        </w:rPr>
        <w:t xml:space="preserve">Hybrid Studies Effectiveness-Implementation. </w:t>
      </w:r>
      <w:r>
        <w:t>Effectiveness-implementation hybrid designs that concomitantly measure intervention efficacy and implementation variables need to be used in future studies and mixed-methods approaches be used to comprehend why and how interventions do or do not work in the real world (Curran et al., 2012).</w:t>
      </w:r>
    </w:p>
    <w:p w14:paraId="06BE30E6" w14:textId="77777777" w:rsidR="001E64AB" w:rsidRDefault="001D4C77">
      <w:pPr>
        <w:numPr>
          <w:ilvl w:val="0"/>
          <w:numId w:val="4"/>
        </w:numPr>
        <w:jc w:val="both"/>
      </w:pPr>
      <w:r>
        <w:rPr>
          <w:b/>
          <w:bCs/>
        </w:rPr>
        <w:t xml:space="preserve">Health Equity as a Major Research Question. </w:t>
      </w:r>
      <w:r>
        <w:t>Future research needs to clearly randomize or match on socioeconomic status and race/ethnicity, have culturally relevant interventions with significant community engagement, systematically test the difference in reach and effect, and consider the mechanisms by which the difference works (e.g., structural vs. individual barriers).</w:t>
      </w:r>
    </w:p>
    <w:p w14:paraId="4966A78B" w14:textId="77777777" w:rsidR="001E64AB" w:rsidRDefault="001D4C77">
      <w:pPr>
        <w:numPr>
          <w:ilvl w:val="0"/>
          <w:numId w:val="4"/>
        </w:numPr>
        <w:jc w:val="both"/>
      </w:pPr>
      <w:r>
        <w:rPr>
          <w:b/>
          <w:bCs/>
        </w:rPr>
        <w:t>Policy and Environmental Interventions.</w:t>
      </w:r>
      <w:r>
        <w:t xml:space="preserve"> Although multicomponent interventions showed the best results, policy or environmental elements were included in the 7-percent of the included studies. The future studies should experiment with policy interventions (e.g., food prices, urban planning to promote walking, workplace wellness policies) as one of the community-wide preventive actions.</w:t>
      </w:r>
    </w:p>
    <w:p w14:paraId="02365DFC" w14:textId="77777777" w:rsidR="001E64AB" w:rsidRDefault="001D4C77">
      <w:pPr>
        <w:numPr>
          <w:ilvl w:val="0"/>
          <w:numId w:val="4"/>
        </w:numPr>
        <w:jc w:val="both"/>
      </w:pPr>
      <w:r>
        <w:rPr>
          <w:b/>
          <w:bCs/>
        </w:rPr>
        <w:t>Long-term Following and Sustainability.</w:t>
      </w:r>
      <w:r>
        <w:t xml:space="preserve"> Follow-up studies on intervention sustainability (greater than 2-3 years) with overt analysis of the longevity of intervention effects are required to comprehend how to promote behavior change maintenance in the long term and what factors contribute to it.</w:t>
      </w:r>
    </w:p>
    <w:p w14:paraId="7AC041E4" w14:textId="77777777" w:rsidR="001E64AB" w:rsidRDefault="001D4C77">
      <w:pPr>
        <w:numPr>
          <w:ilvl w:val="0"/>
          <w:numId w:val="4"/>
        </w:numPr>
        <w:jc w:val="both"/>
      </w:pPr>
      <w:r>
        <w:rPr>
          <w:b/>
          <w:bCs/>
        </w:rPr>
        <w:t>Integration of Implementation Science.</w:t>
      </w:r>
      <w:r>
        <w:t xml:space="preserve"> Future studies need to use clear implementation science frameworks (CFIR, RE-AIM, etc.), quantify implementation outcomes (adoption, fidelity, adaptation, penetration), and investigate implementation factors that moderate intervention efficacy.</w:t>
      </w:r>
    </w:p>
    <w:p w14:paraId="3CACD49F" w14:textId="77777777" w:rsidR="001E64AB" w:rsidRDefault="001D4C77">
      <w:pPr>
        <w:numPr>
          <w:ilvl w:val="0"/>
          <w:numId w:val="4"/>
        </w:numPr>
        <w:jc w:val="both"/>
      </w:pPr>
      <w:r>
        <w:rPr>
          <w:b/>
          <w:bCs/>
        </w:rPr>
        <w:t xml:space="preserve">Budget Impact Analysis and Cost-Effectiveness. </w:t>
      </w:r>
      <w:r>
        <w:t>Intervention research should be the subject of economic analysis. The societal perspective, lifetime follow-up, and the cost comparing the various population subgroups need to be included in the cost-effectiveness studies.</w:t>
      </w:r>
    </w:p>
    <w:p w14:paraId="4D65ADDB" w14:textId="77777777" w:rsidR="001E64AB" w:rsidRDefault="001D4C77">
      <w:pPr>
        <w:numPr>
          <w:ilvl w:val="0"/>
          <w:numId w:val="4"/>
        </w:numPr>
        <w:jc w:val="both"/>
      </w:pPr>
      <w:r>
        <w:rPr>
          <w:b/>
          <w:bCs/>
        </w:rPr>
        <w:t>Electronic and Hybrid Delivery Media.</w:t>
      </w:r>
      <w:r>
        <w:t xml:space="preserve"> With the rapid uptake of digital health technologies, prospective studies must consider digital, mobile and hybrid (in-person and digital) deliveries of interventions, how cost efficient they are relative to traditional methods and whether or not they enhance reach and equity.</w:t>
      </w:r>
    </w:p>
    <w:p w14:paraId="50CB7915" w14:textId="77777777" w:rsidR="001E64AB" w:rsidRDefault="001D4C77">
      <w:pPr>
        <w:numPr>
          <w:ilvl w:val="0"/>
          <w:numId w:val="4"/>
        </w:numPr>
        <w:jc w:val="both"/>
      </w:pPr>
      <w:r>
        <w:rPr>
          <w:b/>
          <w:bCs/>
        </w:rPr>
        <w:t xml:space="preserve">Participatory Research Approaches in Community-Based. </w:t>
      </w:r>
      <w:r>
        <w:t>The progress of the future prevention research ought to use more community-based participatory research methods that put the communities in the same level of research design, implementation and dissemination, which may enhance the relevancy and sustainability.</w:t>
      </w:r>
    </w:p>
    <w:p w14:paraId="28F10242" w14:textId="77777777" w:rsidR="001E64AB" w:rsidRDefault="00212251">
      <w:pPr>
        <w:jc w:val="both"/>
      </w:pPr>
      <w:r>
        <w:pict w14:anchorId="32ED11DE">
          <v:rect id="1038" o:spid="_x0000_i1036" style="width:0;height:1.5pt;visibility:visible;mso-wrap-distance-left:0;mso-wrap-distance-right:0" o:hralign="center" o:hrstd="t" o:hr="t"/>
        </w:pict>
      </w:r>
    </w:p>
    <w:p w14:paraId="40F05978" w14:textId="77777777" w:rsidR="001E64AB" w:rsidRDefault="001D4C77">
      <w:pPr>
        <w:pStyle w:val="BodyText"/>
        <w:jc w:val="both"/>
        <w:rPr>
          <w:b/>
          <w:bCs/>
        </w:rPr>
      </w:pPr>
      <w:bookmarkStart w:id="37" w:name="X56025c6d9dbf7520f7a7df11f905cdd09f46e4a"/>
      <w:bookmarkEnd w:id="32"/>
      <w:bookmarkEnd w:id="36"/>
      <w:r>
        <w:rPr>
          <w:b/>
          <w:bCs/>
        </w:rPr>
        <w:lastRenderedPageBreak/>
        <w:t>6. CONCLUSIONS</w:t>
      </w:r>
    </w:p>
    <w:p w14:paraId="5FA532F9" w14:textId="65235E27" w:rsidR="001E64AB" w:rsidRDefault="001D4C77">
      <w:pPr>
        <w:pStyle w:val="BodyText"/>
        <w:jc w:val="both"/>
      </w:pPr>
      <w:r>
        <w:t xml:space="preserve">The use of community-based interventions has the potential to play a significant role in the prevention of type 2 diabetes and hypertension, </w:t>
      </w:r>
      <w:r w:rsidR="002A3674" w:rsidRPr="002A3674">
        <w:rPr>
          <w:highlight w:val="yellow"/>
        </w:rPr>
        <w:t>reflecting effect sizes that are clinically meaningful at the population level, even if modest in absolute terms for individuals</w:t>
      </w:r>
      <w:r w:rsidRPr="002A3674">
        <w:rPr>
          <w:highlight w:val="yellow"/>
        </w:rPr>
        <w:t>.</w:t>
      </w:r>
      <w:r>
        <w:t xml:space="preserve"> Multicomponent interventions that combine education, promotion of physical activities and dietary modifications are more effective than single-component interventions. The quality of implementation, the involvement of the community, cultural adaptation and fidelity consideration are significantly important determinants of success. Most importantly, existing evidence points to high levels of health inequity in terms of intervention coverage and intervention efficacy, whereby the poorer communities and communities of color are participating less and getting less.</w:t>
      </w:r>
    </w:p>
    <w:p w14:paraId="5FA16740" w14:textId="77777777" w:rsidR="001E64AB" w:rsidRDefault="001D4C77">
      <w:pPr>
        <w:pStyle w:val="BodyText"/>
        <w:jc w:val="both"/>
      </w:pPr>
      <w:r>
        <w:t>Future prevention against diabetes and hypertension using community-based methods should: (1) utilize multilevel, multicomponent interventions, addressing individuals, environmental, organizational, and policy-level determinants; (2) take an explicit community partnership and participatory strategy, making affected communities equal partners in the intervention design and implementation; (3) embed equity as a core outcome with systematic evaluation and reporting of reach and effectiveness between socioeconomic and racial/ethnic groups; (4) integrate implementation science frameworks to help understand how to transform efficacious interventions into effective, scalable and sustainable programs;</w:t>
      </w:r>
    </w:p>
    <w:p w14:paraId="4E02F890" w14:textId="77777777" w:rsidR="001E64AB" w:rsidRDefault="001D4C77">
      <w:pPr>
        <w:pStyle w:val="BodyText"/>
        <w:jc w:val="both"/>
      </w:pPr>
      <w:r>
        <w:t xml:space="preserve">Community based diabetes and hypertension prevention has a fairly strong evidence base, although there are still significant gaps in terms of health equity, implementation, and long-term sustainability. Closing these gaps needs to be targets of future research and practice. As community-based methods continue to be developed and refined, which are based on the tenets of equity, community partnership, and implementation science, these interventions have great potential to help in preventing two of the most prevalent causes of morbidity and mortality in the world on a population level. </w:t>
      </w:r>
    </w:p>
    <w:p w14:paraId="63067EE2" w14:textId="77777777" w:rsidR="001E64AB" w:rsidRDefault="00212251">
      <w:pPr>
        <w:jc w:val="both"/>
      </w:pPr>
      <w:r>
        <w:pict w14:anchorId="4BD34DBC">
          <v:rect id="1039" o:spid="_x0000_i1037" style="width:0;height:1.5pt;visibility:visible;mso-wrap-distance-left:0;mso-wrap-distance-right:0" o:hralign="center" o:hrstd="t" o:hr="t"/>
        </w:pict>
      </w:r>
    </w:p>
    <w:p w14:paraId="0B3E8463" w14:textId="77777777" w:rsidR="001E64AB" w:rsidRDefault="001D4C77">
      <w:pPr>
        <w:pStyle w:val="Heading21"/>
        <w:jc w:val="both"/>
      </w:pPr>
      <w:bookmarkStart w:id="38" w:name="Xef13cb770278a00c50e641ab9e7e8b454d3bc66"/>
      <w:bookmarkEnd w:id="37"/>
      <w:r>
        <w:t>7. REFERENCES</w:t>
      </w:r>
    </w:p>
    <w:p w14:paraId="41BB2550" w14:textId="629D7528" w:rsidR="00993B19" w:rsidRPr="00993B19" w:rsidRDefault="00993B19" w:rsidP="00993B19">
      <w:r w:rsidRPr="00FA7D11">
        <w:rPr>
          <w:highlight w:val="yellow"/>
        </w:rPr>
        <w:t xml:space="preserve">American Diabetes Association. (2023). Economic costs of diabetes in the U.S. in 2022. </w:t>
      </w:r>
      <w:r w:rsidRPr="00FA7D11">
        <w:rPr>
          <w:i/>
          <w:iCs/>
          <w:highlight w:val="yellow"/>
        </w:rPr>
        <w:t>Diabetes Care</w:t>
      </w:r>
      <w:r w:rsidRPr="00FA7D11">
        <w:rPr>
          <w:highlight w:val="yellow"/>
        </w:rPr>
        <w:t xml:space="preserve">, </w:t>
      </w:r>
      <w:r w:rsidRPr="00FA7D11">
        <w:rPr>
          <w:i/>
          <w:iCs/>
          <w:highlight w:val="yellow"/>
        </w:rPr>
        <w:t>47</w:t>
      </w:r>
      <w:r w:rsidRPr="00FA7D11">
        <w:rPr>
          <w:highlight w:val="yellow"/>
        </w:rPr>
        <w:t xml:space="preserve">(1), 26–43. </w:t>
      </w:r>
      <w:r w:rsidRPr="00FA7D11">
        <w:rPr>
          <w:rStyle w:val="url"/>
          <w:highlight w:val="yellow"/>
        </w:rPr>
        <w:t>https://doi.org/10.2337/dci23-0085</w:t>
      </w:r>
    </w:p>
    <w:p w14:paraId="0456EEB3" w14:textId="77777777" w:rsidR="001E64AB" w:rsidRDefault="001D4C77">
      <w:pPr>
        <w:pStyle w:val="BodyText"/>
        <w:jc w:val="both"/>
      </w:pPr>
      <w:r>
        <w:t xml:space="preserve">Anderson, D. R., Whitmer, R. W., Goetzel, R. Z., Ozminkowski, R. J., Wasserman, J., &amp; </w:t>
      </w:r>
      <w:proofErr w:type="spellStart"/>
      <w:r>
        <w:t>Serxner</w:t>
      </w:r>
      <w:proofErr w:type="spellEnd"/>
      <w:r>
        <w:t xml:space="preserve">, S. (2000). The relationship between modifiable health risks and health care expenditures: An analysis of the multi-employer HERO health risk and cost database. </w:t>
      </w:r>
      <w:r>
        <w:rPr>
          <w:i/>
          <w:iCs/>
        </w:rPr>
        <w:t>Journal of Occupational and Environmental Medicine</w:t>
      </w:r>
      <w:r>
        <w:t>, 42(12), 1196-1205. https://doi.org/10.1097/00043764-200012000-00007</w:t>
      </w:r>
    </w:p>
    <w:p w14:paraId="160FEAD3" w14:textId="77777777" w:rsidR="001E64AB" w:rsidRDefault="001D4C77">
      <w:pPr>
        <w:pStyle w:val="BodyText"/>
        <w:jc w:val="both"/>
      </w:pPr>
      <w:r>
        <w:t xml:space="preserve">Bauer, M. S., Damschroder, L., Hagedorn, H., Smith, J., &amp; Kilbourne, A. M. (2015). An introduction to implementation science for the non-specialist. </w:t>
      </w:r>
      <w:r>
        <w:rPr>
          <w:i/>
          <w:iCs/>
        </w:rPr>
        <w:t>BMC Psychology</w:t>
      </w:r>
      <w:r>
        <w:t>, 3, 32. https://doi.org/10.1186/s40359-015-0089-9</w:t>
      </w:r>
    </w:p>
    <w:p w14:paraId="7BB0510D" w14:textId="77777777" w:rsidR="001E64AB" w:rsidRDefault="001D4C77">
      <w:pPr>
        <w:pStyle w:val="BodyText"/>
        <w:jc w:val="both"/>
      </w:pPr>
      <w:r>
        <w:t xml:space="preserve">Bronfenbrenner, U. (1994). Ecological models of human development. In </w:t>
      </w:r>
      <w:r>
        <w:rPr>
          <w:i/>
          <w:iCs/>
        </w:rPr>
        <w:t>International Encyclopedia of Education</w:t>
      </w:r>
      <w:r>
        <w:t xml:space="preserve"> (2nd ed., Vol. 3, pp. 1643-1647). Elsevier.</w:t>
      </w:r>
    </w:p>
    <w:p w14:paraId="36226CF7" w14:textId="77777777" w:rsidR="001E64AB" w:rsidRDefault="001D4C77">
      <w:pPr>
        <w:pStyle w:val="BodyText"/>
        <w:jc w:val="both"/>
      </w:pPr>
      <w:r>
        <w:lastRenderedPageBreak/>
        <w:t xml:space="preserve">Brownson, R. C., Fielding, J. E., &amp; </w:t>
      </w:r>
      <w:proofErr w:type="spellStart"/>
      <w:r>
        <w:t>Maylahn</w:t>
      </w:r>
      <w:proofErr w:type="spellEnd"/>
      <w:r>
        <w:t xml:space="preserve">, C. M. (2012). Evidence-based public health: A fundamental concept for public health practice. </w:t>
      </w:r>
      <w:r>
        <w:rPr>
          <w:i/>
          <w:iCs/>
        </w:rPr>
        <w:t>Annual Review of Public Health</w:t>
      </w:r>
      <w:r>
        <w:t>, 30, 175-201. https://doi.org/10.1146/annurev.publhealth.031308.100134</w:t>
      </w:r>
    </w:p>
    <w:p w14:paraId="61BB0257" w14:textId="77777777" w:rsidR="001E64AB" w:rsidRDefault="001D4C77">
      <w:pPr>
        <w:pStyle w:val="BodyText"/>
        <w:jc w:val="both"/>
      </w:pPr>
      <w:r>
        <w:t xml:space="preserve">Centers for Disease Control and Prevention. (2022). </w:t>
      </w:r>
      <w:r>
        <w:rPr>
          <w:i/>
          <w:iCs/>
        </w:rPr>
        <w:t>National diabetes statistics report</w:t>
      </w:r>
      <w:r>
        <w:t>. U.S. Department of Health and Human Services. https://www.cdc.gov/diabetes/library/features/diabetes-statistics-report.html</w:t>
      </w:r>
    </w:p>
    <w:p w14:paraId="5E55AFCD" w14:textId="77777777" w:rsidR="001E64AB" w:rsidRDefault="001D4C77">
      <w:pPr>
        <w:pStyle w:val="BodyText"/>
        <w:jc w:val="both"/>
      </w:pPr>
      <w:r>
        <w:t xml:space="preserve">Cheung, B. M., &amp; Mohanty, S. (2012). Management of hypertension in patients with diabetes. </w:t>
      </w:r>
      <w:r>
        <w:rPr>
          <w:i/>
          <w:iCs/>
        </w:rPr>
        <w:t>Nature Reviews Nephrology</w:t>
      </w:r>
      <w:r>
        <w:t>, 8(7), 414-426. https://doi.org/10.1038/nrneph.2012.115</w:t>
      </w:r>
    </w:p>
    <w:p w14:paraId="18463067" w14:textId="77777777" w:rsidR="001E64AB" w:rsidRDefault="001D4C77">
      <w:pPr>
        <w:pStyle w:val="BodyText"/>
        <w:jc w:val="both"/>
      </w:pPr>
      <w:r>
        <w:t xml:space="preserve">Cochrane Collaboration. (2020). </w:t>
      </w:r>
      <w:r>
        <w:rPr>
          <w:i/>
          <w:iCs/>
        </w:rPr>
        <w:t>Review Manager (</w:t>
      </w:r>
      <w:proofErr w:type="spellStart"/>
      <w:r>
        <w:rPr>
          <w:i/>
          <w:iCs/>
        </w:rPr>
        <w:t>RevMan</w:t>
      </w:r>
      <w:proofErr w:type="spellEnd"/>
      <w:r>
        <w:rPr>
          <w:i/>
          <w:iCs/>
        </w:rPr>
        <w:t>) [computer program]</w:t>
      </w:r>
      <w:r>
        <w:t xml:space="preserve"> (Version 5.4). The Cochrane Collaboration.</w:t>
      </w:r>
    </w:p>
    <w:p w14:paraId="57BBAC98" w14:textId="77777777" w:rsidR="001E64AB" w:rsidRDefault="001D4C77">
      <w:pPr>
        <w:pStyle w:val="BodyText"/>
        <w:jc w:val="both"/>
      </w:pPr>
      <w:r>
        <w:t xml:space="preserve">Curran, G. M., Bauer, M., Mittman, B., </w:t>
      </w:r>
      <w:proofErr w:type="spellStart"/>
      <w:r>
        <w:t>Pyne</w:t>
      </w:r>
      <w:proofErr w:type="spellEnd"/>
      <w:r>
        <w:t xml:space="preserve">, J. M., &amp; Stetler, C. (2012). Effectiveness-implementation hybrid designs: Combining elements of clinical effectiveness and implementation research to enhance public health impact. </w:t>
      </w:r>
      <w:r>
        <w:rPr>
          <w:i/>
          <w:iCs/>
        </w:rPr>
        <w:t>Medical Care</w:t>
      </w:r>
      <w:r>
        <w:t>, 50(3), 217-226. https://doi.org/10.1097/MLR.0b013e3182408812</w:t>
      </w:r>
    </w:p>
    <w:p w14:paraId="55D92081" w14:textId="77777777" w:rsidR="001E64AB" w:rsidRDefault="001D4C77">
      <w:pPr>
        <w:pStyle w:val="BodyText"/>
        <w:jc w:val="both"/>
      </w:pPr>
      <w:r>
        <w:t xml:space="preserve">Damschroder, L. J., Aron, D. C., Keith, R. E., Kirsh, S. R., Alexander, J. A., &amp; Lowson, T. (2009). Fostering implementation of health services research findings into practice: A consolidated framework for advancing implementation science. </w:t>
      </w:r>
      <w:r>
        <w:rPr>
          <w:i/>
          <w:iCs/>
        </w:rPr>
        <w:t>Implementation Science</w:t>
      </w:r>
      <w:r>
        <w:t>, 4, 50. https://doi.org/10.1186/1748-5908-4-50</w:t>
      </w:r>
    </w:p>
    <w:p w14:paraId="05C0D42D" w14:textId="77777777" w:rsidR="001E64AB" w:rsidRDefault="001D4C77">
      <w:pPr>
        <w:pStyle w:val="BodyText"/>
        <w:jc w:val="both"/>
      </w:pPr>
      <w:r>
        <w:t xml:space="preserve">Davidoff, F., Dixon-Woods, M., Leviton, L., &amp; Michie, S. (2015). Framework for evaluation of quality improvement interventions. </w:t>
      </w:r>
      <w:r>
        <w:rPr>
          <w:i/>
          <w:iCs/>
        </w:rPr>
        <w:t>BMJ</w:t>
      </w:r>
      <w:r>
        <w:t>, 350, h1258. https://doi.org/10.1136/bmj.h1258</w:t>
      </w:r>
    </w:p>
    <w:p w14:paraId="5198779F" w14:textId="77777777" w:rsidR="001E64AB" w:rsidRDefault="001D4C77">
      <w:pPr>
        <w:pStyle w:val="BodyText"/>
        <w:jc w:val="both"/>
      </w:pPr>
      <w:r>
        <w:t xml:space="preserve">Diabetes Prevention Program Research Group. (2009). 10-year follow-up of diabetes incidence and weight loss in the Diabetes Prevention Program Outcomes Study. </w:t>
      </w:r>
      <w:r>
        <w:rPr>
          <w:i/>
          <w:iCs/>
        </w:rPr>
        <w:t>The Lancet</w:t>
      </w:r>
      <w:r>
        <w:t>, 374(9702), 1677-1686. https://doi.org/10.1016/S0140-6736(09)61457-4</w:t>
      </w:r>
    </w:p>
    <w:p w14:paraId="6131EE38" w14:textId="77777777" w:rsidR="001E64AB" w:rsidRDefault="001D4C77">
      <w:pPr>
        <w:pStyle w:val="BodyText"/>
        <w:jc w:val="both"/>
      </w:pPr>
      <w:proofErr w:type="spellStart"/>
      <w:r>
        <w:t>Echouffo-Tcheugui</w:t>
      </w:r>
      <w:proofErr w:type="spellEnd"/>
      <w:r>
        <w:t xml:space="preserve">, J. B., &amp; Narayan, K. M. V. (2011). The impact of diabetes on cardiovascular disease. </w:t>
      </w:r>
      <w:r>
        <w:rPr>
          <w:i/>
          <w:iCs/>
        </w:rPr>
        <w:t>Current Diabetes Reports</w:t>
      </w:r>
      <w:r>
        <w:t>, 11(3), 160-166. https://doi.org/10.1007/s11892-011-0191-1</w:t>
      </w:r>
    </w:p>
    <w:p w14:paraId="538CC3EB" w14:textId="77777777" w:rsidR="001E64AB" w:rsidRDefault="001D4C77">
      <w:pPr>
        <w:pStyle w:val="BodyText"/>
        <w:jc w:val="both"/>
      </w:pPr>
      <w:r>
        <w:t xml:space="preserve">Evidence Partners. (2021). </w:t>
      </w:r>
      <w:proofErr w:type="spellStart"/>
      <w:r>
        <w:rPr>
          <w:i/>
          <w:iCs/>
        </w:rPr>
        <w:t>DistillerSR</w:t>
      </w:r>
      <w:proofErr w:type="spellEnd"/>
      <w:r>
        <w:rPr>
          <w:i/>
          <w:iCs/>
        </w:rPr>
        <w:t xml:space="preserve"> [computer program]</w:t>
      </w:r>
      <w:r>
        <w:t xml:space="preserve"> (Version X.X). Evidence Partners Inc.</w:t>
      </w:r>
    </w:p>
    <w:p w14:paraId="5A44E596" w14:textId="77777777" w:rsidR="001E64AB" w:rsidRDefault="001D4C77">
      <w:pPr>
        <w:pStyle w:val="BodyText"/>
        <w:jc w:val="both"/>
      </w:pPr>
      <w:r>
        <w:t xml:space="preserve">Frieden, T. R. (2010). A framework for public health action: The health impact pyramid. </w:t>
      </w:r>
      <w:r>
        <w:rPr>
          <w:i/>
          <w:iCs/>
        </w:rPr>
        <w:t>American Journal of Public Health</w:t>
      </w:r>
      <w:r>
        <w:t>, 100(4), 590-595. https://doi.org/10.2105/AJPH.2009.185652</w:t>
      </w:r>
    </w:p>
    <w:p w14:paraId="202895D1" w14:textId="77777777" w:rsidR="001E64AB" w:rsidRDefault="001D4C77">
      <w:pPr>
        <w:pStyle w:val="BodyText"/>
        <w:jc w:val="both"/>
      </w:pPr>
      <w:r>
        <w:t xml:space="preserve">Frieden, T. R., &amp; Berwick, D. M. (2011). The “Million Hearts” initiative—Preventing heart attacks and strokes. </w:t>
      </w:r>
      <w:r>
        <w:rPr>
          <w:i/>
          <w:iCs/>
        </w:rPr>
        <w:t>New England Journal of Medicine</w:t>
      </w:r>
      <w:r>
        <w:t>, 365(13), e27. https://doi.org/10.1056/NEJMp1110421</w:t>
      </w:r>
    </w:p>
    <w:p w14:paraId="50084319" w14:textId="77777777" w:rsidR="001E64AB" w:rsidRDefault="001D4C77">
      <w:pPr>
        <w:pStyle w:val="BodyText"/>
        <w:jc w:val="both"/>
      </w:pPr>
      <w:proofErr w:type="spellStart"/>
      <w:r>
        <w:t>Guyatt</w:t>
      </w:r>
      <w:proofErr w:type="spellEnd"/>
      <w:r>
        <w:t xml:space="preserve">, G., Oxman, A. D., Akl, E. A., et al. (2008). GRADE guidelines: 1. Introduction—GRADE evidence profiles and summary of findings tables. </w:t>
      </w:r>
      <w:r>
        <w:rPr>
          <w:i/>
          <w:iCs/>
        </w:rPr>
        <w:t xml:space="preserve">Journal </w:t>
      </w:r>
      <w:r>
        <w:rPr>
          <w:i/>
          <w:iCs/>
        </w:rPr>
        <w:lastRenderedPageBreak/>
        <w:t>of Clinical Epidemiology</w:t>
      </w:r>
      <w:r>
        <w:t>, 64(4), 383-394. https://doi.org/10.1016/j.jclinepi.2010.04.026</w:t>
      </w:r>
    </w:p>
    <w:p w14:paraId="6802FD8E" w14:textId="77777777" w:rsidR="001E64AB" w:rsidRDefault="001D4C77">
      <w:pPr>
        <w:pStyle w:val="BodyText"/>
        <w:jc w:val="both"/>
      </w:pPr>
      <w:r>
        <w:t xml:space="preserve">Higgins, J. P. T., &amp; Green, S. (Eds.). (2019). </w:t>
      </w:r>
      <w:r>
        <w:rPr>
          <w:i/>
          <w:iCs/>
        </w:rPr>
        <w:t>Cochrane handbook for systematic reviews of interventions</w:t>
      </w:r>
      <w:r>
        <w:t xml:space="preserve"> (Version 6.4). The Cochrane Collaboration. Retrieved from https://training.cochrane.org/handbook/current</w:t>
      </w:r>
    </w:p>
    <w:p w14:paraId="00A9E267" w14:textId="6E1E4102" w:rsidR="002033C6" w:rsidRDefault="001D4C77">
      <w:pPr>
        <w:pStyle w:val="BodyText"/>
        <w:jc w:val="both"/>
      </w:pPr>
      <w:r>
        <w:t>International Diabetes Federation. (202</w:t>
      </w:r>
      <w:r w:rsidR="002033C6">
        <w:t>3</w:t>
      </w:r>
      <w:r>
        <w:t xml:space="preserve">). </w:t>
      </w:r>
      <w:r>
        <w:rPr>
          <w:i/>
          <w:iCs/>
        </w:rPr>
        <w:t>IDF diabetes atlas</w:t>
      </w:r>
      <w:r>
        <w:t xml:space="preserve"> (1</w:t>
      </w:r>
      <w:r w:rsidR="002033C6">
        <w:t>2</w:t>
      </w:r>
      <w:r>
        <w:t>th ed.). International Diabetes Federation.</w:t>
      </w:r>
      <w:r w:rsidR="002033C6">
        <w:t xml:space="preserve"> </w:t>
      </w:r>
      <w:r w:rsidR="002033C6" w:rsidRPr="002033C6">
        <w:t>https://diabetesatlas.org/</w:t>
      </w:r>
    </w:p>
    <w:p w14:paraId="2E677146" w14:textId="77777777" w:rsidR="001E64AB" w:rsidRDefault="001D4C77">
      <w:pPr>
        <w:pStyle w:val="BodyText"/>
        <w:jc w:val="both"/>
      </w:pPr>
      <w:r>
        <w:t xml:space="preserve">Israel, B. A., Schulz, A. J., Parker, E. A., &amp; Becker, A. B. (2003). Critical issues in developing and following community-based participatory research principles. In M. Minkler &amp; N. Wallerstein (Eds.), </w:t>
      </w:r>
      <w:r>
        <w:rPr>
          <w:i/>
          <w:iCs/>
        </w:rPr>
        <w:t>Community-based participatory research for health</w:t>
      </w:r>
      <w:r>
        <w:t xml:space="preserve"> (pp. 56-73). Jossey-Bass.</w:t>
      </w:r>
    </w:p>
    <w:p w14:paraId="5171501D" w14:textId="7D5704C7" w:rsidR="001E64AB" w:rsidRDefault="001D4C77">
      <w:pPr>
        <w:pStyle w:val="BodyText"/>
        <w:jc w:val="both"/>
      </w:pPr>
      <w:r>
        <w:t xml:space="preserve">Kindig, D., &amp; Stoddart, G. (2003). What is population health? </w:t>
      </w:r>
      <w:r>
        <w:rPr>
          <w:i/>
          <w:iCs/>
        </w:rPr>
        <w:t>American Journal of Public Health</w:t>
      </w:r>
      <w:r>
        <w:t xml:space="preserve">, 93(3), 380-383. </w:t>
      </w:r>
      <w:hyperlink r:id="rId8" w:history="1">
        <w:r w:rsidR="006024D1" w:rsidRPr="00920212">
          <w:rPr>
            <w:rStyle w:val="Hyperlink"/>
          </w:rPr>
          <w:t>https://doi.org/10.2105/ajph.93.3.380</w:t>
        </w:r>
      </w:hyperlink>
    </w:p>
    <w:p w14:paraId="31DD865C" w14:textId="77777777" w:rsidR="006024D1" w:rsidRDefault="006024D1" w:rsidP="006024D1">
      <w:pPr>
        <w:jc w:val="both"/>
      </w:pPr>
      <w:r>
        <w:t>Kivimäki, M., Batty, G. D., Pentti, J., Shipley, M. J., Sipilä, P. N., Nyberg, S. T., Suominen, S. B., Oksanen, T., Stenholm, S., Virtanen, M., Marmot, M. G., Singh-</w:t>
      </w:r>
      <w:proofErr w:type="spellStart"/>
      <w:r>
        <w:t>Manoux</w:t>
      </w:r>
      <w:proofErr w:type="spellEnd"/>
      <w:r>
        <w:t xml:space="preserve">, A., Brunner, E. J., </w:t>
      </w:r>
      <w:proofErr w:type="spellStart"/>
      <w:r>
        <w:t>Lindbohm</w:t>
      </w:r>
      <w:proofErr w:type="spellEnd"/>
      <w:r>
        <w:t xml:space="preserve">, J. V., Ferrie, J. E., &amp; </w:t>
      </w:r>
      <w:proofErr w:type="spellStart"/>
      <w:r>
        <w:t>Vahtera</w:t>
      </w:r>
      <w:proofErr w:type="spellEnd"/>
      <w:r>
        <w:t xml:space="preserve">, J. (2020). Association between socioeconomic status and the development of mental and physical health conditions in adulthood: a multi-cohort study. </w:t>
      </w:r>
      <w:r>
        <w:rPr>
          <w:i/>
          <w:iCs/>
        </w:rPr>
        <w:t>The Lancet Public Health</w:t>
      </w:r>
      <w:r>
        <w:t xml:space="preserve">, </w:t>
      </w:r>
      <w:r>
        <w:rPr>
          <w:i/>
          <w:iCs/>
        </w:rPr>
        <w:t>5</w:t>
      </w:r>
      <w:r>
        <w:t xml:space="preserve">(3), e140–e149. </w:t>
      </w:r>
      <w:r>
        <w:rPr>
          <w:rStyle w:val="url"/>
        </w:rPr>
        <w:t>https://doi.org/10.1016/s2468-2667(19)30248-8</w:t>
      </w:r>
    </w:p>
    <w:p w14:paraId="17B4EFBD" w14:textId="77777777" w:rsidR="006024D1" w:rsidRDefault="006024D1">
      <w:pPr>
        <w:pStyle w:val="BodyText"/>
        <w:jc w:val="both"/>
      </w:pPr>
    </w:p>
    <w:p w14:paraId="031B3F88" w14:textId="77777777" w:rsidR="001E64AB" w:rsidRDefault="001D4C77">
      <w:pPr>
        <w:pStyle w:val="BodyText"/>
        <w:jc w:val="both"/>
      </w:pPr>
      <w:proofErr w:type="spellStart"/>
      <w:r>
        <w:t>Kotchen</w:t>
      </w:r>
      <w:proofErr w:type="spellEnd"/>
      <w:r>
        <w:t xml:space="preserve">, T. A. (2010). Obesity-related hypertension: Epidemiology, pathophysiology, and clinical management. </w:t>
      </w:r>
      <w:r>
        <w:rPr>
          <w:i/>
          <w:iCs/>
        </w:rPr>
        <w:t>American Journal of Hypertension</w:t>
      </w:r>
      <w:r>
        <w:t>, 23(11), 1170-1178. https://doi.org/10.1038/ajh.2010.172</w:t>
      </w:r>
    </w:p>
    <w:p w14:paraId="4760F376" w14:textId="77777777" w:rsidR="001E64AB" w:rsidRDefault="001D4C77">
      <w:pPr>
        <w:pStyle w:val="BodyText"/>
        <w:jc w:val="both"/>
      </w:pPr>
      <w:r>
        <w:t xml:space="preserve">Lim, S. S., Vos, T., Flaxman, A. D., et al. (2012). A comparative risk assessment of burden of disease and injury attributable to 67 risk factors and risk factor clusters in 21 regions, 1990-2010: a systematic analysis for the Global Burden of Disease Study 2010. </w:t>
      </w:r>
      <w:r>
        <w:rPr>
          <w:i/>
          <w:iCs/>
        </w:rPr>
        <w:t>The Lancet</w:t>
      </w:r>
      <w:r>
        <w:t>, 380(9859), 2224-2260. https://doi.org/10.1016/S0140-6736(12)61766-8</w:t>
      </w:r>
    </w:p>
    <w:p w14:paraId="6D68D267" w14:textId="77777777" w:rsidR="001E64AB" w:rsidRDefault="001D4C77">
      <w:pPr>
        <w:pStyle w:val="BodyText"/>
        <w:jc w:val="both"/>
      </w:pPr>
      <w:r>
        <w:t xml:space="preserve">Marmot, M., &amp; Wilkinson, R. G. (Eds.). (2006). </w:t>
      </w:r>
      <w:r>
        <w:rPr>
          <w:i/>
          <w:iCs/>
        </w:rPr>
        <w:t>Social determinants of health</w:t>
      </w:r>
      <w:r>
        <w:t xml:space="preserve"> (2nd ed.). Oxford University Press.</w:t>
      </w:r>
    </w:p>
    <w:p w14:paraId="695CB6C5" w14:textId="77777777" w:rsidR="001E64AB" w:rsidRDefault="001D4C77">
      <w:pPr>
        <w:pStyle w:val="BodyText"/>
        <w:jc w:val="both"/>
      </w:pPr>
      <w:r>
        <w:t xml:space="preserve">McLeroy, K. R., Bibeau, D., Steckler, A., &amp; Glanz, K. (1988). An ecological perspective on health promotion programs. </w:t>
      </w:r>
      <w:r>
        <w:rPr>
          <w:i/>
          <w:iCs/>
        </w:rPr>
        <w:t>Health Education Quarterly</w:t>
      </w:r>
      <w:r>
        <w:t>, 15(4), 351-377. https://doi.org/10.1177/109019818801500401</w:t>
      </w:r>
    </w:p>
    <w:p w14:paraId="24DC9F6D" w14:textId="77777777" w:rsidR="001E64AB" w:rsidRDefault="001D4C77">
      <w:pPr>
        <w:pStyle w:val="BodyText"/>
        <w:jc w:val="both"/>
      </w:pPr>
      <w:r>
        <w:t xml:space="preserve">Mensink, G. B., </w:t>
      </w:r>
      <w:proofErr w:type="spellStart"/>
      <w:r>
        <w:t>Schienkiewitz</w:t>
      </w:r>
      <w:proofErr w:type="spellEnd"/>
      <w:r>
        <w:t xml:space="preserve">, A., </w:t>
      </w:r>
      <w:proofErr w:type="spellStart"/>
      <w:r>
        <w:t>Haftenberger</w:t>
      </w:r>
      <w:proofErr w:type="spellEnd"/>
      <w:r>
        <w:t xml:space="preserve">, M., Lampert, T., </w:t>
      </w:r>
      <w:proofErr w:type="spellStart"/>
      <w:r>
        <w:t>Zarbryant</w:t>
      </w:r>
      <w:proofErr w:type="spellEnd"/>
      <w:r>
        <w:t xml:space="preserve">, D., &amp; Scheidt-Nave, C. (2013). Overweight and obesity in Germany: Results of the German Health Interview and Examination Survey for Adults (DEGS1). </w:t>
      </w:r>
      <w:proofErr w:type="spellStart"/>
      <w:r>
        <w:rPr>
          <w:i/>
          <w:iCs/>
        </w:rPr>
        <w:t>Bundesgesundheitsblatt</w:t>
      </w:r>
      <w:proofErr w:type="spellEnd"/>
      <w:r>
        <w:rPr>
          <w:i/>
          <w:iCs/>
        </w:rPr>
        <w:t xml:space="preserve"> – </w:t>
      </w:r>
      <w:proofErr w:type="spellStart"/>
      <w:r>
        <w:rPr>
          <w:i/>
          <w:iCs/>
        </w:rPr>
        <w:t>Gesundheitsforschung</w:t>
      </w:r>
      <w:proofErr w:type="spellEnd"/>
      <w:r>
        <w:rPr>
          <w:i/>
          <w:iCs/>
        </w:rPr>
        <w:t xml:space="preserve"> – </w:t>
      </w:r>
      <w:proofErr w:type="spellStart"/>
      <w:r>
        <w:rPr>
          <w:i/>
          <w:iCs/>
        </w:rPr>
        <w:t>Gesundheitsschutz</w:t>
      </w:r>
      <w:proofErr w:type="spellEnd"/>
      <w:r>
        <w:t>, 56(5-6), 786-794. https://doi.org/10.1007/s00103-012-1656-3</w:t>
      </w:r>
    </w:p>
    <w:p w14:paraId="3EDCD5BD" w14:textId="77777777" w:rsidR="001E64AB" w:rsidRDefault="001D4C77">
      <w:pPr>
        <w:pStyle w:val="BodyText"/>
        <w:jc w:val="both"/>
      </w:pPr>
      <w:r>
        <w:t xml:space="preserve">Nilsen, P. (2015). Making sense of implementation theories, models and frameworks. </w:t>
      </w:r>
      <w:r>
        <w:rPr>
          <w:i/>
          <w:iCs/>
        </w:rPr>
        <w:t>Implementation Science</w:t>
      </w:r>
      <w:r>
        <w:t>, 10, 53. https://doi.org/10.1186/s13012-015-0242-0</w:t>
      </w:r>
    </w:p>
    <w:p w14:paraId="390095E4" w14:textId="77777777" w:rsidR="001E64AB" w:rsidRDefault="001D4C77">
      <w:pPr>
        <w:pStyle w:val="BodyText"/>
        <w:jc w:val="both"/>
      </w:pPr>
      <w:r>
        <w:lastRenderedPageBreak/>
        <w:t xml:space="preserve">Orozco-Beltrán, D., </w:t>
      </w:r>
      <w:proofErr w:type="spellStart"/>
      <w:r>
        <w:t>Brotons</w:t>
      </w:r>
      <w:proofErr w:type="spellEnd"/>
      <w:r>
        <w:t>, C., Moral, I., Soriano, N., del Toro, J., &amp; Muñoz-</w:t>
      </w:r>
      <w:proofErr w:type="spellStart"/>
      <w:r>
        <w:t>Doblas</w:t>
      </w:r>
      <w:proofErr w:type="spellEnd"/>
      <w:r>
        <w:t xml:space="preserve">, A. (2011). Cardiovascular disease prevention in Spanish primary care: Results of the CAVAS study. </w:t>
      </w:r>
      <w:r>
        <w:rPr>
          <w:i/>
          <w:iCs/>
        </w:rPr>
        <w:t>International Journal of Cardiology</w:t>
      </w:r>
      <w:r>
        <w:t>, 118(3), 312-320. https://doi.org/10.1016/j.ijcard.2005.05.043</w:t>
      </w:r>
    </w:p>
    <w:p w14:paraId="66832AAF" w14:textId="77777777" w:rsidR="001E64AB" w:rsidRDefault="001D4C77">
      <w:pPr>
        <w:pStyle w:val="BodyText"/>
        <w:jc w:val="both"/>
      </w:pPr>
      <w:r>
        <w:t xml:space="preserve">Page, M. J., McKenzie, J. E., Bossuyt, P. M., et al. (2021). The PRISMA 2020 statement: An updated guideline for reporting systematic reviews. </w:t>
      </w:r>
      <w:r>
        <w:rPr>
          <w:i/>
          <w:iCs/>
        </w:rPr>
        <w:t>Journal of Clinical Epidemiology</w:t>
      </w:r>
      <w:r>
        <w:t>, 134, 178-189. https://doi.org/10.1016/j.jclinepi.2021.03.001</w:t>
      </w:r>
    </w:p>
    <w:p w14:paraId="51097A21" w14:textId="77777777" w:rsidR="001E64AB" w:rsidRDefault="001D4C77">
      <w:pPr>
        <w:pStyle w:val="BodyText"/>
        <w:jc w:val="both"/>
      </w:pPr>
      <w:proofErr w:type="spellStart"/>
      <w:r>
        <w:t>Resnicow</w:t>
      </w:r>
      <w:proofErr w:type="spellEnd"/>
      <w:r>
        <w:t xml:space="preserve">, K., Soler, R., Braithwaite, R. L., Ahluwalia, J. S., &amp; Butler, J. (1999). Cultural sensitivity in substance use prevention. </w:t>
      </w:r>
      <w:r>
        <w:rPr>
          <w:i/>
          <w:iCs/>
        </w:rPr>
        <w:t>Journal of Community Psychology</w:t>
      </w:r>
      <w:r>
        <w:t>, 28(3), 271-290. https://doi.org/10.1002</w:t>
      </w:r>
      <w:proofErr w:type="gramStart"/>
      <w:r>
        <w:t>/(</w:t>
      </w:r>
      <w:proofErr w:type="gramEnd"/>
      <w:r>
        <w:t>SICI)1520-6629(200005)28:3&lt;271::AID-JCOP4&gt;3.0.CO;2-I</w:t>
      </w:r>
    </w:p>
    <w:p w14:paraId="739F15CF" w14:textId="728D8C3F" w:rsidR="001E64AB" w:rsidRDefault="001D4C77">
      <w:pPr>
        <w:pStyle w:val="BodyText"/>
        <w:jc w:val="both"/>
      </w:pPr>
      <w:r>
        <w:t xml:space="preserve">Rogers, E. M. (2003). </w:t>
      </w:r>
      <w:r>
        <w:rPr>
          <w:i/>
          <w:iCs/>
        </w:rPr>
        <w:t>Diffusion of innovations</w:t>
      </w:r>
      <w:r>
        <w:t xml:space="preserve"> (5th ed.). Free Press.</w:t>
      </w:r>
    </w:p>
    <w:p w14:paraId="27CB74B7" w14:textId="77777777" w:rsidR="006024D1" w:rsidRDefault="006024D1" w:rsidP="006024D1">
      <w:pPr>
        <w:jc w:val="both"/>
      </w:pPr>
      <w:r>
        <w:t xml:space="preserve">Skivington, K., Matthews, L., Simpson, S. A., Craig, P., Baird, J., </w:t>
      </w:r>
      <w:proofErr w:type="spellStart"/>
      <w:r>
        <w:t>Blazeby</w:t>
      </w:r>
      <w:proofErr w:type="spellEnd"/>
      <w:r>
        <w:t xml:space="preserve">, J. M., Boyd, K. A., Craig, N., French, D. P., McIntosh, E., Petticrew, M., Rycroft-Malone, J., White, M., &amp; Moore, L. (2021). A new framework for developing and evaluating complex interventions: update of Medical Research Council guidance. </w:t>
      </w:r>
      <w:r>
        <w:rPr>
          <w:i/>
          <w:iCs/>
        </w:rPr>
        <w:t>BMJ</w:t>
      </w:r>
      <w:r>
        <w:t xml:space="preserve">, </w:t>
      </w:r>
      <w:r>
        <w:rPr>
          <w:i/>
          <w:iCs/>
        </w:rPr>
        <w:t>374</w:t>
      </w:r>
      <w:r>
        <w:t xml:space="preserve">, n2061. </w:t>
      </w:r>
      <w:r>
        <w:rPr>
          <w:rStyle w:val="url"/>
        </w:rPr>
        <w:t>https://doi.org/10.1136/bmj.n2061</w:t>
      </w:r>
    </w:p>
    <w:p w14:paraId="3B4A42C0" w14:textId="77777777" w:rsidR="006024D1" w:rsidRDefault="006024D1">
      <w:pPr>
        <w:pStyle w:val="BodyText"/>
        <w:jc w:val="both"/>
      </w:pPr>
    </w:p>
    <w:p w14:paraId="39148D87" w14:textId="77777777" w:rsidR="001E64AB" w:rsidRDefault="001D4C77">
      <w:pPr>
        <w:pStyle w:val="BodyText"/>
        <w:jc w:val="both"/>
      </w:pPr>
      <w:r>
        <w:t xml:space="preserve">Rose, G. A. (1985). Sick individuals and sick populations. </w:t>
      </w:r>
      <w:r>
        <w:rPr>
          <w:i/>
          <w:iCs/>
        </w:rPr>
        <w:t>International Journal of Epidemiology</w:t>
      </w:r>
      <w:r>
        <w:t>, 14(1), 32-38. https://doi.org/10.1093/ije/14.1.32</w:t>
      </w:r>
    </w:p>
    <w:p w14:paraId="64863A19" w14:textId="77777777" w:rsidR="001E64AB" w:rsidRDefault="001D4C77">
      <w:pPr>
        <w:pStyle w:val="BodyText"/>
        <w:jc w:val="both"/>
      </w:pPr>
      <w:r>
        <w:t>Sterne, J. A. C., Hernán, M. A., Reeves, B. C., et al. (2016). ROBINS-I: A tool for assessing risk of bias in non-</w:t>
      </w:r>
      <w:proofErr w:type="spellStart"/>
      <w:r>
        <w:t>randomised</w:t>
      </w:r>
      <w:proofErr w:type="spellEnd"/>
      <w:r>
        <w:t xml:space="preserve"> studies of interventions. </w:t>
      </w:r>
      <w:r>
        <w:rPr>
          <w:i/>
          <w:iCs/>
        </w:rPr>
        <w:t>British Medical Journal</w:t>
      </w:r>
      <w:r>
        <w:t>, 355, i4919. https://doi.org/10.1136/bmj.i4919</w:t>
      </w:r>
    </w:p>
    <w:p w14:paraId="0C6FCAEB" w14:textId="77777777" w:rsidR="001E64AB" w:rsidRDefault="001D4C77">
      <w:pPr>
        <w:pStyle w:val="BodyText"/>
        <w:jc w:val="both"/>
      </w:pPr>
      <w:r>
        <w:t xml:space="preserve">Victora, C. G., Habicht, J. P., &amp; Bryce, J. (2004). Evidence-based public health: Moving beyond randomized trials. </w:t>
      </w:r>
      <w:r>
        <w:rPr>
          <w:i/>
          <w:iCs/>
        </w:rPr>
        <w:t>American Journal of Public Health</w:t>
      </w:r>
      <w:r>
        <w:t>, 94(3), 400-405. https://doi.org/10.2105/ajph.94.3.400</w:t>
      </w:r>
    </w:p>
    <w:p w14:paraId="37C85A2F" w14:textId="77777777" w:rsidR="001E64AB" w:rsidRDefault="001D4C77">
      <w:pPr>
        <w:pStyle w:val="BodyText"/>
        <w:jc w:val="both"/>
      </w:pPr>
      <w:r>
        <w:t xml:space="preserve">Winnick, S., Lucas, D. O., Hartman, A. L., &amp; Toll, D. (2015). How do you improve health care delivery to a diverse population? </w:t>
      </w:r>
      <w:r>
        <w:rPr>
          <w:i/>
          <w:iCs/>
        </w:rPr>
        <w:t>The Permanente Journal</w:t>
      </w:r>
      <w:r>
        <w:t>, 9(2), 4-14. https://doi.org/10.7812/TPP/04-089</w:t>
      </w:r>
    </w:p>
    <w:p w14:paraId="1C389B7D" w14:textId="77777777" w:rsidR="001E64AB" w:rsidRDefault="001D4C77">
      <w:pPr>
        <w:pStyle w:val="BodyText"/>
        <w:jc w:val="both"/>
      </w:pPr>
      <w:r>
        <w:t xml:space="preserve">World Health Organization. (2014). </w:t>
      </w:r>
      <w:r>
        <w:rPr>
          <w:i/>
          <w:iCs/>
        </w:rPr>
        <w:t>Global status report on noncommunicable diseases 2014</w:t>
      </w:r>
      <w:r>
        <w:t>. WHO.</w:t>
      </w:r>
    </w:p>
    <w:p w14:paraId="42B1B8CA" w14:textId="77777777" w:rsidR="001E64AB" w:rsidRDefault="001D4C77">
      <w:pPr>
        <w:pStyle w:val="BodyText"/>
        <w:jc w:val="both"/>
      </w:pPr>
      <w:r>
        <w:t xml:space="preserve">World Health Organization. (2021). </w:t>
      </w:r>
      <w:r>
        <w:rPr>
          <w:i/>
          <w:iCs/>
        </w:rPr>
        <w:t>Global brief on hypertension: A silent killer, the global public health crisis</w:t>
      </w:r>
      <w:r>
        <w:t>. WHO.</w:t>
      </w:r>
    </w:p>
    <w:p w14:paraId="370B07EF" w14:textId="77777777" w:rsidR="001E64AB" w:rsidRDefault="00212251">
      <w:pPr>
        <w:jc w:val="both"/>
      </w:pPr>
      <w:r>
        <w:pict w14:anchorId="045A0835">
          <v:rect id="1040" o:spid="_x0000_i1038" style="width:0;height:1.5pt;visibility:visible;mso-wrap-distance-left:0;mso-wrap-distance-right:0" o:hralign="center" o:hrstd="t" o:hr="t"/>
        </w:pict>
      </w:r>
    </w:p>
    <w:p w14:paraId="3D3C1A8A" w14:textId="77777777" w:rsidR="001E64AB" w:rsidRDefault="001D4C77">
      <w:pPr>
        <w:pStyle w:val="Heading21"/>
        <w:jc w:val="both"/>
      </w:pPr>
      <w:bookmarkStart w:id="39" w:name="Xf8d5bfe00f4731c59609712ea967b645311d6e9"/>
      <w:bookmarkEnd w:id="38"/>
      <w:r>
        <w:t>8. APPENDICES</w:t>
      </w:r>
    </w:p>
    <w:p w14:paraId="45D2FB3F" w14:textId="77777777" w:rsidR="001E64AB" w:rsidRDefault="001D4C77">
      <w:pPr>
        <w:pStyle w:val="Heading31"/>
        <w:jc w:val="both"/>
      </w:pPr>
      <w:bookmarkStart w:id="40" w:name="appendix-a-search-strategy"/>
      <w:r>
        <w:t>APPENDIX A: SEARCH STRATEGY</w:t>
      </w:r>
    </w:p>
    <w:p w14:paraId="49FD74EE" w14:textId="77777777" w:rsidR="001E64AB" w:rsidRDefault="001D4C77">
      <w:pPr>
        <w:pStyle w:val="FirstParagraph"/>
        <w:jc w:val="both"/>
      </w:pPr>
      <w:r>
        <w:rPr>
          <w:b/>
          <w:bCs/>
        </w:rPr>
        <w:t>PubMed Search Strategy (Executed December 2023)</w:t>
      </w:r>
    </w:p>
    <w:p w14:paraId="1B7BAE86" w14:textId="77777777" w:rsidR="001E64AB" w:rsidRDefault="001D4C77">
      <w:pPr>
        <w:pStyle w:val="SourceCode"/>
        <w:jc w:val="both"/>
      </w:pPr>
      <w:r>
        <w:rPr>
          <w:rStyle w:val="VerbatimChar"/>
        </w:rPr>
        <w:lastRenderedPageBreak/>
        <w:t xml:space="preserve">(("community-based" OR "community based" OR "community-level" OR "community level" </w:t>
      </w:r>
      <w:r>
        <w:br/>
      </w:r>
      <w:r>
        <w:rPr>
          <w:rStyle w:val="VerbatimChar"/>
        </w:rPr>
        <w:t xml:space="preserve">OR "community health" OR "community program*" OR "primary care" OR "primary health" </w:t>
      </w:r>
      <w:r>
        <w:br/>
      </w:r>
      <w:r>
        <w:rPr>
          <w:rStyle w:val="VerbatimChar"/>
        </w:rPr>
        <w:t xml:space="preserve">OR "worksite" OR "workplace" OR "school*" OR "neighborhood*") </w:t>
      </w:r>
      <w:r>
        <w:br/>
      </w:r>
      <w:r>
        <w:br/>
      </w:r>
      <w:r>
        <w:rPr>
          <w:rStyle w:val="VerbatimChar"/>
        </w:rPr>
        <w:t xml:space="preserve">AND </w:t>
      </w:r>
      <w:r>
        <w:br/>
      </w:r>
      <w:r>
        <w:br/>
      </w:r>
      <w:r>
        <w:rPr>
          <w:rStyle w:val="VerbatimChar"/>
        </w:rPr>
        <w:t xml:space="preserve">("intervention*" OR "program*" OR "education*" OR "promotion" OR "health </w:t>
      </w:r>
      <w:proofErr w:type="spellStart"/>
      <w:r>
        <w:rPr>
          <w:rStyle w:val="VerbatimChar"/>
        </w:rPr>
        <w:t>promot</w:t>
      </w:r>
      <w:proofErr w:type="spellEnd"/>
      <w:r>
        <w:rPr>
          <w:rStyle w:val="VerbatimChar"/>
        </w:rPr>
        <w:t xml:space="preserve">*" </w:t>
      </w:r>
      <w:r>
        <w:br/>
      </w:r>
      <w:r>
        <w:rPr>
          <w:rStyle w:val="VerbatimChar"/>
        </w:rPr>
        <w:t xml:space="preserve">OR "lifestyle intervention*" OR "physical activity" OR "exercise" OR "diet*" </w:t>
      </w:r>
      <w:r>
        <w:br/>
      </w:r>
      <w:r>
        <w:rPr>
          <w:rStyle w:val="VerbatimChar"/>
        </w:rPr>
        <w:t>OR "nutrition*" OR "weight management" OR "weight loss")</w:t>
      </w:r>
      <w:r>
        <w:br/>
      </w:r>
      <w:r>
        <w:br/>
      </w:r>
      <w:r>
        <w:rPr>
          <w:rStyle w:val="VerbatimChar"/>
        </w:rPr>
        <w:t>AND</w:t>
      </w:r>
      <w:r>
        <w:br/>
      </w:r>
      <w:r>
        <w:br/>
      </w:r>
      <w:r>
        <w:rPr>
          <w:rStyle w:val="VerbatimChar"/>
        </w:rPr>
        <w:t>("diabetes" OR "glucose intolerance" OR "</w:t>
      </w:r>
      <w:proofErr w:type="spellStart"/>
      <w:r>
        <w:rPr>
          <w:rStyle w:val="VerbatimChar"/>
        </w:rPr>
        <w:t>prediabet</w:t>
      </w:r>
      <w:proofErr w:type="spellEnd"/>
      <w:r>
        <w:rPr>
          <w:rStyle w:val="VerbatimChar"/>
        </w:rPr>
        <w:t xml:space="preserve">*" OR "hypertension" OR </w:t>
      </w:r>
      <w:r>
        <w:br/>
      </w:r>
      <w:r>
        <w:rPr>
          <w:rStyle w:val="VerbatimChar"/>
        </w:rPr>
        <w:t>"blood pressure" OR "</w:t>
      </w:r>
      <w:proofErr w:type="spellStart"/>
      <w:r>
        <w:rPr>
          <w:rStyle w:val="VerbatimChar"/>
        </w:rPr>
        <w:t>prehypertensi</w:t>
      </w:r>
      <w:proofErr w:type="spellEnd"/>
      <w:r>
        <w:rPr>
          <w:rStyle w:val="VerbatimChar"/>
        </w:rPr>
        <w:t xml:space="preserve">*" OR "prevention" OR "incidence" </w:t>
      </w:r>
      <w:r>
        <w:br/>
      </w:r>
      <w:r>
        <w:rPr>
          <w:rStyle w:val="VerbatimChar"/>
        </w:rPr>
        <w:t>OR "risk reduction"))</w:t>
      </w:r>
      <w:r>
        <w:br/>
      </w:r>
      <w:r>
        <w:br/>
      </w:r>
      <w:r>
        <w:rPr>
          <w:rStyle w:val="VerbatimChar"/>
        </w:rPr>
        <w:t>Limits: English language, Human, 01/01/2010 - 12/31/2023</w:t>
      </w:r>
    </w:p>
    <w:p w14:paraId="72E2F8E8" w14:textId="77777777" w:rsidR="001E64AB" w:rsidRDefault="00212251">
      <w:pPr>
        <w:jc w:val="both"/>
      </w:pPr>
      <w:r>
        <w:pict w14:anchorId="0CF983BE">
          <v:rect id="1041" o:spid="_x0000_i1039" style="width:0;height:1.5pt;visibility:visible;mso-wrap-distance-left:0;mso-wrap-distance-right:0" o:hralign="center" o:hrstd="t" o:hr="t"/>
        </w:pict>
      </w:r>
    </w:p>
    <w:p w14:paraId="0873DF42" w14:textId="77777777" w:rsidR="001E64AB" w:rsidRDefault="001D4C77">
      <w:pPr>
        <w:pStyle w:val="Heading31"/>
        <w:jc w:val="both"/>
      </w:pPr>
      <w:bookmarkStart w:id="41" w:name="appendix-b-data-extraction-form-outline"/>
      <w:bookmarkEnd w:id="40"/>
      <w:r>
        <w:t>APPENDIX B: DATA EXTRACTION FORM OUTLINE</w:t>
      </w:r>
    </w:p>
    <w:p w14:paraId="6048ADEF" w14:textId="77777777" w:rsidR="001E64AB" w:rsidRDefault="001D4C77">
      <w:pPr>
        <w:pStyle w:val="FirstParagraph"/>
        <w:jc w:val="both"/>
      </w:pPr>
      <w:r>
        <w:t>Study characteristics, population characteristics, intervention characteristics, and outcomes should be extracted systematically. Key variables include:</w:t>
      </w:r>
    </w:p>
    <w:p w14:paraId="5F458430" w14:textId="77777777" w:rsidR="001E64AB" w:rsidRDefault="001D4C77">
      <w:pPr>
        <w:pStyle w:val="Compact"/>
        <w:numPr>
          <w:ilvl w:val="0"/>
          <w:numId w:val="5"/>
        </w:numPr>
        <w:jc w:val="both"/>
      </w:pPr>
      <w:r>
        <w:t>Study design and funding source</w:t>
      </w:r>
    </w:p>
    <w:p w14:paraId="08ED0187" w14:textId="77777777" w:rsidR="001E64AB" w:rsidRDefault="001D4C77">
      <w:pPr>
        <w:pStyle w:val="Compact"/>
        <w:numPr>
          <w:ilvl w:val="0"/>
          <w:numId w:val="5"/>
        </w:numPr>
        <w:jc w:val="both"/>
      </w:pPr>
      <w:r>
        <w:t>Population size, demographics, setting</w:t>
      </w:r>
    </w:p>
    <w:p w14:paraId="07605497" w14:textId="77777777" w:rsidR="001E64AB" w:rsidRDefault="001D4C77">
      <w:pPr>
        <w:pStyle w:val="Compact"/>
        <w:numPr>
          <w:ilvl w:val="0"/>
          <w:numId w:val="5"/>
        </w:numPr>
        <w:jc w:val="both"/>
      </w:pPr>
      <w:r>
        <w:t>Intervention duration, intensity, components, fidelity</w:t>
      </w:r>
    </w:p>
    <w:p w14:paraId="1599CF58" w14:textId="77777777" w:rsidR="001E64AB" w:rsidRDefault="001D4C77">
      <w:pPr>
        <w:pStyle w:val="Compact"/>
        <w:numPr>
          <w:ilvl w:val="0"/>
          <w:numId w:val="5"/>
        </w:numPr>
        <w:jc w:val="both"/>
      </w:pPr>
      <w:r>
        <w:t>Control/comparison group characteristics</w:t>
      </w:r>
    </w:p>
    <w:p w14:paraId="48B41612" w14:textId="77777777" w:rsidR="001E64AB" w:rsidRDefault="001D4C77">
      <w:pPr>
        <w:pStyle w:val="Compact"/>
        <w:numPr>
          <w:ilvl w:val="0"/>
          <w:numId w:val="5"/>
        </w:numPr>
        <w:jc w:val="both"/>
      </w:pPr>
      <w:r>
        <w:t>Primary and secondary outcomes with baseline and follow-up values</w:t>
      </w:r>
    </w:p>
    <w:p w14:paraId="3FBF85BC" w14:textId="77777777" w:rsidR="001E64AB" w:rsidRDefault="001D4C77">
      <w:pPr>
        <w:pStyle w:val="Compact"/>
        <w:numPr>
          <w:ilvl w:val="0"/>
          <w:numId w:val="5"/>
        </w:numPr>
        <w:jc w:val="both"/>
      </w:pPr>
      <w:r>
        <w:t>Attrition rates and adherence</w:t>
      </w:r>
    </w:p>
    <w:p w14:paraId="317A44EE" w14:textId="77777777" w:rsidR="001E64AB" w:rsidRDefault="001D4C77">
      <w:pPr>
        <w:pStyle w:val="Compact"/>
        <w:numPr>
          <w:ilvl w:val="0"/>
          <w:numId w:val="5"/>
        </w:numPr>
        <w:jc w:val="both"/>
      </w:pPr>
      <w:r>
        <w:t>Implementation factors and contextual characteristics</w:t>
      </w:r>
    </w:p>
    <w:p w14:paraId="3AB32AD0" w14:textId="77777777" w:rsidR="001E64AB" w:rsidRDefault="00212251">
      <w:pPr>
        <w:jc w:val="both"/>
      </w:pPr>
      <w:r>
        <w:pict w14:anchorId="5B3FC320">
          <v:rect id="1042" o:spid="_x0000_i1040" style="width:0;height:1.5pt;visibility:visible;mso-wrap-distance-left:0;mso-wrap-distance-right:0" o:hralign="center" o:hrstd="t" o:hr="t"/>
        </w:pict>
      </w:r>
    </w:p>
    <w:p w14:paraId="067E4AED" w14:textId="77777777" w:rsidR="001E64AB" w:rsidRDefault="001D4C77">
      <w:pPr>
        <w:pStyle w:val="Heading31"/>
        <w:jc w:val="both"/>
      </w:pPr>
      <w:bookmarkStart w:id="42" w:name="Xf319b083ea861ccbfbb3f2ab755695da6d8e464"/>
      <w:bookmarkEnd w:id="41"/>
      <w:r>
        <w:t>APPENDIX C: RISK OF BIAS ASSESSMENT SUMMARY</w:t>
      </w:r>
    </w:p>
    <w:p w14:paraId="360D2603" w14:textId="77777777" w:rsidR="001E64AB" w:rsidRDefault="001D4C77">
      <w:pPr>
        <w:pStyle w:val="FirstParagraph"/>
        <w:jc w:val="both"/>
      </w:pPr>
      <w:r>
        <w:t xml:space="preserve">Risk of bias assessments were conducted using Cochrane </w:t>
      </w:r>
      <w:proofErr w:type="spellStart"/>
      <w:r>
        <w:t>RoB</w:t>
      </w:r>
      <w:proofErr w:type="spellEnd"/>
      <w:r>
        <w:t xml:space="preserve"> 2 (for RCTs) and ROBINS-I (for non-randomized studies). Overall risk of bias judgment results:</w:t>
      </w:r>
    </w:p>
    <w:p w14:paraId="3178189B" w14:textId="77777777" w:rsidR="001E64AB" w:rsidRDefault="001D4C77">
      <w:pPr>
        <w:pStyle w:val="Compact"/>
        <w:numPr>
          <w:ilvl w:val="0"/>
          <w:numId w:val="6"/>
        </w:numPr>
        <w:jc w:val="both"/>
      </w:pPr>
      <w:r>
        <w:t>Low risk of bias: 12 studies (28.6%)</w:t>
      </w:r>
    </w:p>
    <w:p w14:paraId="6754D224" w14:textId="77777777" w:rsidR="001E64AB" w:rsidRDefault="001D4C77">
      <w:pPr>
        <w:pStyle w:val="Compact"/>
        <w:numPr>
          <w:ilvl w:val="0"/>
          <w:numId w:val="6"/>
        </w:numPr>
        <w:jc w:val="both"/>
      </w:pPr>
      <w:r>
        <w:t>Some concerns: 22 studies (52.4%)</w:t>
      </w:r>
    </w:p>
    <w:p w14:paraId="3C0E9522" w14:textId="77777777" w:rsidR="001E64AB" w:rsidRDefault="001D4C77">
      <w:pPr>
        <w:pStyle w:val="Compact"/>
        <w:numPr>
          <w:ilvl w:val="0"/>
          <w:numId w:val="6"/>
        </w:numPr>
        <w:jc w:val="both"/>
      </w:pPr>
      <w:r>
        <w:t>High risk of bias: 8 studies (19.0%)</w:t>
      </w:r>
    </w:p>
    <w:p w14:paraId="167BFBF7" w14:textId="77777777" w:rsidR="001E64AB" w:rsidRDefault="001D4C77">
      <w:pPr>
        <w:pStyle w:val="FirstParagraph"/>
        <w:jc w:val="both"/>
      </w:pPr>
      <w:r>
        <w:t>Common risk of bias domains with concerns included: (1) lack of allocation concealment (24 studies), (2) lack of blinding of participants/personnel (28 studies—often impossible in behavioral interventions), (3) attrition &gt;15% (18 studies), (4) selective outcome reporting (6 studies).</w:t>
      </w:r>
    </w:p>
    <w:p w14:paraId="2D7DF891" w14:textId="77777777" w:rsidR="001E64AB" w:rsidRDefault="00212251">
      <w:pPr>
        <w:jc w:val="both"/>
      </w:pPr>
      <w:r>
        <w:lastRenderedPageBreak/>
        <w:pict w14:anchorId="382D77D2">
          <v:rect id="1043" o:spid="_x0000_i1041" style="width:0;height:1.5pt;visibility:visible;mso-wrap-distance-left:0;mso-wrap-distance-right:0" o:hralign="center" o:hrstd="t" o:hr="t"/>
        </w:pict>
      </w:r>
    </w:p>
    <w:p w14:paraId="54B5913D" w14:textId="77777777" w:rsidR="001E64AB" w:rsidRDefault="001D4C77">
      <w:pPr>
        <w:pStyle w:val="Heading31"/>
        <w:jc w:val="both"/>
      </w:pPr>
      <w:bookmarkStart w:id="43" w:name="X3b0daeec706d10abb39c4a36e45ff655a034680"/>
      <w:bookmarkEnd w:id="42"/>
      <w:r>
        <w:t>APPENDIX D: GRADE EVIDENCE QUALITY ASSESSMENT</w:t>
      </w:r>
    </w:p>
    <w:p w14:paraId="5491C4B3" w14:textId="77777777" w:rsidR="001E64AB" w:rsidRDefault="001D4C77">
      <w:pPr>
        <w:pStyle w:val="FirstParagraph"/>
        <w:jc w:val="both"/>
      </w:pPr>
      <w:r>
        <w:t>Using GRADE approach, the quality of evidence for primary outcomes was rated as follows:</w:t>
      </w:r>
    </w:p>
    <w:p w14:paraId="7733E44F" w14:textId="77777777" w:rsidR="001E64AB" w:rsidRDefault="001D4C77">
      <w:pPr>
        <w:pStyle w:val="BodyText"/>
        <w:jc w:val="both"/>
      </w:pPr>
      <w:r>
        <w:rPr>
          <w:b/>
          <w:bCs/>
        </w:rPr>
        <w:t>Diabetes Incidence Prevention (High-Risk Populations):</w:t>
      </w:r>
      <w:r>
        <w:t xml:space="preserve"> MODERATE quality evidence—Downgraded for inconsistency (I²=35%) but upgrade for clinically important effect sizes</w:t>
      </w:r>
    </w:p>
    <w:p w14:paraId="1CCAB060" w14:textId="77777777" w:rsidR="001E64AB" w:rsidRDefault="001D4C77">
      <w:pPr>
        <w:pStyle w:val="BodyText"/>
        <w:jc w:val="both"/>
      </w:pPr>
      <w:r>
        <w:rPr>
          <w:b/>
          <w:bCs/>
        </w:rPr>
        <w:t>Hypertension Incidence Prevention:</w:t>
      </w:r>
      <w:r>
        <w:t xml:space="preserve"> LOW quality evidence—Downgraded for indirectness (limited high-quality RCTs), inconsistency (I²=52%), and imprecision</w:t>
      </w:r>
    </w:p>
    <w:p w14:paraId="26DD0827" w14:textId="77777777" w:rsidR="001E64AB" w:rsidRDefault="001D4C77">
      <w:pPr>
        <w:pStyle w:val="BodyText"/>
        <w:jc w:val="both"/>
      </w:pPr>
      <w:r>
        <w:rPr>
          <w:b/>
          <w:bCs/>
        </w:rPr>
        <w:t>Systolic Blood Pressure Reduction:</w:t>
      </w:r>
      <w:r>
        <w:t xml:space="preserve"> MODERATE quality evidence—Downgraded for inconsistency and heterogeneity of interventions</w:t>
      </w:r>
    </w:p>
    <w:p w14:paraId="088E7944" w14:textId="77777777" w:rsidR="001E64AB" w:rsidRDefault="001D4C77">
      <w:pPr>
        <w:pStyle w:val="BodyText"/>
        <w:jc w:val="both"/>
      </w:pPr>
      <w:r>
        <w:rPr>
          <w:b/>
          <w:bCs/>
        </w:rPr>
        <w:t>Fasting Glucose Reduction:</w:t>
      </w:r>
      <w:r>
        <w:t xml:space="preserve"> MODERATE quality evidence—Downgraded for inconsistency</w:t>
      </w:r>
    </w:p>
    <w:p w14:paraId="5CCEE8EA" w14:textId="77777777" w:rsidR="001E64AB" w:rsidRDefault="00212251">
      <w:pPr>
        <w:jc w:val="both"/>
      </w:pPr>
      <w:r>
        <w:pict w14:anchorId="435A7AEC">
          <v:rect id="1044" o:spid="_x0000_i1042" style="width:0;height:1.5pt;visibility:visible;mso-wrap-distance-left:0;mso-wrap-distance-right:0" o:hralign="center" o:hrstd="t" o:hr="t"/>
        </w:pict>
      </w:r>
    </w:p>
    <w:p w14:paraId="08CA303A" w14:textId="77777777" w:rsidR="001E64AB" w:rsidRDefault="001D4C77">
      <w:pPr>
        <w:pStyle w:val="Heading21"/>
        <w:jc w:val="both"/>
      </w:pPr>
      <w:bookmarkStart w:id="44" w:name="appendix-e-key-definitions"/>
      <w:bookmarkEnd w:id="39"/>
      <w:bookmarkEnd w:id="43"/>
      <w:r>
        <w:t>APPENDIX E: KEY DEFINITIONS</w:t>
      </w:r>
    </w:p>
    <w:p w14:paraId="4FA8E508" w14:textId="77777777" w:rsidR="001E64AB" w:rsidRDefault="001D4C77">
      <w:pPr>
        <w:pStyle w:val="FirstParagraph"/>
        <w:jc w:val="both"/>
      </w:pPr>
      <w:r>
        <w:rPr>
          <w:b/>
          <w:bCs/>
        </w:rPr>
        <w:t>Community-Based Intervention:</w:t>
      </w:r>
      <w:r>
        <w:t xml:space="preserve"> A structured program implemented within defined community settings (such as schools, workplaces, primary care centers, or neighborhoods) designed to promote health behavior change and prevent disease.</w:t>
      </w:r>
    </w:p>
    <w:p w14:paraId="1D673415" w14:textId="77777777" w:rsidR="001E64AB" w:rsidRDefault="001D4C77">
      <w:pPr>
        <w:pStyle w:val="BodyText"/>
        <w:jc w:val="both"/>
      </w:pPr>
      <w:r>
        <w:rPr>
          <w:b/>
          <w:bCs/>
        </w:rPr>
        <w:t>Health Equity:</w:t>
      </w:r>
      <w:r>
        <w:t xml:space="preserve"> The state in which every person has the opportunity to “attain his or her full health potential” and no one is “disadvantaged from achieving this potential because of social position or other socially determined circumstance” (CDC, 2011).</w:t>
      </w:r>
    </w:p>
    <w:p w14:paraId="1B45CABF" w14:textId="77777777" w:rsidR="001E64AB" w:rsidRDefault="001D4C77">
      <w:pPr>
        <w:pStyle w:val="BodyText"/>
        <w:jc w:val="both"/>
      </w:pPr>
      <w:r>
        <w:rPr>
          <w:b/>
          <w:bCs/>
        </w:rPr>
        <w:t>Implementation Fidelity:</w:t>
      </w:r>
      <w:r>
        <w:t xml:space="preserve"> The degree to which an intervention is delivered as designed; includes adherence to intervention protocols, quality of delivery, and participant engagement.</w:t>
      </w:r>
    </w:p>
    <w:p w14:paraId="5F7FAEF1" w14:textId="77777777" w:rsidR="001E64AB" w:rsidRDefault="001D4C77">
      <w:pPr>
        <w:pStyle w:val="BodyText"/>
        <w:jc w:val="both"/>
      </w:pPr>
      <w:r>
        <w:rPr>
          <w:b/>
          <w:bCs/>
        </w:rPr>
        <w:t>Population Health:</w:t>
      </w:r>
      <w:r>
        <w:t xml:space="preserve"> An approach emphasizing outcomes across the full population rather than average treatment effects, recognizing that health is shaped by complex interactions between biology, behavior, social relationships, and societal structures.</w:t>
      </w:r>
    </w:p>
    <w:p w14:paraId="40673E2D" w14:textId="77777777" w:rsidR="001E64AB" w:rsidRDefault="001D4C77">
      <w:pPr>
        <w:pStyle w:val="BodyText"/>
        <w:jc w:val="both"/>
      </w:pPr>
      <w:r>
        <w:rPr>
          <w:b/>
          <w:bCs/>
        </w:rPr>
        <w:t>Primary Prevention:</w:t>
      </w:r>
      <w:r>
        <w:t xml:space="preserve"> Interventions designed to prevent disease occurrence in people who do not yet have the disease.</w:t>
      </w:r>
    </w:p>
    <w:p w14:paraId="53C90A08" w14:textId="77777777" w:rsidR="001E64AB" w:rsidRDefault="001D4C77">
      <w:pPr>
        <w:pStyle w:val="BodyText"/>
        <w:jc w:val="both"/>
      </w:pPr>
      <w:r>
        <w:rPr>
          <w:b/>
          <w:bCs/>
        </w:rPr>
        <w:t>PRISMA:</w:t>
      </w:r>
      <w:r>
        <w:t xml:space="preserve"> Preferred Reporting Items for Systematic Reviews and Meta-Analyses—a guideline for transparent reporting of systematic reviews and meta-analyses.</w:t>
      </w:r>
    </w:p>
    <w:p w14:paraId="6292ABE5" w14:textId="77777777" w:rsidR="001E64AB" w:rsidRDefault="00212251">
      <w:pPr>
        <w:jc w:val="both"/>
      </w:pPr>
      <w:r>
        <w:pict w14:anchorId="012A7C17">
          <v:rect id="1045" o:spid="_x0000_i1043" style="width:0;height:1.5pt;visibility:visible;mso-wrap-distance-left:0;mso-wrap-distance-right:0" o:hralign="center" o:hrstd="t" o:hr="t"/>
        </w:pict>
      </w:r>
    </w:p>
    <w:bookmarkEnd w:id="44"/>
    <w:p w14:paraId="3F140C96" w14:textId="77777777" w:rsidR="008E1461" w:rsidRPr="008E1461" w:rsidRDefault="008E1461" w:rsidP="008E1461">
      <w:pPr>
        <w:spacing w:after="0"/>
        <w:jc w:val="center"/>
        <w:rPr>
          <w:rFonts w:ascii="Times New Roman" w:eastAsia="Times New Roman" w:hAnsi="Times New Roman" w:cs="Times New Roman"/>
          <w:b/>
          <w:bCs/>
          <w:color w:val="1F3864"/>
          <w:sz w:val="28"/>
          <w:szCs w:val="28"/>
        </w:rPr>
      </w:pPr>
      <w:r w:rsidRPr="008E1461">
        <w:rPr>
          <w:rFonts w:ascii="Times New Roman" w:eastAsia="Times New Roman" w:hAnsi="Times New Roman" w:cs="Times New Roman"/>
          <w:b/>
          <w:bCs/>
          <w:color w:val="1F3864"/>
          <w:sz w:val="28"/>
          <w:szCs w:val="28"/>
        </w:rPr>
        <w:t>(Supplementary Material)</w:t>
      </w:r>
    </w:p>
    <w:p w14:paraId="7F33ADDB" w14:textId="77777777" w:rsidR="008E1461" w:rsidRPr="008E1461" w:rsidRDefault="008E1461" w:rsidP="008E1461">
      <w:pPr>
        <w:spacing w:after="0"/>
        <w:jc w:val="center"/>
        <w:rPr>
          <w:rFonts w:ascii="Times New Roman" w:eastAsia="Times New Roman" w:hAnsi="Times New Roman" w:cs="Times New Roman"/>
          <w:b/>
          <w:bCs/>
          <w:color w:val="1F3864"/>
          <w:sz w:val="28"/>
          <w:szCs w:val="28"/>
        </w:rPr>
      </w:pPr>
    </w:p>
    <w:p w14:paraId="7CA1A2D1" w14:textId="77777777" w:rsidR="008E1461" w:rsidRPr="008E1461" w:rsidRDefault="008E1461" w:rsidP="008E1461">
      <w:pPr>
        <w:spacing w:after="0"/>
        <w:jc w:val="center"/>
        <w:rPr>
          <w:rFonts w:ascii="Times New Roman" w:eastAsia="Times New Roman" w:hAnsi="Times New Roman" w:cs="Times New Roman"/>
          <w:b/>
          <w:bCs/>
          <w:color w:val="1F3864"/>
          <w:sz w:val="28"/>
          <w:szCs w:val="28"/>
        </w:rPr>
      </w:pPr>
      <w:r w:rsidRPr="008E1461">
        <w:rPr>
          <w:rFonts w:ascii="Times New Roman" w:eastAsia="Times New Roman" w:hAnsi="Times New Roman" w:cs="Times New Roman"/>
          <w:b/>
          <w:bCs/>
          <w:color w:val="1F3864"/>
          <w:sz w:val="28"/>
          <w:szCs w:val="28"/>
        </w:rPr>
        <w:t xml:space="preserve">TABLE S1. Review of literature </w:t>
      </w:r>
    </w:p>
    <w:p w14:paraId="5FF01A4B" w14:textId="77777777" w:rsidR="008E1461" w:rsidRPr="008E1461" w:rsidRDefault="008E1461" w:rsidP="008E1461">
      <w:pPr>
        <w:spacing w:after="0"/>
        <w:rPr>
          <w:rFonts w:ascii="Times New Roman" w:eastAsia="Times New Roman" w:hAnsi="Times New Roman" w:cs="Times New Roman"/>
          <w:sz w:val="20"/>
          <w:szCs w:val="20"/>
        </w:rPr>
      </w:pPr>
    </w:p>
    <w:tbl>
      <w:tblPr>
        <w:tblStyle w:val="GridTable1Light1"/>
        <w:tblW w:w="4997" w:type="pct"/>
        <w:tblLook w:val="04A0" w:firstRow="1" w:lastRow="0" w:firstColumn="1" w:lastColumn="0" w:noHBand="0" w:noVBand="1"/>
      </w:tblPr>
      <w:tblGrid>
        <w:gridCol w:w="2384"/>
        <w:gridCol w:w="1874"/>
        <w:gridCol w:w="4259"/>
      </w:tblGrid>
      <w:tr w:rsidR="008E1461" w:rsidRPr="008E1461" w14:paraId="1B8DB306" w14:textId="77777777" w:rsidTr="005417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pct"/>
          </w:tcPr>
          <w:p w14:paraId="192D9E84" w14:textId="77777777" w:rsidR="008E1461" w:rsidRPr="008E1461" w:rsidRDefault="008E1461" w:rsidP="008E1461">
            <w:pPr>
              <w:spacing w:before="60" w:after="60"/>
              <w:rPr>
                <w:rFonts w:ascii="Times New Roman" w:eastAsia="Times New Roman" w:hAnsi="Times New Roman"/>
                <w:sz w:val="20"/>
                <w:szCs w:val="20"/>
              </w:rPr>
            </w:pPr>
            <w:r w:rsidRPr="008E1461">
              <w:rPr>
                <w:rFonts w:ascii="Times New Roman" w:eastAsia="Times New Roman" w:hAnsi="Times New Roman"/>
                <w:sz w:val="20"/>
                <w:szCs w:val="20"/>
              </w:rPr>
              <w:t>Study (Author, Year)</w:t>
            </w:r>
          </w:p>
        </w:tc>
        <w:tc>
          <w:tcPr>
            <w:tcW w:w="1100" w:type="pct"/>
          </w:tcPr>
          <w:p w14:paraId="0626FDAE" w14:textId="77777777" w:rsidR="008E1461" w:rsidRPr="008E1461" w:rsidRDefault="008E1461" w:rsidP="008E1461">
            <w:pPr>
              <w:spacing w:before="60" w:after="6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Country / Setting</w:t>
            </w:r>
          </w:p>
        </w:tc>
        <w:tc>
          <w:tcPr>
            <w:tcW w:w="2500" w:type="pct"/>
          </w:tcPr>
          <w:p w14:paraId="20DEB9E1" w14:textId="77777777" w:rsidR="008E1461" w:rsidRPr="008E1461" w:rsidRDefault="008E1461" w:rsidP="008E1461">
            <w:pPr>
              <w:spacing w:before="60" w:after="6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Reason for Exclusion</w:t>
            </w:r>
          </w:p>
        </w:tc>
      </w:tr>
      <w:tr w:rsidR="008E1461" w:rsidRPr="008E1461" w14:paraId="647D6637"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2619AF32"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Almeida et al. (2019)</w:t>
            </w:r>
          </w:p>
        </w:tc>
        <w:tc>
          <w:tcPr>
            <w:tcW w:w="1100" w:type="pct"/>
          </w:tcPr>
          <w:p w14:paraId="4262C59D"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Brazil / Primary Care</w:t>
            </w:r>
          </w:p>
        </w:tc>
        <w:tc>
          <w:tcPr>
            <w:tcW w:w="2500" w:type="pct"/>
          </w:tcPr>
          <w:p w14:paraId="6243F791"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Pharmacotherapy-only intervention; no community-based component</w:t>
            </w:r>
          </w:p>
        </w:tc>
      </w:tr>
      <w:tr w:rsidR="008E1461" w:rsidRPr="008E1461" w14:paraId="007F3E46"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39C74571"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Barrett &amp; Thompson (2021)</w:t>
            </w:r>
          </w:p>
        </w:tc>
        <w:tc>
          <w:tcPr>
            <w:tcW w:w="1100" w:type="pct"/>
          </w:tcPr>
          <w:p w14:paraId="2CBFC463"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USA / Hospital</w:t>
            </w:r>
          </w:p>
        </w:tc>
        <w:tc>
          <w:tcPr>
            <w:tcW w:w="2500" w:type="pct"/>
          </w:tcPr>
          <w:p w14:paraId="53DDD69E"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Hospital inpatient setting; excluded as purely clinical intervention</w:t>
            </w:r>
          </w:p>
        </w:tc>
      </w:tr>
      <w:tr w:rsidR="008E1461" w:rsidRPr="008E1461" w14:paraId="54825F71"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2C84B2DC"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Chang et al. (2020)</w:t>
            </w:r>
          </w:p>
        </w:tc>
        <w:tc>
          <w:tcPr>
            <w:tcW w:w="1100" w:type="pct"/>
          </w:tcPr>
          <w:p w14:paraId="79CE7AEF"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China / School</w:t>
            </w:r>
          </w:p>
        </w:tc>
        <w:tc>
          <w:tcPr>
            <w:tcW w:w="2500" w:type="pct"/>
          </w:tcPr>
          <w:p w14:paraId="014F2671"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Target population exclusively children under 18 years; no adult component</w:t>
            </w:r>
          </w:p>
        </w:tc>
      </w:tr>
      <w:tr w:rsidR="008E1461" w:rsidRPr="008E1461" w14:paraId="174DF70E"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28945A34"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Durand et al. (2018)</w:t>
            </w:r>
          </w:p>
        </w:tc>
        <w:tc>
          <w:tcPr>
            <w:tcW w:w="1100" w:type="pct"/>
          </w:tcPr>
          <w:p w14:paraId="5E554E43"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France / Community</w:t>
            </w:r>
          </w:p>
        </w:tc>
        <w:tc>
          <w:tcPr>
            <w:tcW w:w="2500" w:type="pct"/>
          </w:tcPr>
          <w:p w14:paraId="09A84439"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Non-English language publication; no English translation available</w:t>
            </w:r>
          </w:p>
        </w:tc>
      </w:tr>
      <w:tr w:rsidR="008E1461" w:rsidRPr="008E1461" w14:paraId="779E9F0D"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250B9E58"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Ellis &amp; Patel (2022)</w:t>
            </w:r>
          </w:p>
        </w:tc>
        <w:tc>
          <w:tcPr>
            <w:tcW w:w="1100" w:type="pct"/>
          </w:tcPr>
          <w:p w14:paraId="49C649AB"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UK / Primary Care</w:t>
            </w:r>
          </w:p>
        </w:tc>
        <w:tc>
          <w:tcPr>
            <w:tcW w:w="2500" w:type="pct"/>
          </w:tcPr>
          <w:p w14:paraId="57050BB2"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Follow-up period less than 3 months (8 weeks only)</w:t>
            </w:r>
          </w:p>
        </w:tc>
      </w:tr>
      <w:tr w:rsidR="008E1461" w:rsidRPr="008E1461" w14:paraId="5B9B7EBB"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1B48AB70"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Ferreira et al. (2021)</w:t>
            </w:r>
          </w:p>
        </w:tc>
        <w:tc>
          <w:tcPr>
            <w:tcW w:w="1100" w:type="pct"/>
          </w:tcPr>
          <w:p w14:paraId="4DE5A8F3"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Portugal / Community</w:t>
            </w:r>
          </w:p>
        </w:tc>
        <w:tc>
          <w:tcPr>
            <w:tcW w:w="2500" w:type="pct"/>
          </w:tcPr>
          <w:p w14:paraId="7E8F5421"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Sample size below minimum threshold (&lt;30 participants; n=24 at baseline)</w:t>
            </w:r>
          </w:p>
        </w:tc>
      </w:tr>
      <w:tr w:rsidR="008E1461" w:rsidRPr="008E1461" w14:paraId="6459BBF8"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7759B8CD"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Gonzalez et al. (2019)</w:t>
            </w:r>
          </w:p>
        </w:tc>
        <w:tc>
          <w:tcPr>
            <w:tcW w:w="1100" w:type="pct"/>
          </w:tcPr>
          <w:p w14:paraId="48138DC1"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Mexico / Workplace</w:t>
            </w:r>
          </w:p>
        </w:tc>
        <w:tc>
          <w:tcPr>
            <w:tcW w:w="2500" w:type="pct"/>
          </w:tcPr>
          <w:p w14:paraId="3131F390"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Intervention focused exclusively on existing hypertension management; no primary prevention aim</w:t>
            </w:r>
          </w:p>
        </w:tc>
      </w:tr>
      <w:tr w:rsidR="008E1461" w:rsidRPr="008E1461" w14:paraId="61007331"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618CFF12"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Hassan et al. (2020)</w:t>
            </w:r>
          </w:p>
        </w:tc>
        <w:tc>
          <w:tcPr>
            <w:tcW w:w="1100" w:type="pct"/>
          </w:tcPr>
          <w:p w14:paraId="7922378B"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Nigeria / Community</w:t>
            </w:r>
          </w:p>
        </w:tc>
        <w:tc>
          <w:tcPr>
            <w:tcW w:w="2500" w:type="pct"/>
          </w:tcPr>
          <w:p w14:paraId="30B9BFD1"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Observational cross-sectional design without comparison group</w:t>
            </w:r>
          </w:p>
        </w:tc>
      </w:tr>
      <w:tr w:rsidR="008E1461" w:rsidRPr="008E1461" w14:paraId="1E8420ED"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694FF677"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Inoue &amp; Tanaka (2022)</w:t>
            </w:r>
          </w:p>
        </w:tc>
        <w:tc>
          <w:tcPr>
            <w:tcW w:w="1100" w:type="pct"/>
          </w:tcPr>
          <w:p w14:paraId="3BAF2100"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Japan / Hospital</w:t>
            </w:r>
          </w:p>
        </w:tc>
        <w:tc>
          <w:tcPr>
            <w:tcW w:w="2500" w:type="pct"/>
          </w:tcPr>
          <w:p w14:paraId="4891DACF"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 xml:space="preserve">Cardiovascular rehabilitation </w:t>
            </w:r>
            <w:proofErr w:type="spellStart"/>
            <w:r w:rsidRPr="008E1461">
              <w:rPr>
                <w:rFonts w:ascii="Times New Roman" w:eastAsia="Times New Roman" w:hAnsi="Times New Roman"/>
                <w:sz w:val="20"/>
                <w:szCs w:val="20"/>
              </w:rPr>
              <w:t>programme</w:t>
            </w:r>
            <w:proofErr w:type="spellEnd"/>
            <w:r w:rsidRPr="008E1461">
              <w:rPr>
                <w:rFonts w:ascii="Times New Roman" w:eastAsia="Times New Roman" w:hAnsi="Times New Roman"/>
                <w:sz w:val="20"/>
                <w:szCs w:val="20"/>
              </w:rPr>
              <w:t>; excluded as medical-specific intervention</w:t>
            </w:r>
          </w:p>
        </w:tc>
      </w:tr>
      <w:tr w:rsidR="008E1461" w:rsidRPr="008E1461" w14:paraId="40739817"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4DEFE2E3"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Jensen et al. (2021)</w:t>
            </w:r>
          </w:p>
        </w:tc>
        <w:tc>
          <w:tcPr>
            <w:tcW w:w="1100" w:type="pct"/>
          </w:tcPr>
          <w:p w14:paraId="06E0008D"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Denmark / Primary Care</w:t>
            </w:r>
          </w:p>
        </w:tc>
        <w:tc>
          <w:tcPr>
            <w:tcW w:w="2500" w:type="pct"/>
          </w:tcPr>
          <w:p w14:paraId="5A81CBC8"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Non-English language publication (Danish)</w:t>
            </w:r>
          </w:p>
        </w:tc>
      </w:tr>
      <w:tr w:rsidR="008E1461" w:rsidRPr="008E1461" w14:paraId="5CE238DA"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2D9E7B6E"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Kim et al. (2019)</w:t>
            </w:r>
          </w:p>
        </w:tc>
        <w:tc>
          <w:tcPr>
            <w:tcW w:w="1100" w:type="pct"/>
          </w:tcPr>
          <w:p w14:paraId="33F1F2F8"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South Korea / Workplace</w:t>
            </w:r>
          </w:p>
        </w:tc>
        <w:tc>
          <w:tcPr>
            <w:tcW w:w="2500" w:type="pct"/>
          </w:tcPr>
          <w:p w14:paraId="6402DCEC"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Outcomes limited to cost data only; no health outcome measures reported</w:t>
            </w:r>
          </w:p>
        </w:tc>
      </w:tr>
      <w:tr w:rsidR="008E1461" w:rsidRPr="008E1461" w14:paraId="4F954B73"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6DABEB58"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Lopes et al. (2020)</w:t>
            </w:r>
          </w:p>
        </w:tc>
        <w:tc>
          <w:tcPr>
            <w:tcW w:w="1100" w:type="pct"/>
          </w:tcPr>
          <w:p w14:paraId="77707B3D"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Brazil / Community</w:t>
            </w:r>
          </w:p>
        </w:tc>
        <w:tc>
          <w:tcPr>
            <w:tcW w:w="2500" w:type="pct"/>
          </w:tcPr>
          <w:p w14:paraId="3134BF22"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Study exclusively enrolled pregnant women; excluded per eligibility criteria</w:t>
            </w:r>
          </w:p>
        </w:tc>
      </w:tr>
      <w:tr w:rsidR="008E1461" w:rsidRPr="008E1461" w14:paraId="277834BC"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2D7C5B49"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Martin &amp; Davies (2022)</w:t>
            </w:r>
          </w:p>
        </w:tc>
        <w:tc>
          <w:tcPr>
            <w:tcW w:w="1100" w:type="pct"/>
          </w:tcPr>
          <w:p w14:paraId="16C6D790"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UK / School</w:t>
            </w:r>
          </w:p>
        </w:tc>
        <w:tc>
          <w:tcPr>
            <w:tcW w:w="2500" w:type="pct"/>
          </w:tcPr>
          <w:p w14:paraId="65487332"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Target population exclusively adolescents under 18 years</w:t>
            </w:r>
          </w:p>
        </w:tc>
      </w:tr>
      <w:tr w:rsidR="008E1461" w:rsidRPr="008E1461" w14:paraId="28B2FE86"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498BD588"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Nguyen et al. (2021)</w:t>
            </w:r>
          </w:p>
        </w:tc>
        <w:tc>
          <w:tcPr>
            <w:tcW w:w="1100" w:type="pct"/>
          </w:tcPr>
          <w:p w14:paraId="148B95F4"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Vietnam / Primary Care</w:t>
            </w:r>
          </w:p>
        </w:tc>
        <w:tc>
          <w:tcPr>
            <w:tcW w:w="2500" w:type="pct"/>
          </w:tcPr>
          <w:p w14:paraId="4A04796C"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Non-English language publication (Vietnamese)</w:t>
            </w:r>
          </w:p>
        </w:tc>
      </w:tr>
      <w:tr w:rsidR="008E1461" w:rsidRPr="008E1461" w14:paraId="1A574D5F"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75DB2FCC" w14:textId="77777777" w:rsidR="008E1461" w:rsidRPr="008E1461" w:rsidRDefault="008E1461" w:rsidP="008E1461">
            <w:pPr>
              <w:spacing w:before="40" w:after="40"/>
              <w:rPr>
                <w:rFonts w:ascii="Times New Roman" w:eastAsia="Times New Roman" w:hAnsi="Times New Roman"/>
                <w:sz w:val="20"/>
                <w:szCs w:val="20"/>
              </w:rPr>
            </w:pPr>
            <w:proofErr w:type="spellStart"/>
            <w:r w:rsidRPr="008E1461">
              <w:rPr>
                <w:rFonts w:ascii="Times New Roman" w:eastAsia="Times New Roman" w:hAnsi="Times New Roman"/>
                <w:i/>
                <w:iCs/>
                <w:sz w:val="20"/>
                <w:szCs w:val="20"/>
              </w:rPr>
              <w:t>Osei</w:t>
            </w:r>
            <w:proofErr w:type="spellEnd"/>
            <w:r w:rsidRPr="008E1461">
              <w:rPr>
                <w:rFonts w:ascii="Times New Roman" w:eastAsia="Times New Roman" w:hAnsi="Times New Roman"/>
                <w:i/>
                <w:iCs/>
                <w:sz w:val="20"/>
                <w:szCs w:val="20"/>
              </w:rPr>
              <w:t xml:space="preserve"> et al. (2020)</w:t>
            </w:r>
          </w:p>
        </w:tc>
        <w:tc>
          <w:tcPr>
            <w:tcW w:w="1100" w:type="pct"/>
          </w:tcPr>
          <w:p w14:paraId="74C58C22"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Ghana / Community</w:t>
            </w:r>
          </w:p>
        </w:tc>
        <w:tc>
          <w:tcPr>
            <w:tcW w:w="2500" w:type="pct"/>
          </w:tcPr>
          <w:p w14:paraId="599DEB43"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Editorial/commentary article; no primary empirical data</w:t>
            </w:r>
          </w:p>
        </w:tc>
      </w:tr>
      <w:tr w:rsidR="008E1461" w:rsidRPr="008E1461" w14:paraId="0FCC1370"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223FFBCC"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Park et al. (2022)</w:t>
            </w:r>
          </w:p>
        </w:tc>
        <w:tc>
          <w:tcPr>
            <w:tcW w:w="1100" w:type="pct"/>
          </w:tcPr>
          <w:p w14:paraId="0BAB8320"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South Korea / Community</w:t>
            </w:r>
          </w:p>
        </w:tc>
        <w:tc>
          <w:tcPr>
            <w:tcW w:w="2500" w:type="pct"/>
          </w:tcPr>
          <w:p w14:paraId="4DD21713"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Before-and-after design with no concurrent comparison group</w:t>
            </w:r>
          </w:p>
        </w:tc>
      </w:tr>
      <w:tr w:rsidR="008E1461" w:rsidRPr="008E1461" w14:paraId="7DF2E8DB"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231279DE"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Rashid et al. (2019)</w:t>
            </w:r>
          </w:p>
        </w:tc>
        <w:tc>
          <w:tcPr>
            <w:tcW w:w="1100" w:type="pct"/>
          </w:tcPr>
          <w:p w14:paraId="16DA0CBF"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Pakistan / Hospital</w:t>
            </w:r>
          </w:p>
        </w:tc>
        <w:tc>
          <w:tcPr>
            <w:tcW w:w="2500" w:type="pct"/>
          </w:tcPr>
          <w:p w14:paraId="4627BFB9"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Hospital-based setting; purely clinical intervention without community component</w:t>
            </w:r>
          </w:p>
        </w:tc>
      </w:tr>
      <w:tr w:rsidR="008E1461" w:rsidRPr="008E1461" w14:paraId="6A29A534"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6ADC12CA" w14:textId="77777777" w:rsidR="008E1461" w:rsidRPr="008E1461" w:rsidRDefault="008E1461" w:rsidP="008E1461">
            <w:pPr>
              <w:spacing w:before="40" w:after="40"/>
              <w:rPr>
                <w:rFonts w:ascii="Times New Roman" w:eastAsia="Times New Roman" w:hAnsi="Times New Roman"/>
                <w:sz w:val="20"/>
                <w:szCs w:val="20"/>
              </w:rPr>
            </w:pPr>
            <w:proofErr w:type="spellStart"/>
            <w:r w:rsidRPr="008E1461">
              <w:rPr>
                <w:rFonts w:ascii="Times New Roman" w:eastAsia="Times New Roman" w:hAnsi="Times New Roman"/>
                <w:i/>
                <w:iCs/>
                <w:sz w:val="20"/>
                <w:szCs w:val="20"/>
              </w:rPr>
              <w:t>Silveira</w:t>
            </w:r>
            <w:proofErr w:type="spellEnd"/>
            <w:r w:rsidRPr="008E1461">
              <w:rPr>
                <w:rFonts w:ascii="Times New Roman" w:eastAsia="Times New Roman" w:hAnsi="Times New Roman"/>
                <w:i/>
                <w:iCs/>
                <w:sz w:val="20"/>
                <w:szCs w:val="20"/>
              </w:rPr>
              <w:t xml:space="preserve"> et al. (2021)</w:t>
            </w:r>
          </w:p>
        </w:tc>
        <w:tc>
          <w:tcPr>
            <w:tcW w:w="1100" w:type="pct"/>
          </w:tcPr>
          <w:p w14:paraId="17C9CBB1"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Brazil / Community</w:t>
            </w:r>
          </w:p>
        </w:tc>
        <w:tc>
          <w:tcPr>
            <w:tcW w:w="2500" w:type="pct"/>
          </w:tcPr>
          <w:p w14:paraId="339805F7"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Sample size &lt;30 (n=19 completers due to high attrition)</w:t>
            </w:r>
          </w:p>
        </w:tc>
      </w:tr>
      <w:tr w:rsidR="008E1461" w:rsidRPr="008E1461" w14:paraId="204F68C5"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5AB398E0"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Torres et al. (2020)</w:t>
            </w:r>
          </w:p>
        </w:tc>
        <w:tc>
          <w:tcPr>
            <w:tcW w:w="1100" w:type="pct"/>
          </w:tcPr>
          <w:p w14:paraId="36FCB32D"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Colombia / Workplace</w:t>
            </w:r>
          </w:p>
        </w:tc>
        <w:tc>
          <w:tcPr>
            <w:tcW w:w="2500" w:type="pct"/>
          </w:tcPr>
          <w:p w14:paraId="17728B1C"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Follow-up period less than 3 months (10 weeks)</w:t>
            </w:r>
          </w:p>
        </w:tc>
      </w:tr>
      <w:tr w:rsidR="008E1461" w:rsidRPr="008E1461" w14:paraId="56F28984" w14:textId="77777777" w:rsidTr="005417A6">
        <w:tc>
          <w:tcPr>
            <w:cnfStyle w:val="001000000000" w:firstRow="0" w:lastRow="0" w:firstColumn="1" w:lastColumn="0" w:oddVBand="0" w:evenVBand="0" w:oddHBand="0" w:evenHBand="0" w:firstRowFirstColumn="0" w:firstRowLastColumn="0" w:lastRowFirstColumn="0" w:lastRowLastColumn="0"/>
            <w:tcW w:w="1400" w:type="pct"/>
          </w:tcPr>
          <w:p w14:paraId="21731EDE" w14:textId="77777777" w:rsidR="008E1461" w:rsidRPr="008E1461" w:rsidRDefault="008E1461" w:rsidP="008E1461">
            <w:pPr>
              <w:spacing w:before="40" w:after="40"/>
              <w:rPr>
                <w:rFonts w:ascii="Times New Roman" w:eastAsia="Times New Roman" w:hAnsi="Times New Roman"/>
                <w:sz w:val="20"/>
                <w:szCs w:val="20"/>
              </w:rPr>
            </w:pPr>
            <w:r w:rsidRPr="008E1461">
              <w:rPr>
                <w:rFonts w:ascii="Times New Roman" w:eastAsia="Times New Roman" w:hAnsi="Times New Roman"/>
                <w:i/>
                <w:iCs/>
                <w:sz w:val="20"/>
                <w:szCs w:val="20"/>
              </w:rPr>
              <w:t>Walsh &amp; O'Brien (2023)</w:t>
            </w:r>
          </w:p>
        </w:tc>
        <w:tc>
          <w:tcPr>
            <w:tcW w:w="1100" w:type="pct"/>
          </w:tcPr>
          <w:p w14:paraId="5873E132" w14:textId="77777777" w:rsidR="008E1461" w:rsidRPr="008E1461" w:rsidRDefault="008E1461" w:rsidP="008E14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Ireland / Community</w:t>
            </w:r>
          </w:p>
        </w:tc>
        <w:tc>
          <w:tcPr>
            <w:tcW w:w="2500" w:type="pct"/>
          </w:tcPr>
          <w:p w14:paraId="70931DFE" w14:textId="77777777" w:rsidR="008E1461" w:rsidRPr="008E1461" w:rsidRDefault="008E1461" w:rsidP="008E1461">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8E1461">
              <w:rPr>
                <w:rFonts w:ascii="Times New Roman" w:eastAsia="Times New Roman" w:hAnsi="Times New Roman"/>
                <w:sz w:val="20"/>
                <w:szCs w:val="20"/>
              </w:rPr>
              <w:t>Case report design; excluded per study design eligibility criterion</w:t>
            </w:r>
          </w:p>
        </w:tc>
      </w:tr>
    </w:tbl>
    <w:p w14:paraId="31926AB1" w14:textId="77777777" w:rsidR="008E1461" w:rsidRPr="008E1461" w:rsidRDefault="008E1461" w:rsidP="008E1461">
      <w:pPr>
        <w:spacing w:after="0"/>
        <w:rPr>
          <w:rFonts w:ascii="Times New Roman" w:eastAsia="Times New Roman" w:hAnsi="Times New Roman" w:cs="Times New Roman"/>
          <w:sz w:val="20"/>
          <w:szCs w:val="20"/>
        </w:rPr>
      </w:pPr>
    </w:p>
    <w:p w14:paraId="2FD96BF9" w14:textId="77777777" w:rsidR="001E64AB" w:rsidRDefault="001E64AB">
      <w:pPr>
        <w:pStyle w:val="BodyText"/>
        <w:jc w:val="both"/>
      </w:pPr>
      <w:bookmarkStart w:id="45" w:name="_GoBack"/>
      <w:bookmarkEnd w:id="45"/>
    </w:p>
    <w:sectPr w:rsidR="001E64A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F9431" w14:textId="77777777" w:rsidR="00212251" w:rsidRDefault="00212251" w:rsidP="00585D00">
      <w:pPr>
        <w:spacing w:after="0"/>
      </w:pPr>
      <w:r>
        <w:separator/>
      </w:r>
    </w:p>
  </w:endnote>
  <w:endnote w:type="continuationSeparator" w:id="0">
    <w:p w14:paraId="296097EA" w14:textId="77777777" w:rsidR="00212251" w:rsidRDefault="00212251" w:rsidP="00585D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A6E76" w14:textId="77777777" w:rsidR="00585D00" w:rsidRDefault="00585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816AA" w14:textId="77777777" w:rsidR="00585D00" w:rsidRDefault="00585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6152" w14:textId="77777777" w:rsidR="00585D00" w:rsidRDefault="00585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A610F" w14:textId="77777777" w:rsidR="00212251" w:rsidRDefault="00212251" w:rsidP="00585D00">
      <w:pPr>
        <w:spacing w:after="0"/>
      </w:pPr>
      <w:r>
        <w:separator/>
      </w:r>
    </w:p>
  </w:footnote>
  <w:footnote w:type="continuationSeparator" w:id="0">
    <w:p w14:paraId="4E419685" w14:textId="77777777" w:rsidR="00212251" w:rsidRDefault="00212251" w:rsidP="00585D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9AE3B" w14:textId="38F1E24F" w:rsidR="00585D00" w:rsidRDefault="00212251">
    <w:pPr>
      <w:pStyle w:val="Header"/>
    </w:pPr>
    <w:r>
      <w:rPr>
        <w:noProof/>
      </w:rPr>
      <w:pict w14:anchorId="6EC93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65922" o:spid="_x0000_s2050" type="#_x0000_t136" style="position:absolute;margin-left:0;margin-top:0;width:519.35pt;height:66.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D66B3" w14:textId="7C4BF3E4" w:rsidR="00585D00" w:rsidRDefault="00212251">
    <w:pPr>
      <w:pStyle w:val="Header"/>
    </w:pPr>
    <w:r>
      <w:rPr>
        <w:noProof/>
      </w:rPr>
      <w:pict w14:anchorId="598FC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65923" o:spid="_x0000_s2051" type="#_x0000_t136" style="position:absolute;margin-left:0;margin-top:0;width:519.35pt;height:66.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E9FC" w14:textId="4E5726BE" w:rsidR="00585D00" w:rsidRDefault="00212251">
    <w:pPr>
      <w:pStyle w:val="Header"/>
    </w:pPr>
    <w:r>
      <w:rPr>
        <w:noProof/>
      </w:rPr>
      <w:pict w14:anchorId="7F788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65921" o:spid="_x0000_s2049" type="#_x0000_t136" style="position:absolute;margin-left:0;margin-top:0;width:519.35pt;height:66.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 w15:restartNumberingAfterBreak="0">
    <w:nsid w:val="00000002"/>
    <w:multiLevelType w:val="multilevel"/>
    <w:tmpl w:val="FFFFFFFF"/>
    <w:lvl w:ilvl="0">
      <w:start w:val="1"/>
      <w:numFmt w:val="bullet"/>
      <w:lvlText w:val="•"/>
      <w:lvlJc w:val="left"/>
      <w:pPr>
        <w:ind w:left="720" w:hanging="480"/>
      </w:pPr>
    </w:lvl>
    <w:lvl w:ilvl="1">
      <w:start w:val="1"/>
      <w:numFmt w:val="bullet"/>
      <w:lvlText w:val="–"/>
      <w:lvlJc w:val="left"/>
      <w:pPr>
        <w:ind w:left="1440" w:hanging="480"/>
      </w:pPr>
    </w:lvl>
    <w:lvl w:ilvl="2">
      <w:start w:val="1"/>
      <w:numFmt w:val="bullet"/>
      <w:lvlText w:val="•"/>
      <w:lvlJc w:val="left"/>
      <w:pPr>
        <w:ind w:left="2160" w:hanging="480"/>
      </w:pPr>
    </w:lvl>
    <w:lvl w:ilvl="3">
      <w:start w:val="1"/>
      <w:numFmt w:val="bullet"/>
      <w:lvlText w:val="–"/>
      <w:lvlJc w:val="left"/>
      <w:pPr>
        <w:ind w:left="2880" w:hanging="480"/>
      </w:pPr>
    </w:lvl>
    <w:lvl w:ilvl="4">
      <w:start w:val="1"/>
      <w:numFmt w:val="bullet"/>
      <w:lvlText w:val="•"/>
      <w:lvlJc w:val="left"/>
      <w:pPr>
        <w:ind w:left="3600" w:hanging="480"/>
      </w:pPr>
    </w:lvl>
    <w:lvl w:ilvl="5">
      <w:start w:val="1"/>
      <w:numFmt w:val="bullet"/>
      <w:lvlText w:val="–"/>
      <w:lvlJc w:val="left"/>
      <w:pPr>
        <w:ind w:left="4320" w:hanging="480"/>
      </w:pPr>
    </w:lvl>
    <w:lvl w:ilvl="6">
      <w:start w:val="1"/>
      <w:numFmt w:val="bullet"/>
      <w:lvlText w:val="•"/>
      <w:lvlJc w:val="left"/>
      <w:pPr>
        <w:ind w:left="5040" w:hanging="480"/>
      </w:pPr>
    </w:lvl>
    <w:lvl w:ilvl="7">
      <w:start w:val="1"/>
      <w:numFmt w:val="bullet"/>
      <w:lvlText w:val="–"/>
      <w:lvlJc w:val="left"/>
      <w:pPr>
        <w:ind w:left="5760" w:hanging="480"/>
      </w:pPr>
    </w:lvl>
    <w:lvl w:ilvl="8">
      <w:start w:val="1"/>
      <w:numFmt w:val="bullet"/>
      <w:lvlText w:val="•"/>
      <w:lvlJc w:val="left"/>
      <w:pPr>
        <w:ind w:left="6480" w:hanging="480"/>
      </w:pPr>
    </w:lvl>
  </w:abstractNum>
  <w:abstractNum w:abstractNumId="2" w15:restartNumberingAfterBreak="0">
    <w:nsid w:val="00000003"/>
    <w:multiLevelType w:val="hybridMultilevel"/>
    <w:tmpl w:val="00000000"/>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36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36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360"/>
      </w:pPr>
    </w:lvl>
  </w:abstractNum>
  <w:abstractNum w:abstractNumId="3" w15:restartNumberingAfterBreak="0">
    <w:nsid w:val="00000004"/>
    <w:multiLevelType w:val="hybridMultilevel"/>
    <w:tmpl w:val="00000000"/>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15:restartNumberingAfterBreak="0">
    <w:nsid w:val="17A07B5E"/>
    <w:multiLevelType w:val="multilevel"/>
    <w:tmpl w:val="FFFFFFFF"/>
    <w:lvl w:ilvl="0">
      <w:start w:val="1"/>
      <w:numFmt w:val="bullet"/>
      <w:lvlText w:val=" "/>
      <w:lvlJc w:val="left"/>
      <w:pPr>
        <w:ind w:left="720" w:hanging="480"/>
      </w:pPr>
    </w:lvl>
    <w:lvl w:ilvl="1">
      <w:start w:val="1"/>
      <w:numFmt w:val="bullet"/>
      <w:lvlText w:val=" "/>
      <w:lvlJc w:val="left"/>
      <w:pPr>
        <w:ind w:left="1440" w:hanging="480"/>
      </w:pPr>
    </w:lvl>
    <w:lvl w:ilvl="2">
      <w:start w:val="1"/>
      <w:numFmt w:val="bullet"/>
      <w:lvlText w:val=" "/>
      <w:lvlJc w:val="left"/>
      <w:pPr>
        <w:ind w:left="2160" w:hanging="480"/>
      </w:pPr>
    </w:lvl>
    <w:lvl w:ilvl="3">
      <w:start w:val="1"/>
      <w:numFmt w:val="bullet"/>
      <w:lvlText w:val=" "/>
      <w:lvlJc w:val="left"/>
      <w:pPr>
        <w:ind w:left="2880" w:hanging="480"/>
      </w:pPr>
    </w:lvl>
    <w:lvl w:ilvl="4">
      <w:start w:val="1"/>
      <w:numFmt w:val="bullet"/>
      <w:lvlText w:val=" "/>
      <w:lvlJc w:val="left"/>
      <w:pPr>
        <w:ind w:left="3600" w:hanging="480"/>
      </w:pPr>
    </w:lvl>
    <w:lvl w:ilvl="5">
      <w:start w:val="1"/>
      <w:numFmt w:val="bullet"/>
      <w:lvlText w:val=" "/>
      <w:lvlJc w:val="left"/>
      <w:pPr>
        <w:ind w:left="4320" w:hanging="480"/>
      </w:pPr>
    </w:lvl>
    <w:lvl w:ilvl="6">
      <w:start w:val="1"/>
      <w:numFmt w:val="bullet"/>
      <w:lvlText w:val=" "/>
      <w:lvlJc w:val="left"/>
      <w:pPr>
        <w:ind w:left="5040" w:hanging="480"/>
      </w:pPr>
    </w:lvl>
    <w:lvl w:ilvl="7">
      <w:start w:val="1"/>
      <w:numFmt w:val="bullet"/>
      <w:lvlText w:val=" "/>
      <w:lvlJc w:val="left"/>
      <w:pPr>
        <w:ind w:left="5760" w:hanging="480"/>
      </w:pPr>
    </w:lvl>
    <w:lvl w:ilvl="8">
      <w:start w:val="1"/>
      <w:numFmt w:val="bullet"/>
      <w:lvlText w:val=" "/>
      <w:lvlJc w:val="left"/>
      <w:pPr>
        <w:ind w:left="648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E64AB"/>
    <w:rsid w:val="000271FC"/>
    <w:rsid w:val="00036A6B"/>
    <w:rsid w:val="000B3CF2"/>
    <w:rsid w:val="000F780B"/>
    <w:rsid w:val="001A2C15"/>
    <w:rsid w:val="001D4C77"/>
    <w:rsid w:val="001E4082"/>
    <w:rsid w:val="001E64AB"/>
    <w:rsid w:val="002033C6"/>
    <w:rsid w:val="00212251"/>
    <w:rsid w:val="00215631"/>
    <w:rsid w:val="002A3674"/>
    <w:rsid w:val="002F11EB"/>
    <w:rsid w:val="003821DC"/>
    <w:rsid w:val="004C29EA"/>
    <w:rsid w:val="00573C78"/>
    <w:rsid w:val="00585D00"/>
    <w:rsid w:val="006024D1"/>
    <w:rsid w:val="007977B9"/>
    <w:rsid w:val="00820EF9"/>
    <w:rsid w:val="00853B98"/>
    <w:rsid w:val="008808F7"/>
    <w:rsid w:val="008A544E"/>
    <w:rsid w:val="008E1461"/>
    <w:rsid w:val="00993B19"/>
    <w:rsid w:val="009B5B52"/>
    <w:rsid w:val="00A57E04"/>
    <w:rsid w:val="00A93CAD"/>
    <w:rsid w:val="00B04D34"/>
    <w:rsid w:val="00B65052"/>
    <w:rsid w:val="00BC50C9"/>
    <w:rsid w:val="00DB789E"/>
    <w:rsid w:val="00E13E4E"/>
    <w:rsid w:val="00E74343"/>
    <w:rsid w:val="00FA7D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E92281"/>
  <w15:docId w15:val="{485E2A6D-E55F-410C-BFA4-37983148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SimSu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uiPriority w:val="10"/>
    <w:qFormat/>
    <w:pPr>
      <w:keepNext/>
      <w:keepLines/>
      <w:spacing w:before="480" w:after="240"/>
      <w:jc w:val="center"/>
    </w:pPr>
    <w:rPr>
      <w:rFonts w:ascii="Calibri" w:eastAsia="SimSun" w:hAnsi="Calibri"/>
      <w:b/>
      <w:bCs/>
      <w:color w:val="345A8A"/>
      <w:sz w:val="36"/>
      <w:szCs w:val="36"/>
    </w:rPr>
  </w:style>
  <w:style w:type="paragraph" w:styleId="Subtitle">
    <w:name w:val="Subtitle"/>
    <w:basedOn w:val="Title"/>
    <w:next w:val="BodyText"/>
    <w:uiPriority w:val="11"/>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customStyle="1" w:styleId="Heading11">
    <w:name w:val="Heading 11"/>
    <w:basedOn w:val="Normal"/>
    <w:next w:val="BodyText"/>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BodyText"/>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BodyText"/>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BodyText"/>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BodyText"/>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BodyText"/>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BodyText"/>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BodyText"/>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BodyText"/>
    <w:uiPriority w:val="9"/>
    <w:qFormat/>
    <w:pPr>
      <w:keepNext/>
      <w:keepLines/>
      <w:spacing w:before="200" w:after="0"/>
      <w:outlineLvl w:val="8"/>
    </w:pPr>
    <w:rPr>
      <w:rFonts w:ascii="Calibri" w:eastAsia="SimSun" w:hAnsi="Calibri"/>
      <w:color w:val="4F81BD"/>
    </w:rPr>
  </w:style>
  <w:style w:type="paragraph" w:styleId="BlockText">
    <w:name w:val="Block Text"/>
    <w:basedOn w:val="BodyText"/>
    <w:next w:val="BodyText"/>
    <w:uiPriority w:val="9"/>
    <w:qFormat/>
    <w:pPr>
      <w:spacing w:before="100" w:after="100"/>
      <w:ind w:left="480" w:right="480"/>
    </w:pPr>
  </w:style>
  <w:style w:type="paragraph" w:customStyle="1" w:styleId="FootnoteText1">
    <w:name w:val="Footnote Text1"/>
    <w:basedOn w:val="Normal"/>
    <w:uiPriority w:val="9"/>
    <w:qFormat/>
  </w:style>
  <w:style w:type="table" w:customStyle="1" w:styleId="Table">
    <w:name w:val="Table"/>
    <w:qFormat/>
    <w:tblPr>
      <w:tblInd w:w="0" w:type="dxa"/>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customStyle="1" w:styleId="Caption1">
    <w:name w:val="Caption1"/>
    <w:basedOn w:val="Normal"/>
    <w:link w:val="BodyTextChar"/>
    <w:pPr>
      <w:spacing w:after="120"/>
    </w:pPr>
    <w:rPr>
      <w:i/>
    </w:rPr>
  </w:style>
  <w:style w:type="paragraph" w:customStyle="1" w:styleId="TableCaption">
    <w:name w:val="Table Caption"/>
    <w:basedOn w:val="Caption1"/>
    <w:pPr>
      <w:keepNext/>
    </w:pPr>
  </w:style>
  <w:style w:type="paragraph" w:customStyle="1" w:styleId="ImageCaption">
    <w:name w:val="Image Caption"/>
    <w:basedOn w:val="Caption1"/>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Caption1"/>
  </w:style>
  <w:style w:type="character" w:customStyle="1" w:styleId="VerbatimChar">
    <w:name w:val="Verbatim Char"/>
    <w:basedOn w:val="BodyTextChar"/>
    <w:link w:val="SourceCode"/>
    <w:rPr>
      <w:rFonts w:ascii="Consolas" w:hAnsi="Consolas"/>
      <w:sz w:val="22"/>
    </w:rPr>
  </w:style>
  <w:style w:type="character" w:customStyle="1" w:styleId="SectionNumber">
    <w:name w:val="Section Number"/>
    <w:basedOn w:val="BodyTextChar"/>
  </w:style>
  <w:style w:type="character" w:customStyle="1" w:styleId="FootnoteReference1">
    <w:name w:val="Footnote Reference1"/>
    <w:basedOn w:val="BodyTextChar"/>
    <w:rPr>
      <w:vertAlign w:val="superscript"/>
    </w:rPr>
  </w:style>
  <w:style w:type="character" w:styleId="Hyperlink">
    <w:name w:val="Hyperlink"/>
    <w:basedOn w:val="BodyTextChar"/>
    <w:rPr>
      <w:color w:val="4F81BD"/>
    </w:rPr>
  </w:style>
  <w:style w:type="paragraph" w:styleId="TOCHeading">
    <w:name w:val="TOC Heading"/>
    <w:basedOn w:val="Heading11"/>
    <w:next w:val="BodyText"/>
    <w:uiPriority w:val="39"/>
    <w:qFormat/>
    <w:pPr>
      <w:spacing w:before="240" w:line="259" w:lineRule="auto"/>
      <w:outlineLvl w:val="9"/>
    </w:pPr>
    <w:rPr>
      <w:b w:val="0"/>
      <w:bCs w:val="0"/>
      <w:color w:val="365F9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A93CAD"/>
    <w:rPr>
      <w:color w:val="605E5C"/>
      <w:shd w:val="clear" w:color="auto" w:fill="E1DFDD"/>
    </w:rPr>
  </w:style>
  <w:style w:type="paragraph" w:styleId="Header">
    <w:name w:val="header"/>
    <w:basedOn w:val="Normal"/>
    <w:link w:val="HeaderChar"/>
    <w:uiPriority w:val="99"/>
    <w:unhideWhenUsed/>
    <w:rsid w:val="00585D00"/>
    <w:pPr>
      <w:tabs>
        <w:tab w:val="center" w:pos="4680"/>
        <w:tab w:val="right" w:pos="9360"/>
      </w:tabs>
      <w:spacing w:after="0"/>
    </w:pPr>
  </w:style>
  <w:style w:type="character" w:customStyle="1" w:styleId="HeaderChar">
    <w:name w:val="Header Char"/>
    <w:basedOn w:val="DefaultParagraphFont"/>
    <w:link w:val="Header"/>
    <w:uiPriority w:val="99"/>
    <w:rsid w:val="00585D00"/>
  </w:style>
  <w:style w:type="paragraph" w:styleId="Footer">
    <w:name w:val="footer"/>
    <w:basedOn w:val="Normal"/>
    <w:link w:val="FooterChar"/>
    <w:uiPriority w:val="99"/>
    <w:unhideWhenUsed/>
    <w:rsid w:val="00585D00"/>
    <w:pPr>
      <w:tabs>
        <w:tab w:val="center" w:pos="4680"/>
        <w:tab w:val="right" w:pos="9360"/>
      </w:tabs>
      <w:spacing w:after="0"/>
    </w:pPr>
  </w:style>
  <w:style w:type="character" w:customStyle="1" w:styleId="FooterChar">
    <w:name w:val="Footer Char"/>
    <w:basedOn w:val="DefaultParagraphFont"/>
    <w:link w:val="Footer"/>
    <w:uiPriority w:val="99"/>
    <w:rsid w:val="00585D00"/>
  </w:style>
  <w:style w:type="paragraph" w:styleId="NormalWeb">
    <w:name w:val="Normal (Web)"/>
    <w:basedOn w:val="Normal"/>
    <w:uiPriority w:val="99"/>
    <w:semiHidden/>
    <w:unhideWhenUsed/>
    <w:rsid w:val="00993B19"/>
    <w:pPr>
      <w:spacing w:before="100" w:beforeAutospacing="1" w:after="100" w:afterAutospacing="1"/>
    </w:pPr>
    <w:rPr>
      <w:rFonts w:ascii="Times New Roman" w:eastAsia="Times New Roman" w:hAnsi="Times New Roman" w:cs="Times New Roman"/>
    </w:rPr>
  </w:style>
  <w:style w:type="character" w:customStyle="1" w:styleId="url">
    <w:name w:val="url"/>
    <w:basedOn w:val="DefaultParagraphFont"/>
    <w:rsid w:val="00993B19"/>
  </w:style>
  <w:style w:type="table" w:customStyle="1" w:styleId="GridTable1Light1">
    <w:name w:val="Grid Table 1 Light1"/>
    <w:basedOn w:val="TableNormal"/>
    <w:next w:val="GridTable1Light"/>
    <w:uiPriority w:val="46"/>
    <w:rsid w:val="008E1461"/>
    <w:pPr>
      <w:spacing w:after="0"/>
    </w:pPr>
    <w:rPr>
      <w:rFonts w:ascii="Calibri" w:eastAsia="Calibri" w:hAnsi="Calibri" w:cs="Times New Roman"/>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8E146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55457">
      <w:bodyDiv w:val="1"/>
      <w:marLeft w:val="0"/>
      <w:marRight w:val="0"/>
      <w:marTop w:val="0"/>
      <w:marBottom w:val="0"/>
      <w:divBdr>
        <w:top w:val="none" w:sz="0" w:space="0" w:color="auto"/>
        <w:left w:val="none" w:sz="0" w:space="0" w:color="auto"/>
        <w:bottom w:val="none" w:sz="0" w:space="0" w:color="auto"/>
        <w:right w:val="none" w:sz="0" w:space="0" w:color="auto"/>
      </w:divBdr>
      <w:divsChild>
        <w:div w:id="1341273082">
          <w:marLeft w:val="-720"/>
          <w:marRight w:val="0"/>
          <w:marTop w:val="0"/>
          <w:marBottom w:val="0"/>
          <w:divBdr>
            <w:top w:val="none" w:sz="0" w:space="0" w:color="auto"/>
            <w:left w:val="none" w:sz="0" w:space="0" w:color="auto"/>
            <w:bottom w:val="none" w:sz="0" w:space="0" w:color="auto"/>
            <w:right w:val="none" w:sz="0" w:space="0" w:color="auto"/>
          </w:divBdr>
        </w:div>
      </w:divsChild>
    </w:div>
    <w:div w:id="926495963">
      <w:bodyDiv w:val="1"/>
      <w:marLeft w:val="0"/>
      <w:marRight w:val="0"/>
      <w:marTop w:val="0"/>
      <w:marBottom w:val="0"/>
      <w:divBdr>
        <w:top w:val="none" w:sz="0" w:space="0" w:color="auto"/>
        <w:left w:val="none" w:sz="0" w:space="0" w:color="auto"/>
        <w:bottom w:val="none" w:sz="0" w:space="0" w:color="auto"/>
        <w:right w:val="none" w:sz="0" w:space="0" w:color="auto"/>
      </w:divBdr>
      <w:divsChild>
        <w:div w:id="1372341871">
          <w:marLeft w:val="-720"/>
          <w:marRight w:val="0"/>
          <w:marTop w:val="0"/>
          <w:marBottom w:val="0"/>
          <w:divBdr>
            <w:top w:val="none" w:sz="0" w:space="0" w:color="auto"/>
            <w:left w:val="none" w:sz="0" w:space="0" w:color="auto"/>
            <w:bottom w:val="none" w:sz="0" w:space="0" w:color="auto"/>
            <w:right w:val="none" w:sz="0" w:space="0" w:color="auto"/>
          </w:divBdr>
        </w:div>
      </w:divsChild>
    </w:div>
    <w:div w:id="1711300009">
      <w:bodyDiv w:val="1"/>
      <w:marLeft w:val="0"/>
      <w:marRight w:val="0"/>
      <w:marTop w:val="0"/>
      <w:marBottom w:val="0"/>
      <w:divBdr>
        <w:top w:val="none" w:sz="0" w:space="0" w:color="auto"/>
        <w:left w:val="none" w:sz="0" w:space="0" w:color="auto"/>
        <w:bottom w:val="none" w:sz="0" w:space="0" w:color="auto"/>
        <w:right w:val="none" w:sz="0" w:space="0" w:color="auto"/>
      </w:divBdr>
      <w:divsChild>
        <w:div w:id="1830244804">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105/ajph.93.3.38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30</Pages>
  <Words>11212</Words>
  <Characters>63913</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CPU 1117</cp:lastModifiedBy>
  <cp:revision>11</cp:revision>
  <dcterms:created xsi:type="dcterms:W3CDTF">1970-01-01T00:00:00Z</dcterms:created>
  <dcterms:modified xsi:type="dcterms:W3CDTF">2026-04-07T10:12:00Z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06bbda2c975f4dc6ad522ff3dcff2258</vt:lpwstr>
  </property>
</Properties>
</file>