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40BB" w:rsidRDefault="003F04AE">
      <w:pPr>
        <w:widowControl w:val="0"/>
        <w:pBdr>
          <w:top w:val="nil"/>
          <w:left w:val="nil"/>
          <w:bottom w:val="nil"/>
          <w:right w:val="nil"/>
          <w:between w:val="nil"/>
        </w:pBdr>
      </w:pPr>
      <w:r>
        <w:pict w14:anchorId="05A39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70C32AAE">
          <v:shape id="_x0000_s1027" type="#_x0000_t136" style="position:absolute;margin-left:0;margin-top:0;width:50pt;height:50pt;z-index:251657728;visibility:hidden">
            <o:lock v:ext="edit" selection="t"/>
          </v:shape>
        </w:pict>
      </w:r>
      <w:r>
        <w:pict w14:anchorId="35C12A55">
          <v:shape id="_x0000_s1026" type="#_x0000_t136" style="position:absolute;margin-left:0;margin-top:0;width:50pt;height:50pt;z-index:251658752;visibility:hidden">
            <o:lock v:ext="edit" selection="t"/>
          </v:shape>
        </w:pict>
      </w:r>
    </w:p>
    <w:p w:rsidR="000240BB" w:rsidRDefault="003F04AE">
      <w:pPr>
        <w:jc w:val="center"/>
        <w:rPr>
          <w:rFonts w:ascii="Times New Roman" w:eastAsia="Times New Roman" w:hAnsi="Times New Roman" w:cs="Times New Roman"/>
          <w:b/>
          <w:bCs/>
          <w:sz w:val="28"/>
          <w:szCs w:val="28"/>
          <w:shd w:val="clear" w:color="auto" w:fill="FF9900"/>
        </w:rPr>
      </w:pPr>
      <w:r>
        <w:rPr>
          <w:rFonts w:ascii="Times New Roman" w:eastAsia="Times New Roman" w:hAnsi="Times New Roman" w:cs="Times New Roman"/>
          <w:b/>
          <w:bCs/>
          <w:sz w:val="28"/>
          <w:szCs w:val="28"/>
          <w:shd w:val="clear" w:color="auto" w:fill="FF9900"/>
        </w:rPr>
        <w:t>Review Article</w:t>
      </w:r>
    </w:p>
    <w:p w:rsidR="000240BB" w:rsidRDefault="000240BB">
      <w:pPr>
        <w:jc w:val="center"/>
        <w:rPr>
          <w:rFonts w:ascii="Times New Roman" w:eastAsia="Times New Roman" w:hAnsi="Times New Roman" w:cs="Times New Roman"/>
          <w:b/>
          <w:bCs/>
          <w:sz w:val="36"/>
          <w:szCs w:val="36"/>
        </w:rPr>
      </w:pPr>
    </w:p>
    <w:p w:rsidR="000240BB" w:rsidRDefault="003F04AE">
      <w:pPr>
        <w:pStyle w:val="Title"/>
        <w:jc w:val="center"/>
        <w:rPr>
          <w:rFonts w:ascii="Times New Roman" w:eastAsia="Times New Roman" w:hAnsi="Times New Roman" w:cs="Times New Roman"/>
          <w:b/>
          <w:bCs/>
          <w:sz w:val="36"/>
          <w:szCs w:val="36"/>
          <w:highlight w:val="white"/>
        </w:rPr>
      </w:pPr>
      <w:bookmarkStart w:id="0" w:name="_heading=h.5w0qbwb4k3zf" w:colFirst="0" w:colLast="0"/>
      <w:bookmarkEnd w:id="0"/>
      <w:r>
        <w:rPr>
          <w:rFonts w:ascii="Times New Roman" w:eastAsia="Times New Roman" w:hAnsi="Times New Roman" w:cs="Times New Roman"/>
          <w:b/>
          <w:bCs/>
          <w:sz w:val="36"/>
          <w:szCs w:val="36"/>
          <w:highlight w:val="white"/>
        </w:rPr>
        <w:t>Narrative Review of Ambiguous Genitalia in Children: Diagnostic Approaches, Surgical Management, and Psychosocial Outcomes</w:t>
      </w:r>
    </w:p>
    <w:p w:rsidR="000240BB" w:rsidRDefault="000240BB">
      <w:pPr>
        <w:jc w:val="center"/>
        <w:rPr>
          <w:rFonts w:ascii="Times New Roman" w:eastAsia="Times New Roman" w:hAnsi="Times New Roman" w:cs="Times New Roman"/>
          <w:b/>
          <w:bCs/>
          <w:sz w:val="36"/>
          <w:szCs w:val="36"/>
        </w:rPr>
      </w:pPr>
    </w:p>
    <w:p w:rsidR="000240BB" w:rsidRDefault="000240BB">
      <w:pPr>
        <w:rPr>
          <w:rFonts w:ascii="Times New Roman" w:eastAsia="Times New Roman" w:hAnsi="Times New Roman" w:cs="Times New Roman"/>
          <w:b/>
          <w:bCs/>
          <w:sz w:val="16"/>
          <w:szCs w:val="16"/>
        </w:rPr>
      </w:pPr>
    </w:p>
    <w:p w:rsidR="000240BB" w:rsidRDefault="000240BB">
      <w:pPr>
        <w:rPr>
          <w:rFonts w:ascii="Times New Roman" w:eastAsia="Times New Roman" w:hAnsi="Times New Roman" w:cs="Times New Roman"/>
          <w:b/>
          <w:bCs/>
          <w:sz w:val="16"/>
          <w:szCs w:val="16"/>
        </w:rPr>
      </w:pPr>
    </w:p>
    <w:p w:rsidR="000240BB" w:rsidRDefault="003F04AE">
      <w:pPr>
        <w:pStyle w:val="Heading1"/>
        <w:spacing w:before="240" w:after="240"/>
        <w:rPr>
          <w:rFonts w:ascii="Times New Roman" w:eastAsia="Times New Roman" w:hAnsi="Times New Roman" w:cs="Times New Roman"/>
          <w:b/>
          <w:bCs/>
          <w:sz w:val="32"/>
          <w:szCs w:val="32"/>
        </w:rPr>
      </w:pPr>
      <w:bookmarkStart w:id="1" w:name="_heading=h.n9ln7we48rz8" w:colFirst="0" w:colLast="0"/>
      <w:bookmarkEnd w:id="1"/>
      <w:r>
        <w:rPr>
          <w:rFonts w:ascii="Times New Roman" w:eastAsia="Times New Roman" w:hAnsi="Times New Roman" w:cs="Times New Roman"/>
          <w:b/>
          <w:bCs/>
          <w:sz w:val="32"/>
          <w:szCs w:val="32"/>
        </w:rPr>
        <w:t>Abstract</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Ambiguous genitalia in children, a condition within Disorders of Sex Development (DSDs), presents significant medical, surgical, and psychosocial challenges. The prevalence of DSDs is estimated at 1 in 2,735 to 1 in 10,000 live births, with conditions like</w:t>
      </w:r>
      <w:r>
        <w:rPr>
          <w:rFonts w:ascii="Times New Roman" w:eastAsia="Times New Roman" w:hAnsi="Times New Roman" w:cs="Times New Roman"/>
          <w:sz w:val="24"/>
          <w:szCs w:val="24"/>
        </w:rPr>
        <w:t xml:space="preserve"> congenital adrenal hyperplasia being more commonly diagnosed. Despite progress in diagnosis, ambiguous genitalia </w:t>
      </w:r>
      <w:proofErr w:type="gramStart"/>
      <w:r>
        <w:rPr>
          <w:rFonts w:ascii="Times New Roman" w:eastAsia="Times New Roman" w:hAnsi="Times New Roman" w:cs="Times New Roman"/>
          <w:sz w:val="24"/>
          <w:szCs w:val="24"/>
        </w:rPr>
        <w:t>continues</w:t>
      </w:r>
      <w:proofErr w:type="gramEnd"/>
      <w:r>
        <w:rPr>
          <w:rFonts w:ascii="Times New Roman" w:eastAsia="Times New Roman" w:hAnsi="Times New Roman" w:cs="Times New Roman"/>
          <w:sz w:val="24"/>
          <w:szCs w:val="24"/>
        </w:rPr>
        <w:t xml:space="preserve"> to pose complex issues for families and healthcare providers. Diagnosis is traditionally based on physical examination but has evolv</w:t>
      </w:r>
      <w:r>
        <w:rPr>
          <w:rFonts w:ascii="Times New Roman" w:eastAsia="Times New Roman" w:hAnsi="Times New Roman" w:cs="Times New Roman"/>
          <w:sz w:val="24"/>
          <w:szCs w:val="24"/>
        </w:rPr>
        <w:t>ed with genetic, hormonal, and molecular diagnostics, necessitating a multidisciplinary approach. This narrative review synthesizes current knowledge on diagnostic methods, surgical management, and psychosocial outcomes for ambiguous genitalia. A literatur</w:t>
      </w:r>
      <w:r>
        <w:rPr>
          <w:rFonts w:ascii="Times New Roman" w:eastAsia="Times New Roman" w:hAnsi="Times New Roman" w:cs="Times New Roman"/>
          <w:sz w:val="24"/>
          <w:szCs w:val="24"/>
        </w:rPr>
        <w:t>e search was conducted across PubMed and ScienceDirect for studies published between 2020 and January 18, 2026. Studies were selected based on their relevance to ambiguous genitalia, diagnostic approaches, surgical interventions, and psychosocial aspects i</w:t>
      </w:r>
      <w:r>
        <w:rPr>
          <w:rFonts w:ascii="Times New Roman" w:eastAsia="Times New Roman" w:hAnsi="Times New Roman" w:cs="Times New Roman"/>
          <w:sz w:val="24"/>
          <w:szCs w:val="24"/>
        </w:rPr>
        <w:t>n children. Studies involving adults or neonates without ambiguous genitalia were excluded.</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 found that early diagnosis is crucial for sex assignment and surgical decisions, though ethical concerns about early interventions persist. Surgical prac</w:t>
      </w:r>
      <w:r>
        <w:rPr>
          <w:rFonts w:ascii="Times New Roman" w:eastAsia="Times New Roman" w:hAnsi="Times New Roman" w:cs="Times New Roman"/>
          <w:sz w:val="24"/>
          <w:szCs w:val="24"/>
        </w:rPr>
        <w:t>tices emphasize personalized care, but significant challenges remain regarding timing and psychosocial impact. There are gaps in long-term outcome studies and the integration of psychosocial support in clinical practice.</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standardized multidi</w:t>
      </w:r>
      <w:r>
        <w:rPr>
          <w:rFonts w:ascii="Times New Roman" w:eastAsia="Times New Roman" w:hAnsi="Times New Roman" w:cs="Times New Roman"/>
          <w:sz w:val="24"/>
          <w:szCs w:val="24"/>
        </w:rPr>
        <w:t>sciplinary care and more research on the psychosocial aspects of DSD management are essential. Clinicians should prioritize patient-centered care and family involvement in decision-making, while future research should focus on long-term outcomes and psycho</w:t>
      </w:r>
      <w:r>
        <w:rPr>
          <w:rFonts w:ascii="Times New Roman" w:eastAsia="Times New Roman" w:hAnsi="Times New Roman" w:cs="Times New Roman"/>
          <w:sz w:val="24"/>
          <w:szCs w:val="24"/>
        </w:rPr>
        <w:t>social support for affected children.</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Ambiguous genitalia, Disorders of Sex Development, Diagnosis, Surgery, Psychosocial outcomes, Multidisciplinary care, Ethical considerations</w:t>
      </w:r>
    </w:p>
    <w:p w:rsidR="000240BB" w:rsidRDefault="003F04AE">
      <w:pPr>
        <w:pStyle w:val="Heading1"/>
        <w:numPr>
          <w:ilvl w:val="0"/>
          <w:numId w:val="1"/>
        </w:numPr>
        <w:rPr>
          <w:rFonts w:ascii="Times New Roman" w:eastAsia="Times New Roman" w:hAnsi="Times New Roman" w:cs="Times New Roman"/>
          <w:b/>
          <w:bCs/>
          <w:sz w:val="32"/>
          <w:szCs w:val="32"/>
        </w:rPr>
      </w:pPr>
      <w:bookmarkStart w:id="2" w:name="_heading=h.k59dzh8mq9y0" w:colFirst="0" w:colLast="0"/>
      <w:bookmarkEnd w:id="2"/>
      <w:r>
        <w:rPr>
          <w:rFonts w:ascii="Times New Roman" w:eastAsia="Times New Roman" w:hAnsi="Times New Roman" w:cs="Times New Roman"/>
          <w:b/>
          <w:bCs/>
          <w:sz w:val="32"/>
          <w:szCs w:val="32"/>
        </w:rPr>
        <w:lastRenderedPageBreak/>
        <w:t>Introduction</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Ambiguous genitalia in newborns and children represents a complex clinical and psychosocial phenomenon situated within the broader category of Disorders/Differences of Sex Development (DSDs)—a spectrum of congenital conditions characterized by atypical dev</w:t>
      </w:r>
      <w:r>
        <w:rPr>
          <w:rFonts w:ascii="Times New Roman" w:eastAsia="Times New Roman" w:hAnsi="Times New Roman" w:cs="Times New Roman"/>
          <w:sz w:val="24"/>
          <w:szCs w:val="24"/>
        </w:rPr>
        <w:t xml:space="preserve">elopment of chromosomal, gonadal, or anatomical sex structures (Mehmood &amp; </w:t>
      </w:r>
      <w:proofErr w:type="spellStart"/>
      <w:r>
        <w:rPr>
          <w:rFonts w:ascii="Times New Roman" w:eastAsia="Times New Roman" w:hAnsi="Times New Roman" w:cs="Times New Roman"/>
          <w:sz w:val="24"/>
          <w:szCs w:val="24"/>
        </w:rPr>
        <w:t>Rentea</w:t>
      </w:r>
      <w:proofErr w:type="spellEnd"/>
      <w:r>
        <w:rPr>
          <w:rFonts w:ascii="Times New Roman" w:eastAsia="Times New Roman" w:hAnsi="Times New Roman" w:cs="Times New Roman"/>
          <w:sz w:val="24"/>
          <w:szCs w:val="24"/>
        </w:rPr>
        <w:t xml:space="preserve">, 2026). Historically, terms such as intersex, hermaphroditism, and </w:t>
      </w:r>
      <w:proofErr w:type="spellStart"/>
      <w:r>
        <w:rPr>
          <w:rFonts w:ascii="Times New Roman" w:eastAsia="Times New Roman" w:hAnsi="Times New Roman" w:cs="Times New Roman"/>
          <w:sz w:val="24"/>
          <w:szCs w:val="24"/>
        </w:rPr>
        <w:t>pseudohermaphroditism</w:t>
      </w:r>
      <w:proofErr w:type="spellEnd"/>
      <w:r>
        <w:rPr>
          <w:rFonts w:ascii="Times New Roman" w:eastAsia="Times New Roman" w:hAnsi="Times New Roman" w:cs="Times New Roman"/>
          <w:sz w:val="24"/>
          <w:szCs w:val="24"/>
        </w:rPr>
        <w:t xml:space="preserve"> were used to describe these conditions. However, such nomenclature has been widely aba</w:t>
      </w:r>
      <w:r>
        <w:rPr>
          <w:rFonts w:ascii="Times New Roman" w:eastAsia="Times New Roman" w:hAnsi="Times New Roman" w:cs="Times New Roman"/>
          <w:sz w:val="24"/>
          <w:szCs w:val="24"/>
        </w:rPr>
        <w:t xml:space="preserve">ndoned due to its imprecision and potential for stigma, replaced following the Chicago Consensus by the inclusive and clinically oriented term “DSDs” (Mehmood &amp; </w:t>
      </w:r>
      <w:proofErr w:type="spellStart"/>
      <w:r>
        <w:rPr>
          <w:rFonts w:ascii="Times New Roman" w:eastAsia="Times New Roman" w:hAnsi="Times New Roman" w:cs="Times New Roman"/>
          <w:sz w:val="24"/>
          <w:szCs w:val="24"/>
        </w:rPr>
        <w:t>Rentea</w:t>
      </w:r>
      <w:proofErr w:type="spellEnd"/>
      <w:r>
        <w:rPr>
          <w:rFonts w:ascii="Times New Roman" w:eastAsia="Times New Roman" w:hAnsi="Times New Roman" w:cs="Times New Roman"/>
          <w:sz w:val="24"/>
          <w:szCs w:val="24"/>
        </w:rPr>
        <w:t>, 2026; Berglund et al., 2025). This shift in nomenclature reflects a broader evolution i</w:t>
      </w:r>
      <w:r>
        <w:rPr>
          <w:rFonts w:ascii="Times New Roman" w:eastAsia="Times New Roman" w:hAnsi="Times New Roman" w:cs="Times New Roman"/>
          <w:sz w:val="24"/>
          <w:szCs w:val="24"/>
        </w:rPr>
        <w:t>n clinical thinking that foregrounds biological diversity while acknowledging the role of emerging genetic and molecular insights in understanding sex development.</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biological basis of sex development is a meticulously orchestrated process involving gen</w:t>
      </w:r>
      <w:r>
        <w:rPr>
          <w:rFonts w:ascii="Times New Roman" w:eastAsia="Times New Roman" w:hAnsi="Times New Roman" w:cs="Times New Roman"/>
          <w:sz w:val="24"/>
          <w:szCs w:val="24"/>
        </w:rPr>
        <w:t>etic, hormonal, and morphological events that determine phenotypic sex. Under normal conditions, the bipotential gonads differentiate into testes or ovaries driven by gene expression cues such as SRY, followed by hormone‑mediated external genital formation</w:t>
      </w:r>
      <w:r>
        <w:rPr>
          <w:rFonts w:ascii="Times New Roman" w:eastAsia="Times New Roman" w:hAnsi="Times New Roman" w:cs="Times New Roman"/>
          <w:sz w:val="24"/>
          <w:szCs w:val="24"/>
        </w:rPr>
        <w:t xml:space="preserve">; disruptions in these pathways may result in incongruent development of internal and external genitalia (Mehmood &amp; </w:t>
      </w:r>
      <w:proofErr w:type="spellStart"/>
      <w:r>
        <w:rPr>
          <w:rFonts w:ascii="Times New Roman" w:eastAsia="Times New Roman" w:hAnsi="Times New Roman" w:cs="Times New Roman"/>
          <w:sz w:val="24"/>
          <w:szCs w:val="24"/>
        </w:rPr>
        <w:t>Rentea</w:t>
      </w:r>
      <w:proofErr w:type="spellEnd"/>
      <w:r>
        <w:rPr>
          <w:rFonts w:ascii="Times New Roman" w:eastAsia="Times New Roman" w:hAnsi="Times New Roman" w:cs="Times New Roman"/>
          <w:sz w:val="24"/>
          <w:szCs w:val="24"/>
        </w:rPr>
        <w:t xml:space="preserve">, 2026). When such discordance occurs, typically due to chromosomal anomalies (e.g., </w:t>
      </w:r>
      <w:proofErr w:type="gramStart"/>
      <w:r>
        <w:rPr>
          <w:rFonts w:ascii="Times New Roman" w:eastAsia="Times New Roman" w:hAnsi="Times New Roman" w:cs="Times New Roman"/>
          <w:sz w:val="24"/>
          <w:szCs w:val="24"/>
        </w:rPr>
        <w:t>46,XY</w:t>
      </w:r>
      <w:proofErr w:type="gramEnd"/>
      <w:r>
        <w:rPr>
          <w:rFonts w:ascii="Times New Roman" w:eastAsia="Times New Roman" w:hAnsi="Times New Roman" w:cs="Times New Roman"/>
          <w:sz w:val="24"/>
          <w:szCs w:val="24"/>
        </w:rPr>
        <w:t xml:space="preserve"> or 46,XX variations), atypical hormone synt</w:t>
      </w:r>
      <w:r>
        <w:rPr>
          <w:rFonts w:ascii="Times New Roman" w:eastAsia="Times New Roman" w:hAnsi="Times New Roman" w:cs="Times New Roman"/>
          <w:sz w:val="24"/>
          <w:szCs w:val="24"/>
        </w:rPr>
        <w:t xml:space="preserve">hesis or receptor function, or differences in receptor </w:t>
      </w:r>
      <w:proofErr w:type="spellStart"/>
      <w:r>
        <w:rPr>
          <w:rFonts w:ascii="Times New Roman" w:eastAsia="Times New Roman" w:hAnsi="Times New Roman" w:cs="Times New Roman"/>
          <w:sz w:val="24"/>
          <w:szCs w:val="24"/>
        </w:rPr>
        <w:t>signalling</w:t>
      </w:r>
      <w:proofErr w:type="spellEnd"/>
      <w:r>
        <w:rPr>
          <w:rFonts w:ascii="Times New Roman" w:eastAsia="Times New Roman" w:hAnsi="Times New Roman" w:cs="Times New Roman"/>
          <w:sz w:val="24"/>
          <w:szCs w:val="24"/>
        </w:rPr>
        <w:t xml:space="preserve">, DSDs arise, and ambiguous genitalia may be evident at birth (Mehmood &amp; </w:t>
      </w:r>
      <w:proofErr w:type="spellStart"/>
      <w:r>
        <w:rPr>
          <w:rFonts w:ascii="Times New Roman" w:eastAsia="Times New Roman" w:hAnsi="Times New Roman" w:cs="Times New Roman"/>
          <w:sz w:val="24"/>
          <w:szCs w:val="24"/>
        </w:rPr>
        <w:t>Rentea</w:t>
      </w:r>
      <w:proofErr w:type="spellEnd"/>
      <w:r>
        <w:rPr>
          <w:rFonts w:ascii="Times New Roman" w:eastAsia="Times New Roman" w:hAnsi="Times New Roman" w:cs="Times New Roman"/>
          <w:sz w:val="24"/>
          <w:szCs w:val="24"/>
        </w:rPr>
        <w:t xml:space="preserve">, 2026; </w:t>
      </w:r>
      <w:proofErr w:type="spellStart"/>
      <w:r>
        <w:rPr>
          <w:rFonts w:ascii="Times New Roman" w:eastAsia="Times New Roman" w:hAnsi="Times New Roman" w:cs="Times New Roman"/>
          <w:sz w:val="24"/>
          <w:szCs w:val="24"/>
        </w:rPr>
        <w:t>Faradz</w:t>
      </w:r>
      <w:proofErr w:type="spellEnd"/>
      <w:r>
        <w:rPr>
          <w:rFonts w:ascii="Times New Roman" w:eastAsia="Times New Roman" w:hAnsi="Times New Roman" w:cs="Times New Roman"/>
          <w:sz w:val="24"/>
          <w:szCs w:val="24"/>
        </w:rPr>
        <w:t xml:space="preserve"> et al., 2025). Such conditions require careful clinical evaluation, as their etiologies range fro</w:t>
      </w:r>
      <w:r>
        <w:rPr>
          <w:rFonts w:ascii="Times New Roman" w:eastAsia="Times New Roman" w:hAnsi="Times New Roman" w:cs="Times New Roman"/>
          <w:sz w:val="24"/>
          <w:szCs w:val="24"/>
        </w:rPr>
        <w:t xml:space="preserve">m congenital adrenal hyperplasia to androgen insensitivity syndromes and rarer genetic mutations, each with unique diagnostic and management implications (Berglund et al., 2025; </w:t>
      </w:r>
      <w:proofErr w:type="spellStart"/>
      <w:r>
        <w:rPr>
          <w:rFonts w:ascii="Times New Roman" w:eastAsia="Times New Roman" w:hAnsi="Times New Roman" w:cs="Times New Roman"/>
          <w:sz w:val="24"/>
          <w:szCs w:val="24"/>
        </w:rPr>
        <w:t>Wechsung</w:t>
      </w:r>
      <w:proofErr w:type="spellEnd"/>
      <w:r>
        <w:rPr>
          <w:rFonts w:ascii="Times New Roman" w:eastAsia="Times New Roman" w:hAnsi="Times New Roman" w:cs="Times New Roman"/>
          <w:sz w:val="24"/>
          <w:szCs w:val="24"/>
        </w:rPr>
        <w:t xml:space="preserve"> et al., 2025).</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epidemiology of ambiguous genitalia and related DS</w:t>
      </w:r>
      <w:r>
        <w:rPr>
          <w:rFonts w:ascii="Times New Roman" w:eastAsia="Times New Roman" w:hAnsi="Times New Roman" w:cs="Times New Roman"/>
          <w:sz w:val="24"/>
          <w:szCs w:val="24"/>
        </w:rPr>
        <w:t>Ds has been increasingly refined through contemporary cohort studies. Population‑based research suggests an overall DSD prevalence of approximately 1 in 2,735 to 1 in 10,000 live births, with variation across DSD subtypes; sex chromosome DSDs occur more fr</w:t>
      </w:r>
      <w:r>
        <w:rPr>
          <w:rFonts w:ascii="Times New Roman" w:eastAsia="Times New Roman" w:hAnsi="Times New Roman" w:cs="Times New Roman"/>
          <w:sz w:val="24"/>
          <w:szCs w:val="24"/>
        </w:rPr>
        <w:t xml:space="preserve">equently than </w:t>
      </w:r>
      <w:proofErr w:type="gramStart"/>
      <w:r>
        <w:rPr>
          <w:rFonts w:ascii="Times New Roman" w:eastAsia="Times New Roman" w:hAnsi="Times New Roman" w:cs="Times New Roman"/>
          <w:sz w:val="24"/>
          <w:szCs w:val="24"/>
        </w:rPr>
        <w:t>46,XY</w:t>
      </w:r>
      <w:proofErr w:type="gramEnd"/>
      <w:r>
        <w:rPr>
          <w:rFonts w:ascii="Times New Roman" w:eastAsia="Times New Roman" w:hAnsi="Times New Roman" w:cs="Times New Roman"/>
          <w:sz w:val="24"/>
          <w:szCs w:val="24"/>
        </w:rPr>
        <w:t xml:space="preserve"> or 46,XX categories in some cohorts (Berglund et al., 2025; Metzger et al., 2024). Congenital adrenal hyperplasia (</w:t>
      </w:r>
      <w:proofErr w:type="gramStart"/>
      <w:r>
        <w:rPr>
          <w:rFonts w:ascii="Times New Roman" w:eastAsia="Times New Roman" w:hAnsi="Times New Roman" w:cs="Times New Roman"/>
          <w:sz w:val="24"/>
          <w:szCs w:val="24"/>
        </w:rPr>
        <w:t>46,XX</w:t>
      </w:r>
      <w:proofErr w:type="gramEnd"/>
      <w:r>
        <w:rPr>
          <w:rFonts w:ascii="Times New Roman" w:eastAsia="Times New Roman" w:hAnsi="Times New Roman" w:cs="Times New Roman"/>
          <w:sz w:val="24"/>
          <w:szCs w:val="24"/>
        </w:rPr>
        <w:t xml:space="preserve"> DSD) constitutes one of the more common presentations when ambiguous genitalia are present, reflecting its endocrin</w:t>
      </w:r>
      <w:r>
        <w:rPr>
          <w:rFonts w:ascii="Times New Roman" w:eastAsia="Times New Roman" w:hAnsi="Times New Roman" w:cs="Times New Roman"/>
          <w:sz w:val="24"/>
          <w:szCs w:val="24"/>
        </w:rPr>
        <w:t>e basis and clinical visibility at birth (Metzger et al., 2024). Recognizing such prevalence patterns is essential for clinicians and healthcare planners, particularly in regions with limited newborn screening infrastructures where delayed diagnosis remain</w:t>
      </w:r>
      <w:r>
        <w:rPr>
          <w:rFonts w:ascii="Times New Roman" w:eastAsia="Times New Roman" w:hAnsi="Times New Roman" w:cs="Times New Roman"/>
          <w:sz w:val="24"/>
          <w:szCs w:val="24"/>
        </w:rPr>
        <w:t>s pervasive.</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clinical implications of early recognition of ambiguous genitalia extend beyond immediate medical management. The diagnosis triggers multiple high‑stakes decisions, including sex assignment, timing of surgical interventions, and long‑term </w:t>
      </w:r>
      <w:r>
        <w:rPr>
          <w:rFonts w:ascii="Times New Roman" w:eastAsia="Times New Roman" w:hAnsi="Times New Roman" w:cs="Times New Roman"/>
          <w:sz w:val="24"/>
          <w:szCs w:val="24"/>
        </w:rPr>
        <w:t xml:space="preserve">psychosocial planning (Ishii et al., 2025). Early multidisciplinary involvement is advocated in international guidelines to ensure </w:t>
      </w:r>
      <w:r>
        <w:rPr>
          <w:rFonts w:ascii="Times New Roman" w:eastAsia="Times New Roman" w:hAnsi="Times New Roman" w:cs="Times New Roman"/>
          <w:sz w:val="24"/>
          <w:szCs w:val="24"/>
        </w:rPr>
        <w:lastRenderedPageBreak/>
        <w:t>integrated care across pediatric endocrinology, surgery, clinical genetics, psychology, and social support services (Ishii et</w:t>
      </w:r>
      <w:r>
        <w:rPr>
          <w:rFonts w:ascii="Times New Roman" w:eastAsia="Times New Roman" w:hAnsi="Times New Roman" w:cs="Times New Roman"/>
          <w:sz w:val="24"/>
          <w:szCs w:val="24"/>
        </w:rPr>
        <w:t xml:space="preserve"> al., 2026; </w:t>
      </w:r>
      <w:proofErr w:type="spellStart"/>
      <w:r>
        <w:rPr>
          <w:rFonts w:ascii="Times New Roman" w:eastAsia="Times New Roman" w:hAnsi="Times New Roman" w:cs="Times New Roman"/>
          <w:sz w:val="24"/>
          <w:szCs w:val="24"/>
        </w:rPr>
        <w:t>Wechsung</w:t>
      </w:r>
      <w:proofErr w:type="spellEnd"/>
      <w:r>
        <w:rPr>
          <w:rFonts w:ascii="Times New Roman" w:eastAsia="Times New Roman" w:hAnsi="Times New Roman" w:cs="Times New Roman"/>
          <w:sz w:val="24"/>
          <w:szCs w:val="24"/>
        </w:rPr>
        <w:t xml:space="preserve"> et al., 2025). Such an approach not only enhances the accuracy of diagnosis through coordinated assessments but also contextualizes decision‑making within family values and long‑term psychosocial outcomes. This is underscored by emergi</w:t>
      </w:r>
      <w:r>
        <w:rPr>
          <w:rFonts w:ascii="Times New Roman" w:eastAsia="Times New Roman" w:hAnsi="Times New Roman" w:cs="Times New Roman"/>
          <w:sz w:val="24"/>
          <w:szCs w:val="24"/>
        </w:rPr>
        <w:t>ng models of structured care that integrate standardized information management processes to support families during the initial diagnostic period (</w:t>
      </w:r>
      <w:proofErr w:type="spellStart"/>
      <w:r>
        <w:rPr>
          <w:rFonts w:ascii="Times New Roman" w:eastAsia="Times New Roman" w:hAnsi="Times New Roman" w:cs="Times New Roman"/>
          <w:sz w:val="24"/>
          <w:szCs w:val="24"/>
        </w:rPr>
        <w:t>Wechsung</w:t>
      </w:r>
      <w:proofErr w:type="spellEnd"/>
      <w:r>
        <w:rPr>
          <w:rFonts w:ascii="Times New Roman" w:eastAsia="Times New Roman" w:hAnsi="Times New Roman" w:cs="Times New Roman"/>
          <w:sz w:val="24"/>
          <w:szCs w:val="24"/>
        </w:rPr>
        <w:t xml:space="preserve"> et al., 2025).</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psychosocial significance of ambiguous genitalia and DSDs is a critical domain o</w:t>
      </w:r>
      <w:r>
        <w:rPr>
          <w:rFonts w:ascii="Times New Roman" w:eastAsia="Times New Roman" w:hAnsi="Times New Roman" w:cs="Times New Roman"/>
          <w:sz w:val="24"/>
          <w:szCs w:val="24"/>
        </w:rPr>
        <w:t>f investigation. Longitudinal and cross‑sectional research has documented heightened rates of anxiety, body image concerns, and gender identity complexity among affected individuals, as well as significant parental stress and uncertainty, particularly in t</w:t>
      </w:r>
      <w:r>
        <w:rPr>
          <w:rFonts w:ascii="Times New Roman" w:eastAsia="Times New Roman" w:hAnsi="Times New Roman" w:cs="Times New Roman"/>
          <w:sz w:val="24"/>
          <w:szCs w:val="24"/>
        </w:rPr>
        <w:t>he absence of comprehensive support systems (</w:t>
      </w:r>
      <w:proofErr w:type="spellStart"/>
      <w:r>
        <w:rPr>
          <w:rFonts w:ascii="Times New Roman" w:eastAsia="Times New Roman" w:hAnsi="Times New Roman" w:cs="Times New Roman"/>
          <w:sz w:val="24"/>
          <w:szCs w:val="24"/>
        </w:rPr>
        <w:t>Saktini</w:t>
      </w:r>
      <w:proofErr w:type="spellEnd"/>
      <w:r>
        <w:rPr>
          <w:rFonts w:ascii="Times New Roman" w:eastAsia="Times New Roman" w:hAnsi="Times New Roman" w:cs="Times New Roman"/>
          <w:sz w:val="24"/>
          <w:szCs w:val="24"/>
        </w:rPr>
        <w:t xml:space="preserve"> et al., 2024; Arizona et al., 2023). Psychiatric and psychological support is increasingly recognized as a core element of multidisciplinary care, with evidence suggesting that early, structured interven</w:t>
      </w:r>
      <w:r>
        <w:rPr>
          <w:rFonts w:ascii="Times New Roman" w:eastAsia="Times New Roman" w:hAnsi="Times New Roman" w:cs="Times New Roman"/>
          <w:sz w:val="24"/>
          <w:szCs w:val="24"/>
        </w:rPr>
        <w:t>tions can meaningfully improve adaptive coping and quality of life (Arizona et al., 2023). Nevertheless, barriers such as cultural stigma, limited access to mental health services, and inconsistent integration of psychosocial care into clinical pathways re</w:t>
      </w:r>
      <w:r>
        <w:rPr>
          <w:rFonts w:ascii="Times New Roman" w:eastAsia="Times New Roman" w:hAnsi="Times New Roman" w:cs="Times New Roman"/>
          <w:sz w:val="24"/>
          <w:szCs w:val="24"/>
        </w:rPr>
        <w:t>main widespread, especially in resource‑limited settings (</w:t>
      </w:r>
      <w:proofErr w:type="spellStart"/>
      <w:r>
        <w:rPr>
          <w:rFonts w:ascii="Times New Roman" w:eastAsia="Times New Roman" w:hAnsi="Times New Roman" w:cs="Times New Roman"/>
          <w:sz w:val="24"/>
          <w:szCs w:val="24"/>
        </w:rPr>
        <w:t>Faradz</w:t>
      </w:r>
      <w:proofErr w:type="spellEnd"/>
      <w:r>
        <w:rPr>
          <w:rFonts w:ascii="Times New Roman" w:eastAsia="Times New Roman" w:hAnsi="Times New Roman" w:cs="Times New Roman"/>
          <w:sz w:val="24"/>
          <w:szCs w:val="24"/>
        </w:rPr>
        <w:t xml:space="preserve"> et al., 2025).</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Amidst these clinical, ethical, and psychosocial dimensions, significant controversies persist. Notable among these is the debate over the timing of surgical interventions and </w:t>
      </w:r>
      <w:r>
        <w:rPr>
          <w:rFonts w:ascii="Times New Roman" w:eastAsia="Times New Roman" w:hAnsi="Times New Roman" w:cs="Times New Roman"/>
          <w:sz w:val="24"/>
          <w:szCs w:val="24"/>
        </w:rPr>
        <w:t>the ethics of early sex assignment when long‑term gender identity remains uncertain (Ishii et al., 2026). Contemporary guidelines recommend careful deliberation and, in some cases, deferral of irreversible surgical procedures until sufficient diagnostic an</w:t>
      </w:r>
      <w:r>
        <w:rPr>
          <w:rFonts w:ascii="Times New Roman" w:eastAsia="Times New Roman" w:hAnsi="Times New Roman" w:cs="Times New Roman"/>
          <w:sz w:val="24"/>
          <w:szCs w:val="24"/>
        </w:rPr>
        <w:t>d developmental information is available, recognizing the potential lifelong impact of early decisions on identity and sexual function (Ishii et al., 2026). Such ethical considerations crystallize the need for evidence‑based practice that transcends organ‑</w:t>
      </w:r>
      <w:r>
        <w:rPr>
          <w:rFonts w:ascii="Times New Roman" w:eastAsia="Times New Roman" w:hAnsi="Times New Roman" w:cs="Times New Roman"/>
          <w:sz w:val="24"/>
          <w:szCs w:val="24"/>
        </w:rPr>
        <w:t>focused surgery to encompass individualized evaluation of developmental trajectories and emerging self‑identification.</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these complexities, the purpose of the present narrative review is threefold: to synthesize current knowledge on diagnostic approac</w:t>
      </w:r>
      <w:r>
        <w:rPr>
          <w:rFonts w:ascii="Times New Roman" w:eastAsia="Times New Roman" w:hAnsi="Times New Roman" w:cs="Times New Roman"/>
          <w:sz w:val="24"/>
          <w:szCs w:val="24"/>
        </w:rPr>
        <w:t>hes for ambiguous genitalia in children, to evaluate contemporary surgical management strategies within ethical and multidisciplinary frameworks, and to elucidate the psychosocial outcomes associated with DSDs. By systematically integrating recent literatu</w:t>
      </w:r>
      <w:r>
        <w:rPr>
          <w:rFonts w:ascii="Times New Roman" w:eastAsia="Times New Roman" w:hAnsi="Times New Roman" w:cs="Times New Roman"/>
          <w:sz w:val="24"/>
          <w:szCs w:val="24"/>
        </w:rPr>
        <w:t>re across clinical and psychosocial domains, this review aims to offer a holistic account of current practices and contemporary challenges, thereby informing clinicians, researchers, and policymakers engaged in DSD care and advocacy.</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scope of this review is delineated to include peer‑reviewed clinical research, consensus guidelines, and evidence‑based narratives addressing newborn and pediatric presentations of ambiguous genitalia. It foregrounds the interplay between biological, s</w:t>
      </w:r>
      <w:r>
        <w:rPr>
          <w:rFonts w:ascii="Times New Roman" w:eastAsia="Times New Roman" w:hAnsi="Times New Roman" w:cs="Times New Roman"/>
          <w:sz w:val="24"/>
          <w:szCs w:val="24"/>
        </w:rPr>
        <w:t xml:space="preserve">urgical, psychological, and ethical factors shaping care pathways, while highlighting gaps warranting future investigation. By advancing a comprehensive understanding of this multifaceted condition, this research aspires to </w:t>
      </w:r>
      <w:r>
        <w:rPr>
          <w:rFonts w:ascii="Times New Roman" w:eastAsia="Times New Roman" w:hAnsi="Times New Roman" w:cs="Times New Roman"/>
          <w:sz w:val="24"/>
          <w:szCs w:val="24"/>
        </w:rPr>
        <w:lastRenderedPageBreak/>
        <w:t>contribute meaningfully to the e</w:t>
      </w:r>
      <w:r>
        <w:rPr>
          <w:rFonts w:ascii="Times New Roman" w:eastAsia="Times New Roman" w:hAnsi="Times New Roman" w:cs="Times New Roman"/>
          <w:sz w:val="24"/>
          <w:szCs w:val="24"/>
        </w:rPr>
        <w:t>vidence base guiding holistic, ethically grounded, and patient‑centered management of ambiguous genitalia in children.</w:t>
      </w:r>
    </w:p>
    <w:p w:rsidR="000240BB" w:rsidRDefault="003F04AE">
      <w:pPr>
        <w:pStyle w:val="Heading2"/>
        <w:keepNext w:val="0"/>
        <w:keepLines w:val="0"/>
        <w:numPr>
          <w:ilvl w:val="0"/>
          <w:numId w:val="1"/>
        </w:numPr>
        <w:spacing w:after="80"/>
        <w:rPr>
          <w:rFonts w:ascii="Times New Roman" w:eastAsia="Times New Roman" w:hAnsi="Times New Roman" w:cs="Times New Roman"/>
          <w:b/>
          <w:bCs/>
        </w:rPr>
      </w:pPr>
      <w:bookmarkStart w:id="3" w:name="_heading=h.d0wbvs5rea49" w:colFirst="0" w:colLast="0"/>
      <w:bookmarkEnd w:id="3"/>
      <w:r>
        <w:rPr>
          <w:rFonts w:ascii="Times New Roman" w:eastAsia="Times New Roman" w:hAnsi="Times New Roman" w:cs="Times New Roman"/>
          <w:b/>
          <w:bCs/>
        </w:rPr>
        <w:t>Methodology</w:t>
      </w:r>
    </w:p>
    <w:p w:rsidR="000240BB" w:rsidRDefault="003F04AE">
      <w:pPr>
        <w:spacing w:before="28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Study Design: </w:t>
      </w:r>
      <w:r>
        <w:rPr>
          <w:rFonts w:ascii="Times New Roman" w:eastAsia="Times New Roman" w:hAnsi="Times New Roman" w:cs="Times New Roman"/>
          <w:sz w:val="24"/>
          <w:szCs w:val="24"/>
        </w:rPr>
        <w:t xml:space="preserve">This study was conducted as a narrative review, synthesizing the existing literature on ambiguous genitalia in </w:t>
      </w:r>
      <w:r>
        <w:rPr>
          <w:rFonts w:ascii="Times New Roman" w:eastAsia="Times New Roman" w:hAnsi="Times New Roman" w:cs="Times New Roman"/>
          <w:sz w:val="24"/>
          <w:szCs w:val="24"/>
        </w:rPr>
        <w:t>children, with a focus on diagnostic approaches, surgical management, and psychosocial outcomes. Given the multidisciplinary nature of the topic, a broad range of studies, including clinical trials, case reports, and expert consensus guidelines, were revie</w:t>
      </w:r>
      <w:r>
        <w:rPr>
          <w:rFonts w:ascii="Times New Roman" w:eastAsia="Times New Roman" w:hAnsi="Times New Roman" w:cs="Times New Roman"/>
          <w:sz w:val="24"/>
          <w:szCs w:val="24"/>
        </w:rPr>
        <w:t>wed to offer a comprehensive understanding of current practices and challenges. The narrative review approach was selected due to its flexibility in synthesizing diverse types of evidence across multiple domains, including clinical, surgical, and psychosoc</w:t>
      </w:r>
      <w:r>
        <w:rPr>
          <w:rFonts w:ascii="Times New Roman" w:eastAsia="Times New Roman" w:hAnsi="Times New Roman" w:cs="Times New Roman"/>
          <w:sz w:val="24"/>
          <w:szCs w:val="24"/>
        </w:rPr>
        <w:t>ial contexts.</w:t>
      </w:r>
    </w:p>
    <w:p w:rsidR="000240BB" w:rsidRDefault="003F04AE">
      <w:pPr>
        <w:spacing w:before="28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Search Strategy:</w:t>
      </w:r>
      <w:r>
        <w:rPr>
          <w:rFonts w:ascii="Times New Roman" w:eastAsia="Times New Roman" w:hAnsi="Times New Roman" w:cs="Times New Roman"/>
          <w:sz w:val="24"/>
          <w:szCs w:val="24"/>
        </w:rPr>
        <w:t xml:space="preserve"> The literature search was conducted on January 18, 2026 across two major databases: PubMed, and ScienceDirect. The search covered publications from 2020 to the search date, ensuring that the findings reflect the most current </w:t>
      </w:r>
      <w:r>
        <w:rPr>
          <w:rFonts w:ascii="Times New Roman" w:eastAsia="Times New Roman" w:hAnsi="Times New Roman" w:cs="Times New Roman"/>
          <w:sz w:val="24"/>
          <w:szCs w:val="24"/>
        </w:rPr>
        <w:t xml:space="preserve">advancements in the field. The databases were chosen based on their extensive coverage of medical, surgical, and psychosocial research articles. </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PubMed, </w:t>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terms, Title and abstract keywords, and Boolean operators ("AND" and "OR") were included in th</w:t>
      </w:r>
      <w:r>
        <w:rPr>
          <w:rFonts w:ascii="Times New Roman" w:eastAsia="Times New Roman" w:hAnsi="Times New Roman" w:cs="Times New Roman"/>
          <w:sz w:val="24"/>
          <w:szCs w:val="24"/>
        </w:rPr>
        <w:t xml:space="preserve">e search while for the database that do not feature </w:t>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terms (ScienceDirect) only Title and abstract keywords, and Boolean operators ("AND" and "OR") were utilized (Young, n.d.; Wang et al., 2022; Grewal et al., 2016). The search strings and filters used</w:t>
      </w:r>
      <w:r>
        <w:rPr>
          <w:rFonts w:ascii="Times New Roman" w:eastAsia="Times New Roman" w:hAnsi="Times New Roman" w:cs="Times New Roman"/>
          <w:sz w:val="24"/>
          <w:szCs w:val="24"/>
        </w:rPr>
        <w:t xml:space="preserve"> for each database were as shown in Table 1:</w:t>
      </w:r>
    </w:p>
    <w:p w:rsidR="000240BB" w:rsidRDefault="003F04AE">
      <w:pPr>
        <w:spacing w:before="240" w:after="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Table 1: Search Strategy</w:t>
      </w:r>
    </w:p>
    <w:tbl>
      <w:tblPr>
        <w:tblStyle w:val="a5"/>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4800"/>
        <w:gridCol w:w="1200"/>
        <w:gridCol w:w="945"/>
        <w:gridCol w:w="1155"/>
      </w:tblGrid>
      <w:tr w:rsidR="000240BB">
        <w:tc>
          <w:tcPr>
            <w:tcW w:w="1200" w:type="dxa"/>
            <w:tcMar>
              <w:top w:w="100" w:type="dxa"/>
              <w:left w:w="100" w:type="dxa"/>
              <w:bottom w:w="100" w:type="dxa"/>
              <w:right w:w="100" w:type="dxa"/>
            </w:tcMar>
          </w:tcPr>
          <w:p w:rsidR="000240BB" w:rsidRDefault="003F04AE">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Database</w:t>
            </w:r>
          </w:p>
        </w:tc>
        <w:tc>
          <w:tcPr>
            <w:tcW w:w="4800" w:type="dxa"/>
            <w:tcMar>
              <w:top w:w="100" w:type="dxa"/>
              <w:left w:w="100" w:type="dxa"/>
              <w:bottom w:w="100" w:type="dxa"/>
              <w:right w:w="100" w:type="dxa"/>
            </w:tcMar>
          </w:tcPr>
          <w:p w:rsidR="000240BB" w:rsidRDefault="003F04AE">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Search strings</w:t>
            </w:r>
          </w:p>
        </w:tc>
        <w:tc>
          <w:tcPr>
            <w:tcW w:w="1200" w:type="dxa"/>
            <w:tcMar>
              <w:top w:w="100" w:type="dxa"/>
              <w:left w:w="100" w:type="dxa"/>
              <w:bottom w:w="100" w:type="dxa"/>
              <w:right w:w="100" w:type="dxa"/>
            </w:tcMar>
          </w:tcPr>
          <w:p w:rsidR="000240BB" w:rsidRDefault="003F04AE">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Search yield</w:t>
            </w:r>
          </w:p>
        </w:tc>
        <w:tc>
          <w:tcPr>
            <w:tcW w:w="945" w:type="dxa"/>
            <w:tcMar>
              <w:top w:w="100" w:type="dxa"/>
              <w:left w:w="100" w:type="dxa"/>
              <w:bottom w:w="100" w:type="dxa"/>
              <w:right w:w="100" w:type="dxa"/>
            </w:tcMar>
          </w:tcPr>
          <w:p w:rsidR="000240BB" w:rsidRDefault="003F04AE">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Filters applied</w:t>
            </w:r>
          </w:p>
        </w:tc>
        <w:tc>
          <w:tcPr>
            <w:tcW w:w="1155" w:type="dxa"/>
            <w:tcMar>
              <w:top w:w="100" w:type="dxa"/>
              <w:left w:w="100" w:type="dxa"/>
              <w:bottom w:w="100" w:type="dxa"/>
              <w:right w:w="100" w:type="dxa"/>
            </w:tcMar>
          </w:tcPr>
          <w:p w:rsidR="000240BB" w:rsidRDefault="003F04AE">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Yield after filtering</w:t>
            </w:r>
          </w:p>
        </w:tc>
      </w:tr>
      <w:tr w:rsidR="000240BB">
        <w:tc>
          <w:tcPr>
            <w:tcW w:w="1200" w:type="dxa"/>
            <w:tcMar>
              <w:top w:w="100" w:type="dxa"/>
              <w:left w:w="100" w:type="dxa"/>
              <w:bottom w:w="100" w:type="dxa"/>
              <w:right w:w="100" w:type="dxa"/>
            </w:tcMar>
          </w:tcPr>
          <w:p w:rsidR="000240BB" w:rsidRDefault="003F04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PubMed</w:t>
            </w:r>
          </w:p>
        </w:tc>
        <w:tc>
          <w:tcPr>
            <w:tcW w:w="4800" w:type="dxa"/>
            <w:tcMar>
              <w:top w:w="100" w:type="dxa"/>
              <w:left w:w="100" w:type="dxa"/>
              <w:bottom w:w="100" w:type="dxa"/>
              <w:right w:w="100" w:type="dxa"/>
            </w:tcMar>
          </w:tcPr>
          <w:p w:rsidR="000240BB" w:rsidRDefault="003F04AE">
            <w:pPr>
              <w:spacing w:before="2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(((((Ambiguous genitalia[</w:t>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Terms]) OR (Ambiguous genitalia[Title/Abstract])) OR (Disorders of Sex Development[Title/Abstract])) AND ((Diagnosis[</w:t>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Terms]) OR (Diagnosis[Title/Abstract]))) AND ((Surgical management[</w:t>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Terms]) OR (Surgical management[</w:t>
            </w:r>
            <w:r>
              <w:rPr>
                <w:rFonts w:ascii="Times New Roman" w:eastAsia="Times New Roman" w:hAnsi="Times New Roman" w:cs="Times New Roman"/>
                <w:sz w:val="24"/>
                <w:szCs w:val="24"/>
              </w:rPr>
              <w:t>Title/Abstract]))) AND (((Children[</w:t>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Terms]) OR </w:t>
            </w:r>
            <w:r>
              <w:rPr>
                <w:rFonts w:ascii="Times New Roman" w:eastAsia="Times New Roman" w:hAnsi="Times New Roman" w:cs="Times New Roman"/>
                <w:sz w:val="24"/>
                <w:szCs w:val="24"/>
              </w:rPr>
              <w:lastRenderedPageBreak/>
              <w:t>(Children[Title/Abstract])) OR (Pediatrics[Title/Abstract]))</w:t>
            </w:r>
          </w:p>
        </w:tc>
        <w:tc>
          <w:tcPr>
            <w:tcW w:w="1200" w:type="dxa"/>
            <w:tcMar>
              <w:top w:w="100" w:type="dxa"/>
              <w:left w:w="100" w:type="dxa"/>
              <w:bottom w:w="100" w:type="dxa"/>
              <w:right w:w="100" w:type="dxa"/>
            </w:tcMar>
          </w:tcPr>
          <w:p w:rsidR="000240BB" w:rsidRDefault="003F04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93</w:t>
            </w:r>
          </w:p>
        </w:tc>
        <w:tc>
          <w:tcPr>
            <w:tcW w:w="945" w:type="dxa"/>
            <w:tcMar>
              <w:top w:w="100" w:type="dxa"/>
              <w:left w:w="100" w:type="dxa"/>
              <w:bottom w:w="100" w:type="dxa"/>
              <w:right w:w="100" w:type="dxa"/>
            </w:tcMar>
          </w:tcPr>
          <w:p w:rsidR="000240BB" w:rsidRDefault="003F04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 to the search date, Free full text, English, Humans</w:t>
            </w:r>
          </w:p>
        </w:tc>
        <w:tc>
          <w:tcPr>
            <w:tcW w:w="1155" w:type="dxa"/>
            <w:tcMar>
              <w:top w:w="100" w:type="dxa"/>
              <w:left w:w="100" w:type="dxa"/>
              <w:bottom w:w="100" w:type="dxa"/>
              <w:right w:w="100" w:type="dxa"/>
            </w:tcMar>
          </w:tcPr>
          <w:p w:rsidR="000240BB" w:rsidRDefault="003F04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0240BB">
        <w:tc>
          <w:tcPr>
            <w:tcW w:w="1200" w:type="dxa"/>
            <w:tcMar>
              <w:top w:w="100" w:type="dxa"/>
              <w:left w:w="100" w:type="dxa"/>
              <w:bottom w:w="100" w:type="dxa"/>
              <w:right w:w="100" w:type="dxa"/>
            </w:tcMar>
          </w:tcPr>
          <w:p w:rsidR="000240BB" w:rsidRDefault="003F04AE">
            <w:pPr>
              <w:spacing w:before="2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ScienceDirect</w:t>
            </w:r>
          </w:p>
        </w:tc>
        <w:tc>
          <w:tcPr>
            <w:tcW w:w="4800" w:type="dxa"/>
            <w:tcMar>
              <w:top w:w="100" w:type="dxa"/>
              <w:left w:w="100" w:type="dxa"/>
              <w:bottom w:w="100" w:type="dxa"/>
              <w:right w:w="100" w:type="dxa"/>
            </w:tcMar>
          </w:tcPr>
          <w:p w:rsidR="000240BB" w:rsidRDefault="003F04AE">
            <w:pPr>
              <w:spacing w:before="2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(Ambiguous genitalia) AND (Disorders of Sex Development) AND (Diagn</w:t>
            </w:r>
            <w:r>
              <w:rPr>
                <w:rFonts w:ascii="Times New Roman" w:eastAsia="Times New Roman" w:hAnsi="Times New Roman" w:cs="Times New Roman"/>
                <w:sz w:val="24"/>
                <w:szCs w:val="24"/>
              </w:rPr>
              <w:t>osis) AND (Surgical management) AND (</w:t>
            </w:r>
            <w:proofErr w:type="gramStart"/>
            <w:r>
              <w:rPr>
                <w:rFonts w:ascii="Times New Roman" w:eastAsia="Times New Roman" w:hAnsi="Times New Roman" w:cs="Times New Roman"/>
                <w:sz w:val="24"/>
                <w:szCs w:val="24"/>
              </w:rPr>
              <w:t>Children  OR</w:t>
            </w:r>
            <w:proofErr w:type="gramEnd"/>
            <w:r>
              <w:rPr>
                <w:rFonts w:ascii="Times New Roman" w:eastAsia="Times New Roman" w:hAnsi="Times New Roman" w:cs="Times New Roman"/>
                <w:sz w:val="24"/>
                <w:szCs w:val="24"/>
              </w:rPr>
              <w:t xml:space="preserve"> Pediatrics) AND (Psychosocial outcomes)</w:t>
            </w:r>
          </w:p>
        </w:tc>
        <w:tc>
          <w:tcPr>
            <w:tcW w:w="1200" w:type="dxa"/>
            <w:tcMar>
              <w:top w:w="100" w:type="dxa"/>
              <w:left w:w="100" w:type="dxa"/>
              <w:bottom w:w="100" w:type="dxa"/>
              <w:right w:w="100" w:type="dxa"/>
            </w:tcMar>
          </w:tcPr>
          <w:p w:rsidR="000240BB" w:rsidRDefault="003F04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945" w:type="dxa"/>
            <w:tcMar>
              <w:top w:w="100" w:type="dxa"/>
              <w:left w:w="100" w:type="dxa"/>
              <w:bottom w:w="100" w:type="dxa"/>
              <w:right w:w="100" w:type="dxa"/>
            </w:tcMar>
          </w:tcPr>
          <w:p w:rsidR="000240BB" w:rsidRDefault="003F04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 to the search date, Review articles, Research articles, open access</w:t>
            </w:r>
          </w:p>
        </w:tc>
        <w:tc>
          <w:tcPr>
            <w:tcW w:w="1155" w:type="dxa"/>
            <w:tcMar>
              <w:top w:w="100" w:type="dxa"/>
              <w:left w:w="100" w:type="dxa"/>
              <w:bottom w:w="100" w:type="dxa"/>
              <w:right w:w="100" w:type="dxa"/>
            </w:tcMar>
          </w:tcPr>
          <w:p w:rsidR="000240BB" w:rsidRDefault="003F04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0240BB" w:rsidRDefault="003F04AE">
      <w:pPr>
        <w:spacing w:before="28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Literature Selection: </w:t>
      </w:r>
      <w:r>
        <w:rPr>
          <w:rFonts w:ascii="Times New Roman" w:eastAsia="Times New Roman" w:hAnsi="Times New Roman" w:cs="Times New Roman"/>
          <w:sz w:val="24"/>
          <w:szCs w:val="24"/>
        </w:rPr>
        <w:t>The literature selection process was conducted in two phases by two independent reviewers and any discrepancy was resolved through consensus. During the first phase (Title and Abstract Screening), articles were selected based on their relevance to the stud</w:t>
      </w:r>
      <w:r>
        <w:rPr>
          <w:rFonts w:ascii="Times New Roman" w:eastAsia="Times New Roman" w:hAnsi="Times New Roman" w:cs="Times New Roman"/>
          <w:sz w:val="24"/>
          <w:szCs w:val="24"/>
        </w:rPr>
        <w:t>y’s research questions. Titles and abstracts were screened to determine whether they addressed topics related to ambiguous genitalia in children, diagnostic approaches, surgical interventions, or psychosocial outcomes.</w:t>
      </w:r>
      <w:r>
        <w:rPr>
          <w:rFonts w:ascii="Times New Roman" w:eastAsia="Times New Roman" w:hAnsi="Times New Roman" w:cs="Times New Roman"/>
          <w:sz w:val="24"/>
          <w:szCs w:val="24"/>
        </w:rPr>
        <w:br/>
        <w:t>In the second phase (Full Text Review</w:t>
      </w:r>
      <w:r>
        <w:rPr>
          <w:rFonts w:ascii="Times New Roman" w:eastAsia="Times New Roman" w:hAnsi="Times New Roman" w:cs="Times New Roman"/>
          <w:sz w:val="24"/>
          <w:szCs w:val="24"/>
        </w:rPr>
        <w:t>), the full text of the selected articles was reviewed to ensure they met the eligibility criteria, with particular attention to studies providing detailed insights into diagnostic methods, surgical management, and psychosocial outcomes. Articles were excl</w:t>
      </w:r>
      <w:r>
        <w:rPr>
          <w:rFonts w:ascii="Times New Roman" w:eastAsia="Times New Roman" w:hAnsi="Times New Roman" w:cs="Times New Roman"/>
          <w:sz w:val="24"/>
          <w:szCs w:val="24"/>
        </w:rPr>
        <w:t>uded if they did not meet the focus of the review or lacked relevance to pediatric care.</w:t>
      </w:r>
    </w:p>
    <w:p w:rsidR="000240BB" w:rsidRDefault="003F04AE">
      <w:pPr>
        <w:spacing w:before="28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Eligibility Criteria: </w:t>
      </w:r>
      <w:r>
        <w:rPr>
          <w:rFonts w:ascii="Times New Roman" w:eastAsia="Times New Roman" w:hAnsi="Times New Roman" w:cs="Times New Roman"/>
          <w:sz w:val="24"/>
          <w:szCs w:val="24"/>
        </w:rPr>
        <w:t>The included studies were peer-reviewed studies published between 2020 and the search date, articles that specifically focused on ambiguous genit</w:t>
      </w:r>
      <w:r>
        <w:rPr>
          <w:rFonts w:ascii="Times New Roman" w:eastAsia="Times New Roman" w:hAnsi="Times New Roman" w:cs="Times New Roman"/>
          <w:sz w:val="24"/>
          <w:szCs w:val="24"/>
        </w:rPr>
        <w:t xml:space="preserve">alia or disorders of sex development (DSD) in children, studies that discussed diagnostic approaches, surgical management, or psychosocial outcomes in children with ambiguous genitalia, as well as case studies, observational studies, clinical reviews, and </w:t>
      </w:r>
      <w:r>
        <w:rPr>
          <w:rFonts w:ascii="Times New Roman" w:eastAsia="Times New Roman" w:hAnsi="Times New Roman" w:cs="Times New Roman"/>
          <w:sz w:val="24"/>
          <w:szCs w:val="24"/>
        </w:rPr>
        <w:t>expert consensus guidelines. Studies that offered quantitative or qualitative data relevant to the diagnosis, management, or psychosocial implications of ambiguous genitalia were also included.</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studies were excluded if they focused exclusively on </w:t>
      </w:r>
      <w:r>
        <w:rPr>
          <w:rFonts w:ascii="Times New Roman" w:eastAsia="Times New Roman" w:hAnsi="Times New Roman" w:cs="Times New Roman"/>
          <w:sz w:val="24"/>
          <w:szCs w:val="24"/>
        </w:rPr>
        <w:t>adult populations or neonates not diagnosed with ambiguous genitalia. Studies not published from 2020 to the search date or those lacking clear relevance to the scope of the study as well as studies with insufficient data on the clinical or psychosocial as</w:t>
      </w:r>
      <w:r>
        <w:rPr>
          <w:rFonts w:ascii="Times New Roman" w:eastAsia="Times New Roman" w:hAnsi="Times New Roman" w:cs="Times New Roman"/>
          <w:sz w:val="24"/>
          <w:szCs w:val="24"/>
        </w:rPr>
        <w:t>pects of managing ambiguous genitalia were excluded. Articles that did not undergo peer-review or were from non-academic sources (e.g., personal blogs, news articles) were also excluded.</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The included studies: </w:t>
      </w:r>
      <w:r>
        <w:rPr>
          <w:rFonts w:ascii="Times New Roman" w:eastAsia="Times New Roman" w:hAnsi="Times New Roman" w:cs="Times New Roman"/>
          <w:sz w:val="24"/>
          <w:szCs w:val="24"/>
        </w:rPr>
        <w:t xml:space="preserve">A total of 482 records were identified through </w:t>
      </w:r>
      <w:r>
        <w:rPr>
          <w:rFonts w:ascii="Times New Roman" w:eastAsia="Times New Roman" w:hAnsi="Times New Roman" w:cs="Times New Roman"/>
          <w:sz w:val="24"/>
          <w:szCs w:val="24"/>
        </w:rPr>
        <w:t>database searches and reference lists. Of these, 93 records were sourced from PubMed, 357 from ScienceDirect, and 32 from reference lists. Appropriate database filters such as 2020 to the search date, free full text, English language, and humans and open a</w:t>
      </w:r>
      <w:r>
        <w:rPr>
          <w:rFonts w:ascii="Times New Roman" w:eastAsia="Times New Roman" w:hAnsi="Times New Roman" w:cs="Times New Roman"/>
          <w:sz w:val="24"/>
          <w:szCs w:val="24"/>
        </w:rPr>
        <w:t>ccess filters were applied. After applying these filters, 437 records were excluded leaving 45 records for title and abstract screening. After title and abstract screening, 16 records were removed of which four were duplicate records and 14 were removed ba</w:t>
      </w:r>
      <w:r>
        <w:rPr>
          <w:rFonts w:ascii="Times New Roman" w:eastAsia="Times New Roman" w:hAnsi="Times New Roman" w:cs="Times New Roman"/>
          <w:sz w:val="24"/>
          <w:szCs w:val="24"/>
        </w:rPr>
        <w:t>sed on exclusion criteria. Following further eligibility assessment of the remaining 29 articles were subjected to full text review, 24 studies were included in this review as shown in Figure 1.</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48641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864100"/>
                    </a:xfrm>
                    <a:prstGeom prst="rect">
                      <a:avLst/>
                    </a:prstGeom>
                    <a:ln/>
                  </pic:spPr>
                </pic:pic>
              </a:graphicData>
            </a:graphic>
          </wp:inline>
        </w:drawing>
      </w:r>
    </w:p>
    <w:p w:rsidR="000240BB" w:rsidRDefault="003F04AE">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Figure 1: Preferred Reporting Items for Systematic Reviews </w:t>
      </w:r>
      <w:r>
        <w:rPr>
          <w:rFonts w:ascii="Times New Roman" w:eastAsia="Times New Roman" w:hAnsi="Times New Roman" w:cs="Times New Roman"/>
          <w:b/>
          <w:bCs/>
          <w:i/>
          <w:iCs/>
          <w:sz w:val="24"/>
          <w:szCs w:val="24"/>
        </w:rPr>
        <w:t>and Meta-Analysis (PRISMA) Flow Diagram (Page et al., 2021)</w:t>
      </w:r>
    </w:p>
    <w:p w:rsidR="000240BB" w:rsidRDefault="003F04AE">
      <w:pPr>
        <w:spacing w:before="28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Data Synthesis:</w:t>
      </w:r>
      <w:r>
        <w:rPr>
          <w:rFonts w:ascii="Times New Roman" w:eastAsia="Times New Roman" w:hAnsi="Times New Roman" w:cs="Times New Roman"/>
          <w:sz w:val="24"/>
          <w:szCs w:val="24"/>
        </w:rPr>
        <w:t xml:space="preserve"> A narrative synthesis approach was employed, where findings from different study designs were categorized into themes corresponding to the diagnostic, surgical, and psychosocial ou</w:t>
      </w:r>
      <w:r>
        <w:rPr>
          <w:rFonts w:ascii="Times New Roman" w:eastAsia="Times New Roman" w:hAnsi="Times New Roman" w:cs="Times New Roman"/>
          <w:sz w:val="24"/>
          <w:szCs w:val="24"/>
        </w:rPr>
        <w:t xml:space="preserve">tcomes of ambiguous genitalia. Studies were analyzed for key patterns and </w:t>
      </w:r>
      <w:r>
        <w:rPr>
          <w:rFonts w:ascii="Times New Roman" w:eastAsia="Times New Roman" w:hAnsi="Times New Roman" w:cs="Times New Roman"/>
          <w:sz w:val="24"/>
          <w:szCs w:val="24"/>
        </w:rPr>
        <w:lastRenderedPageBreak/>
        <w:t>insights, providing a comprehensive understanding of current practices and research gaps in the management of ambiguous genitalia in children.</w:t>
      </w:r>
    </w:p>
    <w:p w:rsidR="000240BB" w:rsidRDefault="003F04AE">
      <w:pPr>
        <w:pStyle w:val="Heading1"/>
        <w:keepNext w:val="0"/>
        <w:keepLines w:val="0"/>
        <w:numPr>
          <w:ilvl w:val="0"/>
          <w:numId w:val="1"/>
        </w:numPr>
        <w:spacing w:after="80"/>
        <w:rPr>
          <w:rFonts w:ascii="Times New Roman" w:eastAsia="Times New Roman" w:hAnsi="Times New Roman" w:cs="Times New Roman"/>
          <w:b/>
          <w:bCs/>
          <w:sz w:val="32"/>
          <w:szCs w:val="32"/>
        </w:rPr>
      </w:pPr>
      <w:bookmarkStart w:id="4" w:name="_heading=h.drk2a9hifa92" w:colFirst="0" w:colLast="0"/>
      <w:bookmarkEnd w:id="4"/>
      <w:r>
        <w:rPr>
          <w:rFonts w:ascii="Times New Roman" w:eastAsia="Times New Roman" w:hAnsi="Times New Roman" w:cs="Times New Roman"/>
          <w:b/>
          <w:bCs/>
          <w:sz w:val="32"/>
          <w:szCs w:val="32"/>
        </w:rPr>
        <w:t>Diagnostic Approaches to Ambiguous Genitalia in Children</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Accurate and timely diagnosis of ambiguous genitalia in children is foundational to effective clinical management, guiding decisions about sex assignment, potential life‑threatening conditions (e.g.,</w:t>
      </w:r>
      <w:r>
        <w:rPr>
          <w:rFonts w:ascii="Times New Roman" w:eastAsia="Times New Roman" w:hAnsi="Times New Roman" w:cs="Times New Roman"/>
          <w:sz w:val="24"/>
          <w:szCs w:val="24"/>
        </w:rPr>
        <w:t xml:space="preserve"> congenital adrenal hyperplasia), and long‑term care planning (</w:t>
      </w:r>
      <w:proofErr w:type="spellStart"/>
      <w:r>
        <w:rPr>
          <w:rFonts w:ascii="Times New Roman" w:eastAsia="Times New Roman" w:hAnsi="Times New Roman" w:cs="Times New Roman"/>
          <w:sz w:val="24"/>
          <w:szCs w:val="24"/>
        </w:rPr>
        <w:t>Yavas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Abalı</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Guran</w:t>
      </w:r>
      <w:proofErr w:type="spellEnd"/>
      <w:r>
        <w:rPr>
          <w:rFonts w:ascii="Times New Roman" w:eastAsia="Times New Roman" w:hAnsi="Times New Roman" w:cs="Times New Roman"/>
          <w:sz w:val="24"/>
          <w:szCs w:val="24"/>
        </w:rPr>
        <w:t>, 2024). Contemporary diagnostic approaches integrate comprehensive clinical evaluation, endocrine and biochemical testing, imaging studies, cytogenetic analysis, and genetic</w:t>
      </w:r>
      <w:r>
        <w:rPr>
          <w:rFonts w:ascii="Times New Roman" w:eastAsia="Times New Roman" w:hAnsi="Times New Roman" w:cs="Times New Roman"/>
          <w:sz w:val="24"/>
          <w:szCs w:val="24"/>
        </w:rPr>
        <w:t xml:space="preserve"> testing, forming a stepwise framework that leverages multidisciplinary expertise (</w:t>
      </w:r>
      <w:proofErr w:type="spellStart"/>
      <w:r>
        <w:rPr>
          <w:rFonts w:ascii="Times New Roman" w:eastAsia="Times New Roman" w:hAnsi="Times New Roman" w:cs="Times New Roman"/>
          <w:sz w:val="24"/>
          <w:szCs w:val="24"/>
        </w:rPr>
        <w:t>Kızılay</w:t>
      </w:r>
      <w:proofErr w:type="spellEnd"/>
      <w:r>
        <w:rPr>
          <w:rFonts w:ascii="Times New Roman" w:eastAsia="Times New Roman" w:hAnsi="Times New Roman" w:cs="Times New Roman"/>
          <w:sz w:val="24"/>
          <w:szCs w:val="24"/>
        </w:rPr>
        <w:t xml:space="preserve"> et al., 2024; Al‑Sahar et al., 2024).</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diagnostic workup typically begins with a thorough physical examination conducted by an experienced pediatric clinician to </w:t>
      </w:r>
      <w:r>
        <w:rPr>
          <w:rFonts w:ascii="Times New Roman" w:eastAsia="Times New Roman" w:hAnsi="Times New Roman" w:cs="Times New Roman"/>
          <w:sz w:val="24"/>
          <w:szCs w:val="24"/>
        </w:rPr>
        <w:t>document genital morphology, assess virilization (e.g., Prader/Quigley scoring), and identify associated anomalies. Detailed measurements of genital structures and evaluation of palpable gonads provide essential early phenotypic data, which narrows differe</w:t>
      </w:r>
      <w:r>
        <w:rPr>
          <w:rFonts w:ascii="Times New Roman" w:eastAsia="Times New Roman" w:hAnsi="Times New Roman" w:cs="Times New Roman"/>
          <w:sz w:val="24"/>
          <w:szCs w:val="24"/>
        </w:rPr>
        <w:t>ntial diagnoses and prioritizes further testing (</w:t>
      </w:r>
      <w:proofErr w:type="spellStart"/>
      <w:r>
        <w:rPr>
          <w:rFonts w:ascii="Times New Roman" w:eastAsia="Times New Roman" w:hAnsi="Times New Roman" w:cs="Times New Roman"/>
          <w:sz w:val="24"/>
          <w:szCs w:val="24"/>
        </w:rPr>
        <w:t>Yavas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Abalı</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Guran</w:t>
      </w:r>
      <w:proofErr w:type="spellEnd"/>
      <w:r>
        <w:rPr>
          <w:rFonts w:ascii="Times New Roman" w:eastAsia="Times New Roman" w:hAnsi="Times New Roman" w:cs="Times New Roman"/>
          <w:sz w:val="24"/>
          <w:szCs w:val="24"/>
        </w:rPr>
        <w:t>, 2024). Biochemical evaluation includes measurement of electrolytes and 17‑hydroxyprogesterone levels to rapidly exclude or confirm congenital adrenal hyperplasia, especially 21‑hydroxyla</w:t>
      </w:r>
      <w:r>
        <w:rPr>
          <w:rFonts w:ascii="Times New Roman" w:eastAsia="Times New Roman" w:hAnsi="Times New Roman" w:cs="Times New Roman"/>
          <w:sz w:val="24"/>
          <w:szCs w:val="24"/>
        </w:rPr>
        <w:t>se deficiency, given its potential for critical salt‑wasting crises (</w:t>
      </w:r>
      <w:proofErr w:type="spellStart"/>
      <w:r>
        <w:rPr>
          <w:rFonts w:ascii="Times New Roman" w:eastAsia="Times New Roman" w:hAnsi="Times New Roman" w:cs="Times New Roman"/>
          <w:sz w:val="24"/>
          <w:szCs w:val="24"/>
        </w:rPr>
        <w:t>Yavas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Abalı</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Guran</w:t>
      </w:r>
      <w:proofErr w:type="spellEnd"/>
      <w:r>
        <w:rPr>
          <w:rFonts w:ascii="Times New Roman" w:eastAsia="Times New Roman" w:hAnsi="Times New Roman" w:cs="Times New Roman"/>
          <w:sz w:val="24"/>
          <w:szCs w:val="24"/>
        </w:rPr>
        <w:t>, 2024). Early hormonal profiling also incorporates anti‑Müllerian hormone (AMH), luteinizing hormone (LH), follicle‑stimulating hormone (FSH), and testosterone/dihydro</w:t>
      </w:r>
      <w:r>
        <w:rPr>
          <w:rFonts w:ascii="Times New Roman" w:eastAsia="Times New Roman" w:hAnsi="Times New Roman" w:cs="Times New Roman"/>
          <w:sz w:val="24"/>
          <w:szCs w:val="24"/>
        </w:rPr>
        <w:t>testosterone ratios in conjunction with age‑appropriate reference ranges to differentiate biosynthetic and receptor‑mediated disorders (Jindal et al., 2024).</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Cytogenetic analysis through karyotyping establishes chromosomal sex and informs subsequent diagno</w:t>
      </w:r>
      <w:r>
        <w:rPr>
          <w:rFonts w:ascii="Times New Roman" w:eastAsia="Times New Roman" w:hAnsi="Times New Roman" w:cs="Times New Roman"/>
          <w:sz w:val="24"/>
          <w:szCs w:val="24"/>
        </w:rPr>
        <w:t xml:space="preserve">stic direction, distinguishing sex chromosome DSD (e.g., mosaicism) from </w:t>
      </w:r>
      <w:proofErr w:type="gramStart"/>
      <w:r>
        <w:rPr>
          <w:rFonts w:ascii="Times New Roman" w:eastAsia="Times New Roman" w:hAnsi="Times New Roman" w:cs="Times New Roman"/>
          <w:sz w:val="24"/>
          <w:szCs w:val="24"/>
        </w:rPr>
        <w:t>46,XY</w:t>
      </w:r>
      <w:proofErr w:type="gramEnd"/>
      <w:r>
        <w:rPr>
          <w:rFonts w:ascii="Times New Roman" w:eastAsia="Times New Roman" w:hAnsi="Times New Roman" w:cs="Times New Roman"/>
          <w:sz w:val="24"/>
          <w:szCs w:val="24"/>
        </w:rPr>
        <w:t xml:space="preserve"> or 46,XX DSD categories (Al‑Sahar et al., 2024; Ishii et al., 2025). Imaging modalities play a crucial role in anatomical phenotyping; transabdominal and pelvic ultrasound as fi</w:t>
      </w:r>
      <w:r>
        <w:rPr>
          <w:rFonts w:ascii="Times New Roman" w:eastAsia="Times New Roman" w:hAnsi="Times New Roman" w:cs="Times New Roman"/>
          <w:sz w:val="24"/>
          <w:szCs w:val="24"/>
        </w:rPr>
        <w:t>rst‑line tools identify internal structures such as Müllerian derivatives, while magnetic resonance imaging (MRI) offers superior soft‑tissue resolution—critical when ultrasound findings are equivocal or deeper structures (e.g., gonads, uterus) require cla</w:t>
      </w:r>
      <w:r>
        <w:rPr>
          <w:rFonts w:ascii="Times New Roman" w:eastAsia="Times New Roman" w:hAnsi="Times New Roman" w:cs="Times New Roman"/>
          <w:sz w:val="24"/>
          <w:szCs w:val="24"/>
        </w:rPr>
        <w:t>rification (Kumar et al., 2024).</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advent of molecular techniques has transformed DSD diagnostics, enabling targeted gene panels, next‑generation sequencing (NGS), whole‑exome (WES) and whole‑genome sequencing (WGS) to detect known and novel pathogenic v</w:t>
      </w:r>
      <w:r>
        <w:rPr>
          <w:rFonts w:ascii="Times New Roman" w:eastAsia="Times New Roman" w:hAnsi="Times New Roman" w:cs="Times New Roman"/>
          <w:sz w:val="24"/>
          <w:szCs w:val="24"/>
        </w:rPr>
        <w:t>ariants that underlie specific DSD forms. These genetic tools complement traditional approaches and are particularly valuable when clinical and biochemical data are inconclusive, improving diagnostic yield and informing prognosis and familial counseling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z w:val="24"/>
          <w:szCs w:val="24"/>
        </w:rPr>
        <w:t>ızılay</w:t>
      </w:r>
      <w:proofErr w:type="spellEnd"/>
      <w:r>
        <w:rPr>
          <w:rFonts w:ascii="Times New Roman" w:eastAsia="Times New Roman" w:hAnsi="Times New Roman" w:cs="Times New Roman"/>
          <w:sz w:val="24"/>
          <w:szCs w:val="24"/>
        </w:rPr>
        <w:t xml:space="preserve"> et al., 2024; Priyadarshini et al., 2024). Recent reviews emphasize that while genetic testing may not be universally accessible, it increasingly serves as a definitive </w:t>
      </w:r>
      <w:r>
        <w:rPr>
          <w:rFonts w:ascii="Times New Roman" w:eastAsia="Times New Roman" w:hAnsi="Times New Roman" w:cs="Times New Roman"/>
          <w:sz w:val="24"/>
          <w:szCs w:val="24"/>
        </w:rPr>
        <w:lastRenderedPageBreak/>
        <w:t>diagnostic layer and should be coordinated with phenotype‑driven assessment to o</w:t>
      </w:r>
      <w:r>
        <w:rPr>
          <w:rFonts w:ascii="Times New Roman" w:eastAsia="Times New Roman" w:hAnsi="Times New Roman" w:cs="Times New Roman"/>
          <w:sz w:val="24"/>
          <w:szCs w:val="24"/>
        </w:rPr>
        <w:t>ptimize interpretation (</w:t>
      </w:r>
      <w:proofErr w:type="spellStart"/>
      <w:r>
        <w:rPr>
          <w:rFonts w:ascii="Times New Roman" w:eastAsia="Times New Roman" w:hAnsi="Times New Roman" w:cs="Times New Roman"/>
          <w:sz w:val="24"/>
          <w:szCs w:val="24"/>
        </w:rPr>
        <w:t>Kızılay</w:t>
      </w:r>
      <w:proofErr w:type="spellEnd"/>
      <w:r>
        <w:rPr>
          <w:rFonts w:ascii="Times New Roman" w:eastAsia="Times New Roman" w:hAnsi="Times New Roman" w:cs="Times New Roman"/>
          <w:sz w:val="24"/>
          <w:szCs w:val="24"/>
        </w:rPr>
        <w:t xml:space="preserve"> et al., 2024).</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Practical diagnostic algorithms commonly used in tertiary centers prioritize hierarchical evaluation—beginning with clinical and hormonal assessment, followed by chromosomal analysis, imaging, and advanced molecular genetics as indicated (</w:t>
      </w:r>
      <w:proofErr w:type="spellStart"/>
      <w:r>
        <w:rPr>
          <w:rFonts w:ascii="Times New Roman" w:eastAsia="Times New Roman" w:hAnsi="Times New Roman" w:cs="Times New Roman"/>
          <w:sz w:val="24"/>
          <w:szCs w:val="24"/>
        </w:rPr>
        <w:t>Yavas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Abalı</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Gur</w:t>
      </w:r>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2024). Multidisciplinary collaboration is imperative throughout the process, ensuring integration of pediatric endocrinology, clinical genetics, radiology, and urology inputs. This approach enhances diagnostic accuracy, shortens time to etiology determ</w:t>
      </w:r>
      <w:r>
        <w:rPr>
          <w:rFonts w:ascii="Times New Roman" w:eastAsia="Times New Roman" w:hAnsi="Times New Roman" w:cs="Times New Roman"/>
          <w:sz w:val="24"/>
          <w:szCs w:val="24"/>
        </w:rPr>
        <w:t>ination, and strengthens care planning for ambiguous genitalia and related DSDs in children.</w:t>
      </w:r>
    </w:p>
    <w:p w:rsidR="000240BB" w:rsidRDefault="003F04AE">
      <w:pPr>
        <w:spacing w:before="240" w:after="24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Table </w:t>
      </w:r>
      <w:r w:rsidR="00505CCF">
        <w:rPr>
          <w:rFonts w:ascii="Times New Roman" w:eastAsia="Times New Roman" w:hAnsi="Times New Roman" w:cs="Times New Roman"/>
          <w:b/>
          <w:bCs/>
          <w:i/>
          <w:iCs/>
          <w:sz w:val="24"/>
          <w:szCs w:val="24"/>
        </w:rPr>
        <w:t>2</w:t>
      </w:r>
      <w:r>
        <w:rPr>
          <w:rFonts w:ascii="Times New Roman" w:eastAsia="Times New Roman" w:hAnsi="Times New Roman" w:cs="Times New Roman"/>
          <w:b/>
          <w:bCs/>
          <w:i/>
          <w:iCs/>
          <w:sz w:val="24"/>
          <w:szCs w:val="24"/>
        </w:rPr>
        <w:t>: Summary of Diagnostic Tools for Ambiguous Genitalia</w:t>
      </w:r>
    </w:p>
    <w:tbl>
      <w:tblPr>
        <w:tblStyle w:val="a6"/>
        <w:tblW w:w="9360" w:type="dxa"/>
        <w:tblBorders>
          <w:top w:val="nil"/>
          <w:left w:val="nil"/>
          <w:bottom w:val="nil"/>
          <w:right w:val="nil"/>
          <w:insideH w:val="nil"/>
          <w:insideV w:val="nil"/>
        </w:tblBorders>
        <w:tblLayout w:type="fixed"/>
        <w:tblLook w:val="0600" w:firstRow="0" w:lastRow="0" w:firstColumn="0" w:lastColumn="0" w:noHBand="1" w:noVBand="1"/>
      </w:tblPr>
      <w:tblGrid>
        <w:gridCol w:w="2370"/>
        <w:gridCol w:w="2493"/>
        <w:gridCol w:w="1577"/>
        <w:gridCol w:w="1385"/>
        <w:gridCol w:w="1535"/>
      </w:tblGrid>
      <w:tr w:rsidR="000240BB">
        <w:trPr>
          <w:trHeight w:val="500"/>
        </w:trPr>
        <w:tc>
          <w:tcPr>
            <w:tcW w:w="2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Diagnostic Tool</w:t>
            </w:r>
          </w:p>
        </w:tc>
        <w:tc>
          <w:tcPr>
            <w:tcW w:w="24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Purpose/Use</w:t>
            </w:r>
          </w:p>
        </w:tc>
        <w:tc>
          <w:tcPr>
            <w:tcW w:w="15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Application</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Advantages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Limitations</w:t>
            </w:r>
          </w:p>
        </w:tc>
      </w:tr>
      <w:tr w:rsidR="000240BB">
        <w:trPr>
          <w:trHeight w:val="2660"/>
        </w:trPr>
        <w:tc>
          <w:tcPr>
            <w:tcW w:w="2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Clinical Examination</w:t>
            </w:r>
          </w:p>
        </w:tc>
        <w:tc>
          <w:tcPr>
            <w:tcW w:w="24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 assessmen</w:t>
            </w:r>
            <w:r>
              <w:rPr>
                <w:rFonts w:ascii="Times New Roman" w:eastAsia="Times New Roman" w:hAnsi="Times New Roman" w:cs="Times New Roman"/>
                <w:sz w:val="24"/>
                <w:szCs w:val="24"/>
              </w:rPr>
              <w:t>t of genital morphology and physical characteristics</w:t>
            </w:r>
          </w:p>
        </w:tc>
        <w:tc>
          <w:tcPr>
            <w:tcW w:w="15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First-line evaluation for sex assignment and virilization scoring (Prader, Quigley)</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immediate phenotypic data on external genitalia</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May not differentiate between genetic or hormonal causes; depe</w:t>
            </w:r>
            <w:r>
              <w:rPr>
                <w:rFonts w:ascii="Times New Roman" w:eastAsia="Times New Roman" w:hAnsi="Times New Roman" w:cs="Times New Roman"/>
                <w:sz w:val="24"/>
                <w:szCs w:val="24"/>
              </w:rPr>
              <w:t>nds on clinician experience</w:t>
            </w:r>
          </w:p>
        </w:tc>
      </w:tr>
      <w:tr w:rsidR="000240BB">
        <w:trPr>
          <w:trHeight w:val="3200"/>
        </w:trPr>
        <w:tc>
          <w:tcPr>
            <w:tcW w:w="2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Biochemical/Hormonal Tests</w:t>
            </w:r>
          </w:p>
        </w:tc>
        <w:tc>
          <w:tcPr>
            <w:tcW w:w="24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Measures of key hormones (17‑hydroxyprogesterone, testosterone, AMH)</w:t>
            </w:r>
          </w:p>
        </w:tc>
        <w:tc>
          <w:tcPr>
            <w:tcW w:w="15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to identify disorders such as congenital adrenal hyperplasia (CAH) or androgen insensitivity syndrome (AIS)</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Rapid results, effective for identifying certain conditions (e.g., CAH)</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Hormonal levels can fluctuate; requires age-specific reference ranges</w:t>
            </w:r>
          </w:p>
        </w:tc>
      </w:tr>
      <w:tr w:rsidR="000240BB">
        <w:trPr>
          <w:trHeight w:val="2120"/>
        </w:trPr>
        <w:tc>
          <w:tcPr>
            <w:tcW w:w="2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Cytogenetic Testing (Karyotyping)</w:t>
            </w:r>
          </w:p>
        </w:tc>
        <w:tc>
          <w:tcPr>
            <w:tcW w:w="24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Identification of chromosomal sex and structural chromosomal anomalies</w:t>
            </w:r>
          </w:p>
        </w:tc>
        <w:tc>
          <w:tcPr>
            <w:tcW w:w="15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Used to detect sex chromosome DSDs and mosaicism (e.g., </w:t>
            </w:r>
            <w:proofErr w:type="gramStart"/>
            <w:r>
              <w:rPr>
                <w:rFonts w:ascii="Times New Roman" w:eastAsia="Times New Roman" w:hAnsi="Times New Roman" w:cs="Times New Roman"/>
                <w:sz w:val="24"/>
                <w:szCs w:val="24"/>
              </w:rPr>
              <w:t>45,X</w:t>
            </w:r>
            <w:proofErr w:type="gramEnd"/>
            <w:r>
              <w:rPr>
                <w:rFonts w:ascii="Times New Roman" w:eastAsia="Times New Roman" w:hAnsi="Times New Roman" w:cs="Times New Roman"/>
                <w:sz w:val="24"/>
                <w:szCs w:val="24"/>
              </w:rPr>
              <w:t>/46,XY)</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Essential for definitive diagnosis of sex chromosome DSDs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Requires specialized laboratory resources; not always conclusive in mosaic cases</w:t>
            </w:r>
          </w:p>
        </w:tc>
      </w:tr>
      <w:tr w:rsidR="000240BB">
        <w:trPr>
          <w:trHeight w:val="2660"/>
        </w:trPr>
        <w:tc>
          <w:tcPr>
            <w:tcW w:w="2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Genetic Testing (NGS, WES, WGS)</w:t>
            </w:r>
          </w:p>
        </w:tc>
        <w:tc>
          <w:tcPr>
            <w:tcW w:w="24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Identification o</w:t>
            </w:r>
            <w:r>
              <w:rPr>
                <w:rFonts w:ascii="Times New Roman" w:eastAsia="Times New Roman" w:hAnsi="Times New Roman" w:cs="Times New Roman"/>
                <w:sz w:val="24"/>
                <w:szCs w:val="24"/>
              </w:rPr>
              <w:t>f genetic mutations in DSD-related genes</w:t>
            </w:r>
          </w:p>
        </w:tc>
        <w:tc>
          <w:tcPr>
            <w:tcW w:w="15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Comprehensive tool for identifying known and novel pathogenic mutations (e.g., SRY, AR, SRD5A2)</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 diagnostic yield, can detect previously unknown conditions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Expensive, may not be accessible in all settings, requi</w:t>
            </w:r>
            <w:r>
              <w:rPr>
                <w:rFonts w:ascii="Times New Roman" w:eastAsia="Times New Roman" w:hAnsi="Times New Roman" w:cs="Times New Roman"/>
                <w:sz w:val="24"/>
                <w:szCs w:val="24"/>
              </w:rPr>
              <w:t>res interpretation of variants of uncertain significance</w:t>
            </w:r>
          </w:p>
        </w:tc>
      </w:tr>
      <w:tr w:rsidR="000240BB">
        <w:trPr>
          <w:trHeight w:val="2660"/>
        </w:trPr>
        <w:tc>
          <w:tcPr>
            <w:tcW w:w="2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Ultrasound Imaging</w:t>
            </w:r>
          </w:p>
        </w:tc>
        <w:tc>
          <w:tcPr>
            <w:tcW w:w="24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Visualizes internal structures (gonads, uterus, Mullerian derivatives)</w:t>
            </w:r>
          </w:p>
        </w:tc>
        <w:tc>
          <w:tcPr>
            <w:tcW w:w="15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to identify the presence of internal genitalia (e.g., testes, ovaries) and assess gonadal location</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Non-invasive, widely accessible, quick</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in detail for deep structures, dependent on operator skill</w:t>
            </w:r>
          </w:p>
        </w:tc>
      </w:tr>
      <w:tr w:rsidR="000240BB">
        <w:trPr>
          <w:trHeight w:val="2120"/>
        </w:trPr>
        <w:tc>
          <w:tcPr>
            <w:tcW w:w="2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MRI (Magnetic Resonance Imaging)</w:t>
            </w:r>
          </w:p>
        </w:tc>
        <w:tc>
          <w:tcPr>
            <w:tcW w:w="24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Detailed visualization of soft tissues, gonads, and reproductive organs</w:t>
            </w:r>
          </w:p>
        </w:tc>
        <w:tc>
          <w:tcPr>
            <w:tcW w:w="15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when ultrasound findings are inconclusi</w:t>
            </w:r>
            <w:r>
              <w:rPr>
                <w:rFonts w:ascii="Times New Roman" w:eastAsia="Times New Roman" w:hAnsi="Times New Roman" w:cs="Times New Roman"/>
                <w:sz w:val="24"/>
                <w:szCs w:val="24"/>
              </w:rPr>
              <w:t>ve or deeper structures need evaluation</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high-resolution images, non-invasive</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Expensive, less accessible in some settings</w:t>
            </w:r>
          </w:p>
        </w:tc>
      </w:tr>
      <w:tr w:rsidR="000240BB">
        <w:trPr>
          <w:trHeight w:val="2660"/>
        </w:trPr>
        <w:tc>
          <w:tcPr>
            <w:tcW w:w="2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Pelvic Examination</w:t>
            </w:r>
          </w:p>
        </w:tc>
        <w:tc>
          <w:tcPr>
            <w:tcW w:w="24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 internal examination to assess internal reproductive structures</w:t>
            </w:r>
          </w:p>
        </w:tc>
        <w:tc>
          <w:tcPr>
            <w:tcW w:w="15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evaluation of vaginal length, Müllerian duct remnants, and gonadal position in ambiguous genitalia</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Offers direct visualization; can be combined with other exams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Invasive, uncomfortable, typically performed under anesthesia in infants</w:t>
            </w:r>
          </w:p>
        </w:tc>
      </w:tr>
      <w:tr w:rsidR="000240BB">
        <w:trPr>
          <w:trHeight w:val="2390"/>
        </w:trPr>
        <w:tc>
          <w:tcPr>
            <w:tcW w:w="23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Endocrine Testing</w:t>
            </w:r>
            <w:r>
              <w:rPr>
                <w:rFonts w:ascii="Times New Roman" w:eastAsia="Times New Roman" w:hAnsi="Times New Roman" w:cs="Times New Roman"/>
                <w:b/>
                <w:bCs/>
                <w:sz w:val="24"/>
                <w:szCs w:val="24"/>
              </w:rPr>
              <w:t xml:space="preserve"> (AMH, LH, FSH, DHT)</w:t>
            </w:r>
          </w:p>
        </w:tc>
        <w:tc>
          <w:tcPr>
            <w:tcW w:w="24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Assesses gonadal function and androgen receptor activity</w:t>
            </w:r>
          </w:p>
        </w:tc>
        <w:tc>
          <w:tcPr>
            <w:tcW w:w="15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for distinguishing between androgen insensitivity syndrome (AIS) and other forms of DSD</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Helps identify receptor defects, crucial for AIS diagnosis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Requires specific hormonal profiles, may vary by age and gender</w:t>
            </w:r>
          </w:p>
        </w:tc>
      </w:tr>
    </w:tbl>
    <w:p w:rsidR="000240BB" w:rsidRDefault="000240BB">
      <w:pPr>
        <w:jc w:val="both"/>
        <w:rPr>
          <w:rFonts w:ascii="Times New Roman" w:eastAsia="Times New Roman" w:hAnsi="Times New Roman" w:cs="Times New Roman"/>
          <w:sz w:val="24"/>
          <w:szCs w:val="24"/>
        </w:rPr>
      </w:pPr>
    </w:p>
    <w:p w:rsidR="000240BB" w:rsidRDefault="003F04AE">
      <w:pPr>
        <w:pStyle w:val="Heading1"/>
        <w:keepNext w:val="0"/>
        <w:keepLines w:val="0"/>
        <w:spacing w:after="80"/>
        <w:rPr>
          <w:rFonts w:ascii="Times New Roman" w:eastAsia="Times New Roman" w:hAnsi="Times New Roman" w:cs="Times New Roman"/>
          <w:b/>
          <w:bCs/>
          <w:sz w:val="32"/>
          <w:szCs w:val="32"/>
        </w:rPr>
      </w:pPr>
      <w:bookmarkStart w:id="5" w:name="_heading=h.xdx7goc05u5g" w:colFirst="0" w:colLast="0"/>
      <w:bookmarkEnd w:id="5"/>
      <w:r>
        <w:rPr>
          <w:rFonts w:ascii="Times New Roman" w:eastAsia="Times New Roman" w:hAnsi="Times New Roman" w:cs="Times New Roman"/>
          <w:b/>
          <w:bCs/>
          <w:sz w:val="32"/>
          <w:szCs w:val="32"/>
        </w:rPr>
        <w:t>4. Surgical Management of Ambiguous Genitalia in Children</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Surgical management in children with ambiguous genitalia is a critical component of multidisciplinary clinical care designed to restore functional anatomy, optimize future urinary and </w:t>
      </w:r>
      <w:r>
        <w:rPr>
          <w:rFonts w:ascii="Times New Roman" w:eastAsia="Times New Roman" w:hAnsi="Times New Roman" w:cs="Times New Roman"/>
          <w:sz w:val="24"/>
          <w:szCs w:val="24"/>
        </w:rPr>
        <w:lastRenderedPageBreak/>
        <w:t>sexual function, and support psychosocial development within the context</w:t>
      </w:r>
      <w:r>
        <w:rPr>
          <w:rFonts w:ascii="Times New Roman" w:eastAsia="Times New Roman" w:hAnsi="Times New Roman" w:cs="Times New Roman"/>
          <w:sz w:val="24"/>
          <w:szCs w:val="24"/>
        </w:rPr>
        <w:t xml:space="preserve"> of individual circumstances and family preferences. Contemporary surgical strategies integrate evolving ethical standards, evidence on outcomes, and multidisciplinary consensus on indications and timing of procedures (Vicario et al., 2025).</w:t>
      </w:r>
    </w:p>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Reconstructive</w:t>
      </w:r>
      <w:r>
        <w:rPr>
          <w:rFonts w:ascii="Times New Roman" w:eastAsia="Times New Roman" w:hAnsi="Times New Roman" w:cs="Times New Roman"/>
          <w:sz w:val="24"/>
          <w:szCs w:val="24"/>
        </w:rPr>
        <w:t xml:space="preserve"> surgery for children with ambiguous genitalia varies widely according to underlying diagnoses, severity, and sex assignment decisions. In </w:t>
      </w:r>
      <w:proofErr w:type="gramStart"/>
      <w:r>
        <w:rPr>
          <w:rFonts w:ascii="Times New Roman" w:eastAsia="Times New Roman" w:hAnsi="Times New Roman" w:cs="Times New Roman"/>
          <w:sz w:val="24"/>
          <w:szCs w:val="24"/>
        </w:rPr>
        <w:t>46,XY</w:t>
      </w:r>
      <w:proofErr w:type="gramEnd"/>
      <w:r>
        <w:rPr>
          <w:rFonts w:ascii="Times New Roman" w:eastAsia="Times New Roman" w:hAnsi="Times New Roman" w:cs="Times New Roman"/>
          <w:sz w:val="24"/>
          <w:szCs w:val="24"/>
        </w:rPr>
        <w:t xml:space="preserve"> DSD such as complete or partial androgen insensitivity and gonadal dysgenesis, surgical efforts may include pen</w:t>
      </w:r>
      <w:r>
        <w:rPr>
          <w:rFonts w:ascii="Times New Roman" w:eastAsia="Times New Roman" w:hAnsi="Times New Roman" w:cs="Times New Roman"/>
          <w:sz w:val="24"/>
          <w:szCs w:val="24"/>
        </w:rPr>
        <w:t>ile reconstruction, hypospadias repair, urethroplasty, and gonadectomy when indicated for tumor risk management or functional concerns (Das et al., 2026; Peng et al., 2024). Similarly, for children with congenital adrenal hyperplasia (CAH) and severe viril</w:t>
      </w:r>
      <w:r>
        <w:rPr>
          <w:rFonts w:ascii="Times New Roman" w:eastAsia="Times New Roman" w:hAnsi="Times New Roman" w:cs="Times New Roman"/>
          <w:sz w:val="24"/>
          <w:szCs w:val="24"/>
        </w:rPr>
        <w:t xml:space="preserve">ization, feminizing </w:t>
      </w:r>
      <w:proofErr w:type="spellStart"/>
      <w:r>
        <w:rPr>
          <w:rFonts w:ascii="Times New Roman" w:eastAsia="Times New Roman" w:hAnsi="Times New Roman" w:cs="Times New Roman"/>
          <w:sz w:val="24"/>
          <w:szCs w:val="24"/>
        </w:rPr>
        <w:t>genitoplasty</w:t>
      </w:r>
      <w:proofErr w:type="spellEnd"/>
      <w:r>
        <w:rPr>
          <w:rFonts w:ascii="Times New Roman" w:eastAsia="Times New Roman" w:hAnsi="Times New Roman" w:cs="Times New Roman"/>
          <w:sz w:val="24"/>
          <w:szCs w:val="24"/>
        </w:rPr>
        <w:t xml:space="preserve">—including </w:t>
      </w:r>
      <w:proofErr w:type="spellStart"/>
      <w:r>
        <w:rPr>
          <w:rFonts w:ascii="Times New Roman" w:eastAsia="Times New Roman" w:hAnsi="Times New Roman" w:cs="Times New Roman"/>
          <w:sz w:val="24"/>
          <w:szCs w:val="24"/>
        </w:rPr>
        <w:t>clitoroplasty</w:t>
      </w:r>
      <w:proofErr w:type="spellEnd"/>
      <w:r>
        <w:rPr>
          <w:rFonts w:ascii="Times New Roman" w:eastAsia="Times New Roman" w:hAnsi="Times New Roman" w:cs="Times New Roman"/>
          <w:sz w:val="24"/>
          <w:szCs w:val="24"/>
        </w:rPr>
        <w:t xml:space="preserve">, vaginoplasty, and </w:t>
      </w:r>
      <w:proofErr w:type="spellStart"/>
      <w:r>
        <w:rPr>
          <w:rFonts w:ascii="Times New Roman" w:eastAsia="Times New Roman" w:hAnsi="Times New Roman" w:cs="Times New Roman"/>
          <w:sz w:val="24"/>
          <w:szCs w:val="24"/>
        </w:rPr>
        <w:t>labioplasty</w:t>
      </w:r>
      <w:proofErr w:type="spellEnd"/>
      <w:r>
        <w:rPr>
          <w:rFonts w:ascii="Times New Roman" w:eastAsia="Times New Roman" w:hAnsi="Times New Roman" w:cs="Times New Roman"/>
          <w:sz w:val="24"/>
          <w:szCs w:val="24"/>
        </w:rPr>
        <w:t>—is among the most frequently reported reconstructive procedures (Jun et al., 2021).</w:t>
      </w:r>
    </w:p>
    <w:p w:rsidR="000240BB" w:rsidRDefault="000240BB">
      <w:pPr>
        <w:jc w:val="both"/>
        <w:rPr>
          <w:rFonts w:ascii="Times New Roman" w:eastAsia="Times New Roman" w:hAnsi="Times New Roman" w:cs="Times New Roman"/>
          <w:sz w:val="24"/>
          <w:szCs w:val="24"/>
        </w:rPr>
      </w:pPr>
    </w:p>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pediatric </w:t>
      </w:r>
      <w:proofErr w:type="spellStart"/>
      <w:r>
        <w:rPr>
          <w:rFonts w:ascii="Times New Roman" w:eastAsia="Times New Roman" w:hAnsi="Times New Roman" w:cs="Times New Roman"/>
          <w:sz w:val="24"/>
          <w:szCs w:val="24"/>
        </w:rPr>
        <w:t>clitoroplasty</w:t>
      </w:r>
      <w:proofErr w:type="spellEnd"/>
      <w:r>
        <w:rPr>
          <w:rFonts w:ascii="Times New Roman" w:eastAsia="Times New Roman" w:hAnsi="Times New Roman" w:cs="Times New Roman"/>
          <w:sz w:val="24"/>
          <w:szCs w:val="24"/>
        </w:rPr>
        <w:t xml:space="preserve"> experience reported in pediatric surgical literature de</w:t>
      </w:r>
      <w:r>
        <w:rPr>
          <w:rFonts w:ascii="Times New Roman" w:eastAsia="Times New Roman" w:hAnsi="Times New Roman" w:cs="Times New Roman"/>
          <w:sz w:val="24"/>
          <w:szCs w:val="24"/>
        </w:rPr>
        <w:t xml:space="preserve">monstrates that early reconstructive surgery, performed in infancy or early childhood, can yield acceptable mid‑term anatomical results with low perioperative complications when techniques preserve neurovascular integrity (Jun et al., 2021). Despite this, </w:t>
      </w:r>
      <w:r>
        <w:rPr>
          <w:rFonts w:ascii="Times New Roman" w:eastAsia="Times New Roman" w:hAnsi="Times New Roman" w:cs="Times New Roman"/>
          <w:sz w:val="24"/>
          <w:szCs w:val="24"/>
        </w:rPr>
        <w:t>surgical timing and techniques remain subjects of ongoing debate, with evidence supporting individualized decision‑making and shared consent processes involving families and multidisciplinary teams (</w:t>
      </w:r>
      <w:proofErr w:type="spellStart"/>
      <w:r>
        <w:rPr>
          <w:rFonts w:ascii="Times New Roman" w:eastAsia="Times New Roman" w:hAnsi="Times New Roman" w:cs="Times New Roman"/>
          <w:sz w:val="24"/>
          <w:szCs w:val="24"/>
        </w:rPr>
        <w:t>Bennecke</w:t>
      </w:r>
      <w:proofErr w:type="spellEnd"/>
      <w:r>
        <w:rPr>
          <w:rFonts w:ascii="Times New Roman" w:eastAsia="Times New Roman" w:hAnsi="Times New Roman" w:cs="Times New Roman"/>
          <w:sz w:val="24"/>
          <w:szCs w:val="24"/>
        </w:rPr>
        <w:t xml:space="preserve"> et al., 2021).</w:t>
      </w:r>
    </w:p>
    <w:p w:rsidR="000240BB" w:rsidRDefault="000240BB">
      <w:pPr>
        <w:jc w:val="both"/>
        <w:rPr>
          <w:rFonts w:ascii="Times New Roman" w:eastAsia="Times New Roman" w:hAnsi="Times New Roman" w:cs="Times New Roman"/>
          <w:sz w:val="24"/>
          <w:szCs w:val="24"/>
        </w:rPr>
      </w:pPr>
    </w:p>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cases of chromosomal mosaicis</w:t>
      </w:r>
      <w:r>
        <w:rPr>
          <w:rFonts w:ascii="Times New Roman" w:eastAsia="Times New Roman" w:hAnsi="Times New Roman" w:cs="Times New Roman"/>
          <w:sz w:val="24"/>
          <w:szCs w:val="24"/>
        </w:rPr>
        <w:t xml:space="preserve">m such as </w:t>
      </w:r>
      <w:proofErr w:type="gramStart"/>
      <w:r>
        <w:rPr>
          <w:rFonts w:ascii="Times New Roman" w:eastAsia="Times New Roman" w:hAnsi="Times New Roman" w:cs="Times New Roman"/>
          <w:sz w:val="24"/>
          <w:szCs w:val="24"/>
        </w:rPr>
        <w:t>45,X</w:t>
      </w:r>
      <w:proofErr w:type="gramEnd"/>
      <w:r>
        <w:rPr>
          <w:rFonts w:ascii="Times New Roman" w:eastAsia="Times New Roman" w:hAnsi="Times New Roman" w:cs="Times New Roman"/>
          <w:sz w:val="24"/>
          <w:szCs w:val="24"/>
        </w:rPr>
        <w:t>/46,XY DSD, surgical approaches often include gonadal biopsy, laparoscopic exploration, and reconstructive genital surgery tailored to phenotypic presentation and chosen gender of rearing (Peng et al., 2024). In this cohort, hypospadias combi</w:t>
      </w:r>
      <w:r>
        <w:rPr>
          <w:rFonts w:ascii="Times New Roman" w:eastAsia="Times New Roman" w:hAnsi="Times New Roman" w:cs="Times New Roman"/>
          <w:sz w:val="24"/>
          <w:szCs w:val="24"/>
        </w:rPr>
        <w:t>ned with cryptorchidism and Müllerian duct remnants were common surgical considerations, demonstrating that reconstructive pathways must balance anatomical correction with careful evaluation of gonadal status and future fertility potential.</w:t>
      </w:r>
    </w:p>
    <w:p w:rsidR="000240BB" w:rsidRDefault="000240BB">
      <w:pPr>
        <w:jc w:val="both"/>
        <w:rPr>
          <w:rFonts w:ascii="Times New Roman" w:eastAsia="Times New Roman" w:hAnsi="Times New Roman" w:cs="Times New Roman"/>
          <w:sz w:val="24"/>
          <w:szCs w:val="24"/>
        </w:rPr>
      </w:pPr>
    </w:p>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s</w:t>
      </w:r>
      <w:r>
        <w:rPr>
          <w:rFonts w:ascii="Times New Roman" w:eastAsia="Times New Roman" w:hAnsi="Times New Roman" w:cs="Times New Roman"/>
          <w:sz w:val="24"/>
          <w:szCs w:val="24"/>
        </w:rPr>
        <w:t xml:space="preserve">urgical principles in DSD emphasize preservation of function (e.g., urinary continence, potential sexual function) and minimization of surgical morbidity while avoiding procedures that may later prove discordant with gender identity or sexual preferences. </w:t>
      </w:r>
      <w:r>
        <w:rPr>
          <w:rFonts w:ascii="Times New Roman" w:eastAsia="Times New Roman" w:hAnsi="Times New Roman" w:cs="Times New Roman"/>
          <w:sz w:val="24"/>
          <w:szCs w:val="24"/>
        </w:rPr>
        <w:t>This emphasis reflects broader shifts in surgical ethics and consensus guidelines, advocating case‑by‑case evaluation rather than blanket early surgical intervention (</w:t>
      </w:r>
      <w:proofErr w:type="spellStart"/>
      <w:r>
        <w:rPr>
          <w:rFonts w:ascii="Times New Roman" w:eastAsia="Times New Roman" w:hAnsi="Times New Roman" w:cs="Times New Roman"/>
          <w:sz w:val="24"/>
          <w:szCs w:val="24"/>
        </w:rPr>
        <w:t>Bennecke</w:t>
      </w:r>
      <w:proofErr w:type="spellEnd"/>
      <w:r>
        <w:rPr>
          <w:rFonts w:ascii="Times New Roman" w:eastAsia="Times New Roman" w:hAnsi="Times New Roman" w:cs="Times New Roman"/>
          <w:sz w:val="24"/>
          <w:szCs w:val="24"/>
        </w:rPr>
        <w:t xml:space="preserve"> et al., 2021).</w:t>
      </w:r>
    </w:p>
    <w:p w:rsidR="000240BB" w:rsidRDefault="000240BB">
      <w:pPr>
        <w:jc w:val="both"/>
        <w:rPr>
          <w:rFonts w:ascii="Times New Roman" w:eastAsia="Times New Roman" w:hAnsi="Times New Roman" w:cs="Times New Roman"/>
          <w:sz w:val="24"/>
          <w:szCs w:val="24"/>
        </w:rPr>
      </w:pPr>
    </w:p>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Long‑term outcome studies further underscore that multidisciplinary care—including preoperative endocrinology, genetic counselling, surgical planning, and psychosocial support—is essential to optimize physical outcomes and psychosocial well‑being. Patients</w:t>
      </w:r>
      <w:r>
        <w:rPr>
          <w:rFonts w:ascii="Times New Roman" w:eastAsia="Times New Roman" w:hAnsi="Times New Roman" w:cs="Times New Roman"/>
          <w:sz w:val="24"/>
          <w:szCs w:val="24"/>
        </w:rPr>
        <w:t xml:space="preserve"> and families should be engaged in shared decision‑making, with clear understanding of potential benefits and limitations of surgery, including long‑term follow‑up needs (Vicario et al., 2025).</w:t>
      </w:r>
    </w:p>
    <w:p w:rsidR="000240BB" w:rsidRDefault="000240BB">
      <w:pPr>
        <w:jc w:val="both"/>
        <w:rPr>
          <w:rFonts w:ascii="Times New Roman" w:eastAsia="Times New Roman" w:hAnsi="Times New Roman" w:cs="Times New Roman"/>
          <w:sz w:val="24"/>
          <w:szCs w:val="24"/>
        </w:rPr>
      </w:pPr>
    </w:p>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summary, surgical management of ambiguous genitalia in chi</w:t>
      </w:r>
      <w:r>
        <w:rPr>
          <w:rFonts w:ascii="Times New Roman" w:eastAsia="Times New Roman" w:hAnsi="Times New Roman" w:cs="Times New Roman"/>
          <w:sz w:val="24"/>
          <w:szCs w:val="24"/>
        </w:rPr>
        <w:t xml:space="preserve">ldren is highly individualized and should integrate diagnostic clarity, functional and psychosocial goals, and ethical principles, supported by evidence from recent clinical outcome studies on hypospadias repair, </w:t>
      </w:r>
      <w:proofErr w:type="spellStart"/>
      <w:r>
        <w:rPr>
          <w:rFonts w:ascii="Times New Roman" w:eastAsia="Times New Roman" w:hAnsi="Times New Roman" w:cs="Times New Roman"/>
          <w:sz w:val="24"/>
          <w:szCs w:val="24"/>
        </w:rPr>
        <w:t>clitoroplasty</w:t>
      </w:r>
      <w:proofErr w:type="spellEnd"/>
      <w:r>
        <w:rPr>
          <w:rFonts w:ascii="Times New Roman" w:eastAsia="Times New Roman" w:hAnsi="Times New Roman" w:cs="Times New Roman"/>
          <w:sz w:val="24"/>
          <w:szCs w:val="24"/>
        </w:rPr>
        <w:t>, and reconstructive surgeries</w:t>
      </w:r>
      <w:r>
        <w:rPr>
          <w:rFonts w:ascii="Times New Roman" w:eastAsia="Times New Roman" w:hAnsi="Times New Roman" w:cs="Times New Roman"/>
          <w:sz w:val="24"/>
          <w:szCs w:val="24"/>
        </w:rPr>
        <w:t xml:space="preserve"> tailored to specific DSD conditions.</w:t>
      </w:r>
    </w:p>
    <w:p w:rsidR="000240BB" w:rsidRDefault="000240BB">
      <w:pPr>
        <w:jc w:val="both"/>
        <w:rPr>
          <w:rFonts w:ascii="Times New Roman" w:eastAsia="Times New Roman" w:hAnsi="Times New Roman" w:cs="Times New Roman"/>
          <w:sz w:val="24"/>
          <w:szCs w:val="24"/>
        </w:rPr>
      </w:pPr>
    </w:p>
    <w:p w:rsidR="000240BB" w:rsidRDefault="003F04AE">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Table </w:t>
      </w:r>
      <w:r w:rsidR="0057727E">
        <w:rPr>
          <w:rFonts w:ascii="Times New Roman" w:eastAsia="Times New Roman" w:hAnsi="Times New Roman" w:cs="Times New Roman"/>
          <w:b/>
          <w:bCs/>
          <w:i/>
          <w:iCs/>
          <w:sz w:val="24"/>
          <w:szCs w:val="24"/>
        </w:rPr>
        <w:t>3</w:t>
      </w:r>
      <w:bookmarkStart w:id="6" w:name="_GoBack"/>
      <w:bookmarkEnd w:id="6"/>
      <w:r>
        <w:rPr>
          <w:rFonts w:ascii="Times New Roman" w:eastAsia="Times New Roman" w:hAnsi="Times New Roman" w:cs="Times New Roman"/>
          <w:b/>
          <w:bCs/>
          <w:i/>
          <w:iCs/>
          <w:sz w:val="24"/>
          <w:szCs w:val="24"/>
        </w:rPr>
        <w:t>: Comparison of Surgical Techniques for Ambiguous Genitalia</w:t>
      </w:r>
    </w:p>
    <w:p w:rsidR="000240BB" w:rsidRDefault="000240BB">
      <w:pPr>
        <w:jc w:val="both"/>
        <w:rPr>
          <w:rFonts w:ascii="Times New Roman" w:eastAsia="Times New Roman" w:hAnsi="Times New Roman" w:cs="Times New Roman"/>
          <w:sz w:val="24"/>
          <w:szCs w:val="24"/>
        </w:rPr>
      </w:pPr>
    </w:p>
    <w:tbl>
      <w:tblPr>
        <w:tblStyle w:val="a7"/>
        <w:tblW w:w="9360" w:type="dxa"/>
        <w:tblBorders>
          <w:top w:val="nil"/>
          <w:left w:val="nil"/>
          <w:bottom w:val="nil"/>
          <w:right w:val="nil"/>
          <w:insideH w:val="nil"/>
          <w:insideV w:val="nil"/>
        </w:tblBorders>
        <w:tblLayout w:type="fixed"/>
        <w:tblLook w:val="0600" w:firstRow="0" w:lastRow="0" w:firstColumn="0" w:lastColumn="0" w:noHBand="1" w:noVBand="1"/>
      </w:tblPr>
      <w:tblGrid>
        <w:gridCol w:w="1750"/>
        <w:gridCol w:w="1982"/>
        <w:gridCol w:w="1462"/>
        <w:gridCol w:w="2155"/>
        <w:gridCol w:w="2011"/>
      </w:tblGrid>
      <w:tr w:rsidR="000240BB">
        <w:trPr>
          <w:trHeight w:val="77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Surgical Procedure</w:t>
            </w:r>
          </w:p>
        </w:tc>
        <w:tc>
          <w:tcPr>
            <w:tcW w:w="19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Indications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Typical Age Range</w:t>
            </w:r>
          </w:p>
        </w:tc>
        <w:tc>
          <w:tcPr>
            <w:tcW w:w="2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Expected Outcomes</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Known Complications</w:t>
            </w:r>
          </w:p>
        </w:tc>
      </w:tr>
      <w:tr w:rsidR="000240BB">
        <w:trPr>
          <w:trHeight w:val="131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Clitoroplasty</w:t>
            </w:r>
            <w:proofErr w:type="spellEnd"/>
          </w:p>
        </w:tc>
        <w:tc>
          <w:tcPr>
            <w:tcW w:w="19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Severe clitoral hypertrophy in females (e.g., C</w:t>
            </w:r>
            <w:r>
              <w:rPr>
                <w:rFonts w:ascii="Times New Roman" w:eastAsia="Times New Roman" w:hAnsi="Times New Roman" w:cs="Times New Roman"/>
                <w:sz w:val="24"/>
                <w:szCs w:val="24"/>
              </w:rPr>
              <w:t>AH)</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Infancy to early childhood</w:t>
            </w:r>
          </w:p>
        </w:tc>
        <w:tc>
          <w:tcPr>
            <w:tcW w:w="2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Restores normal clitoral anatomy and function</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Nerve injury, scarring, unsatisfactory cosmetic results</w:t>
            </w:r>
          </w:p>
        </w:tc>
      </w:tr>
      <w:tr w:rsidR="000240BB">
        <w:trPr>
          <w:trHeight w:val="131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Feminizing </w:t>
            </w:r>
            <w:proofErr w:type="spellStart"/>
            <w:r>
              <w:rPr>
                <w:rFonts w:ascii="Times New Roman" w:eastAsia="Times New Roman" w:hAnsi="Times New Roman" w:cs="Times New Roman"/>
                <w:b/>
                <w:bCs/>
                <w:sz w:val="24"/>
                <w:szCs w:val="24"/>
              </w:rPr>
              <w:t>Genitoplasty</w:t>
            </w:r>
            <w:proofErr w:type="spellEnd"/>
          </w:p>
        </w:tc>
        <w:tc>
          <w:tcPr>
            <w:tcW w:w="19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46,XX</w:t>
            </w:r>
            <w:proofErr w:type="gramEnd"/>
            <w:r>
              <w:rPr>
                <w:rFonts w:ascii="Times New Roman" w:eastAsia="Times New Roman" w:hAnsi="Times New Roman" w:cs="Times New Roman"/>
                <w:sz w:val="24"/>
                <w:szCs w:val="24"/>
              </w:rPr>
              <w:t xml:space="preserve"> DSD (CAH) with virilization</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Infancy to early childhood</w:t>
            </w:r>
          </w:p>
        </w:tc>
        <w:tc>
          <w:tcPr>
            <w:tcW w:w="2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Creation of female‑appearing genitalia, functional vaginal canal</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Cosmetic outcomes, sexual dysfunction, scarring</w:t>
            </w:r>
          </w:p>
        </w:tc>
      </w:tr>
      <w:tr w:rsidR="000240BB">
        <w:trPr>
          <w:trHeight w:val="185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Hypospadias Repair</w:t>
            </w:r>
          </w:p>
        </w:tc>
        <w:tc>
          <w:tcPr>
            <w:tcW w:w="19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46,XY</w:t>
            </w:r>
            <w:proofErr w:type="gramEnd"/>
            <w:r>
              <w:rPr>
                <w:rFonts w:ascii="Times New Roman" w:eastAsia="Times New Roman" w:hAnsi="Times New Roman" w:cs="Times New Roman"/>
                <w:sz w:val="24"/>
                <w:szCs w:val="24"/>
              </w:rPr>
              <w:t xml:space="preserve"> DSD (androgen insensitivity, gonadal dysgenesis) with hypospadias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Infancy to early childhood</w:t>
            </w:r>
          </w:p>
        </w:tc>
        <w:tc>
          <w:tcPr>
            <w:tcW w:w="2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Normal penile function a</w:t>
            </w:r>
            <w:r>
              <w:rPr>
                <w:rFonts w:ascii="Times New Roman" w:eastAsia="Times New Roman" w:hAnsi="Times New Roman" w:cs="Times New Roman"/>
                <w:sz w:val="24"/>
                <w:szCs w:val="24"/>
              </w:rPr>
              <w:t>nd appearance</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Urethral fistula, stenosis, complications in sexual function</w:t>
            </w:r>
          </w:p>
        </w:tc>
      </w:tr>
      <w:tr w:rsidR="000240BB">
        <w:trPr>
          <w:trHeight w:val="185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Gonadectomy (Testes Removal)</w:t>
            </w:r>
          </w:p>
        </w:tc>
        <w:tc>
          <w:tcPr>
            <w:tcW w:w="19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risk of gonadal malignancy (e.g., </w:t>
            </w:r>
            <w:proofErr w:type="spellStart"/>
            <w:r>
              <w:rPr>
                <w:rFonts w:ascii="Times New Roman" w:eastAsia="Times New Roman" w:hAnsi="Times New Roman" w:cs="Times New Roman"/>
                <w:sz w:val="24"/>
                <w:szCs w:val="24"/>
              </w:rPr>
              <w:t>dysgenetic</w:t>
            </w:r>
            <w:proofErr w:type="spellEnd"/>
            <w:r>
              <w:rPr>
                <w:rFonts w:ascii="Times New Roman" w:eastAsia="Times New Roman" w:hAnsi="Times New Roman" w:cs="Times New Roman"/>
                <w:sz w:val="24"/>
                <w:szCs w:val="24"/>
              </w:rPr>
              <w:t xml:space="preserve"> gonads, gonadal dysgenesis)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Typically</w:t>
            </w:r>
            <w:proofErr w:type="gramEnd"/>
            <w:r>
              <w:rPr>
                <w:rFonts w:ascii="Times New Roman" w:eastAsia="Times New Roman" w:hAnsi="Times New Roman" w:cs="Times New Roman"/>
                <w:sz w:val="24"/>
                <w:szCs w:val="24"/>
              </w:rPr>
              <w:t xml:space="preserve"> before puberty</w:t>
            </w:r>
          </w:p>
        </w:tc>
        <w:tc>
          <w:tcPr>
            <w:tcW w:w="2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Prevents tumor risk, removes nonfunctional gonads</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Hormonal imbalances, infertility, psychological impact</w:t>
            </w:r>
          </w:p>
        </w:tc>
      </w:tr>
      <w:tr w:rsidR="000240BB">
        <w:trPr>
          <w:trHeight w:val="158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Genitoplasty</w:t>
            </w:r>
            <w:proofErr w:type="spellEnd"/>
            <w:r>
              <w:rPr>
                <w:rFonts w:ascii="Times New Roman" w:eastAsia="Times New Roman" w:hAnsi="Times New Roman" w:cs="Times New Roman"/>
                <w:b/>
                <w:bCs/>
                <w:sz w:val="24"/>
                <w:szCs w:val="24"/>
              </w:rPr>
              <w:t xml:space="preserve"> for </w:t>
            </w:r>
            <w:proofErr w:type="gramStart"/>
            <w:r>
              <w:rPr>
                <w:rFonts w:ascii="Times New Roman" w:eastAsia="Times New Roman" w:hAnsi="Times New Roman" w:cs="Times New Roman"/>
                <w:b/>
                <w:bCs/>
                <w:sz w:val="24"/>
                <w:szCs w:val="24"/>
              </w:rPr>
              <w:t>46,XY</w:t>
            </w:r>
            <w:proofErr w:type="gramEnd"/>
            <w:r>
              <w:rPr>
                <w:rFonts w:ascii="Times New Roman" w:eastAsia="Times New Roman" w:hAnsi="Times New Roman" w:cs="Times New Roman"/>
                <w:b/>
                <w:bCs/>
                <w:sz w:val="24"/>
                <w:szCs w:val="24"/>
              </w:rPr>
              <w:t xml:space="preserve"> DSD</w:t>
            </w:r>
          </w:p>
        </w:tc>
        <w:tc>
          <w:tcPr>
            <w:tcW w:w="19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Ambiguous genitalia in </w:t>
            </w:r>
            <w:proofErr w:type="gramStart"/>
            <w:r>
              <w:rPr>
                <w:rFonts w:ascii="Times New Roman" w:eastAsia="Times New Roman" w:hAnsi="Times New Roman" w:cs="Times New Roman"/>
                <w:sz w:val="24"/>
                <w:szCs w:val="24"/>
              </w:rPr>
              <w:t>46,XY</w:t>
            </w:r>
            <w:proofErr w:type="gramEnd"/>
            <w:r>
              <w:rPr>
                <w:rFonts w:ascii="Times New Roman" w:eastAsia="Times New Roman" w:hAnsi="Times New Roman" w:cs="Times New Roman"/>
                <w:sz w:val="24"/>
                <w:szCs w:val="24"/>
              </w:rPr>
              <w:t xml:space="preserve"> DSD (e.g., mixed gonadal dysgenesis)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Infancy to early childhood</w:t>
            </w:r>
          </w:p>
        </w:tc>
        <w:tc>
          <w:tcPr>
            <w:tcW w:w="2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Functional or aesthetic recons</w:t>
            </w:r>
            <w:r>
              <w:rPr>
                <w:rFonts w:ascii="Times New Roman" w:eastAsia="Times New Roman" w:hAnsi="Times New Roman" w:cs="Times New Roman"/>
                <w:sz w:val="24"/>
                <w:szCs w:val="24"/>
              </w:rPr>
              <w:t>truction of male or female genitalia</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Complications similar to hypospadias repair</w:t>
            </w:r>
          </w:p>
        </w:tc>
      </w:tr>
      <w:tr w:rsidR="000240BB">
        <w:trPr>
          <w:trHeight w:val="212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Vaginoplasty</w:t>
            </w:r>
          </w:p>
        </w:tc>
        <w:tc>
          <w:tcPr>
            <w:tcW w:w="19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Feminization in cases of </w:t>
            </w:r>
            <w:proofErr w:type="gramStart"/>
            <w:r>
              <w:rPr>
                <w:rFonts w:ascii="Times New Roman" w:eastAsia="Times New Roman" w:hAnsi="Times New Roman" w:cs="Times New Roman"/>
                <w:sz w:val="24"/>
                <w:szCs w:val="24"/>
              </w:rPr>
              <w:t>46,XY</w:t>
            </w:r>
            <w:proofErr w:type="gramEnd"/>
            <w:r>
              <w:rPr>
                <w:rFonts w:ascii="Times New Roman" w:eastAsia="Times New Roman" w:hAnsi="Times New Roman" w:cs="Times New Roman"/>
                <w:sz w:val="24"/>
                <w:szCs w:val="24"/>
              </w:rPr>
              <w:t xml:space="preserve"> DSD with vaginal agenesis or insufficient vaginal development</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Early to </w:t>
            </w:r>
            <w:proofErr w:type="spellStart"/>
            <w:r>
              <w:rPr>
                <w:rFonts w:ascii="Times New Roman" w:eastAsia="Times New Roman" w:hAnsi="Times New Roman" w:cs="Times New Roman"/>
                <w:sz w:val="24"/>
                <w:szCs w:val="24"/>
              </w:rPr>
              <w:t>mid childhood</w:t>
            </w:r>
            <w:proofErr w:type="spellEnd"/>
          </w:p>
        </w:tc>
        <w:tc>
          <w:tcPr>
            <w:tcW w:w="2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Creation of a functional vagina for future sexual activity</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Vaginal stenosis, issues with sexual function, wound dehiscence</w:t>
            </w:r>
          </w:p>
        </w:tc>
      </w:tr>
      <w:tr w:rsidR="000240BB">
        <w:trPr>
          <w:trHeight w:val="131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Urethroplasty</w:t>
            </w:r>
          </w:p>
        </w:tc>
        <w:tc>
          <w:tcPr>
            <w:tcW w:w="19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Urethral defects (e.g., hypospadias, posterior urethral valves)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Early childhood to adolescence</w:t>
            </w:r>
          </w:p>
        </w:tc>
        <w:tc>
          <w:tcPr>
            <w:tcW w:w="2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Reconstruction of functional urethra, enabling normal urination</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Incontinence, stenosis, fistula formation</w:t>
            </w:r>
          </w:p>
        </w:tc>
      </w:tr>
      <w:tr w:rsidR="000240BB">
        <w:trPr>
          <w:trHeight w:val="239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Laparoscopic Gonadal Exploration</w:t>
            </w:r>
          </w:p>
        </w:tc>
        <w:tc>
          <w:tcPr>
            <w:tcW w:w="19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Gonads not palpable, suspected undescended testes, suspected gonadal dysgenesis or malignancy</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Infancy to adolescence</w:t>
            </w:r>
          </w:p>
        </w:tc>
        <w:tc>
          <w:tcPr>
            <w:tcW w:w="2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Diagnosis and potential removal of </w:t>
            </w:r>
            <w:proofErr w:type="spellStart"/>
            <w:r>
              <w:rPr>
                <w:rFonts w:ascii="Times New Roman" w:eastAsia="Times New Roman" w:hAnsi="Times New Roman" w:cs="Times New Roman"/>
                <w:sz w:val="24"/>
                <w:szCs w:val="24"/>
              </w:rPr>
              <w:t>dysgenetic</w:t>
            </w:r>
            <w:proofErr w:type="spellEnd"/>
            <w:r>
              <w:rPr>
                <w:rFonts w:ascii="Times New Roman" w:eastAsia="Times New Roman" w:hAnsi="Times New Roman" w:cs="Times New Roman"/>
                <w:sz w:val="24"/>
                <w:szCs w:val="24"/>
              </w:rPr>
              <w:t xml:space="preserve"> gonads</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Surgical complications such as bleeding or injury to surrounding organs</w:t>
            </w:r>
          </w:p>
        </w:tc>
      </w:tr>
    </w:tbl>
    <w:p w:rsidR="000240BB" w:rsidRDefault="000240BB">
      <w:pPr>
        <w:jc w:val="both"/>
        <w:rPr>
          <w:rFonts w:ascii="Times New Roman" w:eastAsia="Times New Roman" w:hAnsi="Times New Roman" w:cs="Times New Roman"/>
          <w:sz w:val="24"/>
          <w:szCs w:val="24"/>
        </w:rPr>
      </w:pPr>
    </w:p>
    <w:p w:rsidR="000240BB" w:rsidRDefault="003F04AE">
      <w:pPr>
        <w:pStyle w:val="Heading1"/>
        <w:keepNext w:val="0"/>
        <w:keepLines w:val="0"/>
        <w:spacing w:after="80"/>
        <w:rPr>
          <w:rFonts w:ascii="Times New Roman" w:eastAsia="Times New Roman" w:hAnsi="Times New Roman" w:cs="Times New Roman"/>
          <w:b/>
          <w:bCs/>
          <w:sz w:val="32"/>
          <w:szCs w:val="32"/>
        </w:rPr>
      </w:pPr>
      <w:bookmarkStart w:id="7" w:name="_heading=h.7aviet1416dt" w:colFirst="0" w:colLast="0"/>
      <w:bookmarkEnd w:id="7"/>
      <w:r>
        <w:rPr>
          <w:rFonts w:ascii="Times New Roman" w:eastAsia="Times New Roman" w:hAnsi="Times New Roman" w:cs="Times New Roman"/>
          <w:b/>
          <w:bCs/>
          <w:sz w:val="32"/>
          <w:szCs w:val="32"/>
        </w:rPr>
        <w:t>5. Psychosocial Outcomes and Challenges</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experience of ambiguous genitalia and related DSD conditions extends well beyond the biological and surgical domains into profound psychosocial and emotional terrain that affects both children and their families. Children born with ambiguous genitalia </w:t>
      </w:r>
      <w:r>
        <w:rPr>
          <w:rFonts w:ascii="Times New Roman" w:eastAsia="Times New Roman" w:hAnsi="Times New Roman" w:cs="Times New Roman"/>
          <w:sz w:val="24"/>
          <w:szCs w:val="24"/>
        </w:rPr>
        <w:t>often contend with issues of identity formation, body image, social stigma, and mental well‑being as they progress through development and social environments (</w:t>
      </w:r>
      <w:proofErr w:type="spellStart"/>
      <w:r>
        <w:rPr>
          <w:rFonts w:ascii="Times New Roman" w:eastAsia="Times New Roman" w:hAnsi="Times New Roman" w:cs="Times New Roman"/>
          <w:sz w:val="24"/>
          <w:szCs w:val="24"/>
        </w:rPr>
        <w:t>Gramc</w:t>
      </w:r>
      <w:proofErr w:type="spellEnd"/>
      <w:r>
        <w:rPr>
          <w:rFonts w:ascii="Times New Roman" w:eastAsia="Times New Roman" w:hAnsi="Times New Roman" w:cs="Times New Roman"/>
          <w:sz w:val="24"/>
          <w:szCs w:val="24"/>
        </w:rPr>
        <w:t xml:space="preserve"> et al., 2024). The uncertainty surrounding bodily characteristics and gender identity may </w:t>
      </w:r>
      <w:r>
        <w:rPr>
          <w:rFonts w:ascii="Times New Roman" w:eastAsia="Times New Roman" w:hAnsi="Times New Roman" w:cs="Times New Roman"/>
          <w:sz w:val="24"/>
          <w:szCs w:val="24"/>
        </w:rPr>
        <w:t>contribute to psychological stress, particularly in social contexts where deviation from binary norms is stigmatized, reinforcing the need for early, integrated psychosocial support as part of holistic care (</w:t>
      </w:r>
      <w:proofErr w:type="spellStart"/>
      <w:r>
        <w:rPr>
          <w:rFonts w:ascii="Times New Roman" w:eastAsia="Times New Roman" w:hAnsi="Times New Roman" w:cs="Times New Roman"/>
          <w:sz w:val="24"/>
          <w:szCs w:val="24"/>
        </w:rPr>
        <w:t>Gramc</w:t>
      </w:r>
      <w:proofErr w:type="spellEnd"/>
      <w:r>
        <w:rPr>
          <w:rFonts w:ascii="Times New Roman" w:eastAsia="Times New Roman" w:hAnsi="Times New Roman" w:cs="Times New Roman"/>
          <w:sz w:val="24"/>
          <w:szCs w:val="24"/>
        </w:rPr>
        <w:t xml:space="preserve"> et al., 2024).</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Parents and caregivers of c</w:t>
      </w:r>
      <w:r>
        <w:rPr>
          <w:rFonts w:ascii="Times New Roman" w:eastAsia="Times New Roman" w:hAnsi="Times New Roman" w:cs="Times New Roman"/>
          <w:sz w:val="24"/>
          <w:szCs w:val="24"/>
        </w:rPr>
        <w:t>hildren with ambiguous genitalia frequently face intense emotional burdens, with studies documenting high prevalence of anxiety, depressive symptoms, and persistent stress. A recent cross‑sectional investigation among parents of children with congenital ad</w:t>
      </w:r>
      <w:r>
        <w:rPr>
          <w:rFonts w:ascii="Times New Roman" w:eastAsia="Times New Roman" w:hAnsi="Times New Roman" w:cs="Times New Roman"/>
          <w:sz w:val="24"/>
          <w:szCs w:val="24"/>
        </w:rPr>
        <w:t>renal hyperplasia‑related DSD found that over half of caregivers exhibited depressive symptomatology and significant anxiety, with coping strategies such as acceptance, planning, and religious reliance being common (</w:t>
      </w:r>
      <w:proofErr w:type="spellStart"/>
      <w:r>
        <w:rPr>
          <w:rFonts w:ascii="Times New Roman" w:eastAsia="Times New Roman" w:hAnsi="Times New Roman" w:cs="Times New Roman"/>
          <w:sz w:val="24"/>
          <w:szCs w:val="24"/>
        </w:rPr>
        <w:t>Toumi</w:t>
      </w:r>
      <w:proofErr w:type="spellEnd"/>
      <w:r>
        <w:rPr>
          <w:rFonts w:ascii="Times New Roman" w:eastAsia="Times New Roman" w:hAnsi="Times New Roman" w:cs="Times New Roman"/>
          <w:sz w:val="24"/>
          <w:szCs w:val="24"/>
        </w:rPr>
        <w:t xml:space="preserve"> et al., 2025). These findings unde</w:t>
      </w:r>
      <w:r>
        <w:rPr>
          <w:rFonts w:ascii="Times New Roman" w:eastAsia="Times New Roman" w:hAnsi="Times New Roman" w:cs="Times New Roman"/>
          <w:sz w:val="24"/>
          <w:szCs w:val="24"/>
        </w:rPr>
        <w:t xml:space="preserve">rscore the </w:t>
      </w:r>
      <w:proofErr w:type="spellStart"/>
      <w:r>
        <w:rPr>
          <w:rFonts w:ascii="Times New Roman" w:eastAsia="Times New Roman" w:hAnsi="Times New Roman" w:cs="Times New Roman"/>
          <w:sz w:val="24"/>
          <w:szCs w:val="24"/>
        </w:rPr>
        <w:lastRenderedPageBreak/>
        <w:t>psychoaffective</w:t>
      </w:r>
      <w:proofErr w:type="spellEnd"/>
      <w:r>
        <w:rPr>
          <w:rFonts w:ascii="Times New Roman" w:eastAsia="Times New Roman" w:hAnsi="Times New Roman" w:cs="Times New Roman"/>
          <w:sz w:val="24"/>
          <w:szCs w:val="24"/>
        </w:rPr>
        <w:t xml:space="preserve"> impact on caregivers and highlight predictive factors—such as the child’s age at surgery and lack of disclosure—that influence parental mental health (</w:t>
      </w:r>
      <w:proofErr w:type="spellStart"/>
      <w:r>
        <w:rPr>
          <w:rFonts w:ascii="Times New Roman" w:eastAsia="Times New Roman" w:hAnsi="Times New Roman" w:cs="Times New Roman"/>
          <w:sz w:val="24"/>
          <w:szCs w:val="24"/>
        </w:rPr>
        <w:t>Toumi</w:t>
      </w:r>
      <w:proofErr w:type="spellEnd"/>
      <w:r>
        <w:rPr>
          <w:rFonts w:ascii="Times New Roman" w:eastAsia="Times New Roman" w:hAnsi="Times New Roman" w:cs="Times New Roman"/>
          <w:sz w:val="24"/>
          <w:szCs w:val="24"/>
        </w:rPr>
        <w:t xml:space="preserve"> et al., 2025).</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Comprehensive surveys of healthcare professionals and pee</w:t>
      </w:r>
      <w:r>
        <w:rPr>
          <w:rFonts w:ascii="Times New Roman" w:eastAsia="Times New Roman" w:hAnsi="Times New Roman" w:cs="Times New Roman"/>
          <w:sz w:val="24"/>
          <w:szCs w:val="24"/>
        </w:rPr>
        <w:t>r support groups across Europe reveal that psychosocial support remains under‑implemented in routine care despite broad recognition of its importance. Although many professionals acknowledge the value of psychosocial interventions at diagnosis and througho</w:t>
      </w:r>
      <w:r>
        <w:rPr>
          <w:rFonts w:ascii="Times New Roman" w:eastAsia="Times New Roman" w:hAnsi="Times New Roman" w:cs="Times New Roman"/>
          <w:sz w:val="24"/>
          <w:szCs w:val="24"/>
        </w:rPr>
        <w:t>ut childhood, only a minority report that such support is routinely provided, indicating gaps between ideal practice and clinical reality (</w:t>
      </w:r>
      <w:proofErr w:type="spellStart"/>
      <w:r>
        <w:rPr>
          <w:rFonts w:ascii="Times New Roman" w:eastAsia="Times New Roman" w:hAnsi="Times New Roman" w:cs="Times New Roman"/>
          <w:sz w:val="24"/>
          <w:szCs w:val="24"/>
        </w:rPr>
        <w:t>Gramc</w:t>
      </w:r>
      <w:proofErr w:type="spellEnd"/>
      <w:r>
        <w:rPr>
          <w:rFonts w:ascii="Times New Roman" w:eastAsia="Times New Roman" w:hAnsi="Times New Roman" w:cs="Times New Roman"/>
          <w:sz w:val="24"/>
          <w:szCs w:val="24"/>
        </w:rPr>
        <w:t xml:space="preserve"> et al., 2024). This reinforces earlier narrative synthesis on the necessity of psychosocial care to help famili</w:t>
      </w:r>
      <w:r>
        <w:rPr>
          <w:rFonts w:ascii="Times New Roman" w:eastAsia="Times New Roman" w:hAnsi="Times New Roman" w:cs="Times New Roman"/>
          <w:sz w:val="24"/>
          <w:szCs w:val="24"/>
        </w:rPr>
        <w:t>es navigate diagnostic ambiguity, medical decisions, and long‑term adaptation (</w:t>
      </w:r>
      <w:proofErr w:type="spellStart"/>
      <w:r>
        <w:rPr>
          <w:rFonts w:ascii="Times New Roman" w:eastAsia="Times New Roman" w:hAnsi="Times New Roman" w:cs="Times New Roman"/>
          <w:sz w:val="24"/>
          <w:szCs w:val="24"/>
        </w:rPr>
        <w:t>Gramc</w:t>
      </w:r>
      <w:proofErr w:type="spellEnd"/>
      <w:r>
        <w:rPr>
          <w:rFonts w:ascii="Times New Roman" w:eastAsia="Times New Roman" w:hAnsi="Times New Roman" w:cs="Times New Roman"/>
          <w:sz w:val="24"/>
          <w:szCs w:val="24"/>
        </w:rPr>
        <w:t xml:space="preserve"> et al., 2024).</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research affirms the value of peer support networks and multidisciplinary collaboration in mitigating feelings of isolation and facilitating be</w:t>
      </w:r>
      <w:r>
        <w:rPr>
          <w:rFonts w:ascii="Times New Roman" w:eastAsia="Times New Roman" w:hAnsi="Times New Roman" w:cs="Times New Roman"/>
          <w:sz w:val="24"/>
          <w:szCs w:val="24"/>
        </w:rPr>
        <w:t>tter psychosocial adjustment. Peer support allows families and children to share experiences, build resilience, and foster community, which can enhance coping and reduce the sense of being alone in a complex healthcare journey (</w:t>
      </w:r>
      <w:proofErr w:type="spellStart"/>
      <w:r>
        <w:rPr>
          <w:rFonts w:ascii="Times New Roman" w:eastAsia="Times New Roman" w:hAnsi="Times New Roman" w:cs="Times New Roman"/>
          <w:sz w:val="24"/>
          <w:szCs w:val="24"/>
        </w:rPr>
        <w:t>Gramc</w:t>
      </w:r>
      <w:proofErr w:type="spellEnd"/>
      <w:r>
        <w:rPr>
          <w:rFonts w:ascii="Times New Roman" w:eastAsia="Times New Roman" w:hAnsi="Times New Roman" w:cs="Times New Roman"/>
          <w:sz w:val="24"/>
          <w:szCs w:val="24"/>
        </w:rPr>
        <w:t xml:space="preserve"> et al., 2024). In many</w:t>
      </w:r>
      <w:r>
        <w:rPr>
          <w:rFonts w:ascii="Times New Roman" w:eastAsia="Times New Roman" w:hAnsi="Times New Roman" w:cs="Times New Roman"/>
          <w:sz w:val="24"/>
          <w:szCs w:val="24"/>
        </w:rPr>
        <w:t xml:space="preserve"> instances, peer‑led initiatives complement clinical care, helping to bridge emotional gaps that purely medical interventions may not address.</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emerging studies emphasize that psychological care should be integrated early and consistently acros</w:t>
      </w:r>
      <w:r>
        <w:rPr>
          <w:rFonts w:ascii="Times New Roman" w:eastAsia="Times New Roman" w:hAnsi="Times New Roman" w:cs="Times New Roman"/>
          <w:sz w:val="24"/>
          <w:szCs w:val="24"/>
        </w:rPr>
        <w:t>s the continuum of care for DSD. Models that embed clinical psychologists, social workers, and counsellors within multidisciplinary teams show promise in addressing emotional distress, promoting effective communication, and supporting personal agency as ch</w:t>
      </w:r>
      <w:r>
        <w:rPr>
          <w:rFonts w:ascii="Times New Roman" w:eastAsia="Times New Roman" w:hAnsi="Times New Roman" w:cs="Times New Roman"/>
          <w:sz w:val="24"/>
          <w:szCs w:val="24"/>
        </w:rPr>
        <w:t>ildren mature (Alderson et al., 2023). These approaches aim not only to minimize psychosocial risk but also to empower children and families to articulate their values, preferences, and long‑term goals in their care trajectory.</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Collectively, this body of e</w:t>
      </w:r>
      <w:r>
        <w:rPr>
          <w:rFonts w:ascii="Times New Roman" w:eastAsia="Times New Roman" w:hAnsi="Times New Roman" w:cs="Times New Roman"/>
          <w:sz w:val="24"/>
          <w:szCs w:val="24"/>
        </w:rPr>
        <w:t>vidence highlights that ambiguous genitalia and DSD have multifaceted psychosocial impacts that demand structured psychosocial support, family engagement, and integration of mental health professionals within clinical teams to improve quality of life acros</w:t>
      </w:r>
      <w:r>
        <w:rPr>
          <w:rFonts w:ascii="Times New Roman" w:eastAsia="Times New Roman" w:hAnsi="Times New Roman" w:cs="Times New Roman"/>
          <w:sz w:val="24"/>
          <w:szCs w:val="24"/>
        </w:rPr>
        <w:t>s developmental stages.</w:t>
      </w:r>
    </w:p>
    <w:p w:rsidR="000240BB" w:rsidRDefault="003F04A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943600" cy="39624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962400"/>
                    </a:xfrm>
                    <a:prstGeom prst="rect">
                      <a:avLst/>
                    </a:prstGeom>
                    <a:ln/>
                  </pic:spPr>
                </pic:pic>
              </a:graphicData>
            </a:graphic>
          </wp:inline>
        </w:drawing>
      </w:r>
    </w:p>
    <w:p w:rsidR="000240BB" w:rsidRDefault="003F04AE">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Figure 2: Psychosocial challenges in children with ambiguous genitalia</w:t>
      </w:r>
    </w:p>
    <w:p w:rsidR="000240BB" w:rsidRDefault="000240BB">
      <w:pPr>
        <w:jc w:val="both"/>
        <w:rPr>
          <w:rFonts w:ascii="Times New Roman" w:eastAsia="Times New Roman" w:hAnsi="Times New Roman" w:cs="Times New Roman"/>
          <w:sz w:val="24"/>
          <w:szCs w:val="24"/>
        </w:rPr>
      </w:pPr>
    </w:p>
    <w:p w:rsidR="000240BB" w:rsidRDefault="003F04AE">
      <w:pPr>
        <w:pStyle w:val="Heading1"/>
        <w:keepNext w:val="0"/>
        <w:keepLines w:val="0"/>
        <w:spacing w:after="80"/>
        <w:rPr>
          <w:rFonts w:ascii="Times New Roman" w:eastAsia="Times New Roman" w:hAnsi="Times New Roman" w:cs="Times New Roman"/>
          <w:b/>
          <w:bCs/>
          <w:sz w:val="32"/>
          <w:szCs w:val="32"/>
          <w:highlight w:val="white"/>
        </w:rPr>
      </w:pPr>
      <w:bookmarkStart w:id="8" w:name="_heading=h.14g5dlgbux2a" w:colFirst="0" w:colLast="0"/>
      <w:bookmarkEnd w:id="8"/>
      <w:r>
        <w:rPr>
          <w:rFonts w:ascii="Times New Roman" w:eastAsia="Times New Roman" w:hAnsi="Times New Roman" w:cs="Times New Roman"/>
          <w:b/>
          <w:bCs/>
          <w:sz w:val="32"/>
          <w:szCs w:val="32"/>
          <w:highlight w:val="white"/>
        </w:rPr>
        <w:t>6. Ethical and Human Rights Considerations</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ethical landscape in the management of ambiguous genitalia and DSD in children is complex, shaped not only by clinical imperatives but also evolving principles of autonomy, consent, bodily integrity, and human rights. Central to these discussions is th</w:t>
      </w:r>
      <w:r>
        <w:rPr>
          <w:rFonts w:ascii="Times New Roman" w:eastAsia="Times New Roman" w:hAnsi="Times New Roman" w:cs="Times New Roman"/>
          <w:sz w:val="24"/>
          <w:szCs w:val="24"/>
        </w:rPr>
        <w:t>e ethical tension between early surgical intervention and respect for the developing child’s right to participate in decisions that will profoundly affect their future identity, bodily function, and psychological well‑being (</w:t>
      </w:r>
      <w:proofErr w:type="spellStart"/>
      <w:r>
        <w:rPr>
          <w:rFonts w:ascii="Times New Roman" w:eastAsia="Times New Roman" w:hAnsi="Times New Roman" w:cs="Times New Roman"/>
          <w:sz w:val="24"/>
          <w:szCs w:val="24"/>
        </w:rPr>
        <w:t>Claahsen</w:t>
      </w:r>
      <w:proofErr w:type="spellEnd"/>
      <w:r>
        <w:rPr>
          <w:rFonts w:ascii="Times New Roman" w:eastAsia="Times New Roman" w:hAnsi="Times New Roman" w:cs="Times New Roman"/>
          <w:sz w:val="24"/>
          <w:szCs w:val="24"/>
        </w:rPr>
        <w:t xml:space="preserve">‑van der </w:t>
      </w:r>
      <w:proofErr w:type="spellStart"/>
      <w:r>
        <w:rPr>
          <w:rFonts w:ascii="Times New Roman" w:eastAsia="Times New Roman" w:hAnsi="Times New Roman" w:cs="Times New Roman"/>
          <w:sz w:val="24"/>
          <w:szCs w:val="24"/>
        </w:rPr>
        <w:t>Grinten</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 2026).</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foundational ethical question concerns the timing of elective genital surgeries. Traditional practice </w:t>
      </w:r>
      <w:proofErr w:type="spellStart"/>
      <w:r>
        <w:rPr>
          <w:rFonts w:ascii="Times New Roman" w:eastAsia="Times New Roman" w:hAnsi="Times New Roman" w:cs="Times New Roman"/>
          <w:sz w:val="24"/>
          <w:szCs w:val="24"/>
        </w:rPr>
        <w:t>favoured</w:t>
      </w:r>
      <w:proofErr w:type="spellEnd"/>
      <w:r>
        <w:rPr>
          <w:rFonts w:ascii="Times New Roman" w:eastAsia="Times New Roman" w:hAnsi="Times New Roman" w:cs="Times New Roman"/>
          <w:sz w:val="24"/>
          <w:szCs w:val="24"/>
        </w:rPr>
        <w:t xml:space="preserve"> early surgery to align physical appearance with a chosen gender and to ostensibly minimize psychosocial distress. However, there is no</w:t>
      </w:r>
      <w:r>
        <w:rPr>
          <w:rFonts w:ascii="Times New Roman" w:eastAsia="Times New Roman" w:hAnsi="Times New Roman" w:cs="Times New Roman"/>
          <w:sz w:val="24"/>
          <w:szCs w:val="24"/>
        </w:rPr>
        <w:t xml:space="preserve"> conclusive evidence demonstrating superiority of early cosmetic procedures over deferred approaches in terms of long‑term wellbeing, and many international consensus guidelines now recommend individualized decision‑making rooted in multidisciplinary evalu</w:t>
      </w:r>
      <w:r>
        <w:rPr>
          <w:rFonts w:ascii="Times New Roman" w:eastAsia="Times New Roman" w:hAnsi="Times New Roman" w:cs="Times New Roman"/>
          <w:sz w:val="24"/>
          <w:szCs w:val="24"/>
        </w:rPr>
        <w:t>ation rather than routine early interventions (Ishii et al., 2025). Shared decision‑making models, in which families, clinicians, and—when possible—the child engages collaboratively, are increasingly advocated to balance potential benefits and harms (</w:t>
      </w:r>
      <w:proofErr w:type="spellStart"/>
      <w:r>
        <w:rPr>
          <w:rFonts w:ascii="Times New Roman" w:eastAsia="Times New Roman" w:hAnsi="Times New Roman" w:cs="Times New Roman"/>
          <w:sz w:val="24"/>
          <w:szCs w:val="24"/>
        </w:rPr>
        <w:t>Suors</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-Johnson et al., 2023).</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Consent and autonomy represent core ethical pillars. Infants and young children cannot provide informed consent, raising questions about parental proxy decision‑making and the ethical legitimacy of irreversible procedures performed</w:t>
      </w:r>
      <w:r>
        <w:rPr>
          <w:rFonts w:ascii="Times New Roman" w:eastAsia="Times New Roman" w:hAnsi="Times New Roman" w:cs="Times New Roman"/>
          <w:sz w:val="24"/>
          <w:szCs w:val="24"/>
        </w:rPr>
        <w:t xml:space="preserve"> without the individual’s participation (</w:t>
      </w:r>
      <w:proofErr w:type="spellStart"/>
      <w:r>
        <w:rPr>
          <w:rFonts w:ascii="Times New Roman" w:eastAsia="Times New Roman" w:hAnsi="Times New Roman" w:cs="Times New Roman"/>
          <w:sz w:val="24"/>
          <w:szCs w:val="24"/>
        </w:rPr>
        <w:t>Claahsen</w:t>
      </w:r>
      <w:proofErr w:type="spellEnd"/>
      <w:r>
        <w:rPr>
          <w:rFonts w:ascii="Times New Roman" w:eastAsia="Times New Roman" w:hAnsi="Times New Roman" w:cs="Times New Roman"/>
          <w:sz w:val="24"/>
          <w:szCs w:val="24"/>
        </w:rPr>
        <w:t xml:space="preserve">‑van der </w:t>
      </w:r>
      <w:proofErr w:type="spellStart"/>
      <w:r>
        <w:rPr>
          <w:rFonts w:ascii="Times New Roman" w:eastAsia="Times New Roman" w:hAnsi="Times New Roman" w:cs="Times New Roman"/>
          <w:sz w:val="24"/>
          <w:szCs w:val="24"/>
        </w:rPr>
        <w:t>Grinten</w:t>
      </w:r>
      <w:proofErr w:type="spellEnd"/>
      <w:r>
        <w:rPr>
          <w:rFonts w:ascii="Times New Roman" w:eastAsia="Times New Roman" w:hAnsi="Times New Roman" w:cs="Times New Roman"/>
          <w:sz w:val="24"/>
          <w:szCs w:val="24"/>
        </w:rPr>
        <w:t xml:space="preserve"> et al., 2026). Human rights bodies and advocacy groups have framed non‑urgent genital surgeries on minors as potential violations of bodily autonomy and physical integrity, echoing broader h</w:t>
      </w:r>
      <w:r>
        <w:rPr>
          <w:rFonts w:ascii="Times New Roman" w:eastAsia="Times New Roman" w:hAnsi="Times New Roman" w:cs="Times New Roman"/>
          <w:sz w:val="24"/>
          <w:szCs w:val="24"/>
        </w:rPr>
        <w:t>uman rights concerns about medically unnecessary interventions on those unable to consent (</w:t>
      </w:r>
      <w:proofErr w:type="spellStart"/>
      <w:r>
        <w:rPr>
          <w:rFonts w:ascii="Times New Roman" w:eastAsia="Times New Roman" w:hAnsi="Times New Roman" w:cs="Times New Roman"/>
          <w:sz w:val="24"/>
          <w:szCs w:val="24"/>
        </w:rPr>
        <w:t>Surendran</w:t>
      </w:r>
      <w:proofErr w:type="spellEnd"/>
      <w:r>
        <w:rPr>
          <w:rFonts w:ascii="Times New Roman" w:eastAsia="Times New Roman" w:hAnsi="Times New Roman" w:cs="Times New Roman"/>
          <w:sz w:val="24"/>
          <w:szCs w:val="24"/>
        </w:rPr>
        <w:t xml:space="preserve"> et al., 2025).</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Legal reforms in several jurisdictions reflect these ethical shifts. For example, legislative measures in Germany and other European context</w:t>
      </w:r>
      <w:r>
        <w:rPr>
          <w:rFonts w:ascii="Times New Roman" w:eastAsia="Times New Roman" w:hAnsi="Times New Roman" w:cs="Times New Roman"/>
          <w:sz w:val="24"/>
          <w:szCs w:val="24"/>
        </w:rPr>
        <w:t>s have instituted restrictions or procedural safeguards that delay non‑essential genital procedures until children can provide assent or until a court authorizes them on demonstrated medical necessity, illustrating how policy and ethics intersect to protec</w:t>
      </w:r>
      <w:r>
        <w:rPr>
          <w:rFonts w:ascii="Times New Roman" w:eastAsia="Times New Roman" w:hAnsi="Times New Roman" w:cs="Times New Roman"/>
          <w:sz w:val="24"/>
          <w:szCs w:val="24"/>
        </w:rPr>
        <w:t>t vulnerable minors (Schäfer et al., 2024).</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ethical dimension concerns justice and the rights of the child. Advocates argue that decisions about genital surgery and sex assignment constitute not just clinical judgments but human rights questions—raising important discussions around whether c</w:t>
      </w:r>
      <w:r>
        <w:rPr>
          <w:rFonts w:ascii="Times New Roman" w:eastAsia="Times New Roman" w:hAnsi="Times New Roman" w:cs="Times New Roman"/>
          <w:sz w:val="24"/>
          <w:szCs w:val="24"/>
        </w:rPr>
        <w:t>hildren should be shielded from irreversible decisions until they can meaningfully participate (</w:t>
      </w:r>
      <w:proofErr w:type="spellStart"/>
      <w:r>
        <w:rPr>
          <w:rFonts w:ascii="Times New Roman" w:eastAsia="Times New Roman" w:hAnsi="Times New Roman" w:cs="Times New Roman"/>
          <w:sz w:val="24"/>
          <w:szCs w:val="24"/>
        </w:rPr>
        <w:t>Kamoun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Dalke</w:t>
      </w:r>
      <w:proofErr w:type="spellEnd"/>
      <w:r>
        <w:rPr>
          <w:rFonts w:ascii="Times New Roman" w:eastAsia="Times New Roman" w:hAnsi="Times New Roman" w:cs="Times New Roman"/>
          <w:sz w:val="24"/>
          <w:szCs w:val="24"/>
        </w:rPr>
        <w:t>, 2025). Respect for diversity of sex characteristics and expanding recognition of the spectrum of biological sex further support ethical framewor</w:t>
      </w:r>
      <w:r>
        <w:rPr>
          <w:rFonts w:ascii="Times New Roman" w:eastAsia="Times New Roman" w:hAnsi="Times New Roman" w:cs="Times New Roman"/>
          <w:sz w:val="24"/>
          <w:szCs w:val="24"/>
        </w:rPr>
        <w:t>ks that prioritize affirmation over normalization, challenging binary assumptions that have historically driven early surgical practices (</w:t>
      </w:r>
      <w:proofErr w:type="spellStart"/>
      <w:r>
        <w:rPr>
          <w:rFonts w:ascii="Times New Roman" w:eastAsia="Times New Roman" w:hAnsi="Times New Roman" w:cs="Times New Roman"/>
          <w:sz w:val="24"/>
          <w:szCs w:val="24"/>
        </w:rPr>
        <w:t>Kamoun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Dalke</w:t>
      </w:r>
      <w:proofErr w:type="spellEnd"/>
      <w:r>
        <w:rPr>
          <w:rFonts w:ascii="Times New Roman" w:eastAsia="Times New Roman" w:hAnsi="Times New Roman" w:cs="Times New Roman"/>
          <w:sz w:val="24"/>
          <w:szCs w:val="24"/>
        </w:rPr>
        <w:t>, 2025).</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Ethical deliberations also emphasize that clinicians should communicate clearly about uncertain</w:t>
      </w:r>
      <w:r>
        <w:rPr>
          <w:rFonts w:ascii="Times New Roman" w:eastAsia="Times New Roman" w:hAnsi="Times New Roman" w:cs="Times New Roman"/>
          <w:sz w:val="24"/>
          <w:szCs w:val="24"/>
        </w:rPr>
        <w:t>ties, long‑term outcomes, and the weight of irreversible decisions, ensuring informed and collaborative consent processes with families—and ideally with the child as they grow—to uphold both clinical integrity and human rights protections (Lapham et al., 2</w:t>
      </w:r>
      <w:r>
        <w:rPr>
          <w:rFonts w:ascii="Times New Roman" w:eastAsia="Times New Roman" w:hAnsi="Times New Roman" w:cs="Times New Roman"/>
          <w:sz w:val="24"/>
          <w:szCs w:val="24"/>
        </w:rPr>
        <w:t>023).</w:t>
      </w:r>
    </w:p>
    <w:p w:rsidR="000240BB" w:rsidRDefault="003F04AE">
      <w:pPr>
        <w:pStyle w:val="Heading1"/>
        <w:spacing w:before="280"/>
        <w:rPr>
          <w:rFonts w:ascii="Times New Roman" w:eastAsia="Times New Roman" w:hAnsi="Times New Roman" w:cs="Times New Roman"/>
          <w:b/>
          <w:bCs/>
          <w:sz w:val="32"/>
          <w:szCs w:val="32"/>
          <w:highlight w:val="white"/>
        </w:rPr>
      </w:pPr>
      <w:bookmarkStart w:id="9" w:name="_heading=h.iw2spxu0hxpb" w:colFirst="0" w:colLast="0"/>
      <w:bookmarkEnd w:id="9"/>
      <w:r>
        <w:rPr>
          <w:rFonts w:ascii="Times New Roman" w:eastAsia="Times New Roman" w:hAnsi="Times New Roman" w:cs="Times New Roman"/>
          <w:b/>
          <w:bCs/>
          <w:sz w:val="32"/>
          <w:szCs w:val="32"/>
          <w:highlight w:val="white"/>
        </w:rPr>
        <w:t>7. Current Trends and Advances in Diagnosis and Treatment</w:t>
      </w:r>
    </w:p>
    <w:p w:rsidR="000240BB" w:rsidRDefault="003F04AE">
      <w:pPr>
        <w:spacing w:before="240" w:after="240"/>
        <w:jc w:val="both"/>
        <w:rPr>
          <w:rFonts w:ascii="Times New Roman" w:eastAsia="Times New Roman" w:hAnsi="Times New Roman" w:cs="Times New Roman"/>
        </w:rPr>
      </w:pPr>
      <w:r>
        <w:rPr>
          <w:rFonts w:ascii="Times New Roman" w:eastAsia="Times New Roman" w:hAnsi="Times New Roman" w:cs="Times New Roman"/>
        </w:rPr>
        <w:t>Recent advances in the diagnosis of ambiguous genitalia and related disorders of Sex Development (DSDs) have centered on integrating molecular genetics with traditional clinical and biochemica</w:t>
      </w:r>
      <w:r>
        <w:rPr>
          <w:rFonts w:ascii="Times New Roman" w:eastAsia="Times New Roman" w:hAnsi="Times New Roman" w:cs="Times New Roman"/>
        </w:rPr>
        <w:t>l assessments to improve etiological clarity, guide management, and support long-term care planning. Contemporary diagnostic workflows increasingly incorporate next-generation sequencing (NGS) and other high-throughput genetic technologies, which have sign</w:t>
      </w:r>
      <w:r>
        <w:rPr>
          <w:rFonts w:ascii="Times New Roman" w:eastAsia="Times New Roman" w:hAnsi="Times New Roman" w:cs="Times New Roman"/>
        </w:rPr>
        <w:t>ificantly increased diagnostic yield compared to older methods that relied solely on karyotyping and targeted gene analysis. Studies utilizing NGS panels and whole-exome approaches have reported molecular diagnoses in approximately 34–59% of DSD cases, par</w:t>
      </w:r>
      <w:r>
        <w:rPr>
          <w:rFonts w:ascii="Times New Roman" w:eastAsia="Times New Roman" w:hAnsi="Times New Roman" w:cs="Times New Roman"/>
        </w:rPr>
        <w:t xml:space="preserve">ticularly in </w:t>
      </w:r>
      <w:proofErr w:type="gramStart"/>
      <w:r>
        <w:rPr>
          <w:rFonts w:ascii="Times New Roman" w:eastAsia="Times New Roman" w:hAnsi="Times New Roman" w:cs="Times New Roman"/>
        </w:rPr>
        <w:t>46,XY</w:t>
      </w:r>
      <w:proofErr w:type="gramEnd"/>
      <w:r>
        <w:rPr>
          <w:rFonts w:ascii="Times New Roman" w:eastAsia="Times New Roman" w:hAnsi="Times New Roman" w:cs="Times New Roman"/>
        </w:rPr>
        <w:t xml:space="preserve"> DSD cohorts, demonstrating the utility of genomic testing in clarifying ambiguous phenotypes and refining clinical decision-making (Ishii et al., 2026).</w:t>
      </w:r>
    </w:p>
    <w:p w:rsidR="000240BB" w:rsidRDefault="003F04AE">
      <w:pPr>
        <w:spacing w:before="240" w:after="240"/>
        <w:jc w:val="both"/>
        <w:rPr>
          <w:rFonts w:ascii="Times New Roman" w:eastAsia="Times New Roman" w:hAnsi="Times New Roman" w:cs="Times New Roman"/>
        </w:rPr>
      </w:pPr>
      <w:r>
        <w:rPr>
          <w:rFonts w:ascii="Times New Roman" w:eastAsia="Times New Roman" w:hAnsi="Times New Roman" w:cs="Times New Roman"/>
        </w:rPr>
        <w:t>In practical terms, current guidelines recommend early genetic evaluations alongside</w:t>
      </w:r>
      <w:r>
        <w:rPr>
          <w:rFonts w:ascii="Times New Roman" w:eastAsia="Times New Roman" w:hAnsi="Times New Roman" w:cs="Times New Roman"/>
        </w:rPr>
        <w:t xml:space="preserve"> hormonal profiling and imaging, especially when initial clinical assessments are inconclusive. Genetic insights not only support </w:t>
      </w:r>
      <w:r>
        <w:rPr>
          <w:rFonts w:ascii="Times New Roman" w:eastAsia="Times New Roman" w:hAnsi="Times New Roman" w:cs="Times New Roman"/>
        </w:rPr>
        <w:lastRenderedPageBreak/>
        <w:t>sex assignment decisions but also inform prognosis, potential gonadal tumor risk, and family counseling—critical factors for p</w:t>
      </w:r>
      <w:r>
        <w:rPr>
          <w:rFonts w:ascii="Times New Roman" w:eastAsia="Times New Roman" w:hAnsi="Times New Roman" w:cs="Times New Roman"/>
        </w:rPr>
        <w:t xml:space="preserve">ersonalized care plans (Ishii et al., 2026). Furthermore, advancements in understanding </w:t>
      </w:r>
      <w:proofErr w:type="gramStart"/>
      <w:r>
        <w:rPr>
          <w:rFonts w:ascii="Times New Roman" w:eastAsia="Times New Roman" w:hAnsi="Times New Roman" w:cs="Times New Roman"/>
        </w:rPr>
        <w:t>46,XX</w:t>
      </w:r>
      <w:proofErr w:type="gramEnd"/>
      <w:r>
        <w:rPr>
          <w:rFonts w:ascii="Times New Roman" w:eastAsia="Times New Roman" w:hAnsi="Times New Roman" w:cs="Times New Roman"/>
        </w:rPr>
        <w:t xml:space="preserve"> DSD etiologies, particularly non-congenital adrenal hyperplasia (non-CAH) forms, highlight the role of rare genetic variants and copy number changes in gonadal de</w:t>
      </w:r>
      <w:r>
        <w:rPr>
          <w:rFonts w:ascii="Times New Roman" w:eastAsia="Times New Roman" w:hAnsi="Times New Roman" w:cs="Times New Roman"/>
        </w:rPr>
        <w:t>velopment pathways, advancing the conceptual and practical landscape of diagnosis beyond classical CAH identification (</w:t>
      </w:r>
      <w:proofErr w:type="spellStart"/>
      <w:r>
        <w:rPr>
          <w:rFonts w:ascii="Times New Roman" w:eastAsia="Times New Roman" w:hAnsi="Times New Roman" w:cs="Times New Roman"/>
        </w:rPr>
        <w:t>Yavas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Abalı</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Guran</w:t>
      </w:r>
      <w:proofErr w:type="spellEnd"/>
      <w:r>
        <w:rPr>
          <w:rFonts w:ascii="Times New Roman" w:eastAsia="Times New Roman" w:hAnsi="Times New Roman" w:cs="Times New Roman"/>
        </w:rPr>
        <w:t>, 2024).</w:t>
      </w:r>
    </w:p>
    <w:p w:rsidR="000240BB" w:rsidRDefault="003F04AE">
      <w:pPr>
        <w:spacing w:before="240" w:after="240"/>
        <w:jc w:val="both"/>
        <w:rPr>
          <w:rFonts w:ascii="Times New Roman" w:eastAsia="Times New Roman" w:hAnsi="Times New Roman" w:cs="Times New Roman"/>
        </w:rPr>
      </w:pPr>
      <w:r>
        <w:rPr>
          <w:rFonts w:ascii="Times New Roman" w:eastAsia="Times New Roman" w:hAnsi="Times New Roman" w:cs="Times New Roman"/>
        </w:rPr>
        <w:t>Modern diagnostic practice also emphasizes multidisciplinary evaluation protocols, integrating genetic result</w:t>
      </w:r>
      <w:r>
        <w:rPr>
          <w:rFonts w:ascii="Times New Roman" w:eastAsia="Times New Roman" w:hAnsi="Times New Roman" w:cs="Times New Roman"/>
        </w:rPr>
        <w:t xml:space="preserve">s with hormonal assays (e.g., 17-hydroxyprogesterone for CAH), cytogenetic analyses (karyotyping, SRY-FISH), and imaging modalities (ultrasound, MRI) to construct comprehensive phenotypic profiles early in life (Ishii et al., 2026). Additionally, prenatal </w:t>
      </w:r>
      <w:r>
        <w:rPr>
          <w:rFonts w:ascii="Times New Roman" w:eastAsia="Times New Roman" w:hAnsi="Times New Roman" w:cs="Times New Roman"/>
        </w:rPr>
        <w:t>diagnostic approaches, including family history assessment and advancing non-invasive prenatal testing, are emerging as significant trends for earlier identification and preparedness.</w:t>
      </w:r>
    </w:p>
    <w:p w:rsidR="000240BB" w:rsidRDefault="003F04AE">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Parallel to these diagnostic advancements, genomic-targeted therapeutic </w:t>
      </w:r>
      <w:r>
        <w:rPr>
          <w:rFonts w:ascii="Times New Roman" w:eastAsia="Times New Roman" w:hAnsi="Times New Roman" w:cs="Times New Roman"/>
        </w:rPr>
        <w:t>research has made significant strides, particularly in gene therapy and gene-editing technologies. Studies on sex-determining gene expression and manipulation—including key genes such as SRY, SOX9, NR5A1, WT1, and AR—suggest that future therapeutic strateg</w:t>
      </w:r>
      <w:r>
        <w:rPr>
          <w:rFonts w:ascii="Times New Roman" w:eastAsia="Times New Roman" w:hAnsi="Times New Roman" w:cs="Times New Roman"/>
        </w:rPr>
        <w:t>ies might aim to correct or compensate for underlying genetic defects, potentially revolutionizing the treatment of certain DSDs at a fundamental biological level (Peng et al., 2025). Early in-vitro work using tools like CRISPR/Cas9 and viral vector-mediat</w:t>
      </w:r>
      <w:r>
        <w:rPr>
          <w:rFonts w:ascii="Times New Roman" w:eastAsia="Times New Roman" w:hAnsi="Times New Roman" w:cs="Times New Roman"/>
        </w:rPr>
        <w:t>ed gene delivery has shown proof-of-concept in modulating gene expression relevant to sex differentiation pathways, hinting at long-term therapeutic potential (Peng et al., 2025).</w:t>
      </w:r>
    </w:p>
    <w:p w:rsidR="000240BB" w:rsidRDefault="003F04AE">
      <w:pPr>
        <w:spacing w:before="240" w:after="240"/>
        <w:jc w:val="both"/>
        <w:rPr>
          <w:rFonts w:ascii="Times New Roman" w:eastAsia="Times New Roman" w:hAnsi="Times New Roman" w:cs="Times New Roman"/>
        </w:rPr>
      </w:pPr>
      <w:r>
        <w:rPr>
          <w:rFonts w:ascii="Times New Roman" w:eastAsia="Times New Roman" w:hAnsi="Times New Roman" w:cs="Times New Roman"/>
        </w:rPr>
        <w:t>In addition to molecular advances, there is growing recognition of the impor</w:t>
      </w:r>
      <w:r>
        <w:rPr>
          <w:rFonts w:ascii="Times New Roman" w:eastAsia="Times New Roman" w:hAnsi="Times New Roman" w:cs="Times New Roman"/>
        </w:rPr>
        <w:t>tance of standardized, multidisciplinary care pathways that extend throughout childhood and adolescence. Innovative frameworks are being developed that integrate data-driven quality improvement into routine care, enabling systematic tracking of clinical ou</w:t>
      </w:r>
      <w:r>
        <w:rPr>
          <w:rFonts w:ascii="Times New Roman" w:eastAsia="Times New Roman" w:hAnsi="Times New Roman" w:cs="Times New Roman"/>
        </w:rPr>
        <w:t>tcomes, structured follow-up, and longitudinal evaluation of physical and psychosocial trajectories (Willemsen et al., 2026). These models leverage health intelligence platforms and interactive dashboards to support multidisciplinary teams and enhance cons</w:t>
      </w:r>
      <w:r>
        <w:rPr>
          <w:rFonts w:ascii="Times New Roman" w:eastAsia="Times New Roman" w:hAnsi="Times New Roman" w:cs="Times New Roman"/>
        </w:rPr>
        <w:t>istency and quality across diverse clinical settings. Such structured care not only improves short-term decision-making but also facilitates evidence generation for future research and guideline development.</w:t>
      </w:r>
    </w:p>
    <w:p w:rsidR="000240BB" w:rsidRDefault="003F04AE">
      <w:pPr>
        <w:spacing w:before="240" w:after="240"/>
        <w:jc w:val="both"/>
        <w:rPr>
          <w:rFonts w:ascii="Times New Roman" w:eastAsia="Times New Roman" w:hAnsi="Times New Roman" w:cs="Times New Roman"/>
        </w:rPr>
      </w:pPr>
      <w:r>
        <w:rPr>
          <w:rFonts w:ascii="Times New Roman" w:eastAsia="Times New Roman" w:hAnsi="Times New Roman" w:cs="Times New Roman"/>
        </w:rPr>
        <w:t>Complementing these system-level advances, early</w:t>
      </w:r>
      <w:r>
        <w:rPr>
          <w:rFonts w:ascii="Times New Roman" w:eastAsia="Times New Roman" w:hAnsi="Times New Roman" w:cs="Times New Roman"/>
        </w:rPr>
        <w:t xml:space="preserve"> implementation projects like the Empower-DSD information management program demonstrate how structured information transfer and parent education can significantly mitigate stress and uncertainty immediately following diagnosis. This standardized approach </w:t>
      </w:r>
      <w:r>
        <w:rPr>
          <w:rFonts w:ascii="Times New Roman" w:eastAsia="Times New Roman" w:hAnsi="Times New Roman" w:cs="Times New Roman"/>
        </w:rPr>
        <w:t>to early family engagement promotes trust in multidisciplinary teams and lays a foundation for sustained adaptive coping mechanisms in both parents and children (</w:t>
      </w:r>
      <w:proofErr w:type="spellStart"/>
      <w:r>
        <w:rPr>
          <w:rFonts w:ascii="Times New Roman" w:eastAsia="Times New Roman" w:hAnsi="Times New Roman" w:cs="Times New Roman"/>
        </w:rPr>
        <w:t>Wechsung</w:t>
      </w:r>
      <w:proofErr w:type="spellEnd"/>
      <w:r>
        <w:rPr>
          <w:rFonts w:ascii="Times New Roman" w:eastAsia="Times New Roman" w:hAnsi="Times New Roman" w:cs="Times New Roman"/>
        </w:rPr>
        <w:t xml:space="preserve"> et al., 2025).</w:t>
      </w:r>
    </w:p>
    <w:p w:rsidR="000240BB" w:rsidRDefault="003F04AE">
      <w:pPr>
        <w:spacing w:before="240" w:after="240"/>
        <w:jc w:val="both"/>
        <w:rPr>
          <w:rFonts w:ascii="Times New Roman" w:eastAsia="Times New Roman" w:hAnsi="Times New Roman" w:cs="Times New Roman"/>
        </w:rPr>
      </w:pPr>
      <w:r>
        <w:rPr>
          <w:rFonts w:ascii="Times New Roman" w:eastAsia="Times New Roman" w:hAnsi="Times New Roman" w:cs="Times New Roman"/>
        </w:rPr>
        <w:t>Another important trend is the integration of psychiatric training and</w:t>
      </w:r>
      <w:r>
        <w:rPr>
          <w:rFonts w:ascii="Times New Roman" w:eastAsia="Times New Roman" w:hAnsi="Times New Roman" w:cs="Times New Roman"/>
        </w:rPr>
        <w:t xml:space="preserve"> long-term mental health follow-up within DSD care teams. Emerging models embed psychiatric expertise directly into multidisciplinary clinics, enhancing clinicians' capacity to address long-term psychological adjustment and supporting resident physicians i</w:t>
      </w:r>
      <w:r>
        <w:rPr>
          <w:rFonts w:ascii="Times New Roman" w:eastAsia="Times New Roman" w:hAnsi="Times New Roman" w:cs="Times New Roman"/>
        </w:rPr>
        <w:t>n acquiring relevant skills for holistic DSD management (</w:t>
      </w:r>
      <w:proofErr w:type="spellStart"/>
      <w:r>
        <w:rPr>
          <w:rFonts w:ascii="Times New Roman" w:eastAsia="Times New Roman" w:hAnsi="Times New Roman" w:cs="Times New Roman"/>
        </w:rPr>
        <w:t>Özbaran</w:t>
      </w:r>
      <w:proofErr w:type="spellEnd"/>
      <w:r>
        <w:rPr>
          <w:rFonts w:ascii="Times New Roman" w:eastAsia="Times New Roman" w:hAnsi="Times New Roman" w:cs="Times New Roman"/>
        </w:rPr>
        <w:t xml:space="preserve"> et al., 2025). Finally, quality improvement research highlights the need to benchmark DSD care through standardized quality indicators tied to structure, process, and outcomes. This trend emp</w:t>
      </w:r>
      <w:r>
        <w:rPr>
          <w:rFonts w:ascii="Times New Roman" w:eastAsia="Times New Roman" w:hAnsi="Times New Roman" w:cs="Times New Roman"/>
        </w:rPr>
        <w:t xml:space="preserve">hasizes clinical excellence and health system accountability, stressing the importance of operationalizing best practice guidelines with measurable </w:t>
      </w:r>
      <w:r>
        <w:rPr>
          <w:rFonts w:ascii="Times New Roman" w:eastAsia="Times New Roman" w:hAnsi="Times New Roman" w:cs="Times New Roman"/>
        </w:rPr>
        <w:lastRenderedPageBreak/>
        <w:t>benchmarks to ensure optimal care across diverse healthcare environments and populations (</w:t>
      </w:r>
      <w:proofErr w:type="spellStart"/>
      <w:r>
        <w:rPr>
          <w:rFonts w:ascii="Times New Roman" w:eastAsia="Times New Roman" w:hAnsi="Times New Roman" w:cs="Times New Roman"/>
        </w:rPr>
        <w:t>Döhnert</w:t>
      </w:r>
      <w:proofErr w:type="spellEnd"/>
      <w:r>
        <w:rPr>
          <w:rFonts w:ascii="Times New Roman" w:eastAsia="Times New Roman" w:hAnsi="Times New Roman" w:cs="Times New Roman"/>
        </w:rPr>
        <w:t xml:space="preserve"> &amp; Davies, </w:t>
      </w:r>
      <w:r>
        <w:rPr>
          <w:rFonts w:ascii="Times New Roman" w:eastAsia="Times New Roman" w:hAnsi="Times New Roman" w:cs="Times New Roman"/>
        </w:rPr>
        <w:t>2025).</w:t>
      </w:r>
    </w:p>
    <w:p w:rsidR="000240BB" w:rsidRDefault="003F04AE">
      <w:pPr>
        <w:pStyle w:val="Heading1"/>
        <w:keepNext w:val="0"/>
        <w:keepLines w:val="0"/>
        <w:spacing w:after="80"/>
        <w:rPr>
          <w:rFonts w:ascii="Times New Roman" w:eastAsia="Times New Roman" w:hAnsi="Times New Roman" w:cs="Times New Roman"/>
          <w:b/>
          <w:bCs/>
          <w:sz w:val="32"/>
          <w:szCs w:val="32"/>
        </w:rPr>
      </w:pPr>
      <w:bookmarkStart w:id="10" w:name="_heading=h.wb52zxihhs9s" w:colFirst="0" w:colLast="0"/>
      <w:bookmarkEnd w:id="10"/>
      <w:r>
        <w:rPr>
          <w:rFonts w:ascii="Times New Roman" w:eastAsia="Times New Roman" w:hAnsi="Times New Roman" w:cs="Times New Roman"/>
          <w:b/>
          <w:bCs/>
          <w:sz w:val="32"/>
          <w:szCs w:val="32"/>
        </w:rPr>
        <w:t>8. Future Directions and Research Gaps</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substantial progress in understanding and managing ambiguous genitalia and related differences/disorders of sex development (DSDs), numerous gaps in knowledge and practice remain—highlighting clear directions for future research and clinical innova</w:t>
      </w:r>
      <w:r>
        <w:rPr>
          <w:rFonts w:ascii="Times New Roman" w:eastAsia="Times New Roman" w:hAnsi="Times New Roman" w:cs="Times New Roman"/>
          <w:sz w:val="24"/>
          <w:szCs w:val="24"/>
        </w:rPr>
        <w:t>tion. A central area requiring further study is the mechanisms of sex determination and genotype–phenotype correlation, particularly for rare and poorly characterized genetic etiologies. Current genomic technologies (e.g., next‑generation sequencing and wh</w:t>
      </w:r>
      <w:r>
        <w:rPr>
          <w:rFonts w:ascii="Times New Roman" w:eastAsia="Times New Roman" w:hAnsi="Times New Roman" w:cs="Times New Roman"/>
          <w:sz w:val="24"/>
          <w:szCs w:val="24"/>
        </w:rPr>
        <w:t xml:space="preserve">ole‑genome sequencing) significantly improve diagnostic precision but still fail to identify the underlying cause in a large proportion of DSD cases, particularly in </w:t>
      </w:r>
      <w:proofErr w:type="gramStart"/>
      <w:r>
        <w:rPr>
          <w:rFonts w:ascii="Times New Roman" w:eastAsia="Times New Roman" w:hAnsi="Times New Roman" w:cs="Times New Roman"/>
          <w:sz w:val="24"/>
          <w:szCs w:val="24"/>
        </w:rPr>
        <w:t>46,XY</w:t>
      </w:r>
      <w:proofErr w:type="gramEnd"/>
      <w:r>
        <w:rPr>
          <w:rFonts w:ascii="Times New Roman" w:eastAsia="Times New Roman" w:hAnsi="Times New Roman" w:cs="Times New Roman"/>
          <w:sz w:val="24"/>
          <w:szCs w:val="24"/>
        </w:rPr>
        <w:t xml:space="preserve"> individuals (Ishii et al., 2025).</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Closely linked is the need for longitudinal outcom</w:t>
      </w:r>
      <w:r>
        <w:rPr>
          <w:rFonts w:ascii="Times New Roman" w:eastAsia="Times New Roman" w:hAnsi="Times New Roman" w:cs="Times New Roman"/>
          <w:sz w:val="24"/>
          <w:szCs w:val="24"/>
        </w:rPr>
        <w:t>es research, which is strikingly under‑represented in the literature given the lifelong implications of DSD and its management. Long‑term follow‑up studies encompassing physical health, fertility, sexual function, psychosocial adjustment, and quality of li</w:t>
      </w:r>
      <w:r>
        <w:rPr>
          <w:rFonts w:ascii="Times New Roman" w:eastAsia="Times New Roman" w:hAnsi="Times New Roman" w:cs="Times New Roman"/>
          <w:sz w:val="24"/>
          <w:szCs w:val="24"/>
        </w:rPr>
        <w:t xml:space="preserve">fe are essential to inform evidence‑based recommendations and to discern the impact of early interventions—surgical or otherwise—over developmental time horizons. Although some registries and multicenter cohorts exist, there is a lack of cohesive strategy </w:t>
      </w:r>
      <w:r>
        <w:rPr>
          <w:rFonts w:ascii="Times New Roman" w:eastAsia="Times New Roman" w:hAnsi="Times New Roman" w:cs="Times New Roman"/>
          <w:sz w:val="24"/>
          <w:szCs w:val="24"/>
        </w:rPr>
        <w:t>for standardized data collection and long‑term outcome reporting across diverse healthcare settings (</w:t>
      </w:r>
      <w:proofErr w:type="spellStart"/>
      <w:r>
        <w:rPr>
          <w:rFonts w:ascii="Times New Roman" w:eastAsia="Times New Roman" w:hAnsi="Times New Roman" w:cs="Times New Roman"/>
          <w:sz w:val="24"/>
          <w:szCs w:val="24"/>
        </w:rPr>
        <w:t>Döhnert</w:t>
      </w:r>
      <w:proofErr w:type="spellEnd"/>
      <w:r>
        <w:rPr>
          <w:rFonts w:ascii="Times New Roman" w:eastAsia="Times New Roman" w:hAnsi="Times New Roman" w:cs="Times New Roman"/>
          <w:sz w:val="24"/>
          <w:szCs w:val="24"/>
        </w:rPr>
        <w:t xml:space="preserve"> &amp; Davies, 2025).</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variability in multidisciplinary care models worldwide further underscores gaps in standardization. While multidisciplinary te</w:t>
      </w:r>
      <w:r>
        <w:rPr>
          <w:rFonts w:ascii="Times New Roman" w:eastAsia="Times New Roman" w:hAnsi="Times New Roman" w:cs="Times New Roman"/>
          <w:sz w:val="24"/>
          <w:szCs w:val="24"/>
        </w:rPr>
        <w:t xml:space="preserve">ams are broadly endorsed, the specific composition of care teams, roles of allied professionals (e.g., psychologists and genetic counsellors), and integration of care pathways throughout childhood and adolescence vary considerably across </w:t>
      </w:r>
      <w:proofErr w:type="spellStart"/>
      <w:r>
        <w:rPr>
          <w:rFonts w:ascii="Times New Roman" w:eastAsia="Times New Roman" w:hAnsi="Times New Roman" w:cs="Times New Roman"/>
          <w:sz w:val="24"/>
          <w:szCs w:val="24"/>
        </w:rPr>
        <w:t>centres</w:t>
      </w:r>
      <w:proofErr w:type="spellEnd"/>
      <w:r>
        <w:rPr>
          <w:rFonts w:ascii="Times New Roman" w:eastAsia="Times New Roman" w:hAnsi="Times New Roman" w:cs="Times New Roman"/>
          <w:sz w:val="24"/>
          <w:szCs w:val="24"/>
        </w:rPr>
        <w:t xml:space="preserve"> and region</w:t>
      </w:r>
      <w:r>
        <w:rPr>
          <w:rFonts w:ascii="Times New Roman" w:eastAsia="Times New Roman" w:hAnsi="Times New Roman" w:cs="Times New Roman"/>
          <w:sz w:val="24"/>
          <w:szCs w:val="24"/>
        </w:rPr>
        <w:t>s (</w:t>
      </w:r>
      <w:proofErr w:type="spellStart"/>
      <w:r>
        <w:rPr>
          <w:rFonts w:ascii="Times New Roman" w:eastAsia="Times New Roman" w:hAnsi="Times New Roman" w:cs="Times New Roman"/>
          <w:sz w:val="24"/>
          <w:szCs w:val="24"/>
        </w:rPr>
        <w:t>Hidouri</w:t>
      </w:r>
      <w:proofErr w:type="spellEnd"/>
      <w:r>
        <w:rPr>
          <w:rFonts w:ascii="Times New Roman" w:eastAsia="Times New Roman" w:hAnsi="Times New Roman" w:cs="Times New Roman"/>
          <w:sz w:val="24"/>
          <w:szCs w:val="24"/>
        </w:rPr>
        <w:t xml:space="preserve"> et al., 2025). Structured frameworks that define best practices and implement quality benchmarks are needed to reduce variability and enhance care quality globally. </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Emerging evidence also points to gaps in prenatal and perinatal management stra</w:t>
      </w:r>
      <w:r>
        <w:rPr>
          <w:rFonts w:ascii="Times New Roman" w:eastAsia="Times New Roman" w:hAnsi="Times New Roman" w:cs="Times New Roman"/>
          <w:sz w:val="24"/>
          <w:szCs w:val="24"/>
        </w:rPr>
        <w:t>tegies for ambiguous genitalia and DSD, as diagnostic capabilities in utero continue to advance. Research questions remain about how prenatal diagnosis influences postnatal management decisions, parental preparedness, timing of interventions, and early fam</w:t>
      </w:r>
      <w:r>
        <w:rPr>
          <w:rFonts w:ascii="Times New Roman" w:eastAsia="Times New Roman" w:hAnsi="Times New Roman" w:cs="Times New Roman"/>
          <w:sz w:val="24"/>
          <w:szCs w:val="24"/>
        </w:rPr>
        <w:t>ily adjustment. Efforts that bridge prenatal and postnatal research can help optimize longitudinal care trajectories and family support structures (</w:t>
      </w:r>
      <w:proofErr w:type="spellStart"/>
      <w:r>
        <w:rPr>
          <w:rFonts w:ascii="Times New Roman" w:eastAsia="Times New Roman" w:hAnsi="Times New Roman" w:cs="Times New Roman"/>
          <w:sz w:val="24"/>
          <w:szCs w:val="24"/>
        </w:rPr>
        <w:t>Hidouri</w:t>
      </w:r>
      <w:proofErr w:type="spellEnd"/>
      <w:r>
        <w:rPr>
          <w:rFonts w:ascii="Times New Roman" w:eastAsia="Times New Roman" w:hAnsi="Times New Roman" w:cs="Times New Roman"/>
          <w:sz w:val="24"/>
          <w:szCs w:val="24"/>
        </w:rPr>
        <w:t xml:space="preserve"> et al., 2025).</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psychosocial development and identity formation in individuals with DSD requ</w:t>
      </w:r>
      <w:r>
        <w:rPr>
          <w:rFonts w:ascii="Times New Roman" w:eastAsia="Times New Roman" w:hAnsi="Times New Roman" w:cs="Times New Roman"/>
          <w:sz w:val="24"/>
          <w:szCs w:val="24"/>
        </w:rPr>
        <w:t>ire more focused investigation. Although the impact of ambiguous genitalia on mental health and quality of life is increasingly recognized, there is a shortage of robust, prospective psychosocial studies that track adaptive functioning, social integration,</w:t>
      </w:r>
      <w:r>
        <w:rPr>
          <w:rFonts w:ascii="Times New Roman" w:eastAsia="Times New Roman" w:hAnsi="Times New Roman" w:cs="Times New Roman"/>
          <w:sz w:val="24"/>
          <w:szCs w:val="24"/>
        </w:rPr>
        <w:t xml:space="preserve"> and identity outcomes from childhood into </w:t>
      </w:r>
      <w:r>
        <w:rPr>
          <w:rFonts w:ascii="Times New Roman" w:eastAsia="Times New Roman" w:hAnsi="Times New Roman" w:cs="Times New Roman"/>
          <w:sz w:val="24"/>
          <w:szCs w:val="24"/>
        </w:rPr>
        <w:lastRenderedPageBreak/>
        <w:t>adulthood. Furthermore, culturally sensitive research is needed to understand how sociocultural contexts shape experiences of stigma, disclosure, and care engagement across diverse populations (</w:t>
      </w:r>
      <w:proofErr w:type="spellStart"/>
      <w:r>
        <w:rPr>
          <w:rFonts w:ascii="Times New Roman" w:eastAsia="Times New Roman" w:hAnsi="Times New Roman" w:cs="Times New Roman"/>
          <w:sz w:val="24"/>
          <w:szCs w:val="24"/>
        </w:rPr>
        <w:t>Utari</w:t>
      </w:r>
      <w:proofErr w:type="spellEnd"/>
      <w:r>
        <w:rPr>
          <w:rFonts w:ascii="Times New Roman" w:eastAsia="Times New Roman" w:hAnsi="Times New Roman" w:cs="Times New Roman"/>
          <w:sz w:val="24"/>
          <w:szCs w:val="24"/>
        </w:rPr>
        <w:t xml:space="preserve"> et al., 2025)</w:t>
      </w:r>
      <w:r>
        <w:rPr>
          <w:rFonts w:ascii="Times New Roman" w:eastAsia="Times New Roman" w:hAnsi="Times New Roman" w:cs="Times New Roman"/>
          <w:sz w:val="24"/>
          <w:szCs w:val="24"/>
        </w:rPr>
        <w:t>.</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Addressing these research gaps—through collaborative international cohorts, standardized outcome measures, and holistic multidisciplinary research programs—will be critical to advancing care and supporting optimal long‑term outcomes for children and fami</w:t>
      </w:r>
      <w:r>
        <w:rPr>
          <w:rFonts w:ascii="Times New Roman" w:eastAsia="Times New Roman" w:hAnsi="Times New Roman" w:cs="Times New Roman"/>
          <w:sz w:val="24"/>
          <w:szCs w:val="24"/>
        </w:rPr>
        <w:t>lies affected by ambiguous genitalia and DSD.</w:t>
      </w:r>
    </w:p>
    <w:p w:rsidR="000240BB" w:rsidRDefault="003F04AE">
      <w:pPr>
        <w:pStyle w:val="Heading1"/>
        <w:spacing w:before="240" w:after="240"/>
        <w:jc w:val="both"/>
        <w:rPr>
          <w:rFonts w:ascii="Times New Roman" w:eastAsia="Times New Roman" w:hAnsi="Times New Roman" w:cs="Times New Roman"/>
          <w:b/>
          <w:bCs/>
          <w:sz w:val="32"/>
          <w:szCs w:val="32"/>
          <w:highlight w:val="white"/>
        </w:rPr>
      </w:pPr>
      <w:bookmarkStart w:id="11" w:name="_heading=h.7efvdae0xgqo" w:colFirst="0" w:colLast="0"/>
      <w:bookmarkEnd w:id="11"/>
      <w:r>
        <w:rPr>
          <w:rFonts w:ascii="Times New Roman" w:eastAsia="Times New Roman" w:hAnsi="Times New Roman" w:cs="Times New Roman"/>
          <w:b/>
          <w:bCs/>
          <w:sz w:val="32"/>
          <w:szCs w:val="32"/>
          <w:highlight w:val="white"/>
        </w:rPr>
        <w:t>10. Limitations</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key limitation of this study is the selection of databases—PubMed and ScienceDirect—which, while extensive, may not include all relevant studies, particularly those published in non-English jo</w:t>
      </w:r>
      <w:r>
        <w:rPr>
          <w:rFonts w:ascii="Times New Roman" w:eastAsia="Times New Roman" w:hAnsi="Times New Roman" w:cs="Times New Roman"/>
          <w:sz w:val="24"/>
          <w:szCs w:val="24"/>
        </w:rPr>
        <w:t>urnals or in smaller, less accessible sources. This may have led to the omission of important research from regions or niche areas that could provide additional insights.</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limitation is the focus on studies published between 2020 and 2026, which may</w:t>
      </w:r>
      <w:r>
        <w:rPr>
          <w:rFonts w:ascii="Times New Roman" w:eastAsia="Times New Roman" w:hAnsi="Times New Roman" w:cs="Times New Roman"/>
          <w:sz w:val="24"/>
          <w:szCs w:val="24"/>
        </w:rPr>
        <w:t xml:space="preserve"> have excluded valuable earlier research. Older studies could offer critical context or provide a comparative foundation for understanding recent developments, and their exclusion may have narrowed the scope of the review.</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significant limitation in the s</w:t>
      </w:r>
      <w:r>
        <w:rPr>
          <w:rFonts w:ascii="Times New Roman" w:eastAsia="Times New Roman" w:hAnsi="Times New Roman" w:cs="Times New Roman"/>
          <w:sz w:val="24"/>
          <w:szCs w:val="24"/>
        </w:rPr>
        <w:t>tudy’s findings is the lack of comprehensive, long-term data on the psychosocial outcomes for individuals with ambiguous genitalia. While there is a strong emphasis on diagnostic and surgical management, the absence of robust longitudinal studies on the ps</w:t>
      </w:r>
      <w:r>
        <w:rPr>
          <w:rFonts w:ascii="Times New Roman" w:eastAsia="Times New Roman" w:hAnsi="Times New Roman" w:cs="Times New Roman"/>
          <w:sz w:val="24"/>
          <w:szCs w:val="24"/>
        </w:rPr>
        <w:t>ychological and identity-related effects of these interventions limits the understanding of their long-term impact on patients' well-being. This gap highlights the need for further research in this area.</w:t>
      </w:r>
    </w:p>
    <w:p w:rsidR="000240BB" w:rsidRDefault="000240BB">
      <w:pPr>
        <w:spacing w:before="240" w:after="240"/>
        <w:jc w:val="both"/>
        <w:rPr>
          <w:rFonts w:ascii="Times New Roman" w:eastAsia="Times New Roman" w:hAnsi="Times New Roman" w:cs="Times New Roman"/>
          <w:sz w:val="24"/>
          <w:szCs w:val="24"/>
        </w:rPr>
      </w:pPr>
    </w:p>
    <w:p w:rsidR="000240BB" w:rsidRDefault="003F04AE">
      <w:pPr>
        <w:pStyle w:val="Heading1"/>
        <w:spacing w:before="240" w:after="240"/>
        <w:rPr>
          <w:rFonts w:ascii="Times New Roman" w:eastAsia="Times New Roman" w:hAnsi="Times New Roman" w:cs="Times New Roman"/>
          <w:b/>
          <w:bCs/>
          <w:sz w:val="32"/>
          <w:szCs w:val="32"/>
        </w:rPr>
      </w:pPr>
      <w:bookmarkStart w:id="12" w:name="_heading=h.kwtsjfnd7qi0" w:colFirst="0" w:colLast="0"/>
      <w:bookmarkEnd w:id="12"/>
      <w:r>
        <w:rPr>
          <w:rFonts w:ascii="Times New Roman" w:eastAsia="Times New Roman" w:hAnsi="Times New Roman" w:cs="Times New Roman"/>
          <w:b/>
          <w:bCs/>
          <w:sz w:val="32"/>
          <w:szCs w:val="32"/>
        </w:rPr>
        <w:t>Conclusion</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highlights the complexity of </w:t>
      </w:r>
      <w:r>
        <w:rPr>
          <w:rFonts w:ascii="Times New Roman" w:eastAsia="Times New Roman" w:hAnsi="Times New Roman" w:cs="Times New Roman"/>
          <w:sz w:val="24"/>
          <w:szCs w:val="24"/>
        </w:rPr>
        <w:t>diagnosing and managing ambiguous genitalia in children, emphasizing the multifaceted nature of Disorders of Sex Development (DSDs). It was found that early and accurate diagnosis, facilitated by advanced genetic and hormonal testing, is critical in guidin</w:t>
      </w:r>
      <w:r>
        <w:rPr>
          <w:rFonts w:ascii="Times New Roman" w:eastAsia="Times New Roman" w:hAnsi="Times New Roman" w:cs="Times New Roman"/>
          <w:sz w:val="24"/>
          <w:szCs w:val="24"/>
        </w:rPr>
        <w:t>g medical, surgical, and psychosocial interventions. The review also identified the diverse surgical approaches, noting that decisions regarding timing and type of surgery should be personalized, considering both clinical needs and long-term psychosocial o</w:t>
      </w:r>
      <w:r>
        <w:rPr>
          <w:rFonts w:ascii="Times New Roman" w:eastAsia="Times New Roman" w:hAnsi="Times New Roman" w:cs="Times New Roman"/>
          <w:sz w:val="24"/>
          <w:szCs w:val="24"/>
        </w:rPr>
        <w:t>utcomes. However, significant gaps remain in longitudinal outcome studies and psychosocial support, indicating the need for more research on the lifetime impact of DSDs, particularly concerning mental health and identity formation.</w:t>
      </w:r>
    </w:p>
    <w:p w:rsidR="000240BB" w:rsidRDefault="003F04A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Practical recommendation</w:t>
      </w:r>
      <w:r>
        <w:rPr>
          <w:rFonts w:ascii="Times New Roman" w:eastAsia="Times New Roman" w:hAnsi="Times New Roman" w:cs="Times New Roman"/>
          <w:sz w:val="24"/>
          <w:szCs w:val="24"/>
        </w:rPr>
        <w:t>s include the standardization of multidisciplinary care across healthcare settings and the integration of psychosocial services into routine clinical practice. Future research should focus on genomic innovations for a more comprehensive understanding of DS</w:t>
      </w:r>
      <w:r>
        <w:rPr>
          <w:rFonts w:ascii="Times New Roman" w:eastAsia="Times New Roman" w:hAnsi="Times New Roman" w:cs="Times New Roman"/>
          <w:sz w:val="24"/>
          <w:szCs w:val="24"/>
        </w:rPr>
        <w:t>D etiology, alongside global collaboration to create consistent care pathways. Policy implications call for greater focus on ethical frameworks that respect the rights of affected children while supporting shared decision-making in complex clinical situati</w:t>
      </w:r>
      <w:r>
        <w:rPr>
          <w:rFonts w:ascii="Times New Roman" w:eastAsia="Times New Roman" w:hAnsi="Times New Roman" w:cs="Times New Roman"/>
          <w:sz w:val="24"/>
          <w:szCs w:val="24"/>
        </w:rPr>
        <w:t>ons. This comprehensive approach will be essential in improving both clinical outcomes and quality of life for individuals with ambiguous genitalia.</w:t>
      </w:r>
    </w:p>
    <w:p w:rsidR="000240BB" w:rsidRDefault="000240BB">
      <w:pPr>
        <w:spacing w:before="240" w:after="240"/>
        <w:jc w:val="both"/>
        <w:rPr>
          <w:rFonts w:ascii="Times New Roman" w:eastAsia="Times New Roman" w:hAnsi="Times New Roman" w:cs="Times New Roman"/>
          <w:sz w:val="24"/>
          <w:szCs w:val="24"/>
        </w:rPr>
      </w:pPr>
    </w:p>
    <w:p w:rsidR="000240BB" w:rsidRDefault="003F04AE">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Competing Interests:</w:t>
      </w:r>
      <w:r>
        <w:rPr>
          <w:rFonts w:ascii="Times New Roman" w:eastAsia="Times New Roman" w:hAnsi="Times New Roman" w:cs="Times New Roman"/>
          <w:sz w:val="24"/>
          <w:szCs w:val="24"/>
        </w:rPr>
        <w:t xml:space="preserve"> All the authors declare that they have no conflict of interest.</w:t>
      </w:r>
    </w:p>
    <w:p w:rsidR="000240BB" w:rsidRDefault="003F04AE">
      <w:pPr>
        <w:shd w:val="clear" w:color="auto" w:fill="FCFCFC"/>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Ethics approval and consent to participate:</w:t>
      </w:r>
      <w:r>
        <w:rPr>
          <w:rFonts w:ascii="Times New Roman" w:eastAsia="Times New Roman" w:hAnsi="Times New Roman" w:cs="Times New Roman"/>
          <w:sz w:val="24"/>
          <w:szCs w:val="24"/>
        </w:rPr>
        <w:t xml:space="preserve"> Not applicable</w:t>
      </w:r>
    </w:p>
    <w:p w:rsidR="000240BB" w:rsidRDefault="003F04AE">
      <w:pPr>
        <w:shd w:val="clear" w:color="auto" w:fill="FCFCFC"/>
        <w:spacing w:after="1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Consent for publication: </w:t>
      </w:r>
      <w:r>
        <w:rPr>
          <w:rFonts w:ascii="Times New Roman" w:eastAsia="Times New Roman" w:hAnsi="Times New Roman" w:cs="Times New Roman"/>
          <w:sz w:val="24"/>
          <w:szCs w:val="24"/>
        </w:rPr>
        <w:t>Not applicable</w:t>
      </w:r>
    </w:p>
    <w:p w:rsidR="000240BB" w:rsidRDefault="003F04AE">
      <w:pPr>
        <w:shd w:val="clear" w:color="auto" w:fill="FCFCFC"/>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Availability of data and material: </w:t>
      </w:r>
      <w:r>
        <w:rPr>
          <w:rFonts w:ascii="Times New Roman" w:eastAsia="Times New Roman" w:hAnsi="Times New Roman" w:cs="Times New Roman"/>
          <w:sz w:val="24"/>
          <w:szCs w:val="24"/>
        </w:rPr>
        <w:t>All the resources consulted in the review are provided in the reference section</w:t>
      </w:r>
    </w:p>
    <w:p w:rsidR="000240BB" w:rsidRDefault="003F04AE">
      <w:pPr>
        <w:spacing w:line="240" w:lineRule="auto"/>
        <w:rPr>
          <w:rFonts w:ascii="Times New Roman" w:eastAsia="Times New Roman" w:hAnsi="Times New Roman" w:cs="Times New Roman"/>
          <w:sz w:val="24"/>
          <w:szCs w:val="24"/>
          <w:highlight w:val="white"/>
        </w:rPr>
      </w:pPr>
      <w:bookmarkStart w:id="13" w:name="_heading=h.dl6d2czw3c9" w:colFirst="0" w:colLast="0"/>
      <w:bookmarkEnd w:id="13"/>
      <w:r>
        <w:rPr>
          <w:rFonts w:ascii="Times New Roman" w:eastAsia="Times New Roman" w:hAnsi="Times New Roman" w:cs="Times New Roman"/>
          <w:b/>
          <w:bCs/>
          <w:sz w:val="24"/>
          <w:szCs w:val="24"/>
          <w:highlight w:val="white"/>
        </w:rPr>
        <w:t xml:space="preserve">Disclaimer (Artificial intelligence): </w:t>
      </w:r>
      <w:r>
        <w:rPr>
          <w:rFonts w:ascii="Times New Roman" w:eastAsia="Times New Roman" w:hAnsi="Times New Roman" w:cs="Times New Roman"/>
          <w:sz w:val="24"/>
          <w:szCs w:val="24"/>
          <w:highlight w:val="white"/>
        </w:rPr>
        <w:t xml:space="preserve">The authors employed </w:t>
      </w:r>
      <w:proofErr w:type="spellStart"/>
      <w:r>
        <w:rPr>
          <w:rFonts w:ascii="Times New Roman" w:eastAsia="Times New Roman" w:hAnsi="Times New Roman" w:cs="Times New Roman"/>
          <w:sz w:val="24"/>
          <w:szCs w:val="24"/>
          <w:highlight w:val="white"/>
        </w:rPr>
        <w:t>ChatGPT</w:t>
      </w:r>
      <w:proofErr w:type="spellEnd"/>
      <w:r>
        <w:rPr>
          <w:rFonts w:ascii="Times New Roman" w:eastAsia="Times New Roman" w:hAnsi="Times New Roman" w:cs="Times New Roman"/>
          <w:sz w:val="24"/>
          <w:szCs w:val="24"/>
          <w:highlight w:val="white"/>
        </w:rPr>
        <w:t xml:space="preserve"> to assist with improving the grammar, syntax, and style of this manuscript. However, the authors retain full responsibility for the content of the publication and have reviewed and revised it as needed following the use of this</w:t>
      </w:r>
      <w:r>
        <w:rPr>
          <w:rFonts w:ascii="Times New Roman" w:eastAsia="Times New Roman" w:hAnsi="Times New Roman" w:cs="Times New Roman"/>
          <w:sz w:val="24"/>
          <w:szCs w:val="24"/>
          <w:highlight w:val="white"/>
        </w:rPr>
        <w:t xml:space="preserve"> tool.</w:t>
      </w:r>
    </w:p>
    <w:p w:rsidR="000240BB" w:rsidRDefault="000240BB">
      <w:pPr>
        <w:spacing w:line="240" w:lineRule="auto"/>
        <w:rPr>
          <w:highlight w:val="yellow"/>
        </w:rPr>
      </w:pPr>
      <w:bookmarkStart w:id="14" w:name="_heading=h.nb26lby7xur7" w:colFirst="0" w:colLast="0"/>
      <w:bookmarkEnd w:id="14"/>
    </w:p>
    <w:p w:rsidR="000240BB" w:rsidRDefault="000240BB">
      <w:pPr>
        <w:spacing w:line="240" w:lineRule="auto"/>
        <w:rPr>
          <w:highlight w:val="yellow"/>
        </w:rPr>
      </w:pPr>
      <w:bookmarkStart w:id="15" w:name="_heading=h.v7hy6t24nyxe" w:colFirst="0" w:colLast="0"/>
      <w:bookmarkEnd w:id="15"/>
    </w:p>
    <w:p w:rsidR="000240BB" w:rsidRDefault="003F04AE">
      <w:pPr>
        <w:pStyle w:val="Heading1"/>
        <w:spacing w:before="240" w:after="24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References</w:t>
      </w:r>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Alderson, J., Hamblin, R. P., &amp; Crowne, E. C. (2023). Psychological Care of Children and Families with Variations or Differences in Sex Development. </w:t>
      </w:r>
      <w:r>
        <w:rPr>
          <w:rFonts w:ascii="Times New Roman" w:eastAsia="Times New Roman" w:hAnsi="Times New Roman" w:cs="Times New Roman"/>
          <w:i/>
          <w:iCs/>
          <w:sz w:val="24"/>
          <w:szCs w:val="24"/>
        </w:rPr>
        <w:t xml:space="preserve">Hormone Research in </w:t>
      </w:r>
      <w:proofErr w:type="spellStart"/>
      <w:r>
        <w:rPr>
          <w:rFonts w:ascii="Times New Roman" w:eastAsia="Times New Roman" w:hAnsi="Times New Roman" w:cs="Times New Roman"/>
          <w:i/>
          <w:iCs/>
          <w:sz w:val="24"/>
          <w:szCs w:val="24"/>
        </w:rPr>
        <w:t>Paediatrics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96</w:t>
      </w:r>
      <w:r>
        <w:rPr>
          <w:rFonts w:ascii="Times New Roman" w:eastAsia="Times New Roman" w:hAnsi="Times New Roman" w:cs="Times New Roman"/>
          <w:sz w:val="24"/>
          <w:szCs w:val="24"/>
        </w:rPr>
        <w:t>(2), 222–227.</w:t>
      </w:r>
      <w:hyperlink r:id="rId10">
        <w:r>
          <w:rPr>
            <w:rFonts w:ascii="Times New Roman" w:eastAsia="Times New Roman" w:hAnsi="Times New Roman" w:cs="Times New Roman"/>
            <w:sz w:val="24"/>
            <w:szCs w:val="24"/>
          </w:rPr>
          <w:t xml:space="preserve"> </w:t>
        </w:r>
      </w:hyperlink>
      <w:hyperlink r:id="rId11">
        <w:r>
          <w:rPr>
            <w:rFonts w:ascii="Times New Roman" w:eastAsia="Times New Roman" w:hAnsi="Times New Roman" w:cs="Times New Roman"/>
            <w:color w:val="1155CC"/>
            <w:sz w:val="24"/>
            <w:szCs w:val="24"/>
            <w:u w:val="single"/>
          </w:rPr>
          <w:t>https://doi.org/10.1159/000524517</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Al-Sahar, N. F., Al-Ali, A. J., Mansour, A. A., Sahar, N., Al-Ali, A. J., &amp; Mansour, A. A. (2024). Spectrum of Disorders of Sex Development: A Single-Cent</w:t>
      </w:r>
      <w:r>
        <w:rPr>
          <w:rFonts w:ascii="Times New Roman" w:eastAsia="Times New Roman" w:hAnsi="Times New Roman" w:cs="Times New Roman"/>
          <w:sz w:val="24"/>
          <w:szCs w:val="24"/>
        </w:rPr>
        <w:t xml:space="preserve">er Experience in the Southern Area of Iraq. </w:t>
      </w:r>
      <w:proofErr w:type="spellStart"/>
      <w:r>
        <w:rPr>
          <w:rFonts w:ascii="Times New Roman" w:eastAsia="Times New Roman" w:hAnsi="Times New Roman" w:cs="Times New Roman"/>
          <w:i/>
          <w:iCs/>
          <w:sz w:val="24"/>
          <w:szCs w:val="24"/>
        </w:rPr>
        <w:t>Cureus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(8).</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https://doi.org/10.7759/cureus.67571</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Arizona, P., </w:t>
      </w:r>
      <w:proofErr w:type="spellStart"/>
      <w:r>
        <w:rPr>
          <w:rFonts w:ascii="Times New Roman" w:eastAsia="Times New Roman" w:hAnsi="Times New Roman" w:cs="Times New Roman"/>
          <w:sz w:val="24"/>
          <w:szCs w:val="24"/>
        </w:rPr>
        <w:t>Febriyana</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Kristianto</w:t>
      </w:r>
      <w:proofErr w:type="spellEnd"/>
      <w:r>
        <w:rPr>
          <w:rFonts w:ascii="Times New Roman" w:eastAsia="Times New Roman" w:hAnsi="Times New Roman" w:cs="Times New Roman"/>
          <w:sz w:val="24"/>
          <w:szCs w:val="24"/>
        </w:rPr>
        <w:t xml:space="preserve">, B. (2023). Psychiatric Approach Management of Ambiguous Genitalia in Children and Teenagers.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Psikiatri</w:t>
      </w:r>
      <w:proofErr w:type="spellEnd"/>
      <w:r>
        <w:rPr>
          <w:rFonts w:ascii="Times New Roman" w:eastAsia="Times New Roman" w:hAnsi="Times New Roman" w:cs="Times New Roman"/>
          <w:i/>
          <w:iCs/>
          <w:sz w:val="24"/>
          <w:szCs w:val="24"/>
        </w:rPr>
        <w:t xml:space="preserve"> Surabaya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(1), 1–11.</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https://doi.org/10.20473/jps.v12i1.29117</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Bennecke</w:t>
      </w:r>
      <w:proofErr w:type="spellEnd"/>
      <w:r>
        <w:rPr>
          <w:rFonts w:ascii="Times New Roman" w:eastAsia="Times New Roman" w:hAnsi="Times New Roman" w:cs="Times New Roman"/>
          <w:sz w:val="24"/>
          <w:szCs w:val="24"/>
        </w:rPr>
        <w:t xml:space="preserve">, E., Bernstein, S., Lee, P., van de Grift, T. C., </w:t>
      </w:r>
      <w:proofErr w:type="spellStart"/>
      <w:r>
        <w:rPr>
          <w:rFonts w:ascii="Times New Roman" w:eastAsia="Times New Roman" w:hAnsi="Times New Roman" w:cs="Times New Roman"/>
          <w:sz w:val="24"/>
          <w:szCs w:val="24"/>
        </w:rPr>
        <w:t>Nordenskjöld</w:t>
      </w:r>
      <w:proofErr w:type="spellEnd"/>
      <w:r>
        <w:rPr>
          <w:rFonts w:ascii="Times New Roman" w:eastAsia="Times New Roman" w:hAnsi="Times New Roman" w:cs="Times New Roman"/>
          <w:sz w:val="24"/>
          <w:szCs w:val="24"/>
        </w:rPr>
        <w:t xml:space="preserve">, A., Rapp, M., Simmonds, M., </w:t>
      </w:r>
      <w:proofErr w:type="spellStart"/>
      <w:r>
        <w:rPr>
          <w:rFonts w:ascii="Times New Roman" w:eastAsia="Times New Roman" w:hAnsi="Times New Roman" w:cs="Times New Roman"/>
          <w:sz w:val="24"/>
          <w:szCs w:val="24"/>
        </w:rPr>
        <w:t>Streuli</w:t>
      </w:r>
      <w:proofErr w:type="spellEnd"/>
      <w:r>
        <w:rPr>
          <w:rFonts w:ascii="Times New Roman" w:eastAsia="Times New Roman" w:hAnsi="Times New Roman" w:cs="Times New Roman"/>
          <w:sz w:val="24"/>
          <w:szCs w:val="24"/>
        </w:rPr>
        <w:t xml:space="preserve">, J. C., </w:t>
      </w:r>
      <w:proofErr w:type="spellStart"/>
      <w:r>
        <w:rPr>
          <w:rFonts w:ascii="Times New Roman" w:eastAsia="Times New Roman" w:hAnsi="Times New Roman" w:cs="Times New Roman"/>
          <w:sz w:val="24"/>
          <w:szCs w:val="24"/>
        </w:rPr>
        <w:t>Thyen</w:t>
      </w:r>
      <w:proofErr w:type="spellEnd"/>
      <w:r>
        <w:rPr>
          <w:rFonts w:ascii="Times New Roman" w:eastAsia="Times New Roman" w:hAnsi="Times New Roman" w:cs="Times New Roman"/>
          <w:sz w:val="24"/>
          <w:szCs w:val="24"/>
        </w:rPr>
        <w:t xml:space="preserve">, U., &amp; </w:t>
      </w:r>
      <w:proofErr w:type="spellStart"/>
      <w:r>
        <w:rPr>
          <w:rFonts w:ascii="Times New Roman" w:eastAsia="Times New Roman" w:hAnsi="Times New Roman" w:cs="Times New Roman"/>
          <w:sz w:val="24"/>
          <w:szCs w:val="24"/>
        </w:rPr>
        <w:t>Wiesemann</w:t>
      </w:r>
      <w:proofErr w:type="spellEnd"/>
      <w:r>
        <w:rPr>
          <w:rFonts w:ascii="Times New Roman" w:eastAsia="Times New Roman" w:hAnsi="Times New Roman" w:cs="Times New Roman"/>
          <w:sz w:val="24"/>
          <w:szCs w:val="24"/>
        </w:rPr>
        <w:t xml:space="preserve">, C. (2021). Early Genital Surgery </w:t>
      </w:r>
      <w:r>
        <w:rPr>
          <w:rFonts w:ascii="Times New Roman" w:eastAsia="Times New Roman" w:hAnsi="Times New Roman" w:cs="Times New Roman"/>
          <w:sz w:val="24"/>
          <w:szCs w:val="24"/>
        </w:rPr>
        <w:lastRenderedPageBreak/>
        <w:t>in</w:t>
      </w:r>
      <w:r>
        <w:rPr>
          <w:rFonts w:ascii="Times New Roman" w:eastAsia="Times New Roman" w:hAnsi="Times New Roman" w:cs="Times New Roman"/>
          <w:sz w:val="24"/>
          <w:szCs w:val="24"/>
        </w:rPr>
        <w:t xml:space="preserve"> Disorders/Differences of Sex Development: Patients’ Perspectives. </w:t>
      </w:r>
      <w:r>
        <w:rPr>
          <w:rFonts w:ascii="Times New Roman" w:eastAsia="Times New Roman" w:hAnsi="Times New Roman" w:cs="Times New Roman"/>
          <w:i/>
          <w:iCs/>
          <w:sz w:val="24"/>
          <w:szCs w:val="24"/>
        </w:rPr>
        <w:t>Archives of Sexual Behavior</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50</w:t>
      </w:r>
      <w:r>
        <w:rPr>
          <w:rFonts w:ascii="Times New Roman" w:eastAsia="Times New Roman" w:hAnsi="Times New Roman" w:cs="Times New Roman"/>
          <w:sz w:val="24"/>
          <w:szCs w:val="24"/>
        </w:rPr>
        <w:t>(3), 913–923.</w:t>
      </w:r>
      <w:hyperlink r:id="rId16">
        <w:r>
          <w:rPr>
            <w:rFonts w:ascii="Times New Roman" w:eastAsia="Times New Roman" w:hAnsi="Times New Roman" w:cs="Times New Roman"/>
            <w:sz w:val="24"/>
            <w:szCs w:val="24"/>
          </w:rPr>
          <w:t xml:space="preserve"> </w:t>
        </w:r>
      </w:hyperlink>
      <w:hyperlink r:id="rId17">
        <w:r>
          <w:rPr>
            <w:rFonts w:ascii="Times New Roman" w:eastAsia="Times New Roman" w:hAnsi="Times New Roman" w:cs="Times New Roman"/>
            <w:color w:val="1155CC"/>
            <w:sz w:val="24"/>
            <w:szCs w:val="24"/>
            <w:u w:val="single"/>
          </w:rPr>
          <w:t>https://doi.org/10.1</w:t>
        </w:r>
        <w:r>
          <w:rPr>
            <w:rFonts w:ascii="Times New Roman" w:eastAsia="Times New Roman" w:hAnsi="Times New Roman" w:cs="Times New Roman"/>
            <w:color w:val="1155CC"/>
            <w:sz w:val="24"/>
            <w:szCs w:val="24"/>
            <w:u w:val="single"/>
          </w:rPr>
          <w:t>007/s10508-021-01953-6</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Berglund, A., Chang, S., Lind-Holst, M., </w:t>
      </w:r>
      <w:proofErr w:type="spellStart"/>
      <w:r>
        <w:rPr>
          <w:rFonts w:ascii="Times New Roman" w:eastAsia="Times New Roman" w:hAnsi="Times New Roman" w:cs="Times New Roman"/>
          <w:sz w:val="24"/>
          <w:szCs w:val="24"/>
        </w:rPr>
        <w:t>Stochholm</w:t>
      </w:r>
      <w:proofErr w:type="spellEnd"/>
      <w:r>
        <w:rPr>
          <w:rFonts w:ascii="Times New Roman" w:eastAsia="Times New Roman" w:hAnsi="Times New Roman" w:cs="Times New Roman"/>
          <w:sz w:val="24"/>
          <w:szCs w:val="24"/>
        </w:rPr>
        <w:t xml:space="preserve">, K., &amp; </w:t>
      </w:r>
      <w:proofErr w:type="spellStart"/>
      <w:r>
        <w:rPr>
          <w:rFonts w:ascii="Times New Roman" w:eastAsia="Times New Roman" w:hAnsi="Times New Roman" w:cs="Times New Roman"/>
          <w:sz w:val="24"/>
          <w:szCs w:val="24"/>
        </w:rPr>
        <w:t>Gravholt</w:t>
      </w:r>
      <w:proofErr w:type="spellEnd"/>
      <w:r>
        <w:rPr>
          <w:rFonts w:ascii="Times New Roman" w:eastAsia="Times New Roman" w:hAnsi="Times New Roman" w:cs="Times New Roman"/>
          <w:sz w:val="24"/>
          <w:szCs w:val="24"/>
        </w:rPr>
        <w:t xml:space="preserve">, C. H. (2025). The epidemiology of disorders of sex development. </w:t>
      </w:r>
      <w:r>
        <w:rPr>
          <w:rFonts w:ascii="Times New Roman" w:eastAsia="Times New Roman" w:hAnsi="Times New Roman" w:cs="Times New Roman"/>
          <w:i/>
          <w:iCs/>
          <w:sz w:val="24"/>
          <w:szCs w:val="24"/>
        </w:rPr>
        <w:t>Best Practice &amp; Research Clinical Endocrinology &amp; Metabolism, Differences &amp; Disorders of Sex Developm</w:t>
      </w:r>
      <w:r>
        <w:rPr>
          <w:rFonts w:ascii="Times New Roman" w:eastAsia="Times New Roman" w:hAnsi="Times New Roman" w:cs="Times New Roman"/>
          <w:i/>
          <w:iCs/>
          <w:sz w:val="24"/>
          <w:szCs w:val="24"/>
        </w:rPr>
        <w:t>ent: A Focus On Outcomes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39</w:t>
      </w:r>
      <w:r>
        <w:rPr>
          <w:rFonts w:ascii="Times New Roman" w:eastAsia="Times New Roman" w:hAnsi="Times New Roman" w:cs="Times New Roman"/>
          <w:sz w:val="24"/>
          <w:szCs w:val="24"/>
        </w:rPr>
        <w:t>(4), 102002.</w:t>
      </w:r>
      <w:hyperlink r:id="rId18">
        <w:r>
          <w:rPr>
            <w:rFonts w:ascii="Times New Roman" w:eastAsia="Times New Roman" w:hAnsi="Times New Roman" w:cs="Times New Roman"/>
            <w:sz w:val="24"/>
            <w:szCs w:val="24"/>
          </w:rPr>
          <w:t xml:space="preserve"> </w:t>
        </w:r>
      </w:hyperlink>
      <w:hyperlink r:id="rId19">
        <w:r>
          <w:rPr>
            <w:rFonts w:ascii="Times New Roman" w:eastAsia="Times New Roman" w:hAnsi="Times New Roman" w:cs="Times New Roman"/>
            <w:color w:val="1155CC"/>
            <w:sz w:val="24"/>
            <w:szCs w:val="24"/>
            <w:u w:val="single"/>
          </w:rPr>
          <w:t>https://doi.org/10.1016/j.beem.2025.102002</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Claahsen</w:t>
      </w:r>
      <w:proofErr w:type="spellEnd"/>
      <w:r>
        <w:rPr>
          <w:rFonts w:ascii="Times New Roman" w:eastAsia="Times New Roman" w:hAnsi="Times New Roman" w:cs="Times New Roman"/>
          <w:sz w:val="24"/>
          <w:szCs w:val="24"/>
        </w:rPr>
        <w:t xml:space="preserve">-van der </w:t>
      </w:r>
      <w:proofErr w:type="spellStart"/>
      <w:r>
        <w:rPr>
          <w:rFonts w:ascii="Times New Roman" w:eastAsia="Times New Roman" w:hAnsi="Times New Roman" w:cs="Times New Roman"/>
          <w:sz w:val="24"/>
          <w:szCs w:val="24"/>
        </w:rPr>
        <w:t>Grinten</w:t>
      </w:r>
      <w:proofErr w:type="spellEnd"/>
      <w:r>
        <w:rPr>
          <w:rFonts w:ascii="Times New Roman" w:eastAsia="Times New Roman" w:hAnsi="Times New Roman" w:cs="Times New Roman"/>
          <w:sz w:val="24"/>
          <w:szCs w:val="24"/>
        </w:rPr>
        <w:t xml:space="preserve">, H. L., </w:t>
      </w:r>
      <w:proofErr w:type="spellStart"/>
      <w:r>
        <w:rPr>
          <w:rFonts w:ascii="Times New Roman" w:eastAsia="Times New Roman" w:hAnsi="Times New Roman" w:cs="Times New Roman"/>
          <w:sz w:val="24"/>
          <w:szCs w:val="24"/>
        </w:rPr>
        <w:t>Gravholt</w:t>
      </w:r>
      <w:proofErr w:type="spellEnd"/>
      <w:r>
        <w:rPr>
          <w:rFonts w:ascii="Times New Roman" w:eastAsia="Times New Roman" w:hAnsi="Times New Roman" w:cs="Times New Roman"/>
          <w:sz w:val="24"/>
          <w:szCs w:val="24"/>
        </w:rPr>
        <w:t>, C. H.</w:t>
      </w:r>
      <w:r>
        <w:rPr>
          <w:rFonts w:ascii="Times New Roman" w:eastAsia="Times New Roman" w:hAnsi="Times New Roman" w:cs="Times New Roman"/>
          <w:sz w:val="24"/>
          <w:szCs w:val="24"/>
        </w:rPr>
        <w:t xml:space="preserve">, White, E. K., </w:t>
      </w:r>
      <w:proofErr w:type="spellStart"/>
      <w:r>
        <w:rPr>
          <w:rFonts w:ascii="Times New Roman" w:eastAsia="Times New Roman" w:hAnsi="Times New Roman" w:cs="Times New Roman"/>
          <w:sz w:val="24"/>
          <w:szCs w:val="24"/>
        </w:rPr>
        <w:t>Brösamle</w:t>
      </w:r>
      <w:proofErr w:type="spellEnd"/>
      <w:r>
        <w:rPr>
          <w:rFonts w:ascii="Times New Roman" w:eastAsia="Times New Roman" w:hAnsi="Times New Roman" w:cs="Times New Roman"/>
          <w:sz w:val="24"/>
          <w:szCs w:val="24"/>
        </w:rPr>
        <w:t xml:space="preserve">, M., Breen, L., Smyth, A., </w:t>
      </w:r>
      <w:proofErr w:type="spellStart"/>
      <w:r>
        <w:rPr>
          <w:rFonts w:ascii="Times New Roman" w:eastAsia="Times New Roman" w:hAnsi="Times New Roman" w:cs="Times New Roman"/>
          <w:sz w:val="24"/>
          <w:szCs w:val="24"/>
        </w:rPr>
        <w:t>Persani</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Hiort</w:t>
      </w:r>
      <w:proofErr w:type="spellEnd"/>
      <w:r>
        <w:rPr>
          <w:rFonts w:ascii="Times New Roman" w:eastAsia="Times New Roman" w:hAnsi="Times New Roman" w:cs="Times New Roman"/>
          <w:sz w:val="24"/>
          <w:szCs w:val="24"/>
        </w:rPr>
        <w:t>, O., Main Thematic Group 7 for Sex Development and Maturation in the European Reference Network on Rare Endocrine Conditions (Endo-ERN), &amp; On behalf of the. (2026). ENDO-ERN expert opin</w:t>
      </w:r>
      <w:r>
        <w:rPr>
          <w:rFonts w:ascii="Times New Roman" w:eastAsia="Times New Roman" w:hAnsi="Times New Roman" w:cs="Times New Roman"/>
          <w:sz w:val="24"/>
          <w:szCs w:val="24"/>
        </w:rPr>
        <w:t xml:space="preserve">ion: Addressing the endocrine needs in considering genital surgery in disorders/differences in sex development individuals in Europe. </w:t>
      </w:r>
      <w:r>
        <w:rPr>
          <w:rFonts w:ascii="Times New Roman" w:eastAsia="Times New Roman" w:hAnsi="Times New Roman" w:cs="Times New Roman"/>
          <w:i/>
          <w:iCs/>
          <w:sz w:val="24"/>
          <w:szCs w:val="24"/>
        </w:rPr>
        <w:t>European Journal of Endocrinology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194</w:t>
      </w:r>
      <w:r>
        <w:rPr>
          <w:rFonts w:ascii="Times New Roman" w:eastAsia="Times New Roman" w:hAnsi="Times New Roman" w:cs="Times New Roman"/>
          <w:sz w:val="24"/>
          <w:szCs w:val="24"/>
        </w:rPr>
        <w:t>(2), 217–224.</w:t>
      </w:r>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color w:val="1155CC"/>
            <w:sz w:val="24"/>
            <w:szCs w:val="24"/>
            <w:u w:val="single"/>
          </w:rPr>
          <w:t>https://doi.org/10.1093/ejendo/lvag009</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Das, K., Deb, M., Shubha, A. M., &amp; </w:t>
      </w:r>
      <w:proofErr w:type="spellStart"/>
      <w:r>
        <w:rPr>
          <w:rFonts w:ascii="Times New Roman" w:eastAsia="Times New Roman" w:hAnsi="Times New Roman" w:cs="Times New Roman"/>
          <w:sz w:val="24"/>
          <w:szCs w:val="24"/>
        </w:rPr>
        <w:t>Pati</w:t>
      </w:r>
      <w:proofErr w:type="spellEnd"/>
      <w:r>
        <w:rPr>
          <w:rFonts w:ascii="Times New Roman" w:eastAsia="Times New Roman" w:hAnsi="Times New Roman" w:cs="Times New Roman"/>
          <w:sz w:val="24"/>
          <w:szCs w:val="24"/>
        </w:rPr>
        <w:t xml:space="preserve">, A. B. (2026). Surgical management of </w:t>
      </w:r>
      <w:proofErr w:type="gramStart"/>
      <w:r>
        <w:rPr>
          <w:rFonts w:ascii="Times New Roman" w:eastAsia="Times New Roman" w:hAnsi="Times New Roman" w:cs="Times New Roman"/>
          <w:sz w:val="24"/>
          <w:szCs w:val="24"/>
        </w:rPr>
        <w:t>46,XY</w:t>
      </w:r>
      <w:proofErr w:type="gramEnd"/>
      <w:r>
        <w:rPr>
          <w:rFonts w:ascii="Times New Roman" w:eastAsia="Times New Roman" w:hAnsi="Times New Roman" w:cs="Times New Roman"/>
          <w:sz w:val="24"/>
          <w:szCs w:val="24"/>
        </w:rPr>
        <w:t xml:space="preserve"> differences in sex development. </w:t>
      </w:r>
      <w:r>
        <w:rPr>
          <w:rFonts w:ascii="Times New Roman" w:eastAsia="Times New Roman" w:hAnsi="Times New Roman" w:cs="Times New Roman"/>
          <w:i/>
          <w:iCs/>
          <w:sz w:val="24"/>
          <w:szCs w:val="24"/>
        </w:rPr>
        <w:t>Journal of Pediatric Endocrinology and Diabetes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130–138.</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color w:val="1155CC"/>
            <w:sz w:val="24"/>
            <w:szCs w:val="24"/>
            <w:u w:val="single"/>
          </w:rPr>
          <w:t>https://doi.org/10.25259/JPED_81_2025</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Döhnert</w:t>
      </w:r>
      <w:proofErr w:type="spellEnd"/>
      <w:r>
        <w:rPr>
          <w:rFonts w:ascii="Times New Roman" w:eastAsia="Times New Roman" w:hAnsi="Times New Roman" w:cs="Times New Roman"/>
          <w:sz w:val="24"/>
          <w:szCs w:val="24"/>
        </w:rPr>
        <w:t xml:space="preserve">, U., &amp; Davies, J. H. (2025). Care quality improvement in differences of sex development. </w:t>
      </w:r>
      <w:r>
        <w:rPr>
          <w:rFonts w:ascii="Times New Roman" w:eastAsia="Times New Roman" w:hAnsi="Times New Roman" w:cs="Times New Roman"/>
          <w:i/>
          <w:iCs/>
          <w:sz w:val="24"/>
          <w:szCs w:val="24"/>
        </w:rPr>
        <w:t>Best Practice &amp; Research Clinical Endocrinology &amp; Metabolism, Differences &amp; Disorders of Sex Development: A Focus On Outcomes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39</w:t>
      </w:r>
      <w:r>
        <w:rPr>
          <w:rFonts w:ascii="Times New Roman" w:eastAsia="Times New Roman" w:hAnsi="Times New Roman" w:cs="Times New Roman"/>
          <w:sz w:val="24"/>
          <w:szCs w:val="24"/>
        </w:rPr>
        <w:t>(4), 102016.</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https://doi.org/10.1016/j.beem.2025.102016</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Faradz</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Maritska</w:t>
      </w:r>
      <w:proofErr w:type="spellEnd"/>
      <w:r>
        <w:rPr>
          <w:rFonts w:ascii="Times New Roman" w:eastAsia="Times New Roman" w:hAnsi="Times New Roman" w:cs="Times New Roman"/>
          <w:sz w:val="24"/>
          <w:szCs w:val="24"/>
        </w:rPr>
        <w:t xml:space="preserve">, Z., </w:t>
      </w:r>
      <w:proofErr w:type="spellStart"/>
      <w:r>
        <w:rPr>
          <w:rFonts w:ascii="Times New Roman" w:eastAsia="Times New Roman" w:hAnsi="Times New Roman" w:cs="Times New Roman"/>
          <w:sz w:val="24"/>
          <w:szCs w:val="24"/>
        </w:rPr>
        <w:t>Komandur</w:t>
      </w:r>
      <w:proofErr w:type="spellEnd"/>
      <w:r>
        <w:rPr>
          <w:rFonts w:ascii="Times New Roman" w:eastAsia="Times New Roman" w:hAnsi="Times New Roman" w:cs="Times New Roman"/>
          <w:sz w:val="24"/>
          <w:szCs w:val="24"/>
        </w:rPr>
        <w:t>, S., &amp; Hasan, Q. A. (2025). Genetic counselling of disorders of sex dev</w:t>
      </w:r>
      <w:r>
        <w:rPr>
          <w:rFonts w:ascii="Times New Roman" w:eastAsia="Times New Roman" w:hAnsi="Times New Roman" w:cs="Times New Roman"/>
          <w:sz w:val="24"/>
          <w:szCs w:val="24"/>
        </w:rPr>
        <w:t xml:space="preserve">elopment (DSD) in low </w:t>
      </w:r>
      <w:proofErr w:type="gramStart"/>
      <w:r>
        <w:rPr>
          <w:rFonts w:ascii="Times New Roman" w:eastAsia="Times New Roman" w:hAnsi="Times New Roman" w:cs="Times New Roman"/>
          <w:sz w:val="24"/>
          <w:szCs w:val="24"/>
        </w:rPr>
        <w:t>middle income</w:t>
      </w:r>
      <w:proofErr w:type="gramEnd"/>
      <w:r>
        <w:rPr>
          <w:rFonts w:ascii="Times New Roman" w:eastAsia="Times New Roman" w:hAnsi="Times New Roman" w:cs="Times New Roman"/>
          <w:sz w:val="24"/>
          <w:szCs w:val="24"/>
        </w:rPr>
        <w:t xml:space="preserve"> country (LMIC): Case studies. </w:t>
      </w:r>
      <w:r>
        <w:rPr>
          <w:rFonts w:ascii="Times New Roman" w:eastAsia="Times New Roman" w:hAnsi="Times New Roman" w:cs="Times New Roman"/>
          <w:i/>
          <w:iCs/>
          <w:sz w:val="24"/>
          <w:szCs w:val="24"/>
        </w:rPr>
        <w:t>Egyptian Journal of Medical Human Genetics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26</w:t>
      </w:r>
      <w:r>
        <w:rPr>
          <w:rFonts w:ascii="Times New Roman" w:eastAsia="Times New Roman" w:hAnsi="Times New Roman" w:cs="Times New Roman"/>
          <w:sz w:val="24"/>
          <w:szCs w:val="24"/>
        </w:rPr>
        <w:t>(1), 53.</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color w:val="1155CC"/>
            <w:sz w:val="24"/>
            <w:szCs w:val="24"/>
            <w:u w:val="single"/>
          </w:rPr>
          <w:t>https://doi</w:t>
        </w:r>
        <w:r>
          <w:rPr>
            <w:rFonts w:ascii="Times New Roman" w:eastAsia="Times New Roman" w:hAnsi="Times New Roman" w:cs="Times New Roman"/>
            <w:color w:val="1155CC"/>
            <w:sz w:val="24"/>
            <w:szCs w:val="24"/>
            <w:u w:val="single"/>
          </w:rPr>
          <w:t>.org/10.1186/s43042-025-00681-z</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Gramc</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Monro</w:t>
      </w:r>
      <w:proofErr w:type="spellEnd"/>
      <w:r>
        <w:rPr>
          <w:rFonts w:ascii="Times New Roman" w:eastAsia="Times New Roman" w:hAnsi="Times New Roman" w:cs="Times New Roman"/>
          <w:sz w:val="24"/>
          <w:szCs w:val="24"/>
        </w:rPr>
        <w:t xml:space="preserve">, S., Stephenson, J., &amp; </w:t>
      </w:r>
      <w:proofErr w:type="spellStart"/>
      <w:r>
        <w:rPr>
          <w:rFonts w:ascii="Times New Roman" w:eastAsia="Times New Roman" w:hAnsi="Times New Roman" w:cs="Times New Roman"/>
          <w:sz w:val="24"/>
          <w:szCs w:val="24"/>
        </w:rPr>
        <w:t>Streuli</w:t>
      </w:r>
      <w:proofErr w:type="spellEnd"/>
      <w:r>
        <w:rPr>
          <w:rFonts w:ascii="Times New Roman" w:eastAsia="Times New Roman" w:hAnsi="Times New Roman" w:cs="Times New Roman"/>
          <w:sz w:val="24"/>
          <w:szCs w:val="24"/>
        </w:rPr>
        <w:t xml:space="preserve">, J. (2024). Psychosocial Support for Parents, Infants, Children, and Adolescents with Variations of Sex Characteristics: Results from a Pan-European Survey. </w:t>
      </w:r>
      <w:r>
        <w:rPr>
          <w:rFonts w:ascii="Times New Roman" w:eastAsia="Times New Roman" w:hAnsi="Times New Roman" w:cs="Times New Roman"/>
          <w:i/>
          <w:iCs/>
          <w:sz w:val="24"/>
          <w:szCs w:val="24"/>
        </w:rPr>
        <w:t>Behavioral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(9), 832.</w:t>
      </w:r>
      <w:hyperlink r:id="rId28">
        <w:r>
          <w:rPr>
            <w:rFonts w:ascii="Times New Roman" w:eastAsia="Times New Roman" w:hAnsi="Times New Roman" w:cs="Times New Roman"/>
            <w:sz w:val="24"/>
            <w:szCs w:val="24"/>
          </w:rPr>
          <w:t xml:space="preserve"> </w:t>
        </w:r>
      </w:hyperlink>
      <w:hyperlink r:id="rId29">
        <w:r>
          <w:rPr>
            <w:rFonts w:ascii="Times New Roman" w:eastAsia="Times New Roman" w:hAnsi="Times New Roman" w:cs="Times New Roman"/>
            <w:color w:val="1155CC"/>
            <w:sz w:val="24"/>
            <w:szCs w:val="24"/>
            <w:u w:val="single"/>
          </w:rPr>
          <w:t>https://doi.org/10.3390/bs14090832</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Grewal, A., </w:t>
      </w:r>
      <w:proofErr w:type="spellStart"/>
      <w:r>
        <w:rPr>
          <w:rFonts w:ascii="Times New Roman" w:eastAsia="Times New Roman" w:hAnsi="Times New Roman" w:cs="Times New Roman"/>
          <w:sz w:val="24"/>
          <w:szCs w:val="24"/>
        </w:rPr>
        <w:t>Kataria</w:t>
      </w:r>
      <w:proofErr w:type="spellEnd"/>
      <w:r>
        <w:rPr>
          <w:rFonts w:ascii="Times New Roman" w:eastAsia="Times New Roman" w:hAnsi="Times New Roman" w:cs="Times New Roman"/>
          <w:sz w:val="24"/>
          <w:szCs w:val="24"/>
        </w:rPr>
        <w:t>, H., &amp; Dhawan, I. (2016). Literature search for research planning and identific</w:t>
      </w:r>
      <w:r>
        <w:rPr>
          <w:rFonts w:ascii="Times New Roman" w:eastAsia="Times New Roman" w:hAnsi="Times New Roman" w:cs="Times New Roman"/>
          <w:sz w:val="24"/>
          <w:szCs w:val="24"/>
        </w:rPr>
        <w:t xml:space="preserve">ation of research problem. </w:t>
      </w:r>
      <w:r>
        <w:rPr>
          <w:rFonts w:ascii="Times New Roman" w:eastAsia="Times New Roman" w:hAnsi="Times New Roman" w:cs="Times New Roman"/>
          <w:i/>
          <w:iCs/>
          <w:sz w:val="24"/>
          <w:szCs w:val="24"/>
        </w:rPr>
        <w:t xml:space="preserve">Indian Journal of </w:t>
      </w:r>
      <w:proofErr w:type="spellStart"/>
      <w:r>
        <w:rPr>
          <w:rFonts w:ascii="Times New Roman" w:eastAsia="Times New Roman" w:hAnsi="Times New Roman" w:cs="Times New Roman"/>
          <w:i/>
          <w:iCs/>
          <w:sz w:val="24"/>
          <w:szCs w:val="24"/>
        </w:rPr>
        <w:t>Anaesthesia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60</w:t>
      </w:r>
      <w:r>
        <w:rPr>
          <w:rFonts w:ascii="Times New Roman" w:eastAsia="Times New Roman" w:hAnsi="Times New Roman" w:cs="Times New Roman"/>
          <w:sz w:val="24"/>
          <w:szCs w:val="24"/>
        </w:rPr>
        <w:t>(9), 635–639.</w:t>
      </w:r>
      <w:hyperlink r:id="rId30">
        <w:r>
          <w:rPr>
            <w:rFonts w:ascii="Times New Roman" w:eastAsia="Times New Roman" w:hAnsi="Times New Roman" w:cs="Times New Roman"/>
            <w:sz w:val="24"/>
            <w:szCs w:val="24"/>
          </w:rPr>
          <w:t xml:space="preserve"> </w:t>
        </w:r>
      </w:hyperlink>
      <w:hyperlink r:id="rId31">
        <w:r>
          <w:rPr>
            <w:rFonts w:ascii="Times New Roman" w:eastAsia="Times New Roman" w:hAnsi="Times New Roman" w:cs="Times New Roman"/>
            <w:color w:val="1155CC"/>
            <w:sz w:val="24"/>
            <w:szCs w:val="24"/>
            <w:u w:val="single"/>
          </w:rPr>
          <w:t>https://doi.org/10.4103/0019-5049.190618</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Hidouri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Kalaitzo</w:t>
      </w:r>
      <w:r>
        <w:rPr>
          <w:rFonts w:ascii="Times New Roman" w:eastAsia="Times New Roman" w:hAnsi="Times New Roman" w:cs="Times New Roman"/>
          <w:sz w:val="24"/>
          <w:szCs w:val="24"/>
        </w:rPr>
        <w:t>glou</w:t>
      </w:r>
      <w:proofErr w:type="spellEnd"/>
      <w:r>
        <w:rPr>
          <w:rFonts w:ascii="Times New Roman" w:eastAsia="Times New Roman" w:hAnsi="Times New Roman" w:cs="Times New Roman"/>
          <w:sz w:val="24"/>
          <w:szCs w:val="24"/>
        </w:rPr>
        <w:t xml:space="preserve">, E., &amp; Romero, C. J. (2025). Editorial: Disorders of sex development in children: advancing multidisciplinary approaches for complex diagnosis and management. </w:t>
      </w:r>
      <w:r>
        <w:rPr>
          <w:rFonts w:ascii="Times New Roman" w:eastAsia="Times New Roman" w:hAnsi="Times New Roman" w:cs="Times New Roman"/>
          <w:i/>
          <w:iCs/>
          <w:sz w:val="24"/>
          <w:szCs w:val="24"/>
        </w:rPr>
        <w:t>Frontiers in Pediatrics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w:t>
      </w:r>
      <w:hyperlink r:id="rId32">
        <w:r>
          <w:rPr>
            <w:rFonts w:ascii="Times New Roman" w:eastAsia="Times New Roman" w:hAnsi="Times New Roman" w:cs="Times New Roman"/>
            <w:sz w:val="24"/>
            <w:szCs w:val="24"/>
          </w:rPr>
          <w:t xml:space="preserve"> </w:t>
        </w:r>
      </w:hyperlink>
      <w:hyperlink r:id="rId33">
        <w:r>
          <w:rPr>
            <w:rFonts w:ascii="Times New Roman" w:eastAsia="Times New Roman" w:hAnsi="Times New Roman" w:cs="Times New Roman"/>
            <w:color w:val="1155CC"/>
            <w:sz w:val="24"/>
            <w:szCs w:val="24"/>
            <w:u w:val="single"/>
          </w:rPr>
          <w:t>https://doi.org/10.3389/fped.2025.1646197</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 xml:space="preserve">Ishii, T., </w:t>
      </w:r>
      <w:proofErr w:type="spellStart"/>
      <w:r>
        <w:rPr>
          <w:rFonts w:ascii="Times New Roman" w:eastAsia="Times New Roman" w:hAnsi="Times New Roman" w:cs="Times New Roman"/>
          <w:sz w:val="24"/>
          <w:szCs w:val="24"/>
        </w:rPr>
        <w:t>Kashimada</w:t>
      </w:r>
      <w:proofErr w:type="spellEnd"/>
      <w:r>
        <w:rPr>
          <w:rFonts w:ascii="Times New Roman" w:eastAsia="Times New Roman" w:hAnsi="Times New Roman" w:cs="Times New Roman"/>
          <w:sz w:val="24"/>
          <w:szCs w:val="24"/>
        </w:rPr>
        <w:t xml:space="preserve">, K., Kawai, M., </w:t>
      </w:r>
      <w:proofErr w:type="spellStart"/>
      <w:r>
        <w:rPr>
          <w:rFonts w:ascii="Times New Roman" w:eastAsia="Times New Roman" w:hAnsi="Times New Roman" w:cs="Times New Roman"/>
          <w:sz w:val="24"/>
          <w:szCs w:val="24"/>
        </w:rPr>
        <w:t>Itonaga</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Iwasa</w:t>
      </w:r>
      <w:proofErr w:type="spellEnd"/>
      <w:r>
        <w:rPr>
          <w:rFonts w:ascii="Times New Roman" w:eastAsia="Times New Roman" w:hAnsi="Times New Roman" w:cs="Times New Roman"/>
          <w:sz w:val="24"/>
          <w:szCs w:val="24"/>
        </w:rPr>
        <w:t xml:space="preserve">, T., Utsunomiya, A., Ozaki, K., Kawamura, K., </w:t>
      </w:r>
      <w:proofErr w:type="spellStart"/>
      <w:r>
        <w:rPr>
          <w:rFonts w:ascii="Times New Roman" w:eastAsia="Times New Roman" w:hAnsi="Times New Roman" w:cs="Times New Roman"/>
          <w:sz w:val="24"/>
          <w:szCs w:val="24"/>
        </w:rPr>
        <w:t>Kanno</w:t>
      </w:r>
      <w:proofErr w:type="spellEnd"/>
      <w:r>
        <w:rPr>
          <w:rFonts w:ascii="Times New Roman" w:eastAsia="Times New Roman" w:hAnsi="Times New Roman" w:cs="Times New Roman"/>
          <w:sz w:val="24"/>
          <w:szCs w:val="24"/>
        </w:rPr>
        <w:t xml:space="preserve">, J., Koh, J., Kojima, Y., Sasaki, S., Sato, H., </w:t>
      </w:r>
      <w:proofErr w:type="spellStart"/>
      <w:r>
        <w:rPr>
          <w:rFonts w:ascii="Times New Roman" w:eastAsia="Times New Roman" w:hAnsi="Times New Roman" w:cs="Times New Roman"/>
          <w:sz w:val="24"/>
          <w:szCs w:val="24"/>
        </w:rPr>
        <w:t>Shiraishi</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Naiki</w:t>
      </w:r>
      <w:proofErr w:type="spellEnd"/>
      <w:r>
        <w:rPr>
          <w:rFonts w:ascii="Times New Roman" w:eastAsia="Times New Roman" w:hAnsi="Times New Roman" w:cs="Times New Roman"/>
          <w:sz w:val="24"/>
          <w:szCs w:val="24"/>
        </w:rPr>
        <w:t xml:space="preserve">, Y., Nishiyama, M., </w:t>
      </w:r>
      <w:proofErr w:type="spellStart"/>
      <w:r>
        <w:rPr>
          <w:rFonts w:ascii="Times New Roman" w:eastAsia="Times New Roman" w:hAnsi="Times New Roman" w:cs="Times New Roman"/>
          <w:sz w:val="24"/>
          <w:szCs w:val="24"/>
        </w:rPr>
        <w:t>Hamajima</w:t>
      </w:r>
      <w:proofErr w:type="spellEnd"/>
      <w:r>
        <w:rPr>
          <w:rFonts w:ascii="Times New Roman" w:eastAsia="Times New Roman" w:hAnsi="Times New Roman" w:cs="Times New Roman"/>
          <w:sz w:val="24"/>
          <w:szCs w:val="24"/>
        </w:rPr>
        <w:t>, T., Fujisawa, Y., Makita, N., … Ogata, T. (2026).</w:t>
      </w:r>
      <w:r>
        <w:rPr>
          <w:rFonts w:ascii="Times New Roman" w:eastAsia="Times New Roman" w:hAnsi="Times New Roman" w:cs="Times New Roman"/>
          <w:sz w:val="24"/>
          <w:szCs w:val="24"/>
        </w:rPr>
        <w:t xml:space="preserve"> Clinical practice guidelines for the management of differences of sex development in Japan. </w:t>
      </w:r>
      <w:r>
        <w:rPr>
          <w:rFonts w:ascii="Times New Roman" w:eastAsia="Times New Roman" w:hAnsi="Times New Roman" w:cs="Times New Roman"/>
          <w:i/>
          <w:iCs/>
          <w:sz w:val="24"/>
          <w:szCs w:val="24"/>
        </w:rPr>
        <w:t>Clinical Pediatric Endocrinology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35</w:t>
      </w:r>
      <w:r>
        <w:rPr>
          <w:rFonts w:ascii="Times New Roman" w:eastAsia="Times New Roman" w:hAnsi="Times New Roman" w:cs="Times New Roman"/>
          <w:sz w:val="24"/>
          <w:szCs w:val="24"/>
        </w:rPr>
        <w:t>(1), 1–49.</w:t>
      </w:r>
      <w:hyperlink r:id="rId34">
        <w:r>
          <w:rPr>
            <w:rFonts w:ascii="Times New Roman" w:eastAsia="Times New Roman" w:hAnsi="Times New Roman" w:cs="Times New Roman"/>
            <w:sz w:val="24"/>
            <w:szCs w:val="24"/>
          </w:rPr>
          <w:t xml:space="preserve"> </w:t>
        </w:r>
      </w:hyperlink>
      <w:hyperlink r:id="rId35">
        <w:r>
          <w:rPr>
            <w:rFonts w:ascii="Times New Roman" w:eastAsia="Times New Roman" w:hAnsi="Times New Roman" w:cs="Times New Roman"/>
            <w:color w:val="1155CC"/>
            <w:sz w:val="24"/>
            <w:szCs w:val="24"/>
            <w:u w:val="single"/>
          </w:rPr>
          <w:t>ht</w:t>
        </w:r>
        <w:r>
          <w:rPr>
            <w:rFonts w:ascii="Times New Roman" w:eastAsia="Times New Roman" w:hAnsi="Times New Roman" w:cs="Times New Roman"/>
            <w:color w:val="1155CC"/>
            <w:sz w:val="24"/>
            <w:szCs w:val="24"/>
            <w:u w:val="single"/>
          </w:rPr>
          <w:t>tps://doi.org/10.1297/cpe.2025-0073</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Jindal, A., Rana, L., &amp; Uppal, K. (2024). Biochemical, Cytogenetic and Molecular Evaluation of Ambiguous Genitalia in Pediatric Patients. </w:t>
      </w:r>
      <w:r>
        <w:rPr>
          <w:rFonts w:ascii="Times New Roman" w:eastAsia="Times New Roman" w:hAnsi="Times New Roman" w:cs="Times New Roman"/>
          <w:i/>
          <w:iCs/>
          <w:sz w:val="24"/>
          <w:szCs w:val="24"/>
        </w:rPr>
        <w:t>International Journal of Health Sciences and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(2), 70–75.</w:t>
      </w:r>
      <w:hyperlink r:id="rId36">
        <w:r>
          <w:rPr>
            <w:rFonts w:ascii="Times New Roman" w:eastAsia="Times New Roman" w:hAnsi="Times New Roman" w:cs="Times New Roman"/>
            <w:sz w:val="24"/>
            <w:szCs w:val="24"/>
          </w:rPr>
          <w:t xml:space="preserve"> </w:t>
        </w:r>
      </w:hyperlink>
      <w:hyperlink r:id="rId37">
        <w:r>
          <w:rPr>
            <w:rFonts w:ascii="Times New Roman" w:eastAsia="Times New Roman" w:hAnsi="Times New Roman" w:cs="Times New Roman"/>
            <w:color w:val="1155CC"/>
            <w:sz w:val="24"/>
            <w:szCs w:val="24"/>
            <w:u w:val="single"/>
          </w:rPr>
          <w:t>https://doi.org/10.52403/ijhsr.20240209</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Jun, J., Song, S. H., Park, S., Han, J. H., &amp; Kim, K. S. (2021). Surgical Outcomes of </w:t>
      </w:r>
      <w:proofErr w:type="spellStart"/>
      <w:r>
        <w:rPr>
          <w:rFonts w:ascii="Times New Roman" w:eastAsia="Times New Roman" w:hAnsi="Times New Roman" w:cs="Times New Roman"/>
          <w:sz w:val="24"/>
          <w:szCs w:val="24"/>
        </w:rPr>
        <w:t>Clitoroplasty</w:t>
      </w:r>
      <w:proofErr w:type="spellEnd"/>
      <w:r>
        <w:rPr>
          <w:rFonts w:ascii="Times New Roman" w:eastAsia="Times New Roman" w:hAnsi="Times New Roman" w:cs="Times New Roman"/>
          <w:sz w:val="24"/>
          <w:szCs w:val="24"/>
        </w:rPr>
        <w:t xml:space="preserve"> in Children with Congenital Adrenal Hyperplasia and Clitoral Hypertrophy: A 19-Year Experience of a Single Surgeon. </w:t>
      </w:r>
      <w:r>
        <w:rPr>
          <w:rFonts w:ascii="Times New Roman" w:eastAsia="Times New Roman" w:hAnsi="Times New Roman" w:cs="Times New Roman"/>
          <w:i/>
          <w:iCs/>
          <w:sz w:val="24"/>
          <w:szCs w:val="24"/>
        </w:rPr>
        <w:t>International Journal of Environmental Research and Public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18</w:t>
      </w:r>
      <w:r>
        <w:rPr>
          <w:rFonts w:ascii="Times New Roman" w:eastAsia="Times New Roman" w:hAnsi="Times New Roman" w:cs="Times New Roman"/>
          <w:sz w:val="24"/>
          <w:szCs w:val="24"/>
        </w:rPr>
        <w:t>(21), 11152.</w:t>
      </w:r>
      <w:hyperlink r:id="rId38">
        <w:r>
          <w:rPr>
            <w:rFonts w:ascii="Times New Roman" w:eastAsia="Times New Roman" w:hAnsi="Times New Roman" w:cs="Times New Roman"/>
            <w:sz w:val="24"/>
            <w:szCs w:val="24"/>
          </w:rPr>
          <w:t xml:space="preserve"> </w:t>
        </w:r>
      </w:hyperlink>
      <w:hyperlink r:id="rId39">
        <w:r>
          <w:rPr>
            <w:rFonts w:ascii="Times New Roman" w:eastAsia="Times New Roman" w:hAnsi="Times New Roman" w:cs="Times New Roman"/>
            <w:color w:val="1155CC"/>
            <w:sz w:val="24"/>
            <w:szCs w:val="24"/>
            <w:u w:val="single"/>
          </w:rPr>
          <w:t>https://doi.org/10.3390/ijerph182111152</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Kamoun</w:t>
      </w:r>
      <w:proofErr w:type="spellEnd"/>
      <w:r>
        <w:rPr>
          <w:rFonts w:ascii="Times New Roman" w:eastAsia="Times New Roman" w:hAnsi="Times New Roman" w:cs="Times New Roman"/>
          <w:sz w:val="24"/>
          <w:szCs w:val="24"/>
        </w:rPr>
        <w:t xml:space="preserve">, C., &amp; </w:t>
      </w:r>
      <w:proofErr w:type="spellStart"/>
      <w:r>
        <w:rPr>
          <w:rFonts w:ascii="Times New Roman" w:eastAsia="Times New Roman" w:hAnsi="Times New Roman" w:cs="Times New Roman"/>
          <w:sz w:val="24"/>
          <w:szCs w:val="24"/>
        </w:rPr>
        <w:t>Dalke</w:t>
      </w:r>
      <w:proofErr w:type="spellEnd"/>
      <w:r>
        <w:rPr>
          <w:rFonts w:ascii="Times New Roman" w:eastAsia="Times New Roman" w:hAnsi="Times New Roman" w:cs="Times New Roman"/>
          <w:sz w:val="24"/>
          <w:szCs w:val="24"/>
        </w:rPr>
        <w:t xml:space="preserve">, K. B. (2025). Embracing Difference in Intersex Variations. </w:t>
      </w:r>
      <w:r>
        <w:rPr>
          <w:rFonts w:ascii="Times New Roman" w:eastAsia="Times New Roman" w:hAnsi="Times New Roman" w:cs="Times New Roman"/>
          <w:i/>
          <w:iCs/>
          <w:sz w:val="24"/>
          <w:szCs w:val="24"/>
        </w:rPr>
        <w:t>Clinical Pediatrics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64</w:t>
      </w:r>
      <w:r>
        <w:rPr>
          <w:rFonts w:ascii="Times New Roman" w:eastAsia="Times New Roman" w:hAnsi="Times New Roman" w:cs="Times New Roman"/>
          <w:sz w:val="24"/>
          <w:szCs w:val="24"/>
        </w:rPr>
        <w:t>(6), 753–760.</w:t>
      </w:r>
      <w:hyperlink r:id="rId40">
        <w:r>
          <w:rPr>
            <w:rFonts w:ascii="Times New Roman" w:eastAsia="Times New Roman" w:hAnsi="Times New Roman" w:cs="Times New Roman"/>
            <w:sz w:val="24"/>
            <w:szCs w:val="24"/>
          </w:rPr>
          <w:t xml:space="preserve"> </w:t>
        </w:r>
      </w:hyperlink>
      <w:hyperlink r:id="rId41">
        <w:r>
          <w:rPr>
            <w:rFonts w:ascii="Times New Roman" w:eastAsia="Times New Roman" w:hAnsi="Times New Roman" w:cs="Times New Roman"/>
            <w:color w:val="1155CC"/>
            <w:sz w:val="24"/>
            <w:szCs w:val="24"/>
            <w:u w:val="single"/>
          </w:rPr>
          <w:t>https://doi.org/10.1177/00099228241299909</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Kızılay</w:t>
      </w:r>
      <w:proofErr w:type="spellEnd"/>
      <w:r>
        <w:rPr>
          <w:rFonts w:ascii="Times New Roman" w:eastAsia="Times New Roman" w:hAnsi="Times New Roman" w:cs="Times New Roman"/>
          <w:sz w:val="24"/>
          <w:szCs w:val="24"/>
        </w:rPr>
        <w:t xml:space="preserve">, D. Ö., </w:t>
      </w:r>
      <w:proofErr w:type="spellStart"/>
      <w:r>
        <w:rPr>
          <w:rFonts w:ascii="Times New Roman" w:eastAsia="Times New Roman" w:hAnsi="Times New Roman" w:cs="Times New Roman"/>
          <w:sz w:val="24"/>
          <w:szCs w:val="24"/>
        </w:rPr>
        <w:t>Özen</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Kızılay</w:t>
      </w:r>
      <w:proofErr w:type="spellEnd"/>
      <w:r>
        <w:rPr>
          <w:rFonts w:ascii="Times New Roman" w:eastAsia="Times New Roman" w:hAnsi="Times New Roman" w:cs="Times New Roman"/>
          <w:sz w:val="24"/>
          <w:szCs w:val="24"/>
        </w:rPr>
        <w:t xml:space="preserve">, D. Ö., &amp; </w:t>
      </w:r>
      <w:proofErr w:type="spellStart"/>
      <w:r>
        <w:rPr>
          <w:rFonts w:ascii="Times New Roman" w:eastAsia="Times New Roman" w:hAnsi="Times New Roman" w:cs="Times New Roman"/>
          <w:sz w:val="24"/>
          <w:szCs w:val="24"/>
        </w:rPr>
        <w:t>Özen</w:t>
      </w:r>
      <w:proofErr w:type="spellEnd"/>
      <w:r>
        <w:rPr>
          <w:rFonts w:ascii="Times New Roman" w:eastAsia="Times New Roman" w:hAnsi="Times New Roman" w:cs="Times New Roman"/>
          <w:sz w:val="24"/>
          <w:szCs w:val="24"/>
        </w:rPr>
        <w:t>, S. (2024). Current Diagnostic Approaches in the Genetic Diagnosis of Disorders o</w:t>
      </w:r>
      <w:r>
        <w:rPr>
          <w:rFonts w:ascii="Times New Roman" w:eastAsia="Times New Roman" w:hAnsi="Times New Roman" w:cs="Times New Roman"/>
          <w:sz w:val="24"/>
          <w:szCs w:val="24"/>
        </w:rPr>
        <w:t xml:space="preserve">f Sex Development. </w:t>
      </w:r>
      <w:r>
        <w:rPr>
          <w:rFonts w:ascii="Times New Roman" w:eastAsia="Times New Roman" w:hAnsi="Times New Roman" w:cs="Times New Roman"/>
          <w:i/>
          <w:iCs/>
          <w:sz w:val="24"/>
          <w:szCs w:val="24"/>
        </w:rPr>
        <w:t>Journal of Clinical Research in Pediatric Endocrinology</w:t>
      </w:r>
      <w:r>
        <w:rPr>
          <w:rFonts w:ascii="Times New Roman" w:eastAsia="Times New Roman" w:hAnsi="Times New Roman" w:cs="Times New Roman"/>
          <w:sz w:val="24"/>
          <w:szCs w:val="24"/>
        </w:rPr>
        <w:t>.</w:t>
      </w:r>
      <w:hyperlink r:id="rId42">
        <w:r>
          <w:rPr>
            <w:rFonts w:ascii="Times New Roman" w:eastAsia="Times New Roman" w:hAnsi="Times New Roman" w:cs="Times New Roman"/>
            <w:sz w:val="24"/>
            <w:szCs w:val="24"/>
          </w:rPr>
          <w:t xml:space="preserve"> </w:t>
        </w:r>
      </w:hyperlink>
      <w:hyperlink r:id="rId43">
        <w:r>
          <w:rPr>
            <w:rFonts w:ascii="Times New Roman" w:eastAsia="Times New Roman" w:hAnsi="Times New Roman" w:cs="Times New Roman"/>
            <w:color w:val="1155CC"/>
            <w:sz w:val="24"/>
            <w:szCs w:val="24"/>
            <w:u w:val="single"/>
          </w:rPr>
          <w:t>https://doi.org/10.4274/jcrpe.galenos.</w:t>
        </w:r>
        <w:r>
          <w:rPr>
            <w:rFonts w:ascii="Times New Roman" w:eastAsia="Times New Roman" w:hAnsi="Times New Roman" w:cs="Times New Roman"/>
            <w:color w:val="1155CC"/>
            <w:sz w:val="24"/>
            <w:szCs w:val="24"/>
            <w:u w:val="single"/>
          </w:rPr>
          <w:t>2024.2024-3-3</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Kumar, I., Prakash, A., Aggarwal, P., Chowdhary, S., &amp; Verma, A. (2024). Disorders of sexual development: Structured radiological reporting and practical approach. </w:t>
      </w:r>
      <w:r>
        <w:rPr>
          <w:rFonts w:ascii="Times New Roman" w:eastAsia="Times New Roman" w:hAnsi="Times New Roman" w:cs="Times New Roman"/>
          <w:i/>
          <w:iCs/>
          <w:sz w:val="24"/>
          <w:szCs w:val="24"/>
        </w:rPr>
        <w:t>Abdominal Radiology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49</w:t>
      </w:r>
      <w:r>
        <w:rPr>
          <w:rFonts w:ascii="Times New Roman" w:eastAsia="Times New Roman" w:hAnsi="Times New Roman" w:cs="Times New Roman"/>
          <w:sz w:val="24"/>
          <w:szCs w:val="24"/>
        </w:rPr>
        <w:t>(2), 523–534.</w:t>
      </w:r>
      <w:hyperlink r:id="rId44">
        <w:r>
          <w:rPr>
            <w:rFonts w:ascii="Times New Roman" w:eastAsia="Times New Roman" w:hAnsi="Times New Roman" w:cs="Times New Roman"/>
            <w:sz w:val="24"/>
            <w:szCs w:val="24"/>
          </w:rPr>
          <w:t xml:space="preserve"> </w:t>
        </w:r>
      </w:hyperlink>
      <w:hyperlink r:id="rId45">
        <w:r>
          <w:rPr>
            <w:rFonts w:ascii="Times New Roman" w:eastAsia="Times New Roman" w:hAnsi="Times New Roman" w:cs="Times New Roman"/>
            <w:color w:val="1155CC"/>
            <w:sz w:val="24"/>
            <w:szCs w:val="24"/>
            <w:u w:val="single"/>
          </w:rPr>
          <w:t>https://doi.org/10.1007/s00261-023-04066-x</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Lapham, Z. K., Gardner, M., </w:t>
      </w:r>
      <w:proofErr w:type="spellStart"/>
      <w:r>
        <w:rPr>
          <w:rFonts w:ascii="Times New Roman" w:eastAsia="Times New Roman" w:hAnsi="Times New Roman" w:cs="Times New Roman"/>
          <w:sz w:val="24"/>
          <w:szCs w:val="24"/>
        </w:rPr>
        <w:t>Sheinker</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Suorsa</w:t>
      </w:r>
      <w:proofErr w:type="spellEnd"/>
      <w:r>
        <w:rPr>
          <w:rFonts w:ascii="Times New Roman" w:eastAsia="Times New Roman" w:hAnsi="Times New Roman" w:cs="Times New Roman"/>
          <w:sz w:val="24"/>
          <w:szCs w:val="24"/>
        </w:rPr>
        <w:t>-Johnson, K. I., Kogan, B. A., Lee, P. A.,</w:t>
      </w:r>
      <w:r>
        <w:rPr>
          <w:rFonts w:ascii="Times New Roman" w:eastAsia="Times New Roman" w:hAnsi="Times New Roman" w:cs="Times New Roman"/>
          <w:sz w:val="24"/>
          <w:szCs w:val="24"/>
        </w:rPr>
        <w:t xml:space="preserve"> &amp; Sandberg, D. E. (2023). Written surgical informed consent elements in pediatric differences of sex development: Pediatric urologist and endocrinologist perspectives. </w:t>
      </w:r>
      <w:r>
        <w:rPr>
          <w:rFonts w:ascii="Times New Roman" w:eastAsia="Times New Roman" w:hAnsi="Times New Roman" w:cs="Times New Roman"/>
          <w:i/>
          <w:iCs/>
          <w:sz w:val="24"/>
          <w:szCs w:val="24"/>
        </w:rPr>
        <w:t>Frontiers in Urology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 1188822.</w:t>
      </w:r>
      <w:hyperlink r:id="rId46">
        <w:r>
          <w:rPr>
            <w:rFonts w:ascii="Times New Roman" w:eastAsia="Times New Roman" w:hAnsi="Times New Roman" w:cs="Times New Roman"/>
            <w:sz w:val="24"/>
            <w:szCs w:val="24"/>
          </w:rPr>
          <w:t xml:space="preserve"> </w:t>
        </w:r>
      </w:hyperlink>
      <w:hyperlink r:id="rId47">
        <w:r>
          <w:rPr>
            <w:rFonts w:ascii="Times New Roman" w:eastAsia="Times New Roman" w:hAnsi="Times New Roman" w:cs="Times New Roman"/>
            <w:color w:val="1155CC"/>
            <w:sz w:val="24"/>
            <w:szCs w:val="24"/>
            <w:u w:val="single"/>
          </w:rPr>
          <w:t>https://doi.org/10.3389/fruro.2023.1188822</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Mehmood, K. T., &amp; </w:t>
      </w:r>
      <w:proofErr w:type="spellStart"/>
      <w:r>
        <w:rPr>
          <w:rFonts w:ascii="Times New Roman" w:eastAsia="Times New Roman" w:hAnsi="Times New Roman" w:cs="Times New Roman"/>
          <w:sz w:val="24"/>
          <w:szCs w:val="24"/>
        </w:rPr>
        <w:t>Rentea</w:t>
      </w:r>
      <w:proofErr w:type="spellEnd"/>
      <w:r>
        <w:rPr>
          <w:rFonts w:ascii="Times New Roman" w:eastAsia="Times New Roman" w:hAnsi="Times New Roman" w:cs="Times New Roman"/>
          <w:sz w:val="24"/>
          <w:szCs w:val="24"/>
        </w:rPr>
        <w:t xml:space="preserve">, R. M. (2026). Ambiguous Genitalia and Disorders of Sexual Differentiation. In </w:t>
      </w:r>
      <w:proofErr w:type="spellStart"/>
      <w:r>
        <w:rPr>
          <w:rFonts w:ascii="Times New Roman" w:eastAsia="Times New Roman" w:hAnsi="Times New Roman" w:cs="Times New Roman"/>
          <w:i/>
          <w:iCs/>
          <w:sz w:val="24"/>
          <w:szCs w:val="24"/>
        </w:rPr>
        <w:t>StatPearls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w:t>
      </w:r>
      <w:hyperlink r:id="rId48">
        <w:r>
          <w:rPr>
            <w:rFonts w:ascii="Times New Roman" w:eastAsia="Times New Roman" w:hAnsi="Times New Roman" w:cs="Times New Roman"/>
            <w:sz w:val="24"/>
            <w:szCs w:val="24"/>
          </w:rPr>
          <w:t xml:space="preserve"> </w:t>
        </w:r>
      </w:hyperlink>
      <w:hyperlink r:id="rId49">
        <w:r>
          <w:rPr>
            <w:rFonts w:ascii="Times New Roman" w:eastAsia="Times New Roman" w:hAnsi="Times New Roman" w:cs="Times New Roman"/>
            <w:color w:val="1155CC"/>
            <w:sz w:val="24"/>
            <w:szCs w:val="24"/>
            <w:u w:val="single"/>
          </w:rPr>
          <w:t>http://www.ncbi.nlm.nih.gov/books/NBK557435/</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Metzger, S., Sommer, G., </w:t>
      </w:r>
      <w:proofErr w:type="spellStart"/>
      <w:r>
        <w:rPr>
          <w:rFonts w:ascii="Times New Roman" w:eastAsia="Times New Roman" w:hAnsi="Times New Roman" w:cs="Times New Roman"/>
          <w:sz w:val="24"/>
          <w:szCs w:val="24"/>
        </w:rPr>
        <w:t>Flück</w:t>
      </w:r>
      <w:proofErr w:type="spellEnd"/>
      <w:r>
        <w:rPr>
          <w:rFonts w:ascii="Times New Roman" w:eastAsia="Times New Roman" w:hAnsi="Times New Roman" w:cs="Times New Roman"/>
          <w:sz w:val="24"/>
          <w:szCs w:val="24"/>
        </w:rPr>
        <w:t xml:space="preserve">, C. E., &amp; Group, S. D. C. S. (2024). </w:t>
      </w:r>
      <w:r>
        <w:rPr>
          <w:rFonts w:ascii="Times New Roman" w:eastAsia="Times New Roman" w:hAnsi="Times New Roman" w:cs="Times New Roman"/>
          <w:i/>
          <w:iCs/>
          <w:sz w:val="24"/>
          <w:szCs w:val="24"/>
        </w:rPr>
        <w:t>Prevalence of diff</w:t>
      </w:r>
      <w:r>
        <w:rPr>
          <w:rFonts w:ascii="Times New Roman" w:eastAsia="Times New Roman" w:hAnsi="Times New Roman" w:cs="Times New Roman"/>
          <w:i/>
          <w:iCs/>
          <w:sz w:val="24"/>
          <w:szCs w:val="24"/>
        </w:rPr>
        <w:t>erences of sex development in children and adolescents in Switzerland from 2000-2019</w:t>
      </w:r>
      <w:r>
        <w:rPr>
          <w:rFonts w:ascii="Times New Roman" w:eastAsia="Times New Roman" w:hAnsi="Times New Roman" w:cs="Times New Roman"/>
          <w:sz w:val="24"/>
          <w:szCs w:val="24"/>
        </w:rPr>
        <w:t xml:space="preserve"> (p. 2024.03.11.24304115). </w:t>
      </w:r>
      <w:proofErr w:type="spellStart"/>
      <w:r>
        <w:rPr>
          <w:rFonts w:ascii="Times New Roman" w:eastAsia="Times New Roman" w:hAnsi="Times New Roman" w:cs="Times New Roman"/>
          <w:sz w:val="24"/>
          <w:szCs w:val="24"/>
        </w:rPr>
        <w:t>medRxiv</w:t>
      </w:r>
      <w:proofErr w:type="spellEnd"/>
      <w:r>
        <w:rPr>
          <w:rFonts w:ascii="Times New Roman" w:eastAsia="Times New Roman" w:hAnsi="Times New Roman" w:cs="Times New Roman"/>
          <w:sz w:val="24"/>
          <w:szCs w:val="24"/>
        </w:rPr>
        <w:t>.</w:t>
      </w:r>
      <w:hyperlink r:id="rId50">
        <w:r>
          <w:rPr>
            <w:rFonts w:ascii="Times New Roman" w:eastAsia="Times New Roman" w:hAnsi="Times New Roman" w:cs="Times New Roman"/>
            <w:sz w:val="24"/>
            <w:szCs w:val="24"/>
          </w:rPr>
          <w:t xml:space="preserve"> </w:t>
        </w:r>
      </w:hyperlink>
      <w:hyperlink r:id="rId51">
        <w:r>
          <w:rPr>
            <w:rFonts w:ascii="Times New Roman" w:eastAsia="Times New Roman" w:hAnsi="Times New Roman" w:cs="Times New Roman"/>
            <w:color w:val="1155CC"/>
            <w:sz w:val="24"/>
            <w:szCs w:val="24"/>
            <w:u w:val="single"/>
          </w:rPr>
          <w:t>https://do</w:t>
        </w:r>
        <w:r>
          <w:rPr>
            <w:rFonts w:ascii="Times New Roman" w:eastAsia="Times New Roman" w:hAnsi="Times New Roman" w:cs="Times New Roman"/>
            <w:color w:val="1155CC"/>
            <w:sz w:val="24"/>
            <w:szCs w:val="24"/>
            <w:u w:val="single"/>
          </w:rPr>
          <w:t>i.org/10.1101/2024.03.11.24304115</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Özbaran</w:t>
      </w:r>
      <w:proofErr w:type="spellEnd"/>
      <w:r>
        <w:rPr>
          <w:rFonts w:ascii="Times New Roman" w:eastAsia="Times New Roman" w:hAnsi="Times New Roman" w:cs="Times New Roman"/>
          <w:sz w:val="24"/>
          <w:szCs w:val="24"/>
        </w:rPr>
        <w:t xml:space="preserve">, N. B., </w:t>
      </w:r>
      <w:proofErr w:type="spellStart"/>
      <w:r>
        <w:rPr>
          <w:rFonts w:ascii="Times New Roman" w:eastAsia="Times New Roman" w:hAnsi="Times New Roman" w:cs="Times New Roman"/>
          <w:sz w:val="24"/>
          <w:szCs w:val="24"/>
        </w:rPr>
        <w:t>Yılancıoğlu</w:t>
      </w:r>
      <w:proofErr w:type="spellEnd"/>
      <w:r>
        <w:rPr>
          <w:rFonts w:ascii="Times New Roman" w:eastAsia="Times New Roman" w:hAnsi="Times New Roman" w:cs="Times New Roman"/>
          <w:sz w:val="24"/>
          <w:szCs w:val="24"/>
        </w:rPr>
        <w:t xml:space="preserve">, H. Y., </w:t>
      </w:r>
      <w:proofErr w:type="spellStart"/>
      <w:r>
        <w:rPr>
          <w:rFonts w:ascii="Times New Roman" w:eastAsia="Times New Roman" w:hAnsi="Times New Roman" w:cs="Times New Roman"/>
          <w:sz w:val="24"/>
          <w:szCs w:val="24"/>
        </w:rPr>
        <w:t>Kaleli</w:t>
      </w:r>
      <w:proofErr w:type="spellEnd"/>
      <w:r>
        <w:rPr>
          <w:rFonts w:ascii="Times New Roman" w:eastAsia="Times New Roman" w:hAnsi="Times New Roman" w:cs="Times New Roman"/>
          <w:sz w:val="24"/>
          <w:szCs w:val="24"/>
        </w:rPr>
        <w:t xml:space="preserve">, İ. İ., </w:t>
      </w:r>
      <w:proofErr w:type="spellStart"/>
      <w:r>
        <w:rPr>
          <w:rFonts w:ascii="Times New Roman" w:eastAsia="Times New Roman" w:hAnsi="Times New Roman" w:cs="Times New Roman"/>
          <w:sz w:val="24"/>
          <w:szCs w:val="24"/>
        </w:rPr>
        <w:t>Haklı</w:t>
      </w:r>
      <w:proofErr w:type="spellEnd"/>
      <w:r>
        <w:rPr>
          <w:rFonts w:ascii="Times New Roman" w:eastAsia="Times New Roman" w:hAnsi="Times New Roman" w:cs="Times New Roman"/>
          <w:sz w:val="24"/>
          <w:szCs w:val="24"/>
        </w:rPr>
        <w:t xml:space="preserve">, Y. B. C., </w:t>
      </w:r>
      <w:proofErr w:type="spellStart"/>
      <w:r>
        <w:rPr>
          <w:rFonts w:ascii="Times New Roman" w:eastAsia="Times New Roman" w:hAnsi="Times New Roman" w:cs="Times New Roman"/>
          <w:sz w:val="24"/>
          <w:szCs w:val="24"/>
        </w:rPr>
        <w:t>İçöz</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Kızılay</w:t>
      </w:r>
      <w:proofErr w:type="spellEnd"/>
      <w:r>
        <w:rPr>
          <w:rFonts w:ascii="Times New Roman" w:eastAsia="Times New Roman" w:hAnsi="Times New Roman" w:cs="Times New Roman"/>
          <w:sz w:val="24"/>
          <w:szCs w:val="24"/>
        </w:rPr>
        <w:t xml:space="preserve">, D. Ö., </w:t>
      </w:r>
      <w:proofErr w:type="spellStart"/>
      <w:r>
        <w:rPr>
          <w:rFonts w:ascii="Times New Roman" w:eastAsia="Times New Roman" w:hAnsi="Times New Roman" w:cs="Times New Roman"/>
          <w:sz w:val="24"/>
          <w:szCs w:val="24"/>
        </w:rPr>
        <w:t>Özen</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Özbaran</w:t>
      </w:r>
      <w:proofErr w:type="spellEnd"/>
      <w:r>
        <w:rPr>
          <w:rFonts w:ascii="Times New Roman" w:eastAsia="Times New Roman" w:hAnsi="Times New Roman" w:cs="Times New Roman"/>
          <w:sz w:val="24"/>
          <w:szCs w:val="24"/>
        </w:rPr>
        <w:t xml:space="preserve">, N. B., </w:t>
      </w:r>
      <w:proofErr w:type="spellStart"/>
      <w:r>
        <w:rPr>
          <w:rFonts w:ascii="Times New Roman" w:eastAsia="Times New Roman" w:hAnsi="Times New Roman" w:cs="Times New Roman"/>
          <w:sz w:val="24"/>
          <w:szCs w:val="24"/>
        </w:rPr>
        <w:t>Yılancıoğlu</w:t>
      </w:r>
      <w:proofErr w:type="spellEnd"/>
      <w:r>
        <w:rPr>
          <w:rFonts w:ascii="Times New Roman" w:eastAsia="Times New Roman" w:hAnsi="Times New Roman" w:cs="Times New Roman"/>
          <w:sz w:val="24"/>
          <w:szCs w:val="24"/>
        </w:rPr>
        <w:t xml:space="preserve">, H. Y., </w:t>
      </w:r>
      <w:proofErr w:type="spellStart"/>
      <w:r>
        <w:rPr>
          <w:rFonts w:ascii="Times New Roman" w:eastAsia="Times New Roman" w:hAnsi="Times New Roman" w:cs="Times New Roman"/>
          <w:sz w:val="24"/>
          <w:szCs w:val="24"/>
        </w:rPr>
        <w:t>Kaleli</w:t>
      </w:r>
      <w:proofErr w:type="spellEnd"/>
      <w:r>
        <w:rPr>
          <w:rFonts w:ascii="Times New Roman" w:eastAsia="Times New Roman" w:hAnsi="Times New Roman" w:cs="Times New Roman"/>
          <w:sz w:val="24"/>
          <w:szCs w:val="24"/>
        </w:rPr>
        <w:t xml:space="preserve">, İ. İ., </w:t>
      </w:r>
      <w:proofErr w:type="spellStart"/>
      <w:r>
        <w:rPr>
          <w:rFonts w:ascii="Times New Roman" w:eastAsia="Times New Roman" w:hAnsi="Times New Roman" w:cs="Times New Roman"/>
          <w:sz w:val="24"/>
          <w:szCs w:val="24"/>
        </w:rPr>
        <w:t>Haklı</w:t>
      </w:r>
      <w:proofErr w:type="spellEnd"/>
      <w:r>
        <w:rPr>
          <w:rFonts w:ascii="Times New Roman" w:eastAsia="Times New Roman" w:hAnsi="Times New Roman" w:cs="Times New Roman"/>
          <w:sz w:val="24"/>
          <w:szCs w:val="24"/>
        </w:rPr>
        <w:t xml:space="preserve">, Y. B. C., </w:t>
      </w:r>
      <w:proofErr w:type="spellStart"/>
      <w:r>
        <w:rPr>
          <w:rFonts w:ascii="Times New Roman" w:eastAsia="Times New Roman" w:hAnsi="Times New Roman" w:cs="Times New Roman"/>
          <w:sz w:val="24"/>
          <w:szCs w:val="24"/>
        </w:rPr>
        <w:t>İçöz</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Kızılay</w:t>
      </w:r>
      <w:proofErr w:type="spellEnd"/>
      <w:r>
        <w:rPr>
          <w:rFonts w:ascii="Times New Roman" w:eastAsia="Times New Roman" w:hAnsi="Times New Roman" w:cs="Times New Roman"/>
          <w:sz w:val="24"/>
          <w:szCs w:val="24"/>
        </w:rPr>
        <w:t xml:space="preserve">, D. Ö., &amp; </w:t>
      </w:r>
      <w:proofErr w:type="spellStart"/>
      <w:r>
        <w:rPr>
          <w:rFonts w:ascii="Times New Roman" w:eastAsia="Times New Roman" w:hAnsi="Times New Roman" w:cs="Times New Roman"/>
          <w:sz w:val="24"/>
          <w:szCs w:val="24"/>
        </w:rPr>
        <w:t>Özen</w:t>
      </w:r>
      <w:proofErr w:type="spellEnd"/>
      <w:r>
        <w:rPr>
          <w:rFonts w:ascii="Times New Roman" w:eastAsia="Times New Roman" w:hAnsi="Times New Roman" w:cs="Times New Roman"/>
          <w:sz w:val="24"/>
          <w:szCs w:val="24"/>
        </w:rPr>
        <w:t>, S. (2025). A Com</w:t>
      </w:r>
      <w:r>
        <w:rPr>
          <w:rFonts w:ascii="Times New Roman" w:eastAsia="Times New Roman" w:hAnsi="Times New Roman" w:cs="Times New Roman"/>
          <w:sz w:val="24"/>
          <w:szCs w:val="24"/>
        </w:rPr>
        <w:t xml:space="preserve">prehensive Child Psychiatry Approach for Managing Patients with Differences of Sexual Development in a Multidisciplinary Setting: An </w:t>
      </w:r>
      <w:r>
        <w:rPr>
          <w:rFonts w:ascii="Times New Roman" w:eastAsia="Times New Roman" w:hAnsi="Times New Roman" w:cs="Times New Roman"/>
          <w:sz w:val="24"/>
          <w:szCs w:val="24"/>
        </w:rPr>
        <w:lastRenderedPageBreak/>
        <w:t xml:space="preserve">Alternative Follow-up Model. </w:t>
      </w:r>
      <w:r>
        <w:rPr>
          <w:rFonts w:ascii="Times New Roman" w:eastAsia="Times New Roman" w:hAnsi="Times New Roman" w:cs="Times New Roman"/>
          <w:i/>
          <w:iCs/>
          <w:sz w:val="24"/>
          <w:szCs w:val="24"/>
        </w:rPr>
        <w:t>Journal of Clinical Research in Pediatric Endocrinology</w:t>
      </w:r>
      <w:r>
        <w:rPr>
          <w:rFonts w:ascii="Times New Roman" w:eastAsia="Times New Roman" w:hAnsi="Times New Roman" w:cs="Times New Roman"/>
          <w:sz w:val="24"/>
          <w:szCs w:val="24"/>
        </w:rPr>
        <w:t>.</w:t>
      </w:r>
      <w:hyperlink r:id="rId52">
        <w:r>
          <w:rPr>
            <w:rFonts w:ascii="Times New Roman" w:eastAsia="Times New Roman" w:hAnsi="Times New Roman" w:cs="Times New Roman"/>
            <w:sz w:val="24"/>
            <w:szCs w:val="24"/>
          </w:rPr>
          <w:t xml:space="preserve"> </w:t>
        </w:r>
      </w:hyperlink>
      <w:hyperlink r:id="rId53">
        <w:r>
          <w:rPr>
            <w:rFonts w:ascii="Times New Roman" w:eastAsia="Times New Roman" w:hAnsi="Times New Roman" w:cs="Times New Roman"/>
            <w:color w:val="1155CC"/>
            <w:sz w:val="24"/>
            <w:szCs w:val="24"/>
            <w:u w:val="single"/>
          </w:rPr>
          <w:t>https://doi.org/10.4274/jcrpe.galenos.2025.2025-2-14</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Page, M. J., McKenzie, J. E., </w:t>
      </w:r>
      <w:proofErr w:type="spellStart"/>
      <w:r>
        <w:rPr>
          <w:rFonts w:ascii="Times New Roman" w:eastAsia="Times New Roman" w:hAnsi="Times New Roman" w:cs="Times New Roman"/>
          <w:sz w:val="24"/>
          <w:szCs w:val="24"/>
        </w:rPr>
        <w:t>Bossuyt</w:t>
      </w:r>
      <w:proofErr w:type="spellEnd"/>
      <w:r>
        <w:rPr>
          <w:rFonts w:ascii="Times New Roman" w:eastAsia="Times New Roman" w:hAnsi="Times New Roman" w:cs="Times New Roman"/>
          <w:sz w:val="24"/>
          <w:szCs w:val="24"/>
        </w:rPr>
        <w:t xml:space="preserve">, P. M., </w:t>
      </w:r>
      <w:proofErr w:type="spellStart"/>
      <w:r>
        <w:rPr>
          <w:rFonts w:ascii="Times New Roman" w:eastAsia="Times New Roman" w:hAnsi="Times New Roman" w:cs="Times New Roman"/>
          <w:sz w:val="24"/>
          <w:szCs w:val="24"/>
        </w:rPr>
        <w:t>Boutron</w:t>
      </w:r>
      <w:proofErr w:type="spellEnd"/>
      <w:r>
        <w:rPr>
          <w:rFonts w:ascii="Times New Roman" w:eastAsia="Times New Roman" w:hAnsi="Times New Roman" w:cs="Times New Roman"/>
          <w:sz w:val="24"/>
          <w:szCs w:val="24"/>
        </w:rPr>
        <w:t xml:space="preserve">, I., Hoffmann, T. C., Mulrow, C. D., </w:t>
      </w:r>
      <w:proofErr w:type="spellStart"/>
      <w:r>
        <w:rPr>
          <w:rFonts w:ascii="Times New Roman" w:eastAsia="Times New Roman" w:hAnsi="Times New Roman" w:cs="Times New Roman"/>
          <w:sz w:val="24"/>
          <w:szCs w:val="24"/>
        </w:rPr>
        <w:t>Shams</w:t>
      </w:r>
      <w:r>
        <w:rPr>
          <w:rFonts w:ascii="Times New Roman" w:eastAsia="Times New Roman" w:hAnsi="Times New Roman" w:cs="Times New Roman"/>
          <w:sz w:val="24"/>
          <w:szCs w:val="24"/>
        </w:rPr>
        <w:t>eer</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Tetzlaff</w:t>
      </w:r>
      <w:proofErr w:type="spellEnd"/>
      <w:r>
        <w:rPr>
          <w:rFonts w:ascii="Times New Roman" w:eastAsia="Times New Roman" w:hAnsi="Times New Roman" w:cs="Times New Roman"/>
          <w:sz w:val="24"/>
          <w:szCs w:val="24"/>
        </w:rPr>
        <w:t xml:space="preserve">, J. M., </w:t>
      </w:r>
      <w:proofErr w:type="spellStart"/>
      <w:r>
        <w:rPr>
          <w:rFonts w:ascii="Times New Roman" w:eastAsia="Times New Roman" w:hAnsi="Times New Roman" w:cs="Times New Roman"/>
          <w:sz w:val="24"/>
          <w:szCs w:val="24"/>
        </w:rPr>
        <w:t>Akl</w:t>
      </w:r>
      <w:proofErr w:type="spellEnd"/>
      <w:r>
        <w:rPr>
          <w:rFonts w:ascii="Times New Roman" w:eastAsia="Times New Roman" w:hAnsi="Times New Roman" w:cs="Times New Roman"/>
          <w:sz w:val="24"/>
          <w:szCs w:val="24"/>
        </w:rPr>
        <w:t xml:space="preserve">, E. A., Brennan, S. E., Chou, R., Glanville, J., Grimshaw, J. M., </w:t>
      </w:r>
      <w:proofErr w:type="spellStart"/>
      <w:r>
        <w:rPr>
          <w:rFonts w:ascii="Times New Roman" w:eastAsia="Times New Roman" w:hAnsi="Times New Roman" w:cs="Times New Roman"/>
          <w:sz w:val="24"/>
          <w:szCs w:val="24"/>
        </w:rPr>
        <w:t>Hróbjartsson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Lalu</w:t>
      </w:r>
      <w:proofErr w:type="spellEnd"/>
      <w:r>
        <w:rPr>
          <w:rFonts w:ascii="Times New Roman" w:eastAsia="Times New Roman" w:hAnsi="Times New Roman" w:cs="Times New Roman"/>
          <w:sz w:val="24"/>
          <w:szCs w:val="24"/>
        </w:rPr>
        <w:t xml:space="preserve">, M. M., Li, T., </w:t>
      </w:r>
      <w:proofErr w:type="spellStart"/>
      <w:r>
        <w:rPr>
          <w:rFonts w:ascii="Times New Roman" w:eastAsia="Times New Roman" w:hAnsi="Times New Roman" w:cs="Times New Roman"/>
          <w:sz w:val="24"/>
          <w:szCs w:val="24"/>
        </w:rPr>
        <w:t>Loder</w:t>
      </w:r>
      <w:proofErr w:type="spellEnd"/>
      <w:r>
        <w:rPr>
          <w:rFonts w:ascii="Times New Roman" w:eastAsia="Times New Roman" w:hAnsi="Times New Roman" w:cs="Times New Roman"/>
          <w:sz w:val="24"/>
          <w:szCs w:val="24"/>
        </w:rPr>
        <w:t>, E. W., Mayo-Wilson, E., McDonald, S., … Moher, D. (2021). The PRISMA 2020 statement: An updated guideline for repo</w:t>
      </w:r>
      <w:r>
        <w:rPr>
          <w:rFonts w:ascii="Times New Roman" w:eastAsia="Times New Roman" w:hAnsi="Times New Roman" w:cs="Times New Roman"/>
          <w:sz w:val="24"/>
          <w:szCs w:val="24"/>
        </w:rPr>
        <w:t xml:space="preserve">rting systematic reviews. </w:t>
      </w:r>
      <w:r>
        <w:rPr>
          <w:rFonts w:ascii="Times New Roman" w:eastAsia="Times New Roman" w:hAnsi="Times New Roman" w:cs="Times New Roman"/>
          <w:i/>
          <w:iCs/>
          <w:sz w:val="24"/>
          <w:szCs w:val="24"/>
        </w:rPr>
        <w:t>BMJ</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372</w:t>
      </w:r>
      <w:r>
        <w:rPr>
          <w:rFonts w:ascii="Times New Roman" w:eastAsia="Times New Roman" w:hAnsi="Times New Roman" w:cs="Times New Roman"/>
          <w:sz w:val="24"/>
          <w:szCs w:val="24"/>
        </w:rPr>
        <w:t>, n71.</w:t>
      </w:r>
      <w:hyperlink r:id="rId54">
        <w:r>
          <w:rPr>
            <w:rFonts w:ascii="Times New Roman" w:eastAsia="Times New Roman" w:hAnsi="Times New Roman" w:cs="Times New Roman"/>
            <w:sz w:val="24"/>
            <w:szCs w:val="24"/>
          </w:rPr>
          <w:t xml:space="preserve"> </w:t>
        </w:r>
      </w:hyperlink>
      <w:hyperlink r:id="rId55">
        <w:r>
          <w:rPr>
            <w:rFonts w:ascii="Times New Roman" w:eastAsia="Times New Roman" w:hAnsi="Times New Roman" w:cs="Times New Roman"/>
            <w:color w:val="1155CC"/>
            <w:sz w:val="24"/>
            <w:szCs w:val="24"/>
            <w:u w:val="single"/>
          </w:rPr>
          <w:t>https://doi.org/10.1136/bmj.n71</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Peng, L., Chen, Y., Hu, J., Zhao, Y., &amp; Qin, F. (2024). Clinical characteristics and surgical treatment of children with 45, X/46, XY differences of sex development. </w:t>
      </w:r>
      <w:r>
        <w:rPr>
          <w:rFonts w:ascii="Times New Roman" w:eastAsia="Times New Roman" w:hAnsi="Times New Roman" w:cs="Times New Roman"/>
          <w:i/>
          <w:iCs/>
          <w:sz w:val="24"/>
          <w:szCs w:val="24"/>
        </w:rPr>
        <w:t>Journal of Pediatric Urology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20</w:t>
      </w:r>
      <w:r>
        <w:rPr>
          <w:rFonts w:ascii="Times New Roman" w:eastAsia="Times New Roman" w:hAnsi="Times New Roman" w:cs="Times New Roman"/>
          <w:sz w:val="24"/>
          <w:szCs w:val="24"/>
        </w:rPr>
        <w:t>(4), 696–702.</w:t>
      </w:r>
      <w:hyperlink r:id="rId56">
        <w:r>
          <w:rPr>
            <w:rFonts w:ascii="Times New Roman" w:eastAsia="Times New Roman" w:hAnsi="Times New Roman" w:cs="Times New Roman"/>
            <w:sz w:val="24"/>
            <w:szCs w:val="24"/>
          </w:rPr>
          <w:t xml:space="preserve"> </w:t>
        </w:r>
      </w:hyperlink>
      <w:hyperlink r:id="rId57">
        <w:r>
          <w:rPr>
            <w:rFonts w:ascii="Times New Roman" w:eastAsia="Times New Roman" w:hAnsi="Times New Roman" w:cs="Times New Roman"/>
            <w:color w:val="1155CC"/>
            <w:sz w:val="24"/>
            <w:szCs w:val="24"/>
            <w:u w:val="single"/>
          </w:rPr>
          <w:t>https://doi.org/10.1016/j.jpurol.2024.03.002</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Peng, W., Zhao, Q., Chen, J., Peng, H., &amp; Jiang, H. (2025). Gene therapy for disorders of sex development: Current applications</w:t>
      </w:r>
      <w:r>
        <w:rPr>
          <w:rFonts w:ascii="Times New Roman" w:eastAsia="Times New Roman" w:hAnsi="Times New Roman" w:cs="Times New Roman"/>
          <w:sz w:val="24"/>
          <w:szCs w:val="24"/>
        </w:rPr>
        <w:t xml:space="preserve"> and future challenges. </w:t>
      </w:r>
      <w:r>
        <w:rPr>
          <w:rFonts w:ascii="Times New Roman" w:eastAsia="Times New Roman" w:hAnsi="Times New Roman" w:cs="Times New Roman"/>
          <w:i/>
          <w:iCs/>
          <w:sz w:val="24"/>
          <w:szCs w:val="24"/>
        </w:rPr>
        <w:t>Frontiers in Genetics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 1661127.</w:t>
      </w:r>
      <w:hyperlink r:id="rId58">
        <w:r>
          <w:rPr>
            <w:rFonts w:ascii="Times New Roman" w:eastAsia="Times New Roman" w:hAnsi="Times New Roman" w:cs="Times New Roman"/>
            <w:sz w:val="24"/>
            <w:szCs w:val="24"/>
          </w:rPr>
          <w:t xml:space="preserve"> </w:t>
        </w:r>
      </w:hyperlink>
      <w:hyperlink r:id="rId59">
        <w:r>
          <w:rPr>
            <w:rFonts w:ascii="Times New Roman" w:eastAsia="Times New Roman" w:hAnsi="Times New Roman" w:cs="Times New Roman"/>
            <w:color w:val="1155CC"/>
            <w:sz w:val="24"/>
            <w:szCs w:val="24"/>
            <w:u w:val="single"/>
          </w:rPr>
          <w:t>https://doi.org/10.3389/fgene.2025.1661127</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Saktini</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Asikin</w:t>
      </w:r>
      <w:proofErr w:type="spellEnd"/>
      <w:r>
        <w:rPr>
          <w:rFonts w:ascii="Times New Roman" w:eastAsia="Times New Roman" w:hAnsi="Times New Roman" w:cs="Times New Roman"/>
          <w:sz w:val="24"/>
          <w:szCs w:val="24"/>
        </w:rPr>
        <w:t>, H. G., A</w:t>
      </w:r>
      <w:r>
        <w:rPr>
          <w:rFonts w:ascii="Times New Roman" w:eastAsia="Times New Roman" w:hAnsi="Times New Roman" w:cs="Times New Roman"/>
          <w:sz w:val="24"/>
          <w:szCs w:val="24"/>
        </w:rPr>
        <w:t xml:space="preserve">.s, W. S., &amp; </w:t>
      </w:r>
      <w:proofErr w:type="spellStart"/>
      <w:r>
        <w:rPr>
          <w:rFonts w:ascii="Times New Roman" w:eastAsia="Times New Roman" w:hAnsi="Times New Roman" w:cs="Times New Roman"/>
          <w:sz w:val="24"/>
          <w:szCs w:val="24"/>
        </w:rPr>
        <w:t>Utari</w:t>
      </w:r>
      <w:proofErr w:type="spellEnd"/>
      <w:r>
        <w:rPr>
          <w:rFonts w:ascii="Times New Roman" w:eastAsia="Times New Roman" w:hAnsi="Times New Roman" w:cs="Times New Roman"/>
          <w:sz w:val="24"/>
          <w:szCs w:val="24"/>
        </w:rPr>
        <w:t xml:space="preserve">, A. (2024). Disorders of Sex Development: A Review of Medical and Psychosocial Aspects. </w:t>
      </w:r>
      <w:proofErr w:type="spellStart"/>
      <w:r>
        <w:rPr>
          <w:rFonts w:ascii="Times New Roman" w:eastAsia="Times New Roman" w:hAnsi="Times New Roman" w:cs="Times New Roman"/>
          <w:i/>
          <w:iCs/>
          <w:sz w:val="24"/>
          <w:szCs w:val="24"/>
        </w:rPr>
        <w:t>Diponegoro</w:t>
      </w:r>
      <w:proofErr w:type="spellEnd"/>
      <w:r>
        <w:rPr>
          <w:rFonts w:ascii="Times New Roman" w:eastAsia="Times New Roman" w:hAnsi="Times New Roman" w:cs="Times New Roman"/>
          <w:i/>
          <w:iCs/>
          <w:sz w:val="24"/>
          <w:szCs w:val="24"/>
        </w:rPr>
        <w:t xml:space="preserve"> International Medical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(2), 36–43.</w:t>
      </w:r>
      <w:hyperlink r:id="rId60">
        <w:r>
          <w:rPr>
            <w:rFonts w:ascii="Times New Roman" w:eastAsia="Times New Roman" w:hAnsi="Times New Roman" w:cs="Times New Roman"/>
            <w:sz w:val="24"/>
            <w:szCs w:val="24"/>
          </w:rPr>
          <w:t xml:space="preserve"> </w:t>
        </w:r>
      </w:hyperlink>
      <w:hyperlink r:id="rId61">
        <w:r>
          <w:rPr>
            <w:rFonts w:ascii="Times New Roman" w:eastAsia="Times New Roman" w:hAnsi="Times New Roman" w:cs="Times New Roman"/>
            <w:color w:val="1155CC"/>
            <w:sz w:val="24"/>
            <w:szCs w:val="24"/>
            <w:u w:val="single"/>
          </w:rPr>
          <w:t>https://doi.org/10.14710/dimj.v5i2.25084</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Schäfer, F.-M., Schwab-Eckhardt, B., </w:t>
      </w:r>
      <w:proofErr w:type="spellStart"/>
      <w:r>
        <w:rPr>
          <w:rFonts w:ascii="Times New Roman" w:eastAsia="Times New Roman" w:hAnsi="Times New Roman" w:cs="Times New Roman"/>
          <w:sz w:val="24"/>
          <w:szCs w:val="24"/>
        </w:rPr>
        <w:t>Voß</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Schroth</w:t>
      </w:r>
      <w:proofErr w:type="spellEnd"/>
      <w:r>
        <w:rPr>
          <w:rFonts w:ascii="Times New Roman" w:eastAsia="Times New Roman" w:hAnsi="Times New Roman" w:cs="Times New Roman"/>
          <w:sz w:val="24"/>
          <w:szCs w:val="24"/>
        </w:rPr>
        <w:t xml:space="preserve">, M., Staudt, F., &amp; </w:t>
      </w:r>
      <w:proofErr w:type="spellStart"/>
      <w:r>
        <w:rPr>
          <w:rFonts w:ascii="Times New Roman" w:eastAsia="Times New Roman" w:hAnsi="Times New Roman" w:cs="Times New Roman"/>
          <w:sz w:val="24"/>
          <w:szCs w:val="24"/>
        </w:rPr>
        <w:t>Stehr</w:t>
      </w:r>
      <w:proofErr w:type="spellEnd"/>
      <w:r>
        <w:rPr>
          <w:rFonts w:ascii="Times New Roman" w:eastAsia="Times New Roman" w:hAnsi="Times New Roman" w:cs="Times New Roman"/>
          <w:sz w:val="24"/>
          <w:szCs w:val="24"/>
        </w:rPr>
        <w:t xml:space="preserve">, M. (2024). Short-Term Impact of Newly Imposed Legal Restriction on DSD Surgery in Children in Germany. </w:t>
      </w:r>
      <w:r>
        <w:rPr>
          <w:rFonts w:ascii="Times New Roman" w:eastAsia="Times New Roman" w:hAnsi="Times New Roman" w:cs="Times New Roman"/>
          <w:i/>
          <w:iCs/>
          <w:sz w:val="24"/>
          <w:szCs w:val="24"/>
        </w:rPr>
        <w:t>Childr</w:t>
      </w:r>
      <w:r>
        <w:rPr>
          <w:rFonts w:ascii="Times New Roman" w:eastAsia="Times New Roman" w:hAnsi="Times New Roman" w:cs="Times New Roman"/>
          <w:i/>
          <w:iCs/>
          <w:sz w:val="24"/>
          <w:szCs w:val="24"/>
        </w:rPr>
        <w:t>en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(9), 1104.</w:t>
      </w:r>
      <w:hyperlink r:id="rId62">
        <w:r>
          <w:rPr>
            <w:rFonts w:ascii="Times New Roman" w:eastAsia="Times New Roman" w:hAnsi="Times New Roman" w:cs="Times New Roman"/>
            <w:sz w:val="24"/>
            <w:szCs w:val="24"/>
          </w:rPr>
          <w:t xml:space="preserve"> </w:t>
        </w:r>
      </w:hyperlink>
      <w:hyperlink r:id="rId63">
        <w:r>
          <w:rPr>
            <w:rFonts w:ascii="Times New Roman" w:eastAsia="Times New Roman" w:hAnsi="Times New Roman" w:cs="Times New Roman"/>
            <w:color w:val="1155CC"/>
            <w:sz w:val="24"/>
            <w:szCs w:val="24"/>
            <w:u w:val="single"/>
          </w:rPr>
          <w:t>https://doi.org/10.3390/children11091104</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Suorsa</w:t>
      </w:r>
      <w:proofErr w:type="spellEnd"/>
      <w:r>
        <w:rPr>
          <w:rFonts w:ascii="Times New Roman" w:eastAsia="Times New Roman" w:hAnsi="Times New Roman" w:cs="Times New Roman"/>
          <w:sz w:val="24"/>
          <w:szCs w:val="24"/>
        </w:rPr>
        <w:t xml:space="preserve">-Johnson, K., Delaney, R. K., </w:t>
      </w:r>
      <w:proofErr w:type="spellStart"/>
      <w:r>
        <w:rPr>
          <w:rFonts w:ascii="Times New Roman" w:eastAsia="Times New Roman" w:hAnsi="Times New Roman" w:cs="Times New Roman"/>
          <w:sz w:val="24"/>
          <w:szCs w:val="24"/>
        </w:rPr>
        <w:t>Fagerlin</w:t>
      </w:r>
      <w:proofErr w:type="spellEnd"/>
      <w:r>
        <w:rPr>
          <w:rFonts w:ascii="Times New Roman" w:eastAsia="Times New Roman" w:hAnsi="Times New Roman" w:cs="Times New Roman"/>
          <w:sz w:val="24"/>
          <w:szCs w:val="24"/>
        </w:rPr>
        <w:t>, A., &amp; Sandberg, D. E. (2023). Ed</w:t>
      </w:r>
      <w:r>
        <w:rPr>
          <w:rFonts w:ascii="Times New Roman" w:eastAsia="Times New Roman" w:hAnsi="Times New Roman" w:cs="Times New Roman"/>
          <w:sz w:val="24"/>
          <w:szCs w:val="24"/>
        </w:rPr>
        <w:t xml:space="preserve">itorial: Shared decision making in pediatric differences/disorders of sex development. </w:t>
      </w:r>
      <w:r>
        <w:rPr>
          <w:rFonts w:ascii="Times New Roman" w:eastAsia="Times New Roman" w:hAnsi="Times New Roman" w:cs="Times New Roman"/>
          <w:i/>
          <w:iCs/>
          <w:sz w:val="24"/>
          <w:szCs w:val="24"/>
        </w:rPr>
        <w:t>Frontiers in Urology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w:t>
      </w:r>
      <w:hyperlink r:id="rId64">
        <w:r>
          <w:rPr>
            <w:rFonts w:ascii="Times New Roman" w:eastAsia="Times New Roman" w:hAnsi="Times New Roman" w:cs="Times New Roman"/>
            <w:sz w:val="24"/>
            <w:szCs w:val="24"/>
          </w:rPr>
          <w:t xml:space="preserve"> </w:t>
        </w:r>
      </w:hyperlink>
      <w:hyperlink r:id="rId65">
        <w:r>
          <w:rPr>
            <w:rFonts w:ascii="Times New Roman" w:eastAsia="Times New Roman" w:hAnsi="Times New Roman" w:cs="Times New Roman"/>
            <w:color w:val="1155CC"/>
            <w:sz w:val="24"/>
            <w:szCs w:val="24"/>
            <w:u w:val="single"/>
          </w:rPr>
          <w:t>https://doi.org/10.3389/fruro.2023.1281181</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Surendran</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Toh</w:t>
      </w:r>
      <w:proofErr w:type="spellEnd"/>
      <w:r>
        <w:rPr>
          <w:rFonts w:ascii="Times New Roman" w:eastAsia="Times New Roman" w:hAnsi="Times New Roman" w:cs="Times New Roman"/>
          <w:sz w:val="24"/>
          <w:szCs w:val="24"/>
        </w:rPr>
        <w:t xml:space="preserve">, H. J., </w:t>
      </w:r>
      <w:proofErr w:type="spellStart"/>
      <w:r>
        <w:rPr>
          <w:rFonts w:ascii="Times New Roman" w:eastAsia="Times New Roman" w:hAnsi="Times New Roman" w:cs="Times New Roman"/>
          <w:sz w:val="24"/>
          <w:szCs w:val="24"/>
        </w:rPr>
        <w:t>Voo</w:t>
      </w:r>
      <w:proofErr w:type="spellEnd"/>
      <w:r>
        <w:rPr>
          <w:rFonts w:ascii="Times New Roman" w:eastAsia="Times New Roman" w:hAnsi="Times New Roman" w:cs="Times New Roman"/>
          <w:sz w:val="24"/>
          <w:szCs w:val="24"/>
        </w:rPr>
        <w:t xml:space="preserve">, T. C., De Foo, C., &amp; Dunn, M. (2025). A scoping review of the ethical issues in gender-affirming care for transgender and gender-diverse individuals. </w:t>
      </w:r>
      <w:r>
        <w:rPr>
          <w:rFonts w:ascii="Times New Roman" w:eastAsia="Times New Roman" w:hAnsi="Times New Roman" w:cs="Times New Roman"/>
          <w:i/>
          <w:iCs/>
          <w:sz w:val="24"/>
          <w:szCs w:val="24"/>
        </w:rPr>
        <w:t>BMC Medical Ethics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26</w:t>
      </w:r>
      <w:r>
        <w:rPr>
          <w:rFonts w:ascii="Times New Roman" w:eastAsia="Times New Roman" w:hAnsi="Times New Roman" w:cs="Times New Roman"/>
          <w:sz w:val="24"/>
          <w:szCs w:val="24"/>
        </w:rPr>
        <w:t>, 54.</w:t>
      </w:r>
      <w:hyperlink r:id="rId66">
        <w:r>
          <w:rPr>
            <w:rFonts w:ascii="Times New Roman" w:eastAsia="Times New Roman" w:hAnsi="Times New Roman" w:cs="Times New Roman"/>
            <w:sz w:val="24"/>
            <w:szCs w:val="24"/>
          </w:rPr>
          <w:t xml:space="preserve"> </w:t>
        </w:r>
      </w:hyperlink>
      <w:hyperlink r:id="rId67">
        <w:r>
          <w:rPr>
            <w:rFonts w:ascii="Times New Roman" w:eastAsia="Times New Roman" w:hAnsi="Times New Roman" w:cs="Times New Roman"/>
            <w:color w:val="1155CC"/>
            <w:sz w:val="24"/>
            <w:szCs w:val="24"/>
            <w:u w:val="single"/>
          </w:rPr>
          <w:t>https://doi.org/10.1186/s12910-025-01216-2</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Toumi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Sfar</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Ounissi</w:t>
      </w:r>
      <w:proofErr w:type="spellEnd"/>
      <w:r>
        <w:rPr>
          <w:rFonts w:ascii="Times New Roman" w:eastAsia="Times New Roman" w:hAnsi="Times New Roman" w:cs="Times New Roman"/>
          <w:sz w:val="24"/>
          <w:szCs w:val="24"/>
        </w:rPr>
        <w:t xml:space="preserve">, H., Ben </w:t>
      </w:r>
      <w:proofErr w:type="spellStart"/>
      <w:r>
        <w:rPr>
          <w:rFonts w:ascii="Times New Roman" w:eastAsia="Times New Roman" w:hAnsi="Times New Roman" w:cs="Times New Roman"/>
          <w:sz w:val="24"/>
          <w:szCs w:val="24"/>
        </w:rPr>
        <w:t>Haouala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Dhouib</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sz w:val="24"/>
          <w:szCs w:val="24"/>
        </w:rPr>
        <w:t>Ksia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Mekki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Belghith</w:t>
      </w:r>
      <w:proofErr w:type="spellEnd"/>
      <w:r>
        <w:rPr>
          <w:rFonts w:ascii="Times New Roman" w:eastAsia="Times New Roman" w:hAnsi="Times New Roman" w:cs="Times New Roman"/>
          <w:sz w:val="24"/>
          <w:szCs w:val="24"/>
        </w:rPr>
        <w:t xml:space="preserve">, M., &amp; Sahnoun, L. (2025). Parenting a Child </w:t>
      </w:r>
      <w:proofErr w:type="gramStart"/>
      <w:r>
        <w:rPr>
          <w:rFonts w:ascii="Times New Roman" w:eastAsia="Times New Roman" w:hAnsi="Times New Roman" w:cs="Times New Roman"/>
          <w:sz w:val="24"/>
          <w:szCs w:val="24"/>
        </w:rPr>
        <w:t>With</w:t>
      </w:r>
      <w:proofErr w:type="gramEnd"/>
      <w:r>
        <w:rPr>
          <w:rFonts w:ascii="Times New Roman" w:eastAsia="Times New Roman" w:hAnsi="Times New Roman" w:cs="Times New Roman"/>
          <w:sz w:val="24"/>
          <w:szCs w:val="24"/>
        </w:rPr>
        <w:t xml:space="preserve"> Disorder of Sexual Development in Traditional Society: Psychological Impact. </w:t>
      </w:r>
      <w:r>
        <w:rPr>
          <w:rFonts w:ascii="Times New Roman" w:eastAsia="Times New Roman" w:hAnsi="Times New Roman" w:cs="Times New Roman"/>
          <w:i/>
          <w:iCs/>
          <w:sz w:val="24"/>
          <w:szCs w:val="24"/>
        </w:rPr>
        <w:t>Journal of Pediatric Surgery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60</w:t>
      </w:r>
      <w:r>
        <w:rPr>
          <w:rFonts w:ascii="Times New Roman" w:eastAsia="Times New Roman" w:hAnsi="Times New Roman" w:cs="Times New Roman"/>
          <w:sz w:val="24"/>
          <w:szCs w:val="24"/>
        </w:rPr>
        <w:t>(2), 162067.</w:t>
      </w:r>
      <w:hyperlink r:id="rId68">
        <w:r>
          <w:rPr>
            <w:rFonts w:ascii="Times New Roman" w:eastAsia="Times New Roman" w:hAnsi="Times New Roman" w:cs="Times New Roman"/>
            <w:sz w:val="24"/>
            <w:szCs w:val="24"/>
          </w:rPr>
          <w:t xml:space="preserve"> </w:t>
        </w:r>
      </w:hyperlink>
      <w:hyperlink r:id="rId69">
        <w:r>
          <w:rPr>
            <w:rFonts w:ascii="Times New Roman" w:eastAsia="Times New Roman" w:hAnsi="Times New Roman" w:cs="Times New Roman"/>
            <w:color w:val="1155CC"/>
            <w:sz w:val="24"/>
            <w:szCs w:val="24"/>
            <w:u w:val="single"/>
          </w:rPr>
          <w:t>https://doi.org/10.1016/j.jpedsurg.2024.162067</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Utari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Silberkasten</w:t>
      </w:r>
      <w:proofErr w:type="spellEnd"/>
      <w:r>
        <w:rPr>
          <w:rFonts w:ascii="Times New Roman" w:eastAsia="Times New Roman" w:hAnsi="Times New Roman" w:cs="Times New Roman"/>
          <w:sz w:val="24"/>
          <w:szCs w:val="24"/>
        </w:rPr>
        <w:t xml:space="preserve">, M., Musa, S., Hassan, S., Sharma, R., </w:t>
      </w:r>
      <w:proofErr w:type="spellStart"/>
      <w:r>
        <w:rPr>
          <w:rFonts w:ascii="Times New Roman" w:eastAsia="Times New Roman" w:hAnsi="Times New Roman" w:cs="Times New Roman"/>
          <w:sz w:val="24"/>
          <w:szCs w:val="24"/>
        </w:rPr>
        <w:t>Bramer</w:t>
      </w:r>
      <w:proofErr w:type="spellEnd"/>
      <w:r>
        <w:rPr>
          <w:rFonts w:ascii="Times New Roman" w:eastAsia="Times New Roman" w:hAnsi="Times New Roman" w:cs="Times New Roman"/>
          <w:sz w:val="24"/>
          <w:szCs w:val="24"/>
        </w:rPr>
        <w:t xml:space="preserve">, W., van der </w:t>
      </w:r>
      <w:proofErr w:type="spellStart"/>
      <w:r>
        <w:rPr>
          <w:rFonts w:ascii="Times New Roman" w:eastAsia="Times New Roman" w:hAnsi="Times New Roman" w:cs="Times New Roman"/>
          <w:sz w:val="24"/>
          <w:szCs w:val="24"/>
        </w:rPr>
        <w:t>Zwan</w:t>
      </w:r>
      <w:proofErr w:type="spellEnd"/>
      <w:r>
        <w:rPr>
          <w:rFonts w:ascii="Times New Roman" w:eastAsia="Times New Roman" w:hAnsi="Times New Roman" w:cs="Times New Roman"/>
          <w:sz w:val="24"/>
          <w:szCs w:val="24"/>
        </w:rPr>
        <w:t>, Y. G., &amp; Drop, S. L. S. (2025). Global perspective of psychosocial care</w:t>
      </w:r>
      <w:r>
        <w:rPr>
          <w:rFonts w:ascii="Times New Roman" w:eastAsia="Times New Roman" w:hAnsi="Times New Roman" w:cs="Times New Roman"/>
          <w:sz w:val="24"/>
          <w:szCs w:val="24"/>
        </w:rPr>
        <w:t xml:space="preserve"> of patients with differences of sex development from low-income countries. </w:t>
      </w:r>
      <w:r>
        <w:rPr>
          <w:rFonts w:ascii="Times New Roman" w:eastAsia="Times New Roman" w:hAnsi="Times New Roman" w:cs="Times New Roman"/>
          <w:i/>
          <w:iCs/>
          <w:sz w:val="24"/>
          <w:szCs w:val="24"/>
        </w:rPr>
        <w:t>Journal of Reproductive and Infant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43</w:t>
      </w:r>
      <w:r>
        <w:rPr>
          <w:rFonts w:ascii="Times New Roman" w:eastAsia="Times New Roman" w:hAnsi="Times New Roman" w:cs="Times New Roman"/>
          <w:sz w:val="24"/>
          <w:szCs w:val="24"/>
        </w:rPr>
        <w:t>(2), 366–384.</w:t>
      </w:r>
      <w:hyperlink r:id="rId70">
        <w:r>
          <w:rPr>
            <w:rFonts w:ascii="Times New Roman" w:eastAsia="Times New Roman" w:hAnsi="Times New Roman" w:cs="Times New Roman"/>
            <w:sz w:val="24"/>
            <w:szCs w:val="24"/>
          </w:rPr>
          <w:t xml:space="preserve"> </w:t>
        </w:r>
      </w:hyperlink>
      <w:hyperlink r:id="rId71">
        <w:r>
          <w:rPr>
            <w:rFonts w:ascii="Times New Roman" w:eastAsia="Times New Roman" w:hAnsi="Times New Roman" w:cs="Times New Roman"/>
            <w:color w:val="1155CC"/>
            <w:sz w:val="24"/>
            <w:szCs w:val="24"/>
            <w:u w:val="single"/>
          </w:rPr>
          <w:t>https://doi.org/10.1080/02646838.2024.2439926</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 xml:space="preserve">Vicario, S., </w:t>
      </w:r>
      <w:proofErr w:type="spellStart"/>
      <w:r>
        <w:rPr>
          <w:rFonts w:ascii="Times New Roman" w:eastAsia="Times New Roman" w:hAnsi="Times New Roman" w:cs="Times New Roman"/>
          <w:sz w:val="24"/>
          <w:szCs w:val="24"/>
        </w:rPr>
        <w:t>Escolino</w:t>
      </w:r>
      <w:proofErr w:type="spellEnd"/>
      <w:r>
        <w:rPr>
          <w:rFonts w:ascii="Times New Roman" w:eastAsia="Times New Roman" w:hAnsi="Times New Roman" w:cs="Times New Roman"/>
          <w:sz w:val="24"/>
          <w:szCs w:val="24"/>
        </w:rPr>
        <w:t xml:space="preserve">, M., Esposito, G., Porcaro, M., Di </w:t>
      </w:r>
      <w:proofErr w:type="spellStart"/>
      <w:r>
        <w:rPr>
          <w:rFonts w:ascii="Times New Roman" w:eastAsia="Times New Roman" w:hAnsi="Times New Roman" w:cs="Times New Roman"/>
          <w:sz w:val="24"/>
          <w:szCs w:val="24"/>
        </w:rPr>
        <w:t>Mase</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Azizoglu</w:t>
      </w:r>
      <w:proofErr w:type="spellEnd"/>
      <w:r>
        <w:rPr>
          <w:rFonts w:ascii="Times New Roman" w:eastAsia="Times New Roman" w:hAnsi="Times New Roman" w:cs="Times New Roman"/>
          <w:sz w:val="24"/>
          <w:szCs w:val="24"/>
        </w:rPr>
        <w:t xml:space="preserve">, M., &amp; Esposito, C. (2025). Clinical Spectrum, Surgical Management, and Outcomes of NR5A1-Related </w:t>
      </w:r>
      <w:proofErr w:type="gramStart"/>
      <w:r>
        <w:rPr>
          <w:rFonts w:ascii="Times New Roman" w:eastAsia="Times New Roman" w:hAnsi="Times New Roman" w:cs="Times New Roman"/>
          <w:sz w:val="24"/>
          <w:szCs w:val="24"/>
        </w:rPr>
        <w:t>46,XY</w:t>
      </w:r>
      <w:proofErr w:type="gramEnd"/>
      <w:r>
        <w:rPr>
          <w:rFonts w:ascii="Times New Roman" w:eastAsia="Times New Roman" w:hAnsi="Times New Roman" w:cs="Times New Roman"/>
          <w:sz w:val="24"/>
          <w:szCs w:val="24"/>
        </w:rPr>
        <w:t xml:space="preserve"> Differences of Se</w:t>
      </w:r>
      <w:r>
        <w:rPr>
          <w:rFonts w:ascii="Times New Roman" w:eastAsia="Times New Roman" w:hAnsi="Times New Roman" w:cs="Times New Roman"/>
          <w:sz w:val="24"/>
          <w:szCs w:val="24"/>
        </w:rPr>
        <w:t xml:space="preserve">x Development: A Narrative Review. </w:t>
      </w:r>
      <w:proofErr w:type="spellStart"/>
      <w:r>
        <w:rPr>
          <w:rFonts w:ascii="Times New Roman" w:eastAsia="Times New Roman" w:hAnsi="Times New Roman" w:cs="Times New Roman"/>
          <w:i/>
          <w:iCs/>
          <w:sz w:val="24"/>
          <w:szCs w:val="24"/>
        </w:rPr>
        <w:t>Medicina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61</w:t>
      </w:r>
      <w:r>
        <w:rPr>
          <w:rFonts w:ascii="Times New Roman" w:eastAsia="Times New Roman" w:hAnsi="Times New Roman" w:cs="Times New Roman"/>
          <w:sz w:val="24"/>
          <w:szCs w:val="24"/>
        </w:rPr>
        <w:t>(11), 1965.</w:t>
      </w:r>
      <w:hyperlink r:id="rId72">
        <w:r>
          <w:rPr>
            <w:rFonts w:ascii="Times New Roman" w:eastAsia="Times New Roman" w:hAnsi="Times New Roman" w:cs="Times New Roman"/>
            <w:sz w:val="24"/>
            <w:szCs w:val="24"/>
          </w:rPr>
          <w:t xml:space="preserve"> </w:t>
        </w:r>
      </w:hyperlink>
      <w:hyperlink r:id="rId73">
        <w:r>
          <w:rPr>
            <w:rFonts w:ascii="Times New Roman" w:eastAsia="Times New Roman" w:hAnsi="Times New Roman" w:cs="Times New Roman"/>
            <w:color w:val="1155CC"/>
            <w:sz w:val="24"/>
            <w:szCs w:val="24"/>
            <w:u w:val="single"/>
          </w:rPr>
          <w:t>https://doi.org/10.3390/medicina61111965</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Wang, S., </w:t>
      </w:r>
      <w:proofErr w:type="spellStart"/>
      <w:r>
        <w:rPr>
          <w:rFonts w:ascii="Times New Roman" w:eastAsia="Times New Roman" w:hAnsi="Times New Roman" w:cs="Times New Roman"/>
          <w:sz w:val="24"/>
          <w:szCs w:val="24"/>
        </w:rPr>
        <w:t>Scells</w:t>
      </w:r>
      <w:proofErr w:type="spellEnd"/>
      <w:r>
        <w:rPr>
          <w:rFonts w:ascii="Times New Roman" w:eastAsia="Times New Roman" w:hAnsi="Times New Roman" w:cs="Times New Roman"/>
          <w:sz w:val="24"/>
          <w:szCs w:val="24"/>
        </w:rPr>
        <w:t>, H., Koopman, B., &amp;</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Zuccon</w:t>
      </w:r>
      <w:proofErr w:type="spellEnd"/>
      <w:r>
        <w:rPr>
          <w:rFonts w:ascii="Times New Roman" w:eastAsia="Times New Roman" w:hAnsi="Times New Roman" w:cs="Times New Roman"/>
          <w:sz w:val="24"/>
          <w:szCs w:val="24"/>
        </w:rPr>
        <w:t xml:space="preserve">, G. (2022). Automated </w:t>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term suggestion for effective query formulation in systematic reviews literature search. </w:t>
      </w:r>
      <w:r>
        <w:rPr>
          <w:rFonts w:ascii="Times New Roman" w:eastAsia="Times New Roman" w:hAnsi="Times New Roman" w:cs="Times New Roman"/>
          <w:i/>
          <w:iCs/>
          <w:sz w:val="24"/>
          <w:szCs w:val="24"/>
        </w:rPr>
        <w:t>Intelligent Systems with Applications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 200141.</w:t>
      </w:r>
      <w:hyperlink r:id="rId74">
        <w:r>
          <w:rPr>
            <w:rFonts w:ascii="Times New Roman" w:eastAsia="Times New Roman" w:hAnsi="Times New Roman" w:cs="Times New Roman"/>
            <w:sz w:val="24"/>
            <w:szCs w:val="24"/>
          </w:rPr>
          <w:t xml:space="preserve"> </w:t>
        </w:r>
      </w:hyperlink>
      <w:hyperlink r:id="rId75">
        <w:r>
          <w:rPr>
            <w:rFonts w:ascii="Times New Roman" w:eastAsia="Times New Roman" w:hAnsi="Times New Roman" w:cs="Times New Roman"/>
            <w:color w:val="1155CC"/>
            <w:sz w:val="24"/>
            <w:szCs w:val="24"/>
            <w:u w:val="single"/>
          </w:rPr>
          <w:t>https://doi.org/10.1016/j.iswa.2022.200141</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Wechsung</w:t>
      </w:r>
      <w:proofErr w:type="spellEnd"/>
      <w:r>
        <w:rPr>
          <w:rFonts w:ascii="Times New Roman" w:eastAsia="Times New Roman" w:hAnsi="Times New Roman" w:cs="Times New Roman"/>
          <w:sz w:val="24"/>
          <w:szCs w:val="24"/>
        </w:rPr>
        <w:t xml:space="preserve">, K., Marshall, L., Jürgensen, M., </w:t>
      </w:r>
      <w:proofErr w:type="spellStart"/>
      <w:r>
        <w:rPr>
          <w:rFonts w:ascii="Times New Roman" w:eastAsia="Times New Roman" w:hAnsi="Times New Roman" w:cs="Times New Roman"/>
          <w:sz w:val="24"/>
          <w:szCs w:val="24"/>
        </w:rPr>
        <w:t>Wiegmann</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Kalender</w:t>
      </w:r>
      <w:proofErr w:type="spellEnd"/>
      <w:r>
        <w:rPr>
          <w:rFonts w:ascii="Times New Roman" w:eastAsia="Times New Roman" w:hAnsi="Times New Roman" w:cs="Times New Roman"/>
          <w:sz w:val="24"/>
          <w:szCs w:val="24"/>
        </w:rPr>
        <w:t xml:space="preserve">, U., </w:t>
      </w:r>
      <w:proofErr w:type="spellStart"/>
      <w:r>
        <w:rPr>
          <w:rFonts w:ascii="Times New Roman" w:eastAsia="Times New Roman" w:hAnsi="Times New Roman" w:cs="Times New Roman"/>
          <w:sz w:val="24"/>
          <w:szCs w:val="24"/>
        </w:rPr>
        <w:t>Brösamle</w:t>
      </w:r>
      <w:proofErr w:type="spellEnd"/>
      <w:r>
        <w:rPr>
          <w:rFonts w:ascii="Times New Roman" w:eastAsia="Times New Roman" w:hAnsi="Times New Roman" w:cs="Times New Roman"/>
          <w:sz w:val="24"/>
          <w:szCs w:val="24"/>
        </w:rPr>
        <w:t xml:space="preserve">, M., Herrmann, G., </w:t>
      </w:r>
      <w:proofErr w:type="spellStart"/>
      <w:r>
        <w:rPr>
          <w:rFonts w:ascii="Times New Roman" w:eastAsia="Times New Roman" w:hAnsi="Times New Roman" w:cs="Times New Roman"/>
          <w:sz w:val="24"/>
          <w:szCs w:val="24"/>
        </w:rPr>
        <w:t>Hiort</w:t>
      </w:r>
      <w:proofErr w:type="spellEnd"/>
      <w:r>
        <w:rPr>
          <w:rFonts w:ascii="Times New Roman" w:eastAsia="Times New Roman" w:hAnsi="Times New Roman" w:cs="Times New Roman"/>
          <w:sz w:val="24"/>
          <w:szCs w:val="24"/>
        </w:rPr>
        <w:t>, O., Janssen-</w:t>
      </w:r>
      <w:proofErr w:type="spellStart"/>
      <w:r>
        <w:rPr>
          <w:rFonts w:ascii="Times New Roman" w:eastAsia="Times New Roman" w:hAnsi="Times New Roman" w:cs="Times New Roman"/>
          <w:sz w:val="24"/>
          <w:szCs w:val="24"/>
        </w:rPr>
        <w:t>Schmidchen</w:t>
      </w:r>
      <w:proofErr w:type="spellEnd"/>
      <w:r>
        <w:rPr>
          <w:rFonts w:ascii="Times New Roman" w:eastAsia="Times New Roman" w:hAnsi="Times New Roman" w:cs="Times New Roman"/>
          <w:sz w:val="24"/>
          <w:szCs w:val="24"/>
        </w:rPr>
        <w:t xml:space="preserve">, G., Richter-Unruh, A., </w:t>
      </w:r>
      <w:proofErr w:type="spellStart"/>
      <w:r>
        <w:rPr>
          <w:rFonts w:ascii="Times New Roman" w:eastAsia="Times New Roman" w:hAnsi="Times New Roman" w:cs="Times New Roman"/>
          <w:sz w:val="24"/>
          <w:szCs w:val="24"/>
        </w:rPr>
        <w:t>Wabitsch</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Wunn</w:t>
      </w:r>
      <w:proofErr w:type="spellEnd"/>
      <w:r>
        <w:rPr>
          <w:rFonts w:ascii="Times New Roman" w:eastAsia="Times New Roman" w:hAnsi="Times New Roman" w:cs="Times New Roman"/>
          <w:sz w:val="24"/>
          <w:szCs w:val="24"/>
        </w:rPr>
        <w:t xml:space="preserve">, C., Keil, T., Neumann, U., &amp; </w:t>
      </w:r>
      <w:proofErr w:type="spellStart"/>
      <w:r>
        <w:rPr>
          <w:rFonts w:ascii="Times New Roman" w:eastAsia="Times New Roman" w:hAnsi="Times New Roman" w:cs="Times New Roman"/>
          <w:sz w:val="24"/>
          <w:szCs w:val="24"/>
        </w:rPr>
        <w:t>Stöckigt</w:t>
      </w:r>
      <w:proofErr w:type="spellEnd"/>
      <w:r>
        <w:rPr>
          <w:rFonts w:ascii="Times New Roman" w:eastAsia="Times New Roman" w:hAnsi="Times New Roman" w:cs="Times New Roman"/>
          <w:sz w:val="24"/>
          <w:szCs w:val="24"/>
        </w:rPr>
        <w:t xml:space="preserve">, B. (2025). Structured care after a DSD diagnosis in childhood: A mixed methods evaluation of the Empower-DSD program. </w:t>
      </w:r>
      <w:r>
        <w:rPr>
          <w:rFonts w:ascii="Times New Roman" w:eastAsia="Times New Roman" w:hAnsi="Times New Roman" w:cs="Times New Roman"/>
          <w:i/>
          <w:iCs/>
          <w:sz w:val="24"/>
          <w:szCs w:val="24"/>
        </w:rPr>
        <w:t>Frontiers in Pediatrics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w:t>
      </w:r>
      <w:hyperlink r:id="rId76">
        <w:r>
          <w:rPr>
            <w:rFonts w:ascii="Times New Roman" w:eastAsia="Times New Roman" w:hAnsi="Times New Roman" w:cs="Times New Roman"/>
            <w:sz w:val="24"/>
            <w:szCs w:val="24"/>
          </w:rPr>
          <w:t xml:space="preserve"> </w:t>
        </w:r>
      </w:hyperlink>
      <w:hyperlink r:id="rId77">
        <w:r>
          <w:rPr>
            <w:rFonts w:ascii="Times New Roman" w:eastAsia="Times New Roman" w:hAnsi="Times New Roman" w:cs="Times New Roman"/>
            <w:color w:val="1155CC"/>
            <w:sz w:val="24"/>
            <w:szCs w:val="24"/>
            <w:u w:val="single"/>
          </w:rPr>
          <w:t>https://doi.org/10.3389/fped.2025.1488411</w:t>
        </w:r>
      </w:hyperlink>
    </w:p>
    <w:p w:rsidR="000240BB" w:rsidRDefault="003F04AE">
      <w:pPr>
        <w:spacing w:before="240" w:after="240"/>
        <w:ind w:left="880" w:hanging="4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Willemsen, L. A., </w:t>
      </w:r>
      <w:proofErr w:type="spellStart"/>
      <w:r>
        <w:rPr>
          <w:rFonts w:ascii="Times New Roman" w:eastAsia="Times New Roman" w:hAnsi="Times New Roman" w:cs="Times New Roman"/>
          <w:sz w:val="24"/>
          <w:szCs w:val="24"/>
        </w:rPr>
        <w:t>Stoter</w:t>
      </w:r>
      <w:proofErr w:type="spellEnd"/>
      <w:r>
        <w:rPr>
          <w:rFonts w:ascii="Times New Roman" w:eastAsia="Times New Roman" w:hAnsi="Times New Roman" w:cs="Times New Roman"/>
          <w:sz w:val="24"/>
          <w:szCs w:val="24"/>
        </w:rPr>
        <w:t xml:space="preserve">, M., van den Boogaard, E., Both, S., Groen, L. A., </w:t>
      </w:r>
      <w:proofErr w:type="spellStart"/>
      <w:r>
        <w:rPr>
          <w:rFonts w:ascii="Times New Roman" w:eastAsia="Times New Roman" w:hAnsi="Times New Roman" w:cs="Times New Roman"/>
          <w:sz w:val="24"/>
          <w:szCs w:val="24"/>
        </w:rPr>
        <w:t>Kreukels</w:t>
      </w:r>
      <w:proofErr w:type="spellEnd"/>
      <w:r>
        <w:rPr>
          <w:rFonts w:ascii="Times New Roman" w:eastAsia="Times New Roman" w:hAnsi="Times New Roman" w:cs="Times New Roman"/>
          <w:sz w:val="24"/>
          <w:szCs w:val="24"/>
        </w:rPr>
        <w:t xml:space="preserve">, B. P. C., Kuiper, K. C., </w:t>
      </w:r>
      <w:proofErr w:type="spellStart"/>
      <w:r>
        <w:rPr>
          <w:rFonts w:ascii="Times New Roman" w:eastAsia="Times New Roman" w:hAnsi="Times New Roman" w:cs="Times New Roman"/>
          <w:sz w:val="24"/>
          <w:szCs w:val="24"/>
        </w:rPr>
        <w:t>Nieuwersteeg</w:t>
      </w:r>
      <w:proofErr w:type="spellEnd"/>
      <w:r>
        <w:rPr>
          <w:rFonts w:ascii="Times New Roman" w:eastAsia="Times New Roman" w:hAnsi="Times New Roman" w:cs="Times New Roman"/>
          <w:sz w:val="24"/>
          <w:szCs w:val="24"/>
        </w:rPr>
        <w:t>, J. N., Roussel, N</w:t>
      </w:r>
      <w:r>
        <w:rPr>
          <w:rFonts w:ascii="Times New Roman" w:eastAsia="Times New Roman" w:hAnsi="Times New Roman" w:cs="Times New Roman"/>
          <w:sz w:val="24"/>
          <w:szCs w:val="24"/>
        </w:rPr>
        <w:t xml:space="preserve">. A., van der </w:t>
      </w:r>
      <w:proofErr w:type="spellStart"/>
      <w:r>
        <w:rPr>
          <w:rFonts w:ascii="Times New Roman" w:eastAsia="Times New Roman" w:hAnsi="Times New Roman" w:cs="Times New Roman"/>
          <w:sz w:val="24"/>
          <w:szCs w:val="24"/>
        </w:rPr>
        <w:t>Sluijs</w:t>
      </w:r>
      <w:proofErr w:type="spellEnd"/>
      <w:r>
        <w:rPr>
          <w:rFonts w:ascii="Times New Roman" w:eastAsia="Times New Roman" w:hAnsi="Times New Roman" w:cs="Times New Roman"/>
          <w:sz w:val="24"/>
          <w:szCs w:val="24"/>
        </w:rPr>
        <w:t xml:space="preserve"> Veer, L., de Vries, A. L. C., </w:t>
      </w:r>
      <w:proofErr w:type="spellStart"/>
      <w:r>
        <w:rPr>
          <w:rFonts w:ascii="Times New Roman" w:eastAsia="Times New Roman" w:hAnsi="Times New Roman" w:cs="Times New Roman"/>
          <w:sz w:val="24"/>
          <w:szCs w:val="24"/>
        </w:rPr>
        <w:t>Zwijnenburg</w:t>
      </w:r>
      <w:proofErr w:type="spellEnd"/>
      <w:r>
        <w:rPr>
          <w:rFonts w:ascii="Times New Roman" w:eastAsia="Times New Roman" w:hAnsi="Times New Roman" w:cs="Times New Roman"/>
          <w:sz w:val="24"/>
          <w:szCs w:val="24"/>
        </w:rPr>
        <w:t xml:space="preserve">, P. J. G., den </w:t>
      </w:r>
      <w:proofErr w:type="spellStart"/>
      <w:r>
        <w:rPr>
          <w:rFonts w:ascii="Times New Roman" w:eastAsia="Times New Roman" w:hAnsi="Times New Roman" w:cs="Times New Roman"/>
          <w:sz w:val="24"/>
          <w:szCs w:val="24"/>
        </w:rPr>
        <w:t>Heijer</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Oosterlaan</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Hannema</w:t>
      </w:r>
      <w:proofErr w:type="spellEnd"/>
      <w:r>
        <w:rPr>
          <w:rFonts w:ascii="Times New Roman" w:eastAsia="Times New Roman" w:hAnsi="Times New Roman" w:cs="Times New Roman"/>
          <w:sz w:val="24"/>
          <w:szCs w:val="24"/>
        </w:rPr>
        <w:t>, S. E., &amp; Follow Me DSD study group. (2026). Standardized multidisciplinary care for children and adolescents with differences of sex developm</w:t>
      </w:r>
      <w:r>
        <w:rPr>
          <w:rFonts w:ascii="Times New Roman" w:eastAsia="Times New Roman" w:hAnsi="Times New Roman" w:cs="Times New Roman"/>
          <w:sz w:val="24"/>
          <w:szCs w:val="24"/>
        </w:rPr>
        <w:t xml:space="preserve">ent: A health intelligence approach. </w:t>
      </w:r>
      <w:r>
        <w:rPr>
          <w:rFonts w:ascii="Times New Roman" w:eastAsia="Times New Roman" w:hAnsi="Times New Roman" w:cs="Times New Roman"/>
          <w:i/>
          <w:iCs/>
          <w:sz w:val="24"/>
          <w:szCs w:val="24"/>
        </w:rPr>
        <w:t>The Journal of Sexual Medicine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23</w:t>
      </w:r>
      <w:r>
        <w:rPr>
          <w:rFonts w:ascii="Times New Roman" w:eastAsia="Times New Roman" w:hAnsi="Times New Roman" w:cs="Times New Roman"/>
          <w:sz w:val="24"/>
          <w:szCs w:val="24"/>
        </w:rPr>
        <w:t>(2), qdaf382.</w:t>
      </w:r>
      <w:hyperlink r:id="rId78">
        <w:r>
          <w:rPr>
            <w:rFonts w:ascii="Times New Roman" w:eastAsia="Times New Roman" w:hAnsi="Times New Roman" w:cs="Times New Roman"/>
            <w:sz w:val="24"/>
            <w:szCs w:val="24"/>
          </w:rPr>
          <w:t xml:space="preserve"> </w:t>
        </w:r>
      </w:hyperlink>
      <w:hyperlink r:id="rId79">
        <w:r>
          <w:rPr>
            <w:rFonts w:ascii="Times New Roman" w:eastAsia="Times New Roman" w:hAnsi="Times New Roman" w:cs="Times New Roman"/>
            <w:color w:val="1155CC"/>
            <w:sz w:val="24"/>
            <w:szCs w:val="24"/>
            <w:u w:val="single"/>
          </w:rPr>
          <w:t>https://doi.org/10.1093/jsxmed/qdaf382</w:t>
        </w:r>
      </w:hyperlink>
    </w:p>
    <w:p w:rsidR="000240BB" w:rsidRDefault="003F04AE">
      <w:pPr>
        <w:spacing w:before="240" w:after="240"/>
        <w:ind w:left="880" w:hanging="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Yavas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Abalı</w:t>
      </w:r>
      <w:proofErr w:type="spellEnd"/>
      <w:r>
        <w:rPr>
          <w:rFonts w:ascii="Times New Roman" w:eastAsia="Times New Roman" w:hAnsi="Times New Roman" w:cs="Times New Roman"/>
          <w:sz w:val="24"/>
          <w:szCs w:val="24"/>
        </w:rPr>
        <w:t>, Z.,</w:t>
      </w:r>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Guran</w:t>
      </w:r>
      <w:proofErr w:type="spellEnd"/>
      <w:r>
        <w:rPr>
          <w:rFonts w:ascii="Times New Roman" w:eastAsia="Times New Roman" w:hAnsi="Times New Roman" w:cs="Times New Roman"/>
          <w:sz w:val="24"/>
          <w:szCs w:val="24"/>
        </w:rPr>
        <w:t xml:space="preserve">, T. (2024). Diagnosis and management of non-CAH </w:t>
      </w:r>
      <w:proofErr w:type="gramStart"/>
      <w:r>
        <w:rPr>
          <w:rFonts w:ascii="Times New Roman" w:eastAsia="Times New Roman" w:hAnsi="Times New Roman" w:cs="Times New Roman"/>
          <w:sz w:val="24"/>
          <w:szCs w:val="24"/>
        </w:rPr>
        <w:t>46,XX</w:t>
      </w:r>
      <w:proofErr w:type="gramEnd"/>
      <w:r>
        <w:rPr>
          <w:rFonts w:ascii="Times New Roman" w:eastAsia="Times New Roman" w:hAnsi="Times New Roman" w:cs="Times New Roman"/>
          <w:sz w:val="24"/>
          <w:szCs w:val="24"/>
        </w:rPr>
        <w:t xml:space="preserve"> disorders/differences in sex development. </w:t>
      </w:r>
      <w:r>
        <w:rPr>
          <w:rFonts w:ascii="Times New Roman" w:eastAsia="Times New Roman" w:hAnsi="Times New Roman" w:cs="Times New Roman"/>
          <w:i/>
          <w:iCs/>
          <w:sz w:val="24"/>
          <w:szCs w:val="24"/>
        </w:rPr>
        <w:t>Frontiers in Endocrinology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15</w:t>
      </w:r>
      <w:r>
        <w:rPr>
          <w:rFonts w:ascii="Times New Roman" w:eastAsia="Times New Roman" w:hAnsi="Times New Roman" w:cs="Times New Roman"/>
          <w:sz w:val="24"/>
          <w:szCs w:val="24"/>
        </w:rPr>
        <w:t>, 1354759.</w:t>
      </w:r>
      <w:hyperlink r:id="rId80">
        <w:r>
          <w:rPr>
            <w:rFonts w:ascii="Times New Roman" w:eastAsia="Times New Roman" w:hAnsi="Times New Roman" w:cs="Times New Roman"/>
            <w:sz w:val="24"/>
            <w:szCs w:val="24"/>
          </w:rPr>
          <w:t xml:space="preserve"> </w:t>
        </w:r>
      </w:hyperlink>
      <w:hyperlink r:id="rId81">
        <w:r>
          <w:rPr>
            <w:rFonts w:ascii="Times New Roman" w:eastAsia="Times New Roman" w:hAnsi="Times New Roman" w:cs="Times New Roman"/>
            <w:color w:val="1155CC"/>
            <w:sz w:val="24"/>
            <w:szCs w:val="24"/>
            <w:u w:val="single"/>
          </w:rPr>
          <w:t>https://doi.org/10.3389/fendo.2024.1354759</w:t>
        </w:r>
      </w:hyperlink>
    </w:p>
    <w:p w:rsidR="000240BB" w:rsidRDefault="000240BB">
      <w:pPr>
        <w:spacing w:before="240" w:after="240"/>
        <w:jc w:val="both"/>
        <w:rPr>
          <w:rFonts w:ascii="Times New Roman" w:eastAsia="Times New Roman" w:hAnsi="Times New Roman" w:cs="Times New Roman"/>
          <w:sz w:val="24"/>
          <w:szCs w:val="24"/>
        </w:rPr>
      </w:pPr>
    </w:p>
    <w:p w:rsidR="000240BB" w:rsidRDefault="000240BB">
      <w:pPr>
        <w:spacing w:before="240" w:after="240"/>
        <w:jc w:val="both"/>
        <w:rPr>
          <w:rFonts w:ascii="Times New Roman" w:eastAsia="Times New Roman" w:hAnsi="Times New Roman" w:cs="Times New Roman"/>
          <w:sz w:val="24"/>
          <w:szCs w:val="24"/>
        </w:rPr>
      </w:pPr>
    </w:p>
    <w:p w:rsidR="000240BB" w:rsidRDefault="000240BB">
      <w:pPr>
        <w:jc w:val="both"/>
        <w:rPr>
          <w:rFonts w:ascii="Times New Roman" w:eastAsia="Times New Roman" w:hAnsi="Times New Roman" w:cs="Times New Roman"/>
          <w:sz w:val="24"/>
          <w:szCs w:val="24"/>
        </w:rPr>
      </w:pPr>
    </w:p>
    <w:sectPr w:rsidR="000240BB">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04AE" w:rsidRDefault="003F04AE">
      <w:pPr>
        <w:spacing w:line="240" w:lineRule="auto"/>
      </w:pPr>
      <w:r>
        <w:separator/>
      </w:r>
    </w:p>
  </w:endnote>
  <w:endnote w:type="continuationSeparator" w:id="0">
    <w:p w:rsidR="003F04AE" w:rsidRDefault="003F04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FCD03C2-8510-4CC5-9265-B262CF4C10BD}"/>
  </w:font>
  <w:font w:name="Cambria">
    <w:panose1 w:val="02040503050406030204"/>
    <w:charset w:val="00"/>
    <w:family w:val="roman"/>
    <w:pitch w:val="variable"/>
    <w:sig w:usb0="E00006FF" w:usb1="420024FF" w:usb2="02000000" w:usb3="00000000" w:csb0="0000019F" w:csb1="00000000"/>
    <w:embedRegular r:id="rId2" w:fontKey="{1D14A104-7F80-4C1C-B11D-8534FEA4A0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0BB" w:rsidRDefault="000240BB">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0BB" w:rsidRDefault="000240BB">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0BB" w:rsidRDefault="000240B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04AE" w:rsidRDefault="003F04AE">
      <w:pPr>
        <w:spacing w:line="240" w:lineRule="auto"/>
      </w:pPr>
      <w:r>
        <w:separator/>
      </w:r>
    </w:p>
  </w:footnote>
  <w:footnote w:type="continuationSeparator" w:id="0">
    <w:p w:rsidR="003F04AE" w:rsidRDefault="003F04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0BB" w:rsidRDefault="003F04AE">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0BB" w:rsidRDefault="003F04AE">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2.85pt;height:66.9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0BB" w:rsidRDefault="003F04AE">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460EB1"/>
    <w:multiLevelType w:val="multilevel"/>
    <w:tmpl w:val="BB147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0BB"/>
    <w:rsid w:val="000240BB"/>
    <w:rsid w:val="000A1008"/>
    <w:rsid w:val="003F04AE"/>
    <w:rsid w:val="00505CCF"/>
    <w:rsid w:val="0057727E"/>
    <w:rsid w:val="00E34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61D317"/>
  <w15:docId w15:val="{496AFCDF-7760-49B6-983F-BC7ED27F9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character" w:styleId="Hyperlink">
    <w:name w:val="Hyperlink"/>
    <w:basedOn w:val="DefaultParagraphFont"/>
    <w:uiPriority w:val="99"/>
    <w:unhideWhenUsed/>
    <w:rsid w:val="00E17043"/>
    <w:rPr>
      <w:color w:val="0000FF" w:themeColor="hyperlink"/>
      <w:u w:val="single"/>
    </w:rPr>
  </w:style>
  <w:style w:type="character" w:styleId="UnresolvedMention">
    <w:name w:val="Unresolved Mention"/>
    <w:basedOn w:val="DefaultParagraphFont"/>
    <w:uiPriority w:val="99"/>
    <w:semiHidden/>
    <w:unhideWhenUsed/>
    <w:rsid w:val="00E17043"/>
    <w:rPr>
      <w:color w:val="605E5C"/>
      <w:shd w:val="clear" w:color="auto" w:fill="E1DFDD"/>
    </w:rPr>
  </w:style>
  <w:style w:type="paragraph" w:styleId="Header">
    <w:name w:val="header"/>
    <w:basedOn w:val="Normal"/>
    <w:link w:val="HeaderChar"/>
    <w:uiPriority w:val="99"/>
    <w:unhideWhenUsed/>
    <w:rsid w:val="006348EC"/>
    <w:pPr>
      <w:tabs>
        <w:tab w:val="center" w:pos="4680"/>
        <w:tab w:val="right" w:pos="9360"/>
      </w:tabs>
      <w:spacing w:line="240" w:lineRule="auto"/>
    </w:pPr>
  </w:style>
  <w:style w:type="character" w:customStyle="1" w:styleId="HeaderChar">
    <w:name w:val="Header Char"/>
    <w:basedOn w:val="DefaultParagraphFont"/>
    <w:link w:val="Header"/>
    <w:uiPriority w:val="99"/>
    <w:rsid w:val="006348EC"/>
  </w:style>
  <w:style w:type="paragraph" w:styleId="Footer">
    <w:name w:val="footer"/>
    <w:basedOn w:val="Normal"/>
    <w:link w:val="FooterChar"/>
    <w:uiPriority w:val="99"/>
    <w:unhideWhenUsed/>
    <w:rsid w:val="006348EC"/>
    <w:pPr>
      <w:tabs>
        <w:tab w:val="center" w:pos="4680"/>
        <w:tab w:val="right" w:pos="9360"/>
      </w:tabs>
      <w:spacing w:line="240" w:lineRule="auto"/>
    </w:pPr>
  </w:style>
  <w:style w:type="character" w:customStyle="1" w:styleId="FooterChar">
    <w:name w:val="Footer Char"/>
    <w:basedOn w:val="DefaultParagraphFont"/>
    <w:link w:val="Footer"/>
    <w:uiPriority w:val="99"/>
    <w:rsid w:val="006348EC"/>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186/s43042-025-00681-z" TargetMode="External"/><Relationship Id="rId21" Type="http://schemas.openxmlformats.org/officeDocument/2006/relationships/hyperlink" Target="https://doi.org/10.1093/ejendo/lvag009" TargetMode="External"/><Relationship Id="rId42" Type="http://schemas.openxmlformats.org/officeDocument/2006/relationships/hyperlink" Target="https://doi.org/10.4274/jcrpe.galenos.2024.2024-3-3" TargetMode="External"/><Relationship Id="rId47" Type="http://schemas.openxmlformats.org/officeDocument/2006/relationships/hyperlink" Target="https://doi.org/10.3389/fruro.2023.1188822" TargetMode="External"/><Relationship Id="rId63" Type="http://schemas.openxmlformats.org/officeDocument/2006/relationships/hyperlink" Target="https://doi.org/10.3390/children11091104" TargetMode="External"/><Relationship Id="rId68" Type="http://schemas.openxmlformats.org/officeDocument/2006/relationships/hyperlink" Target="https://doi.org/10.1016/j.jpedsurg.2024.162067"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https://doi.org/10.1007/s10508-021-01953-6" TargetMode="External"/><Relationship Id="rId11" Type="http://schemas.openxmlformats.org/officeDocument/2006/relationships/hyperlink" Target="https://doi.org/10.1159/000524517" TargetMode="External"/><Relationship Id="rId32" Type="http://schemas.openxmlformats.org/officeDocument/2006/relationships/hyperlink" Target="https://doi.org/10.3389/fped.2025.1646197" TargetMode="External"/><Relationship Id="rId37" Type="http://schemas.openxmlformats.org/officeDocument/2006/relationships/hyperlink" Target="https://doi.org/10.52403/ijhsr.20240209" TargetMode="External"/><Relationship Id="rId53" Type="http://schemas.openxmlformats.org/officeDocument/2006/relationships/hyperlink" Target="https://doi.org/10.4274/jcrpe.galenos.2025.2025-2-14" TargetMode="External"/><Relationship Id="rId58" Type="http://schemas.openxmlformats.org/officeDocument/2006/relationships/hyperlink" Target="https://doi.org/10.3389/fgene.2025.1661127" TargetMode="External"/><Relationship Id="rId74" Type="http://schemas.openxmlformats.org/officeDocument/2006/relationships/hyperlink" Target="https://doi.org/10.1016/j.iswa.2022.200141" TargetMode="External"/><Relationship Id="rId79" Type="http://schemas.openxmlformats.org/officeDocument/2006/relationships/hyperlink" Target="https://doi.org/10.1093/jsxmed/qdaf382" TargetMode="External"/><Relationship Id="rId5" Type="http://schemas.openxmlformats.org/officeDocument/2006/relationships/webSettings" Target="webSettings.xml"/><Relationship Id="rId14" Type="http://schemas.openxmlformats.org/officeDocument/2006/relationships/hyperlink" Target="https://doi.org/10.20473/jps.v12i1.29117" TargetMode="External"/><Relationship Id="rId22" Type="http://schemas.openxmlformats.org/officeDocument/2006/relationships/hyperlink" Target="https://doi.org/10.25259/JPED_81_2025" TargetMode="External"/><Relationship Id="rId27" Type="http://schemas.openxmlformats.org/officeDocument/2006/relationships/hyperlink" Target="https://doi.org/10.1186/s43042-025-00681-z" TargetMode="External"/><Relationship Id="rId30" Type="http://schemas.openxmlformats.org/officeDocument/2006/relationships/hyperlink" Target="https://doi.org/10.4103/0019-5049.190618" TargetMode="External"/><Relationship Id="rId35" Type="http://schemas.openxmlformats.org/officeDocument/2006/relationships/hyperlink" Target="https://doi.org/10.1297/cpe.2025-0073" TargetMode="External"/><Relationship Id="rId43" Type="http://schemas.openxmlformats.org/officeDocument/2006/relationships/hyperlink" Target="https://doi.org/10.4274/jcrpe.galenos.2024.2024-3-3" TargetMode="External"/><Relationship Id="rId48" Type="http://schemas.openxmlformats.org/officeDocument/2006/relationships/hyperlink" Target="http://www.ncbi.nlm.nih.gov/books/NBK557435/" TargetMode="External"/><Relationship Id="rId56" Type="http://schemas.openxmlformats.org/officeDocument/2006/relationships/hyperlink" Target="https://doi.org/10.1016/j.jpurol.2024.03.002" TargetMode="External"/><Relationship Id="rId64" Type="http://schemas.openxmlformats.org/officeDocument/2006/relationships/hyperlink" Target="https://doi.org/10.3389/fruro.2023.1281181" TargetMode="External"/><Relationship Id="rId69" Type="http://schemas.openxmlformats.org/officeDocument/2006/relationships/hyperlink" Target="https://doi.org/10.1016/j.jpedsurg.2024.162067" TargetMode="External"/><Relationship Id="rId77" Type="http://schemas.openxmlformats.org/officeDocument/2006/relationships/hyperlink" Target="https://doi.org/10.3389/fped.2025.1488411" TargetMode="External"/><Relationship Id="rId8" Type="http://schemas.openxmlformats.org/officeDocument/2006/relationships/image" Target="media/image1.png"/><Relationship Id="rId51" Type="http://schemas.openxmlformats.org/officeDocument/2006/relationships/hyperlink" Target="https://doi.org/10.1101/2024.03.11.24304115" TargetMode="External"/><Relationship Id="rId72" Type="http://schemas.openxmlformats.org/officeDocument/2006/relationships/hyperlink" Target="https://doi.org/10.3390/medicina61111965" TargetMode="External"/><Relationship Id="rId80" Type="http://schemas.openxmlformats.org/officeDocument/2006/relationships/hyperlink" Target="https://doi.org/10.3389/fendo.2024.1354759"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doi.org/10.7759/cureus.67571" TargetMode="External"/><Relationship Id="rId17" Type="http://schemas.openxmlformats.org/officeDocument/2006/relationships/hyperlink" Target="https://doi.org/10.1007/s10508-021-01953-6" TargetMode="External"/><Relationship Id="rId25" Type="http://schemas.openxmlformats.org/officeDocument/2006/relationships/hyperlink" Target="https://doi.org/10.1016/j.beem.2025.102016" TargetMode="External"/><Relationship Id="rId33" Type="http://schemas.openxmlformats.org/officeDocument/2006/relationships/hyperlink" Target="https://doi.org/10.3389/fped.2025.1646197" TargetMode="External"/><Relationship Id="rId38" Type="http://schemas.openxmlformats.org/officeDocument/2006/relationships/hyperlink" Target="https://doi.org/10.3390/ijerph182111152" TargetMode="External"/><Relationship Id="rId46" Type="http://schemas.openxmlformats.org/officeDocument/2006/relationships/hyperlink" Target="https://doi.org/10.3389/fruro.2023.1188822" TargetMode="External"/><Relationship Id="rId59" Type="http://schemas.openxmlformats.org/officeDocument/2006/relationships/hyperlink" Target="https://doi.org/10.3389/fgene.2025.1661127" TargetMode="External"/><Relationship Id="rId67" Type="http://schemas.openxmlformats.org/officeDocument/2006/relationships/hyperlink" Target="https://doi.org/10.1186/s12910-025-01216-2" TargetMode="External"/><Relationship Id="rId20" Type="http://schemas.openxmlformats.org/officeDocument/2006/relationships/hyperlink" Target="https://doi.org/10.1093/ejendo/lvag009" TargetMode="External"/><Relationship Id="rId41" Type="http://schemas.openxmlformats.org/officeDocument/2006/relationships/hyperlink" Target="https://doi.org/10.1177/00099228241299909" TargetMode="External"/><Relationship Id="rId54" Type="http://schemas.openxmlformats.org/officeDocument/2006/relationships/hyperlink" Target="https://doi.org/10.1136/bmj.n71" TargetMode="External"/><Relationship Id="rId62" Type="http://schemas.openxmlformats.org/officeDocument/2006/relationships/hyperlink" Target="https://doi.org/10.3390/children11091104" TargetMode="External"/><Relationship Id="rId70" Type="http://schemas.openxmlformats.org/officeDocument/2006/relationships/hyperlink" Target="https://doi.org/10.1080/02646838.2024.2439926" TargetMode="External"/><Relationship Id="rId75" Type="http://schemas.openxmlformats.org/officeDocument/2006/relationships/hyperlink" Target="https://doi.org/10.1016/j.iswa.2022.200141"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0473/jps.v12i1.29117" TargetMode="External"/><Relationship Id="rId23" Type="http://schemas.openxmlformats.org/officeDocument/2006/relationships/hyperlink" Target="https://doi.org/10.25259/JPED_81_2025" TargetMode="External"/><Relationship Id="rId28" Type="http://schemas.openxmlformats.org/officeDocument/2006/relationships/hyperlink" Target="https://doi.org/10.3390/bs14090832" TargetMode="External"/><Relationship Id="rId36" Type="http://schemas.openxmlformats.org/officeDocument/2006/relationships/hyperlink" Target="https://doi.org/10.52403/ijhsr.20240209" TargetMode="External"/><Relationship Id="rId49" Type="http://schemas.openxmlformats.org/officeDocument/2006/relationships/hyperlink" Target="http://www.ncbi.nlm.nih.gov/books/NBK557435/" TargetMode="External"/><Relationship Id="rId57" Type="http://schemas.openxmlformats.org/officeDocument/2006/relationships/hyperlink" Target="https://doi.org/10.1016/j.jpurol.2024.03.002" TargetMode="External"/><Relationship Id="rId10" Type="http://schemas.openxmlformats.org/officeDocument/2006/relationships/hyperlink" Target="https://doi.org/10.1159/000524517" TargetMode="External"/><Relationship Id="rId31" Type="http://schemas.openxmlformats.org/officeDocument/2006/relationships/hyperlink" Target="https://doi.org/10.4103/0019-5049.190618" TargetMode="External"/><Relationship Id="rId44" Type="http://schemas.openxmlformats.org/officeDocument/2006/relationships/hyperlink" Target="https://doi.org/10.1007/s00261-023-04066-x" TargetMode="External"/><Relationship Id="rId52" Type="http://schemas.openxmlformats.org/officeDocument/2006/relationships/hyperlink" Target="https://doi.org/10.4274/jcrpe.galenos.2025.2025-2-14" TargetMode="External"/><Relationship Id="rId60" Type="http://schemas.openxmlformats.org/officeDocument/2006/relationships/hyperlink" Target="https://doi.org/10.14710/dimj.v5i2.25084" TargetMode="External"/><Relationship Id="rId65" Type="http://schemas.openxmlformats.org/officeDocument/2006/relationships/hyperlink" Target="https://doi.org/10.3389/fruro.2023.1281181" TargetMode="External"/><Relationship Id="rId73" Type="http://schemas.openxmlformats.org/officeDocument/2006/relationships/hyperlink" Target="https://doi.org/10.3390/medicina61111965" TargetMode="External"/><Relationship Id="rId78" Type="http://schemas.openxmlformats.org/officeDocument/2006/relationships/hyperlink" Target="https://doi.org/10.1093/jsxmed/qdaf382" TargetMode="External"/><Relationship Id="rId81" Type="http://schemas.openxmlformats.org/officeDocument/2006/relationships/hyperlink" Target="https://doi.org/10.3389/fendo.2024.1354759" TargetMode="External"/><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7759/cureus.67571" TargetMode="External"/><Relationship Id="rId18" Type="http://schemas.openxmlformats.org/officeDocument/2006/relationships/hyperlink" Target="https://doi.org/10.1016/j.beem.2025.102002" TargetMode="External"/><Relationship Id="rId39" Type="http://schemas.openxmlformats.org/officeDocument/2006/relationships/hyperlink" Target="https://doi.org/10.3390/ijerph182111152" TargetMode="External"/><Relationship Id="rId34" Type="http://schemas.openxmlformats.org/officeDocument/2006/relationships/hyperlink" Target="https://doi.org/10.1297/cpe.2025-0073" TargetMode="External"/><Relationship Id="rId50" Type="http://schemas.openxmlformats.org/officeDocument/2006/relationships/hyperlink" Target="https://doi.org/10.1101/2024.03.11.24304115" TargetMode="External"/><Relationship Id="rId55" Type="http://schemas.openxmlformats.org/officeDocument/2006/relationships/hyperlink" Target="https://doi.org/10.1136/bmj.n71" TargetMode="External"/><Relationship Id="rId76" Type="http://schemas.openxmlformats.org/officeDocument/2006/relationships/hyperlink" Target="https://doi.org/10.3389/fped.2025.1488411" TargetMode="External"/><Relationship Id="rId7" Type="http://schemas.openxmlformats.org/officeDocument/2006/relationships/endnotes" Target="endnotes.xml"/><Relationship Id="rId71" Type="http://schemas.openxmlformats.org/officeDocument/2006/relationships/hyperlink" Target="https://doi.org/10.1080/02646838.2024.2439926" TargetMode="External"/><Relationship Id="rId2" Type="http://schemas.openxmlformats.org/officeDocument/2006/relationships/numbering" Target="numbering.xml"/><Relationship Id="rId29" Type="http://schemas.openxmlformats.org/officeDocument/2006/relationships/hyperlink" Target="https://doi.org/10.3390/bs14090832" TargetMode="External"/><Relationship Id="rId24" Type="http://schemas.openxmlformats.org/officeDocument/2006/relationships/hyperlink" Target="https://doi.org/10.1016/j.beem.2025.102016" TargetMode="External"/><Relationship Id="rId40" Type="http://schemas.openxmlformats.org/officeDocument/2006/relationships/hyperlink" Target="https://doi.org/10.1177/00099228241299909" TargetMode="External"/><Relationship Id="rId45" Type="http://schemas.openxmlformats.org/officeDocument/2006/relationships/hyperlink" Target="https://doi.org/10.1007/s00261-023-04066-x" TargetMode="External"/><Relationship Id="rId66" Type="http://schemas.openxmlformats.org/officeDocument/2006/relationships/hyperlink" Target="https://doi.org/10.1186/s12910-025-01216-2" TargetMode="External"/><Relationship Id="rId87" Type="http://schemas.openxmlformats.org/officeDocument/2006/relationships/footer" Target="footer3.xml"/><Relationship Id="rId61" Type="http://schemas.openxmlformats.org/officeDocument/2006/relationships/hyperlink" Target="https://doi.org/10.14710/dimj.v5i2.25084" TargetMode="External"/><Relationship Id="rId82" Type="http://schemas.openxmlformats.org/officeDocument/2006/relationships/header" Target="header1.xml"/><Relationship Id="rId19" Type="http://schemas.openxmlformats.org/officeDocument/2006/relationships/hyperlink" Target="https://doi.org/10.1016/j.beem.2025.10200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VRIHMwfrVR44kGcL28Fl1CirBQ==">CgMxLjAyDmguNXcwcWJ3YjRrM3pmMg5oLm45bG43d2U0OHJ6ODIOaC5rNTlkemg4bXE5eTAyDmguZDB3YnZzNXJlYTQ5Mg5oLmRyazJhOWhpZmE5MjIOaC54ZHg3Z29jMDV1NWcyDmguN2F2aWV0MTQxNmR0Mg5oLjE0ZzVkbGdidXgyYTIOaC5pdzJzcHh1MGh4cGIyDmgud2I1Mnp4aWhoczlzMg5oLjdlZnZkYWUweGdxbzIOaC5rd3RzamZuZDdxaTAyDWguZGw2ZDJjenczYzkyDmgubmIyNmxieTd4dXI3Mg5oLnY3aHk2dDI0bnl4ZTgAciExUUtjX19kREJfS0xBNWVxdTQzR09ScDhDd0N1VkdkR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9011</Words>
  <Characters>51364</Characters>
  <Application>Microsoft Office Word</Application>
  <DocSecurity>0</DocSecurity>
  <Lines>428</Lines>
  <Paragraphs>120</Paragraphs>
  <ScaleCrop>false</ScaleCrop>
  <Company/>
  <LinksUpToDate>false</LinksUpToDate>
  <CharactersWithSpaces>60255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5</cp:revision>
  <dcterms:created xsi:type="dcterms:W3CDTF">2026-03-24T10:39:00Z</dcterms:created>
  <dcterms:modified xsi:type="dcterms:W3CDTF">2026-04-04T10:09:00Z</dcterms:modified>
</cp:coreProperties>
</file>