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1292B" w14:textId="7DF548F5" w:rsidR="00804CD4" w:rsidRPr="00C1255F" w:rsidRDefault="00804CD4" w:rsidP="00A7088B">
      <w:pPr>
        <w:shd w:val="clear" w:color="auto" w:fill="FFFFFF"/>
        <w:spacing w:before="100" w:beforeAutospacing="1" w:after="240" w:line="240" w:lineRule="auto"/>
        <w:jc w:val="center"/>
        <w:outlineLvl w:val="0"/>
        <w:rPr>
          <w:rFonts w:ascii="Times New Roman" w:eastAsia="Times New Roman" w:hAnsi="Times New Roman" w:cs="Times New Roman"/>
          <w:b/>
          <w:bCs/>
          <w:i/>
          <w:color w:val="000000" w:themeColor="text1"/>
          <w:kern w:val="36"/>
          <w:sz w:val="28"/>
          <w:szCs w:val="28"/>
        </w:rPr>
      </w:pPr>
      <w:r w:rsidRPr="00C1255F">
        <w:rPr>
          <w:rFonts w:ascii="Times New Roman" w:eastAsia="Times New Roman" w:hAnsi="Times New Roman" w:cs="Times New Roman"/>
          <w:b/>
          <w:bCs/>
          <w:i/>
          <w:color w:val="000000" w:themeColor="text1"/>
          <w:kern w:val="36"/>
          <w:sz w:val="28"/>
          <w:szCs w:val="28"/>
        </w:rPr>
        <w:t>ORIGINAL RESEARCH ARTICLE</w:t>
      </w:r>
    </w:p>
    <w:p w14:paraId="7B1A38F9" w14:textId="77777777" w:rsidR="00A7088B" w:rsidRPr="00C1255F" w:rsidRDefault="00A7088B" w:rsidP="00A7088B">
      <w:pPr>
        <w:shd w:val="clear" w:color="auto" w:fill="FFFFFF"/>
        <w:spacing w:before="100" w:beforeAutospacing="1" w:after="240" w:line="240" w:lineRule="auto"/>
        <w:jc w:val="center"/>
        <w:outlineLvl w:val="0"/>
        <w:rPr>
          <w:rFonts w:ascii="Times New Roman" w:eastAsia="Times New Roman" w:hAnsi="Times New Roman" w:cs="Times New Roman"/>
          <w:b/>
          <w:bCs/>
          <w:color w:val="000000" w:themeColor="text1"/>
          <w:kern w:val="36"/>
        </w:rPr>
      </w:pPr>
      <w:r w:rsidRPr="00C1255F">
        <w:rPr>
          <w:rFonts w:ascii="Times New Roman" w:eastAsia="Times New Roman" w:hAnsi="Times New Roman" w:cs="Times New Roman"/>
          <w:b/>
          <w:bCs/>
          <w:color w:val="000000" w:themeColor="text1"/>
          <w:kern w:val="36"/>
        </w:rPr>
        <w:t>Risk Factors and Antibiotic Resistance Patterns of MBL-Producing </w:t>
      </w:r>
      <w:r w:rsidRPr="00C1255F">
        <w:rPr>
          <w:rFonts w:ascii="Times New Roman" w:eastAsia="Times New Roman" w:hAnsi="Times New Roman" w:cs="Times New Roman"/>
          <w:b/>
          <w:bCs/>
          <w:i/>
          <w:iCs/>
          <w:color w:val="000000" w:themeColor="text1"/>
          <w:kern w:val="36"/>
        </w:rPr>
        <w:t>Pseudomonas aeruginosa</w:t>
      </w:r>
      <w:r w:rsidRPr="00C1255F">
        <w:rPr>
          <w:rFonts w:ascii="Times New Roman" w:eastAsia="Times New Roman" w:hAnsi="Times New Roman" w:cs="Times New Roman"/>
          <w:b/>
          <w:bCs/>
          <w:color w:val="000000" w:themeColor="text1"/>
          <w:kern w:val="36"/>
        </w:rPr>
        <w:t> in Outpatients and Inpatients in Southeast Nigeria</w:t>
      </w:r>
    </w:p>
    <w:p w14:paraId="38089DA5" w14:textId="77777777" w:rsidR="00DC0037" w:rsidRPr="00C1255F" w:rsidRDefault="00DC0037" w:rsidP="00DC0037">
      <w:pPr>
        <w:pStyle w:val="NoSpacing"/>
        <w:rPr>
          <w:rFonts w:ascii="Times New Roman" w:hAnsi="Times New Roman"/>
          <w:b/>
          <w:color w:val="000000" w:themeColor="text1"/>
          <w:sz w:val="32"/>
          <w:szCs w:val="32"/>
        </w:rPr>
      </w:pPr>
    </w:p>
    <w:p w14:paraId="5B58F1B8" w14:textId="77777777" w:rsidR="00D90282" w:rsidRPr="00C1255F" w:rsidRDefault="00D90282" w:rsidP="007625E7">
      <w:pPr>
        <w:pStyle w:val="Heading2"/>
        <w:shd w:val="clear" w:color="auto" w:fill="FFFFFF"/>
        <w:spacing w:before="0"/>
        <w:jc w:val="both"/>
        <w:rPr>
          <w:rFonts w:ascii="Times New Roman" w:hAnsi="Times New Roman" w:cs="Times New Roman"/>
          <w:b/>
          <w:color w:val="000000" w:themeColor="text1"/>
          <w:sz w:val="22"/>
          <w:szCs w:val="22"/>
        </w:rPr>
      </w:pPr>
    </w:p>
    <w:p w14:paraId="0124C741" w14:textId="05A9BA33" w:rsidR="007625E7" w:rsidRPr="00C1255F" w:rsidRDefault="007625E7" w:rsidP="007625E7">
      <w:pPr>
        <w:pStyle w:val="Heading2"/>
        <w:shd w:val="clear" w:color="auto" w:fill="FFFFFF"/>
        <w:spacing w:before="0"/>
        <w:jc w:val="both"/>
        <w:rPr>
          <w:rFonts w:ascii="Times New Roman" w:hAnsi="Times New Roman" w:cs="Times New Roman"/>
          <w:b/>
          <w:color w:val="000000" w:themeColor="text1"/>
          <w:sz w:val="22"/>
          <w:szCs w:val="22"/>
        </w:rPr>
      </w:pPr>
      <w:r w:rsidRPr="00C1255F">
        <w:rPr>
          <w:rFonts w:ascii="Times New Roman" w:hAnsi="Times New Roman" w:cs="Times New Roman"/>
          <w:b/>
          <w:color w:val="000000" w:themeColor="text1"/>
          <w:sz w:val="22"/>
          <w:szCs w:val="22"/>
        </w:rPr>
        <w:t>ABSTRACT</w:t>
      </w:r>
    </w:p>
    <w:p w14:paraId="7AFCBD22" w14:textId="77777777" w:rsidR="007625E7" w:rsidRPr="00C1255F" w:rsidRDefault="007625E7" w:rsidP="007625E7">
      <w:pPr>
        <w:pStyle w:val="ds-markdown-paragraph"/>
        <w:shd w:val="clear" w:color="auto" w:fill="FFFFFF"/>
        <w:spacing w:before="0" w:beforeAutospacing="0" w:after="0" w:afterAutospacing="0"/>
        <w:jc w:val="both"/>
        <w:rPr>
          <w:color w:val="000000" w:themeColor="text1"/>
          <w:sz w:val="22"/>
          <w:szCs w:val="22"/>
        </w:rPr>
      </w:pPr>
      <w:r w:rsidRPr="00C1255F">
        <w:rPr>
          <w:rStyle w:val="Strong"/>
          <w:rFonts w:eastAsiaTheme="majorEastAsia"/>
          <w:color w:val="000000" w:themeColor="text1"/>
          <w:sz w:val="22"/>
          <w:szCs w:val="22"/>
        </w:rPr>
        <w:t>Background:</w:t>
      </w:r>
      <w:r w:rsidRPr="00C1255F">
        <w:rPr>
          <w:color w:val="000000" w:themeColor="text1"/>
          <w:sz w:val="22"/>
          <w:szCs w:val="22"/>
        </w:rPr>
        <w:t> Metallo-β-lactamase (MBL)-producing </w:t>
      </w:r>
      <w:r w:rsidRPr="00C1255F">
        <w:rPr>
          <w:rStyle w:val="Emphasis"/>
          <w:color w:val="000000" w:themeColor="text1"/>
          <w:sz w:val="22"/>
          <w:szCs w:val="22"/>
        </w:rPr>
        <w:t>Pseudomonas aeruginosa</w:t>
      </w:r>
      <w:r w:rsidRPr="00C1255F">
        <w:rPr>
          <w:color w:val="000000" w:themeColor="text1"/>
          <w:sz w:val="22"/>
          <w:szCs w:val="22"/>
        </w:rPr>
        <w:t> represents a critical public health threat due to limited treatment options. Understanding differences between outpatient and inpatient isolates is essential for implementing targeted infection control strategies.</w:t>
      </w:r>
    </w:p>
    <w:p w14:paraId="4CF0CE38" w14:textId="5F2A4092" w:rsidR="007625E7" w:rsidRPr="00C1255F" w:rsidRDefault="007625E7" w:rsidP="007625E7">
      <w:pPr>
        <w:pStyle w:val="ds-markdown-paragraph"/>
        <w:shd w:val="clear" w:color="auto" w:fill="FFFFFF"/>
        <w:spacing w:before="0" w:beforeAutospacing="0" w:after="0" w:afterAutospacing="0"/>
        <w:jc w:val="both"/>
        <w:rPr>
          <w:color w:val="000000" w:themeColor="text1"/>
          <w:sz w:val="22"/>
          <w:szCs w:val="22"/>
        </w:rPr>
      </w:pPr>
      <w:r w:rsidRPr="00C1255F">
        <w:rPr>
          <w:rStyle w:val="Strong"/>
          <w:rFonts w:eastAsiaTheme="majorEastAsia"/>
          <w:color w:val="000000" w:themeColor="text1"/>
          <w:sz w:val="22"/>
          <w:szCs w:val="22"/>
        </w:rPr>
        <w:t>Methods:</w:t>
      </w:r>
      <w:r w:rsidRPr="00C1255F">
        <w:rPr>
          <w:color w:val="000000" w:themeColor="text1"/>
          <w:sz w:val="22"/>
          <w:szCs w:val="22"/>
        </w:rPr>
        <w:t> A total of 400 clinical samples (urine, wound swabs, and high vaginal swabs) were collected from patients at Enugu State Unive</w:t>
      </w:r>
      <w:bookmarkStart w:id="0" w:name="_GoBack"/>
      <w:bookmarkEnd w:id="0"/>
      <w:r w:rsidRPr="00C1255F">
        <w:rPr>
          <w:color w:val="000000" w:themeColor="text1"/>
          <w:sz w:val="22"/>
          <w:szCs w:val="22"/>
        </w:rPr>
        <w:t xml:space="preserve">rsity Teaching Hospital, </w:t>
      </w:r>
      <w:r w:rsidR="00D079E9" w:rsidRPr="00C1255F">
        <w:rPr>
          <w:color w:val="000000" w:themeColor="text1"/>
          <w:sz w:val="22"/>
          <w:szCs w:val="22"/>
        </w:rPr>
        <w:t xml:space="preserve">Enugu </w:t>
      </w:r>
      <w:r w:rsidRPr="00C1255F">
        <w:rPr>
          <w:color w:val="000000" w:themeColor="text1"/>
          <w:sz w:val="22"/>
          <w:szCs w:val="22"/>
        </w:rPr>
        <w:t>Nigeria. </w:t>
      </w:r>
      <w:r w:rsidRPr="00C1255F">
        <w:rPr>
          <w:rStyle w:val="Emphasis"/>
          <w:color w:val="000000" w:themeColor="text1"/>
          <w:sz w:val="22"/>
          <w:szCs w:val="22"/>
        </w:rPr>
        <w:t>P. aeruginosa</w:t>
      </w:r>
      <w:r w:rsidRPr="00C1255F">
        <w:rPr>
          <w:color w:val="000000" w:themeColor="text1"/>
          <w:sz w:val="22"/>
          <w:szCs w:val="22"/>
        </w:rPr>
        <w:t> was identified using standard microbiological techniques. MBL production was phenotypically screened using the Imipenem-EDTA combined disc test. Antibiotic susceptibility was determined by Kirby-Bauer disc diffusion method. Multiple Antibiotic Resistance (MAR) index was calculated</w:t>
      </w:r>
      <w:r w:rsidR="00D079E9" w:rsidRPr="00C1255F">
        <w:rPr>
          <w:color w:val="000000" w:themeColor="text1"/>
          <w:sz w:val="22"/>
          <w:szCs w:val="22"/>
        </w:rPr>
        <w:t xml:space="preserve"> using standard formular and</w:t>
      </w:r>
      <w:r w:rsidRPr="00C1255F">
        <w:rPr>
          <w:color w:val="000000" w:themeColor="text1"/>
          <w:sz w:val="22"/>
          <w:szCs w:val="22"/>
        </w:rPr>
        <w:t xml:space="preserve"> </w:t>
      </w:r>
      <w:r w:rsidR="00D079E9" w:rsidRPr="00C1255F">
        <w:rPr>
          <w:color w:val="000000" w:themeColor="text1"/>
          <w:sz w:val="22"/>
          <w:szCs w:val="22"/>
        </w:rPr>
        <w:t>d</w:t>
      </w:r>
      <w:r w:rsidRPr="00C1255F">
        <w:rPr>
          <w:color w:val="000000" w:themeColor="text1"/>
          <w:sz w:val="22"/>
          <w:szCs w:val="22"/>
        </w:rPr>
        <w:t>emographic and clinical risk factors were analyzed.</w:t>
      </w:r>
    </w:p>
    <w:p w14:paraId="4D240BF1" w14:textId="51EE90DC" w:rsidR="007625E7" w:rsidRPr="00C1255F" w:rsidRDefault="007625E7" w:rsidP="007625E7">
      <w:pPr>
        <w:pStyle w:val="ds-markdown-paragraph"/>
        <w:shd w:val="clear" w:color="auto" w:fill="FFFFFF"/>
        <w:spacing w:before="0" w:beforeAutospacing="0" w:after="0" w:afterAutospacing="0"/>
        <w:jc w:val="both"/>
        <w:rPr>
          <w:color w:val="000000" w:themeColor="text1"/>
          <w:sz w:val="22"/>
          <w:szCs w:val="22"/>
        </w:rPr>
      </w:pPr>
      <w:r w:rsidRPr="00C1255F">
        <w:rPr>
          <w:rStyle w:val="Strong"/>
          <w:rFonts w:eastAsiaTheme="majorEastAsia"/>
          <w:color w:val="000000" w:themeColor="text1"/>
          <w:sz w:val="22"/>
          <w:szCs w:val="22"/>
        </w:rPr>
        <w:t>Results:</w:t>
      </w:r>
      <w:r w:rsidRPr="00C1255F">
        <w:rPr>
          <w:color w:val="000000" w:themeColor="text1"/>
          <w:sz w:val="22"/>
          <w:szCs w:val="22"/>
        </w:rPr>
        <w:t> Of 400 samples, 131 (32.75</w:t>
      </w:r>
      <w:r w:rsidR="00D079E9" w:rsidRPr="00C1255F">
        <w:rPr>
          <w:color w:val="000000" w:themeColor="text1"/>
          <w:sz w:val="22"/>
          <w:szCs w:val="22"/>
        </w:rPr>
        <w:t xml:space="preserve"> </w:t>
      </w:r>
      <w:r w:rsidRPr="00C1255F">
        <w:rPr>
          <w:color w:val="000000" w:themeColor="text1"/>
          <w:sz w:val="22"/>
          <w:szCs w:val="22"/>
        </w:rPr>
        <w:t>%) yielded </w:t>
      </w:r>
      <w:r w:rsidRPr="00C1255F">
        <w:rPr>
          <w:rStyle w:val="Emphasis"/>
          <w:color w:val="000000" w:themeColor="text1"/>
          <w:sz w:val="22"/>
          <w:szCs w:val="22"/>
        </w:rPr>
        <w:t>P. aeruginosa</w:t>
      </w:r>
      <w:r w:rsidRPr="00C1255F">
        <w:rPr>
          <w:color w:val="000000" w:themeColor="text1"/>
          <w:sz w:val="22"/>
          <w:szCs w:val="22"/>
        </w:rPr>
        <w:t>, with 53 (13.25</w:t>
      </w:r>
      <w:r w:rsidR="00D079E9" w:rsidRPr="00C1255F">
        <w:rPr>
          <w:color w:val="000000" w:themeColor="text1"/>
          <w:sz w:val="22"/>
          <w:szCs w:val="22"/>
        </w:rPr>
        <w:t xml:space="preserve"> </w:t>
      </w:r>
      <w:r w:rsidRPr="00C1255F">
        <w:rPr>
          <w:color w:val="000000" w:themeColor="text1"/>
          <w:sz w:val="22"/>
          <w:szCs w:val="22"/>
        </w:rPr>
        <w:t>%) confirmed as MBL-producers. Outpatients showed higher MBL prevalence (14.23</w:t>
      </w:r>
      <w:r w:rsidR="00D079E9" w:rsidRPr="00C1255F">
        <w:rPr>
          <w:color w:val="000000" w:themeColor="text1"/>
          <w:sz w:val="22"/>
          <w:szCs w:val="22"/>
        </w:rPr>
        <w:t xml:space="preserve"> </w:t>
      </w:r>
      <w:r w:rsidRPr="00C1255F">
        <w:rPr>
          <w:color w:val="000000" w:themeColor="text1"/>
          <w:sz w:val="22"/>
          <w:szCs w:val="22"/>
        </w:rPr>
        <w:t>%) compared to inpatients (11.56</w:t>
      </w:r>
      <w:r w:rsidR="00D079E9" w:rsidRPr="00C1255F">
        <w:rPr>
          <w:color w:val="000000" w:themeColor="text1"/>
          <w:sz w:val="22"/>
          <w:szCs w:val="22"/>
        </w:rPr>
        <w:t xml:space="preserve"> </w:t>
      </w:r>
      <w:r w:rsidRPr="00C1255F">
        <w:rPr>
          <w:color w:val="000000" w:themeColor="text1"/>
          <w:sz w:val="22"/>
          <w:szCs w:val="22"/>
        </w:rPr>
        <w:t xml:space="preserve">%). The highest MBL-positive rate </w:t>
      </w:r>
      <w:r w:rsidR="00D079E9" w:rsidRPr="00C1255F">
        <w:rPr>
          <w:color w:val="000000" w:themeColor="text1"/>
          <w:sz w:val="22"/>
          <w:szCs w:val="22"/>
        </w:rPr>
        <w:t xml:space="preserve">of </w:t>
      </w:r>
      <w:r w:rsidRPr="00C1255F">
        <w:rPr>
          <w:color w:val="000000" w:themeColor="text1"/>
          <w:sz w:val="22"/>
          <w:szCs w:val="22"/>
        </w:rPr>
        <w:t>(23.26</w:t>
      </w:r>
      <w:r w:rsidR="00D079E9" w:rsidRPr="00C1255F">
        <w:rPr>
          <w:color w:val="000000" w:themeColor="text1"/>
          <w:sz w:val="22"/>
          <w:szCs w:val="22"/>
        </w:rPr>
        <w:t xml:space="preserve"> </w:t>
      </w:r>
      <w:r w:rsidRPr="00C1255F">
        <w:rPr>
          <w:color w:val="000000" w:themeColor="text1"/>
          <w:sz w:val="22"/>
          <w:szCs w:val="22"/>
        </w:rPr>
        <w:t xml:space="preserve">%) occurred in </w:t>
      </w:r>
      <w:r w:rsidR="00A72C91" w:rsidRPr="00C1255F">
        <w:rPr>
          <w:color w:val="000000" w:themeColor="text1"/>
          <w:sz w:val="22"/>
          <w:szCs w:val="22"/>
        </w:rPr>
        <w:t>patient’s</w:t>
      </w:r>
      <w:r w:rsidRPr="00C1255F">
        <w:rPr>
          <w:color w:val="000000" w:themeColor="text1"/>
          <w:sz w:val="22"/>
          <w:szCs w:val="22"/>
        </w:rPr>
        <w:t xml:space="preserve"> ≥</w:t>
      </w:r>
      <w:r w:rsidR="00D079E9" w:rsidRPr="00C1255F">
        <w:rPr>
          <w:color w:val="000000" w:themeColor="text1"/>
          <w:sz w:val="22"/>
          <w:szCs w:val="22"/>
        </w:rPr>
        <w:t xml:space="preserve"> </w:t>
      </w:r>
      <w:r w:rsidRPr="00C1255F">
        <w:rPr>
          <w:color w:val="000000" w:themeColor="text1"/>
          <w:sz w:val="22"/>
          <w:szCs w:val="22"/>
        </w:rPr>
        <w:t>46 years. Female gender was associated with higher MBL carriage (17.65</w:t>
      </w:r>
      <w:r w:rsidR="00D079E9" w:rsidRPr="00C1255F">
        <w:rPr>
          <w:color w:val="000000" w:themeColor="text1"/>
          <w:sz w:val="22"/>
          <w:szCs w:val="22"/>
        </w:rPr>
        <w:t xml:space="preserve"> </w:t>
      </w:r>
      <w:r w:rsidRPr="00C1255F">
        <w:rPr>
          <w:color w:val="000000" w:themeColor="text1"/>
          <w:sz w:val="22"/>
          <w:szCs w:val="22"/>
        </w:rPr>
        <w:t>% v</w:t>
      </w:r>
      <w:r w:rsidR="00F33C9C" w:rsidRPr="00C1255F">
        <w:rPr>
          <w:color w:val="000000" w:themeColor="text1"/>
          <w:sz w:val="22"/>
          <w:szCs w:val="22"/>
        </w:rPr>
        <w:t>ersus</w:t>
      </w:r>
      <w:r w:rsidRPr="00C1255F">
        <w:rPr>
          <w:color w:val="000000" w:themeColor="text1"/>
          <w:sz w:val="22"/>
          <w:szCs w:val="22"/>
        </w:rPr>
        <w:t xml:space="preserve"> 7.82</w:t>
      </w:r>
      <w:r w:rsidR="00D079E9" w:rsidRPr="00C1255F">
        <w:rPr>
          <w:color w:val="000000" w:themeColor="text1"/>
          <w:sz w:val="22"/>
          <w:szCs w:val="22"/>
        </w:rPr>
        <w:t xml:space="preserve"> </w:t>
      </w:r>
      <w:r w:rsidRPr="00C1255F">
        <w:rPr>
          <w:color w:val="000000" w:themeColor="text1"/>
          <w:sz w:val="22"/>
          <w:szCs w:val="22"/>
        </w:rPr>
        <w:t>% in males; p</w:t>
      </w:r>
      <w:r w:rsidR="00D079E9" w:rsidRPr="00C1255F">
        <w:rPr>
          <w:color w:val="000000" w:themeColor="text1"/>
          <w:sz w:val="22"/>
          <w:szCs w:val="22"/>
        </w:rPr>
        <w:t xml:space="preserve"> </w:t>
      </w:r>
      <w:r w:rsidRPr="00C1255F">
        <w:rPr>
          <w:color w:val="000000" w:themeColor="text1"/>
          <w:sz w:val="22"/>
          <w:szCs w:val="22"/>
        </w:rPr>
        <w:t>&lt;</w:t>
      </w:r>
      <w:r w:rsidR="00D079E9" w:rsidRPr="00C1255F">
        <w:rPr>
          <w:color w:val="000000" w:themeColor="text1"/>
          <w:sz w:val="22"/>
          <w:szCs w:val="22"/>
        </w:rPr>
        <w:t xml:space="preserve"> </w:t>
      </w:r>
      <w:r w:rsidRPr="00C1255F">
        <w:rPr>
          <w:color w:val="000000" w:themeColor="text1"/>
          <w:sz w:val="22"/>
          <w:szCs w:val="22"/>
        </w:rPr>
        <w:t>0.05). All MBL-producers exhibited 100</w:t>
      </w:r>
      <w:r w:rsidR="00D079E9" w:rsidRPr="00C1255F">
        <w:rPr>
          <w:color w:val="000000" w:themeColor="text1"/>
          <w:sz w:val="22"/>
          <w:szCs w:val="22"/>
        </w:rPr>
        <w:t xml:space="preserve"> </w:t>
      </w:r>
      <w:r w:rsidRPr="00C1255F">
        <w:rPr>
          <w:color w:val="000000" w:themeColor="text1"/>
          <w:sz w:val="22"/>
          <w:szCs w:val="22"/>
        </w:rPr>
        <w:t>% resistance to carbapenems (imipenem, meropenem, ertapenem), amoxicillin-clavulanic acid, and cefoxitin. Inpatient isolates showed significantly lower resistance to piperacillin-tazobactam (0</w:t>
      </w:r>
      <w:r w:rsidR="00D079E9" w:rsidRPr="00C1255F">
        <w:rPr>
          <w:color w:val="000000" w:themeColor="text1"/>
          <w:sz w:val="22"/>
          <w:szCs w:val="22"/>
        </w:rPr>
        <w:t xml:space="preserve"> </w:t>
      </w:r>
      <w:r w:rsidRPr="00C1255F">
        <w:rPr>
          <w:color w:val="000000" w:themeColor="text1"/>
          <w:sz w:val="22"/>
          <w:szCs w:val="22"/>
        </w:rPr>
        <w:t xml:space="preserve">% </w:t>
      </w:r>
      <w:r w:rsidR="00F33C9C" w:rsidRPr="00C1255F">
        <w:rPr>
          <w:color w:val="000000" w:themeColor="text1"/>
          <w:sz w:val="22"/>
          <w:szCs w:val="22"/>
        </w:rPr>
        <w:t xml:space="preserve">versus </w:t>
      </w:r>
      <w:r w:rsidRPr="00C1255F">
        <w:rPr>
          <w:color w:val="000000" w:themeColor="text1"/>
          <w:sz w:val="22"/>
          <w:szCs w:val="22"/>
        </w:rPr>
        <w:t>69.44</w:t>
      </w:r>
      <w:r w:rsidR="00D079E9" w:rsidRPr="00C1255F">
        <w:rPr>
          <w:color w:val="000000" w:themeColor="text1"/>
          <w:sz w:val="22"/>
          <w:szCs w:val="22"/>
        </w:rPr>
        <w:t xml:space="preserve"> </w:t>
      </w:r>
      <w:r w:rsidRPr="00C1255F">
        <w:rPr>
          <w:color w:val="000000" w:themeColor="text1"/>
          <w:sz w:val="22"/>
          <w:szCs w:val="22"/>
        </w:rPr>
        <w:t>%; p</w:t>
      </w:r>
      <w:r w:rsidR="00D079E9" w:rsidRPr="00C1255F">
        <w:rPr>
          <w:color w:val="000000" w:themeColor="text1"/>
          <w:sz w:val="22"/>
          <w:szCs w:val="22"/>
        </w:rPr>
        <w:t xml:space="preserve"> </w:t>
      </w:r>
      <w:r w:rsidRPr="00C1255F">
        <w:rPr>
          <w:color w:val="000000" w:themeColor="text1"/>
          <w:sz w:val="22"/>
          <w:szCs w:val="22"/>
        </w:rPr>
        <w:t>&lt;0.001) and ciprofloxacin (23.53</w:t>
      </w:r>
      <w:r w:rsidR="00D079E9" w:rsidRPr="00C1255F">
        <w:rPr>
          <w:color w:val="000000" w:themeColor="text1"/>
          <w:sz w:val="22"/>
          <w:szCs w:val="22"/>
        </w:rPr>
        <w:t xml:space="preserve"> </w:t>
      </w:r>
      <w:r w:rsidRPr="00C1255F">
        <w:rPr>
          <w:color w:val="000000" w:themeColor="text1"/>
          <w:sz w:val="22"/>
          <w:szCs w:val="22"/>
        </w:rPr>
        <w:t xml:space="preserve">% </w:t>
      </w:r>
      <w:r w:rsidR="00F33C9C" w:rsidRPr="00C1255F">
        <w:rPr>
          <w:color w:val="000000" w:themeColor="text1"/>
          <w:sz w:val="22"/>
          <w:szCs w:val="22"/>
        </w:rPr>
        <w:t xml:space="preserve">versus </w:t>
      </w:r>
      <w:r w:rsidRPr="00C1255F">
        <w:rPr>
          <w:color w:val="000000" w:themeColor="text1"/>
          <w:sz w:val="22"/>
          <w:szCs w:val="22"/>
        </w:rPr>
        <w:t>72.22</w:t>
      </w:r>
      <w:r w:rsidR="00D079E9" w:rsidRPr="00C1255F">
        <w:rPr>
          <w:color w:val="000000" w:themeColor="text1"/>
          <w:sz w:val="22"/>
          <w:szCs w:val="22"/>
        </w:rPr>
        <w:t xml:space="preserve"> </w:t>
      </w:r>
      <w:r w:rsidRPr="00C1255F">
        <w:rPr>
          <w:color w:val="000000" w:themeColor="text1"/>
          <w:sz w:val="22"/>
          <w:szCs w:val="22"/>
        </w:rPr>
        <w:t>%; p</w:t>
      </w:r>
      <w:r w:rsidR="00D079E9" w:rsidRPr="00C1255F">
        <w:rPr>
          <w:color w:val="000000" w:themeColor="text1"/>
          <w:sz w:val="22"/>
          <w:szCs w:val="22"/>
        </w:rPr>
        <w:t xml:space="preserve"> </w:t>
      </w:r>
      <w:r w:rsidRPr="00C1255F">
        <w:rPr>
          <w:color w:val="000000" w:themeColor="text1"/>
          <w:sz w:val="22"/>
          <w:szCs w:val="22"/>
        </w:rPr>
        <w:t>&lt;</w:t>
      </w:r>
      <w:r w:rsidR="00D079E9" w:rsidRPr="00C1255F">
        <w:rPr>
          <w:color w:val="000000" w:themeColor="text1"/>
          <w:sz w:val="22"/>
          <w:szCs w:val="22"/>
        </w:rPr>
        <w:t xml:space="preserve"> </w:t>
      </w:r>
      <w:r w:rsidRPr="00C1255F">
        <w:rPr>
          <w:color w:val="000000" w:themeColor="text1"/>
          <w:sz w:val="22"/>
          <w:szCs w:val="22"/>
        </w:rPr>
        <w:t>0.01) compared to outpatient isolates. Gentamicin remained highly effective (88.24-94.44</w:t>
      </w:r>
      <w:r w:rsidR="00D079E9" w:rsidRPr="00C1255F">
        <w:rPr>
          <w:color w:val="000000" w:themeColor="text1"/>
          <w:sz w:val="22"/>
          <w:szCs w:val="22"/>
        </w:rPr>
        <w:t xml:space="preserve"> </w:t>
      </w:r>
      <w:r w:rsidRPr="00C1255F">
        <w:rPr>
          <w:color w:val="000000" w:themeColor="text1"/>
          <w:sz w:val="22"/>
          <w:szCs w:val="22"/>
        </w:rPr>
        <w:t>% susceptibility). MAR indices ranged from 0.47-0.83, exceeding the 0.2 threshold for high-risk sources.</w:t>
      </w:r>
    </w:p>
    <w:p w14:paraId="7AEAEEF8" w14:textId="2E136C46" w:rsidR="007625E7" w:rsidRPr="00C1255F" w:rsidRDefault="007625E7" w:rsidP="007625E7">
      <w:pPr>
        <w:pStyle w:val="ds-markdown-paragraph"/>
        <w:shd w:val="clear" w:color="auto" w:fill="FFFFFF"/>
        <w:spacing w:before="0" w:beforeAutospacing="0" w:after="0" w:afterAutospacing="0"/>
        <w:jc w:val="both"/>
        <w:rPr>
          <w:color w:val="000000" w:themeColor="text1"/>
          <w:sz w:val="22"/>
          <w:szCs w:val="22"/>
        </w:rPr>
      </w:pPr>
      <w:r w:rsidRPr="00C1255F">
        <w:rPr>
          <w:rStyle w:val="Strong"/>
          <w:rFonts w:eastAsiaTheme="majorEastAsia"/>
          <w:color w:val="000000" w:themeColor="text1"/>
          <w:sz w:val="22"/>
          <w:szCs w:val="22"/>
        </w:rPr>
        <w:t>Conclusion:</w:t>
      </w:r>
      <w:r w:rsidRPr="00C1255F">
        <w:rPr>
          <w:color w:val="000000" w:themeColor="text1"/>
          <w:sz w:val="22"/>
          <w:szCs w:val="22"/>
        </w:rPr>
        <w:t> This study reveals alarming community dissemination of MBL-producing </w:t>
      </w:r>
      <w:r w:rsidRPr="00C1255F">
        <w:rPr>
          <w:rStyle w:val="Emphasis"/>
          <w:color w:val="000000" w:themeColor="text1"/>
          <w:sz w:val="22"/>
          <w:szCs w:val="22"/>
        </w:rPr>
        <w:t>P. aeruginosa</w:t>
      </w:r>
      <w:r w:rsidRPr="00C1255F">
        <w:rPr>
          <w:color w:val="000000" w:themeColor="text1"/>
          <w:sz w:val="22"/>
          <w:szCs w:val="22"/>
        </w:rPr>
        <w:t xml:space="preserve"> in </w:t>
      </w:r>
      <w:r w:rsidR="00D079E9" w:rsidRPr="00C1255F">
        <w:rPr>
          <w:color w:val="000000" w:themeColor="text1"/>
          <w:sz w:val="22"/>
          <w:szCs w:val="22"/>
        </w:rPr>
        <w:t>ESUTH Enugu in S</w:t>
      </w:r>
      <w:r w:rsidRPr="00C1255F">
        <w:rPr>
          <w:color w:val="000000" w:themeColor="text1"/>
          <w:sz w:val="22"/>
          <w:szCs w:val="22"/>
        </w:rPr>
        <w:t>outheast Nigeria, with outpatients demonstrating higher prevalence and broader resistance profiles than inpatients. Advanced age and female gender were significant risk factors. These findings necessitate urgent community-based antimicrobial stewardship and enhanced surveillance beyond hospital settings.</w:t>
      </w:r>
    </w:p>
    <w:p w14:paraId="21DE98CE" w14:textId="77777777" w:rsidR="007625E7" w:rsidRPr="00C1255F" w:rsidRDefault="007625E7" w:rsidP="007625E7">
      <w:pPr>
        <w:pStyle w:val="ds-markdown-paragraph"/>
        <w:shd w:val="clear" w:color="auto" w:fill="FFFFFF"/>
        <w:spacing w:before="0" w:beforeAutospacing="0" w:after="0" w:afterAutospacing="0"/>
        <w:jc w:val="both"/>
        <w:rPr>
          <w:rStyle w:val="Strong"/>
          <w:rFonts w:eastAsiaTheme="majorEastAsia"/>
          <w:color w:val="000000" w:themeColor="text1"/>
          <w:sz w:val="22"/>
          <w:szCs w:val="22"/>
        </w:rPr>
      </w:pPr>
    </w:p>
    <w:p w14:paraId="7398E249" w14:textId="77777777" w:rsidR="007625E7" w:rsidRPr="00C1255F" w:rsidRDefault="007625E7" w:rsidP="007625E7">
      <w:pPr>
        <w:pStyle w:val="ds-markdown-paragraph"/>
        <w:shd w:val="clear" w:color="auto" w:fill="FFFFFF"/>
        <w:spacing w:before="0" w:beforeAutospacing="0" w:after="0" w:afterAutospacing="0"/>
        <w:jc w:val="both"/>
        <w:rPr>
          <w:color w:val="000000" w:themeColor="text1"/>
          <w:sz w:val="22"/>
          <w:szCs w:val="22"/>
        </w:rPr>
      </w:pPr>
      <w:r w:rsidRPr="00C1255F">
        <w:rPr>
          <w:rStyle w:val="Strong"/>
          <w:rFonts w:eastAsiaTheme="majorEastAsia"/>
          <w:i/>
          <w:color w:val="000000" w:themeColor="text1"/>
          <w:sz w:val="22"/>
          <w:szCs w:val="22"/>
        </w:rPr>
        <w:t>Keywords</w:t>
      </w:r>
      <w:r w:rsidRPr="00C1255F">
        <w:rPr>
          <w:rStyle w:val="Strong"/>
          <w:rFonts w:eastAsiaTheme="majorEastAsia"/>
          <w:color w:val="000000" w:themeColor="text1"/>
          <w:sz w:val="22"/>
          <w:szCs w:val="22"/>
        </w:rPr>
        <w:t>:</w:t>
      </w:r>
      <w:r w:rsidRPr="00C1255F">
        <w:rPr>
          <w:color w:val="000000" w:themeColor="text1"/>
          <w:sz w:val="22"/>
          <w:szCs w:val="22"/>
        </w:rPr>
        <w:t> Metallo-β-lactamase, </w:t>
      </w:r>
      <w:r w:rsidRPr="00C1255F">
        <w:rPr>
          <w:rStyle w:val="Emphasis"/>
          <w:color w:val="000000" w:themeColor="text1"/>
          <w:sz w:val="22"/>
          <w:szCs w:val="22"/>
        </w:rPr>
        <w:t>Pseudomonas aeruginosa</w:t>
      </w:r>
      <w:r w:rsidRPr="00C1255F">
        <w:rPr>
          <w:color w:val="000000" w:themeColor="text1"/>
          <w:sz w:val="22"/>
          <w:szCs w:val="22"/>
        </w:rPr>
        <w:t>, outpatients, inpatients, carbapenem resistance, Nigeria, risk factors</w:t>
      </w:r>
    </w:p>
    <w:p w14:paraId="4B2E075A" w14:textId="77777777" w:rsidR="007B0662" w:rsidRPr="00C1255F" w:rsidRDefault="007B0662" w:rsidP="007625E7">
      <w:pPr>
        <w:spacing w:after="0"/>
        <w:jc w:val="both"/>
        <w:rPr>
          <w:rFonts w:ascii="Times New Roman" w:hAnsi="Times New Roman" w:cs="Times New Roman"/>
          <w:color w:val="000000" w:themeColor="text1"/>
        </w:rPr>
      </w:pPr>
    </w:p>
    <w:p w14:paraId="3FDCD2B3" w14:textId="77777777" w:rsidR="000B723F" w:rsidRPr="00C1255F" w:rsidRDefault="000B723F" w:rsidP="000B723F">
      <w:pPr>
        <w:pStyle w:val="Heading2"/>
        <w:shd w:val="clear" w:color="auto" w:fill="FFFFFF"/>
        <w:spacing w:before="0"/>
        <w:jc w:val="both"/>
        <w:rPr>
          <w:rFonts w:ascii="Times New Roman" w:hAnsi="Times New Roman" w:cs="Times New Roman"/>
          <w:b/>
          <w:color w:val="000000" w:themeColor="text1"/>
          <w:sz w:val="22"/>
          <w:szCs w:val="22"/>
        </w:rPr>
      </w:pPr>
      <w:r w:rsidRPr="00C1255F">
        <w:rPr>
          <w:rFonts w:ascii="Times New Roman" w:hAnsi="Times New Roman" w:cs="Times New Roman"/>
          <w:b/>
          <w:color w:val="000000" w:themeColor="text1"/>
          <w:sz w:val="22"/>
          <w:szCs w:val="22"/>
        </w:rPr>
        <w:t>INTRODUCTION</w:t>
      </w:r>
    </w:p>
    <w:p w14:paraId="158BF00D" w14:textId="54833406" w:rsidR="006D28AD" w:rsidRPr="00C1255F" w:rsidRDefault="006D28AD" w:rsidP="000B723F">
      <w:pPr>
        <w:pStyle w:val="ds-markdown-paragraph"/>
        <w:shd w:val="clear" w:color="auto" w:fill="FFFFFF"/>
        <w:spacing w:before="0" w:beforeAutospacing="0" w:after="0" w:afterAutospacing="0"/>
        <w:jc w:val="both"/>
        <w:rPr>
          <w:color w:val="000000" w:themeColor="text1"/>
          <w:sz w:val="22"/>
          <w:szCs w:val="22"/>
          <w:shd w:val="clear" w:color="auto" w:fill="FFFFFF"/>
        </w:rPr>
      </w:pPr>
      <w:r w:rsidRPr="00C1255F">
        <w:rPr>
          <w:rStyle w:val="Emphasis"/>
          <w:color w:val="000000" w:themeColor="text1"/>
          <w:sz w:val="22"/>
          <w:szCs w:val="22"/>
          <w:shd w:val="clear" w:color="auto" w:fill="FFFFFF"/>
        </w:rPr>
        <w:t>Pseudomonas aeruginosa</w:t>
      </w:r>
      <w:r w:rsidRPr="00C1255F">
        <w:rPr>
          <w:color w:val="000000" w:themeColor="text1"/>
          <w:sz w:val="22"/>
          <w:szCs w:val="22"/>
          <w:shd w:val="clear" w:color="auto" w:fill="FFFFFF"/>
        </w:rPr>
        <w:t> is a prominent opportunistic pathogen frequently implicated in severe hospital-acquired infections, including pneumonia, urinary tract infections, and wound infections (</w:t>
      </w:r>
      <w:proofErr w:type="spellStart"/>
      <w:r w:rsidR="00320A22" w:rsidRPr="00C1255F">
        <w:rPr>
          <w:color w:val="000000" w:themeColor="text1"/>
          <w:sz w:val="22"/>
          <w:szCs w:val="22"/>
          <w:shd w:val="clear" w:color="auto" w:fill="FFFFFF"/>
        </w:rPr>
        <w:t>Uzoeto</w:t>
      </w:r>
      <w:proofErr w:type="spellEnd"/>
      <w:r w:rsidR="00320A22" w:rsidRPr="00C1255F">
        <w:rPr>
          <w:color w:val="000000" w:themeColor="text1"/>
          <w:sz w:val="22"/>
          <w:szCs w:val="22"/>
          <w:shd w:val="clear" w:color="auto" w:fill="FFFFFF"/>
        </w:rPr>
        <w:t xml:space="preserve"> </w:t>
      </w:r>
      <w:r w:rsidR="00320A22" w:rsidRPr="00C1255F">
        <w:rPr>
          <w:i/>
          <w:color w:val="000000" w:themeColor="text1"/>
          <w:sz w:val="22"/>
          <w:szCs w:val="22"/>
          <w:shd w:val="clear" w:color="auto" w:fill="FFFFFF"/>
        </w:rPr>
        <w:t>et al.,</w:t>
      </w:r>
      <w:r w:rsidR="00320A22" w:rsidRPr="00C1255F">
        <w:rPr>
          <w:color w:val="000000" w:themeColor="text1"/>
          <w:sz w:val="22"/>
          <w:szCs w:val="22"/>
          <w:shd w:val="clear" w:color="auto" w:fill="FFFFFF"/>
        </w:rPr>
        <w:t xml:space="preserve"> 2025; </w:t>
      </w:r>
      <w:proofErr w:type="spellStart"/>
      <w:r w:rsidRPr="00C1255F">
        <w:rPr>
          <w:color w:val="000000" w:themeColor="text1"/>
          <w:sz w:val="22"/>
          <w:szCs w:val="22"/>
          <w:shd w:val="clear" w:color="auto" w:fill="FFFFFF"/>
        </w:rPr>
        <w:t>Pasteran</w:t>
      </w:r>
      <w:proofErr w:type="spellEnd"/>
      <w:r w:rsidRPr="00C1255F">
        <w:rPr>
          <w:color w:val="000000" w:themeColor="text1"/>
          <w:sz w:val="22"/>
          <w:szCs w:val="22"/>
          <w:shd w:val="clear" w:color="auto" w:fill="FFFFFF"/>
        </w:rPr>
        <w:t xml:space="preserve"> et al., 2015). The treatment of multidrug-resistant </w:t>
      </w:r>
      <w:r w:rsidRPr="00C1255F">
        <w:rPr>
          <w:rStyle w:val="Emphasis"/>
          <w:color w:val="000000" w:themeColor="text1"/>
          <w:sz w:val="22"/>
          <w:szCs w:val="22"/>
          <w:shd w:val="clear" w:color="auto" w:fill="FFFFFF"/>
        </w:rPr>
        <w:t>P. aeruginosa</w:t>
      </w:r>
      <w:r w:rsidRPr="00C1255F">
        <w:rPr>
          <w:color w:val="000000" w:themeColor="text1"/>
          <w:sz w:val="22"/>
          <w:szCs w:val="22"/>
          <w:shd w:val="clear" w:color="auto" w:fill="FFFFFF"/>
        </w:rPr>
        <w:t> has long relied on carbapenems as a key last-resort antibiotic class (Tamma et al., 2023</w:t>
      </w:r>
      <w:r w:rsidR="00D04BAF" w:rsidRPr="00C1255F">
        <w:rPr>
          <w:color w:val="000000" w:themeColor="text1"/>
          <w:sz w:val="22"/>
          <w:szCs w:val="22"/>
          <w:shd w:val="clear" w:color="auto" w:fill="FFFFFF"/>
        </w:rPr>
        <w:t xml:space="preserve">; Ilang </w:t>
      </w:r>
      <w:r w:rsidR="00D04BAF" w:rsidRPr="00C1255F">
        <w:rPr>
          <w:i/>
          <w:color w:val="000000" w:themeColor="text1"/>
          <w:sz w:val="22"/>
          <w:szCs w:val="22"/>
          <w:shd w:val="clear" w:color="auto" w:fill="FFFFFF"/>
        </w:rPr>
        <w:t>et al.,</w:t>
      </w:r>
      <w:r w:rsidR="00D04BAF" w:rsidRPr="00C1255F">
        <w:rPr>
          <w:color w:val="000000" w:themeColor="text1"/>
          <w:sz w:val="22"/>
          <w:szCs w:val="22"/>
          <w:shd w:val="clear" w:color="auto" w:fill="FFFFFF"/>
        </w:rPr>
        <w:t xml:space="preserve"> 2023</w:t>
      </w:r>
      <w:r w:rsidR="000A7337" w:rsidRPr="00C1255F">
        <w:rPr>
          <w:color w:val="000000" w:themeColor="text1"/>
          <w:sz w:val="22"/>
          <w:szCs w:val="22"/>
          <w:shd w:val="clear" w:color="auto" w:fill="FFFFFF"/>
        </w:rPr>
        <w:t xml:space="preserve">; John-Onwe </w:t>
      </w:r>
      <w:r w:rsidR="000A7337" w:rsidRPr="00C1255F">
        <w:rPr>
          <w:i/>
          <w:color w:val="000000" w:themeColor="text1"/>
          <w:sz w:val="22"/>
          <w:szCs w:val="22"/>
          <w:shd w:val="clear" w:color="auto" w:fill="FFFFFF"/>
        </w:rPr>
        <w:t>et al.,</w:t>
      </w:r>
      <w:r w:rsidR="000A7337" w:rsidRPr="00C1255F">
        <w:rPr>
          <w:color w:val="000000" w:themeColor="text1"/>
          <w:sz w:val="22"/>
          <w:szCs w:val="22"/>
          <w:shd w:val="clear" w:color="auto" w:fill="FFFFFF"/>
        </w:rPr>
        <w:t xml:space="preserve"> 2023</w:t>
      </w:r>
      <w:r w:rsidRPr="00C1255F">
        <w:rPr>
          <w:color w:val="000000" w:themeColor="text1"/>
          <w:sz w:val="22"/>
          <w:szCs w:val="22"/>
          <w:shd w:val="clear" w:color="auto" w:fill="FFFFFF"/>
        </w:rPr>
        <w:t xml:space="preserve">). However, this therapeutic strategy is now severely threatened by the global proliferation of carbapenem resistance, particularly that conferred by </w:t>
      </w:r>
      <w:proofErr w:type="spellStart"/>
      <w:r w:rsidRPr="00C1255F">
        <w:rPr>
          <w:color w:val="000000" w:themeColor="text1"/>
          <w:sz w:val="22"/>
          <w:szCs w:val="22"/>
          <w:shd w:val="clear" w:color="auto" w:fill="FFFFFF"/>
        </w:rPr>
        <w:t>metallo</w:t>
      </w:r>
      <w:proofErr w:type="spellEnd"/>
      <w:r w:rsidRPr="00C1255F">
        <w:rPr>
          <w:color w:val="000000" w:themeColor="text1"/>
          <w:sz w:val="22"/>
          <w:szCs w:val="22"/>
          <w:shd w:val="clear" w:color="auto" w:fill="FFFFFF"/>
        </w:rPr>
        <w:t>-β-lactamases (MBLs), leading to significantly elevated mortality (Murray et al., 2022; Corona et al., 2023</w:t>
      </w:r>
      <w:r w:rsidR="00755BAA" w:rsidRPr="00C1255F">
        <w:rPr>
          <w:color w:val="000000" w:themeColor="text1"/>
          <w:sz w:val="22"/>
          <w:szCs w:val="22"/>
          <w:shd w:val="clear" w:color="auto" w:fill="FFFFFF"/>
        </w:rPr>
        <w:t xml:space="preserve">; Peter </w:t>
      </w:r>
      <w:r w:rsidR="00755BAA" w:rsidRPr="00C1255F">
        <w:rPr>
          <w:i/>
          <w:color w:val="000000" w:themeColor="text1"/>
          <w:sz w:val="22"/>
          <w:szCs w:val="22"/>
          <w:shd w:val="clear" w:color="auto" w:fill="FFFFFF"/>
        </w:rPr>
        <w:t>et al.,</w:t>
      </w:r>
      <w:r w:rsidR="00755BAA" w:rsidRPr="00C1255F">
        <w:rPr>
          <w:color w:val="000000" w:themeColor="text1"/>
          <w:sz w:val="22"/>
          <w:szCs w:val="22"/>
          <w:shd w:val="clear" w:color="auto" w:fill="FFFFFF"/>
        </w:rPr>
        <w:t xml:space="preserve"> 2025</w:t>
      </w:r>
      <w:r w:rsidRPr="00C1255F">
        <w:rPr>
          <w:color w:val="000000" w:themeColor="text1"/>
          <w:sz w:val="22"/>
          <w:szCs w:val="22"/>
          <w:shd w:val="clear" w:color="auto" w:fill="FFFFFF"/>
        </w:rPr>
        <w:t xml:space="preserve">). </w:t>
      </w:r>
    </w:p>
    <w:p w14:paraId="3484E017" w14:textId="0EA65D31" w:rsidR="000B723F" w:rsidRPr="00C1255F" w:rsidRDefault="000B723F" w:rsidP="000B723F">
      <w:pPr>
        <w:pStyle w:val="ds-markdown-paragraph"/>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t xml:space="preserve">MBLs are Ambler class B β-lactamases that require zinc ions as cofactors for enzymatic activity and hydrolyze all β-lactam antibiotics except aztreonam (Walsh et al., 2005). Among the most clinically significant MBLs are Verona </w:t>
      </w:r>
      <w:proofErr w:type="spellStart"/>
      <w:r w:rsidRPr="00C1255F">
        <w:rPr>
          <w:color w:val="000000" w:themeColor="text1"/>
          <w:sz w:val="22"/>
          <w:szCs w:val="22"/>
        </w:rPr>
        <w:t>Integron</w:t>
      </w:r>
      <w:proofErr w:type="spellEnd"/>
      <w:r w:rsidRPr="00C1255F">
        <w:rPr>
          <w:color w:val="000000" w:themeColor="text1"/>
          <w:sz w:val="22"/>
          <w:szCs w:val="22"/>
        </w:rPr>
        <w:t xml:space="preserve">-encoded MBL (VIM), </w:t>
      </w:r>
      <w:proofErr w:type="spellStart"/>
      <w:r w:rsidRPr="00C1255F">
        <w:rPr>
          <w:color w:val="000000" w:themeColor="text1"/>
          <w:sz w:val="22"/>
          <w:szCs w:val="22"/>
        </w:rPr>
        <w:t>imipenemase</w:t>
      </w:r>
      <w:proofErr w:type="spellEnd"/>
      <w:r w:rsidRPr="00C1255F">
        <w:rPr>
          <w:color w:val="000000" w:themeColor="text1"/>
          <w:sz w:val="22"/>
          <w:szCs w:val="22"/>
        </w:rPr>
        <w:t xml:space="preserve"> (IMP), and New Delhi MBL (NDM), which are increasingly reported worldwide (</w:t>
      </w:r>
      <w:r w:rsidR="00401822" w:rsidRPr="00C1255F">
        <w:rPr>
          <w:color w:val="000000" w:themeColor="text1"/>
          <w:sz w:val="22"/>
          <w:szCs w:val="22"/>
          <w:shd w:val="clear" w:color="auto" w:fill="FFFFFF"/>
        </w:rPr>
        <w:t xml:space="preserve">Peter </w:t>
      </w:r>
      <w:r w:rsidR="00401822" w:rsidRPr="00C1255F">
        <w:rPr>
          <w:i/>
          <w:color w:val="000000" w:themeColor="text1"/>
          <w:sz w:val="22"/>
          <w:szCs w:val="22"/>
          <w:shd w:val="clear" w:color="auto" w:fill="FFFFFF"/>
        </w:rPr>
        <w:t>et al.,</w:t>
      </w:r>
      <w:r w:rsidR="00401822" w:rsidRPr="00C1255F">
        <w:rPr>
          <w:color w:val="000000" w:themeColor="text1"/>
          <w:sz w:val="22"/>
          <w:szCs w:val="22"/>
          <w:shd w:val="clear" w:color="auto" w:fill="FFFFFF"/>
        </w:rPr>
        <w:t xml:space="preserve"> 2025; </w:t>
      </w:r>
      <w:r w:rsidR="005071E1" w:rsidRPr="00C1255F">
        <w:rPr>
          <w:color w:val="000000" w:themeColor="text1"/>
          <w:sz w:val="22"/>
          <w:szCs w:val="22"/>
          <w:shd w:val="clear" w:color="auto" w:fill="FFFFFF"/>
        </w:rPr>
        <w:t xml:space="preserve">Ilang </w:t>
      </w:r>
      <w:r w:rsidR="005071E1" w:rsidRPr="00C1255F">
        <w:rPr>
          <w:i/>
          <w:color w:val="000000" w:themeColor="text1"/>
          <w:sz w:val="22"/>
          <w:szCs w:val="22"/>
          <w:shd w:val="clear" w:color="auto" w:fill="FFFFFF"/>
        </w:rPr>
        <w:t>et al.,</w:t>
      </w:r>
      <w:r w:rsidR="005071E1" w:rsidRPr="00C1255F">
        <w:rPr>
          <w:color w:val="000000" w:themeColor="text1"/>
          <w:sz w:val="22"/>
          <w:szCs w:val="22"/>
          <w:shd w:val="clear" w:color="auto" w:fill="FFFFFF"/>
        </w:rPr>
        <w:t xml:space="preserve"> 2023; John-Onwe </w:t>
      </w:r>
      <w:r w:rsidR="005071E1" w:rsidRPr="00C1255F">
        <w:rPr>
          <w:i/>
          <w:color w:val="000000" w:themeColor="text1"/>
          <w:sz w:val="22"/>
          <w:szCs w:val="22"/>
          <w:shd w:val="clear" w:color="auto" w:fill="FFFFFF"/>
        </w:rPr>
        <w:t>et al.,</w:t>
      </w:r>
      <w:r w:rsidR="005071E1" w:rsidRPr="00C1255F">
        <w:rPr>
          <w:color w:val="000000" w:themeColor="text1"/>
          <w:sz w:val="22"/>
          <w:szCs w:val="22"/>
          <w:shd w:val="clear" w:color="auto" w:fill="FFFFFF"/>
        </w:rPr>
        <w:t xml:space="preserve"> 2023; </w:t>
      </w:r>
      <w:r w:rsidRPr="00C1255F">
        <w:rPr>
          <w:color w:val="000000" w:themeColor="text1"/>
          <w:sz w:val="22"/>
          <w:szCs w:val="22"/>
        </w:rPr>
        <w:t>Kazmierczak et al., 2016; Kumarasamy et al., 2010). These resistance genes are often located on mobile genetic elements, facilitating horizontal transfer between bacterial species and across geographical boundaries (Bonomo, 2017; Jean et al., 2022).</w:t>
      </w:r>
    </w:p>
    <w:p w14:paraId="6895A320" w14:textId="729B3192" w:rsidR="000B723F" w:rsidRPr="00C1255F" w:rsidRDefault="000B723F" w:rsidP="000B723F">
      <w:pPr>
        <w:pStyle w:val="ds-markdown-paragraph"/>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lastRenderedPageBreak/>
        <w:t>In Nigeria, studies have documented carbapenem resistance rates ranging from 11.1</w:t>
      </w:r>
      <w:r w:rsidR="00D079E9" w:rsidRPr="00C1255F">
        <w:rPr>
          <w:color w:val="000000" w:themeColor="text1"/>
          <w:sz w:val="22"/>
          <w:szCs w:val="22"/>
        </w:rPr>
        <w:t xml:space="preserve"> </w:t>
      </w:r>
      <w:r w:rsidRPr="00C1255F">
        <w:rPr>
          <w:color w:val="000000" w:themeColor="text1"/>
          <w:sz w:val="22"/>
          <w:szCs w:val="22"/>
        </w:rPr>
        <w:t>% to 53.5</w:t>
      </w:r>
      <w:r w:rsidR="00D079E9" w:rsidRPr="00C1255F">
        <w:rPr>
          <w:color w:val="000000" w:themeColor="text1"/>
          <w:sz w:val="22"/>
          <w:szCs w:val="22"/>
        </w:rPr>
        <w:t xml:space="preserve"> </w:t>
      </w:r>
      <w:r w:rsidRPr="00C1255F">
        <w:rPr>
          <w:color w:val="000000" w:themeColor="text1"/>
          <w:sz w:val="22"/>
          <w:szCs w:val="22"/>
        </w:rPr>
        <w:t>% in </w:t>
      </w:r>
      <w:r w:rsidRPr="00C1255F">
        <w:rPr>
          <w:rStyle w:val="Emphasis"/>
          <w:rFonts w:eastAsiaTheme="majorEastAsia"/>
          <w:color w:val="000000" w:themeColor="text1"/>
          <w:sz w:val="22"/>
          <w:szCs w:val="22"/>
        </w:rPr>
        <w:t>P. aeruginosa</w:t>
      </w:r>
      <w:r w:rsidRPr="00C1255F">
        <w:rPr>
          <w:color w:val="000000" w:themeColor="text1"/>
          <w:sz w:val="22"/>
          <w:szCs w:val="22"/>
        </w:rPr>
        <w:t> isolates (</w:t>
      </w:r>
      <w:r w:rsidR="00BC0939" w:rsidRPr="00C1255F">
        <w:rPr>
          <w:color w:val="000000" w:themeColor="text1"/>
          <w:sz w:val="22"/>
          <w:szCs w:val="22"/>
          <w:shd w:val="clear" w:color="auto" w:fill="FFFFFF"/>
        </w:rPr>
        <w:t xml:space="preserve">Peter </w:t>
      </w:r>
      <w:r w:rsidR="00BC0939" w:rsidRPr="00C1255F">
        <w:rPr>
          <w:i/>
          <w:color w:val="000000" w:themeColor="text1"/>
          <w:sz w:val="22"/>
          <w:szCs w:val="22"/>
          <w:shd w:val="clear" w:color="auto" w:fill="FFFFFF"/>
        </w:rPr>
        <w:t>et al.,</w:t>
      </w:r>
      <w:r w:rsidR="00BC0939" w:rsidRPr="00C1255F">
        <w:rPr>
          <w:color w:val="000000" w:themeColor="text1"/>
          <w:sz w:val="22"/>
          <w:szCs w:val="22"/>
          <w:shd w:val="clear" w:color="auto" w:fill="FFFFFF"/>
        </w:rPr>
        <w:t xml:space="preserve"> 2025; </w:t>
      </w:r>
      <w:r w:rsidRPr="00C1255F">
        <w:rPr>
          <w:color w:val="000000" w:themeColor="text1"/>
          <w:sz w:val="22"/>
          <w:szCs w:val="22"/>
        </w:rPr>
        <w:t xml:space="preserve">Olalekan et al., 2023; </w:t>
      </w:r>
      <w:proofErr w:type="spellStart"/>
      <w:r w:rsidRPr="00C1255F">
        <w:rPr>
          <w:color w:val="000000" w:themeColor="text1"/>
          <w:sz w:val="22"/>
          <w:szCs w:val="22"/>
        </w:rPr>
        <w:t>Maduakor</w:t>
      </w:r>
      <w:proofErr w:type="spellEnd"/>
      <w:r w:rsidRPr="00C1255F">
        <w:rPr>
          <w:color w:val="000000" w:themeColor="text1"/>
          <w:sz w:val="22"/>
          <w:szCs w:val="22"/>
        </w:rPr>
        <w:t xml:space="preserve"> et al., 2024; Ogba et al., 2022a). However, most research has focused on hospital-acquired infections, with limited data on the community burden of MBL-producing organisms. The distinction between outpatient and inpatient isolates is crucial for understanding transmission dynamics, risk factors, and appropriate infection control strategies (Chang et al., 2015).</w:t>
      </w:r>
    </w:p>
    <w:p w14:paraId="4F9FFB7C" w14:textId="028F99B6" w:rsidR="000B723F" w:rsidRPr="00C1255F" w:rsidRDefault="000B723F" w:rsidP="000B723F">
      <w:pPr>
        <w:pStyle w:val="ds-markdown-paragraph"/>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t>Outpatients represent a unique population with potentially different antibiotic exposure histories, healthcare-seeking behaviors, and environmental exposures compared to hospitalized patients (Hillier et al., 2007</w:t>
      </w:r>
      <w:r w:rsidR="00F4563D" w:rsidRPr="00C1255F">
        <w:rPr>
          <w:color w:val="000000" w:themeColor="text1"/>
          <w:sz w:val="22"/>
          <w:szCs w:val="22"/>
        </w:rPr>
        <w:t xml:space="preserve">; </w:t>
      </w:r>
      <w:r w:rsidR="00F4563D" w:rsidRPr="00C1255F">
        <w:rPr>
          <w:color w:val="000000" w:themeColor="text1"/>
          <w:sz w:val="22"/>
          <w:szCs w:val="22"/>
          <w:lang w:val="en-GB"/>
        </w:rPr>
        <w:t>Merlo et al</w:t>
      </w:r>
      <w:r w:rsidR="00F4563D" w:rsidRPr="00C1255F">
        <w:rPr>
          <w:i/>
          <w:color w:val="000000" w:themeColor="text1"/>
          <w:sz w:val="22"/>
          <w:szCs w:val="22"/>
          <w:lang w:val="en-GB"/>
        </w:rPr>
        <w:t>.,</w:t>
      </w:r>
      <w:r w:rsidR="00F4563D" w:rsidRPr="00C1255F">
        <w:rPr>
          <w:color w:val="000000" w:themeColor="text1"/>
          <w:sz w:val="22"/>
          <w:szCs w:val="22"/>
          <w:lang w:val="en-GB"/>
        </w:rPr>
        <w:t xml:space="preserve"> 2007</w:t>
      </w:r>
      <w:r w:rsidR="00F034BC" w:rsidRPr="00C1255F">
        <w:rPr>
          <w:color w:val="000000" w:themeColor="text1"/>
          <w:sz w:val="22"/>
          <w:szCs w:val="22"/>
          <w:lang w:val="en-GB"/>
        </w:rPr>
        <w:t xml:space="preserve">; </w:t>
      </w:r>
      <w:proofErr w:type="spellStart"/>
      <w:r w:rsidR="00F034BC" w:rsidRPr="00C1255F">
        <w:rPr>
          <w:color w:val="000000" w:themeColor="text1"/>
          <w:sz w:val="22"/>
          <w:szCs w:val="22"/>
          <w:lang w:val="en-GB"/>
        </w:rPr>
        <w:t>Sonmezer</w:t>
      </w:r>
      <w:proofErr w:type="spellEnd"/>
      <w:r w:rsidR="00F034BC" w:rsidRPr="00C1255F">
        <w:rPr>
          <w:color w:val="000000" w:themeColor="text1"/>
          <w:sz w:val="22"/>
          <w:szCs w:val="22"/>
          <w:lang w:val="en-GB"/>
        </w:rPr>
        <w:t xml:space="preserve"> et al</w:t>
      </w:r>
      <w:r w:rsidR="00F034BC" w:rsidRPr="00C1255F">
        <w:rPr>
          <w:i/>
          <w:color w:val="000000" w:themeColor="text1"/>
          <w:sz w:val="22"/>
          <w:szCs w:val="22"/>
          <w:lang w:val="en-GB"/>
        </w:rPr>
        <w:t>.,</w:t>
      </w:r>
      <w:r w:rsidR="00F034BC" w:rsidRPr="00C1255F">
        <w:rPr>
          <w:color w:val="000000" w:themeColor="text1"/>
          <w:sz w:val="22"/>
          <w:szCs w:val="22"/>
          <w:lang w:val="en-GB"/>
        </w:rPr>
        <w:t xml:space="preserve"> 2016</w:t>
      </w:r>
      <w:r w:rsidRPr="00C1255F">
        <w:rPr>
          <w:color w:val="000000" w:themeColor="text1"/>
          <w:sz w:val="22"/>
          <w:szCs w:val="22"/>
        </w:rPr>
        <w:t>). The presence of MBL-producing organisms in community settings raises concerns about silent dissemination and the potential for unexpected outbreaks. Furthermore, demographic factors such as age and gender may influence colonization and infection risks, yet these associations remain poorly characterized in the Nigerian context (Li et al., 2020).</w:t>
      </w:r>
    </w:p>
    <w:p w14:paraId="477F9D5C" w14:textId="77777777" w:rsidR="000B723F" w:rsidRPr="00C1255F" w:rsidRDefault="000B723F" w:rsidP="000B723F">
      <w:pPr>
        <w:pStyle w:val="ds-markdown-paragraph"/>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t>This study aimed to compare the prevalence, antibiotic resistance patterns, and risk factors associated with MBL-producing </w:t>
      </w:r>
      <w:r w:rsidRPr="00C1255F">
        <w:rPr>
          <w:rStyle w:val="Emphasis"/>
          <w:rFonts w:eastAsiaTheme="majorEastAsia"/>
          <w:color w:val="000000" w:themeColor="text1"/>
          <w:sz w:val="22"/>
          <w:szCs w:val="22"/>
        </w:rPr>
        <w:t>P. aeruginosa</w:t>
      </w:r>
      <w:r w:rsidRPr="00C1255F">
        <w:rPr>
          <w:color w:val="000000" w:themeColor="text1"/>
          <w:sz w:val="22"/>
          <w:szCs w:val="22"/>
        </w:rPr>
        <w:t> among outpatients and inpatients in Southeast Nigeria, providing evidence to guide targeted interventions in both healthcare and community settings.</w:t>
      </w:r>
    </w:p>
    <w:p w14:paraId="05C4C00C" w14:textId="77777777" w:rsidR="009B627E" w:rsidRPr="00C1255F" w:rsidRDefault="009B627E" w:rsidP="000B723F">
      <w:pPr>
        <w:spacing w:after="0"/>
        <w:jc w:val="both"/>
        <w:rPr>
          <w:rFonts w:ascii="Times New Roman" w:hAnsi="Times New Roman" w:cs="Times New Roman"/>
          <w:color w:val="000000" w:themeColor="text1"/>
        </w:rPr>
      </w:pPr>
    </w:p>
    <w:p w14:paraId="680835DE" w14:textId="77777777" w:rsidR="00FC4B5E" w:rsidRPr="00C1255F" w:rsidRDefault="00FC4B5E" w:rsidP="00186AF6">
      <w:pPr>
        <w:pStyle w:val="Heading2"/>
        <w:shd w:val="clear" w:color="auto" w:fill="FFFFFF"/>
        <w:spacing w:before="0"/>
        <w:rPr>
          <w:rFonts w:ascii="Times New Roman" w:hAnsi="Times New Roman" w:cs="Times New Roman"/>
          <w:b/>
          <w:color w:val="000000" w:themeColor="text1"/>
          <w:sz w:val="22"/>
          <w:szCs w:val="22"/>
        </w:rPr>
      </w:pPr>
      <w:r w:rsidRPr="00C1255F">
        <w:rPr>
          <w:rFonts w:ascii="Times New Roman" w:hAnsi="Times New Roman" w:cs="Times New Roman"/>
          <w:b/>
          <w:color w:val="000000" w:themeColor="text1"/>
          <w:sz w:val="22"/>
          <w:szCs w:val="22"/>
        </w:rPr>
        <w:t>MATERIALS AND METHODS</w:t>
      </w:r>
    </w:p>
    <w:p w14:paraId="1E07779E" w14:textId="77777777" w:rsidR="00FC4B5E" w:rsidRPr="00C1255F" w:rsidRDefault="00FC4B5E" w:rsidP="00186AF6">
      <w:pPr>
        <w:pStyle w:val="Heading3"/>
        <w:shd w:val="clear" w:color="auto" w:fill="FFFFFF"/>
        <w:spacing w:before="0"/>
        <w:rPr>
          <w:rFonts w:ascii="Times New Roman" w:hAnsi="Times New Roman" w:cs="Times New Roman"/>
          <w:b/>
          <w:color w:val="000000" w:themeColor="text1"/>
          <w:sz w:val="22"/>
          <w:szCs w:val="22"/>
        </w:rPr>
      </w:pPr>
      <w:r w:rsidRPr="00C1255F">
        <w:rPr>
          <w:rFonts w:ascii="Times New Roman" w:hAnsi="Times New Roman" w:cs="Times New Roman"/>
          <w:b/>
          <w:color w:val="000000" w:themeColor="text1"/>
          <w:sz w:val="22"/>
          <w:szCs w:val="22"/>
        </w:rPr>
        <w:t>Study Area and Design</w:t>
      </w:r>
    </w:p>
    <w:p w14:paraId="1F84A671" w14:textId="53B7D811" w:rsidR="00FC4B5E" w:rsidRPr="00C1255F" w:rsidRDefault="00FC4B5E" w:rsidP="00F66C7B">
      <w:pPr>
        <w:pStyle w:val="ds-markdown-paragraph"/>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t>This cross-sectional study was conducted at Enugu State University Teaching Hospital (ESUTH), Enugu, Southeast Nigeria, from August 2024 to July 2025. Enugu is the capital of Enugu State, located at coordinates 6°27'10"N and 7°30'40"E, with a tr</w:t>
      </w:r>
      <w:r w:rsidR="00AD7726" w:rsidRPr="00C1255F">
        <w:rPr>
          <w:color w:val="000000" w:themeColor="text1"/>
          <w:sz w:val="22"/>
          <w:szCs w:val="22"/>
        </w:rPr>
        <w:t>opical savanna climate</w:t>
      </w:r>
      <w:r w:rsidRPr="00C1255F">
        <w:rPr>
          <w:color w:val="000000" w:themeColor="text1"/>
          <w:sz w:val="22"/>
          <w:szCs w:val="22"/>
        </w:rPr>
        <w:t>.</w:t>
      </w:r>
    </w:p>
    <w:p w14:paraId="3EF1FFD0" w14:textId="77777777" w:rsidR="00E73D9B" w:rsidRPr="00C1255F" w:rsidRDefault="00E73D9B" w:rsidP="004E4340">
      <w:pPr>
        <w:pStyle w:val="Heading3"/>
        <w:shd w:val="clear" w:color="auto" w:fill="FFFFFF"/>
        <w:spacing w:before="0"/>
        <w:jc w:val="both"/>
        <w:rPr>
          <w:rFonts w:ascii="Times New Roman" w:hAnsi="Times New Roman" w:cs="Times New Roman"/>
          <w:b/>
          <w:color w:val="000000" w:themeColor="text1"/>
          <w:sz w:val="22"/>
          <w:szCs w:val="22"/>
        </w:rPr>
      </w:pPr>
      <w:r w:rsidRPr="00C1255F">
        <w:rPr>
          <w:rFonts w:ascii="Times New Roman" w:hAnsi="Times New Roman" w:cs="Times New Roman"/>
          <w:b/>
          <w:color w:val="000000" w:themeColor="text1"/>
          <w:sz w:val="22"/>
          <w:szCs w:val="22"/>
        </w:rPr>
        <w:t>Ethical Approval</w:t>
      </w:r>
    </w:p>
    <w:p w14:paraId="64EFA255" w14:textId="77777777" w:rsidR="00E73D9B" w:rsidRPr="00C1255F" w:rsidRDefault="00E73D9B" w:rsidP="004E4340">
      <w:pPr>
        <w:pStyle w:val="ds-markdown-paragraph"/>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t>Ethical clearance was obtained from the ESUTH Research Ethics Committee (Reference No: ESUTH/REC/0234/202). All procedures complied with the World Medical Association Declaration of Helsinki (WMA, 2024). Written informed consent was obtained from all participants or their legal guardians.</w:t>
      </w:r>
    </w:p>
    <w:p w14:paraId="58337390" w14:textId="77777777" w:rsidR="00E73D9B" w:rsidRPr="00C1255F" w:rsidRDefault="00E73D9B" w:rsidP="004E4340">
      <w:pPr>
        <w:pStyle w:val="Heading3"/>
        <w:shd w:val="clear" w:color="auto" w:fill="FFFFFF"/>
        <w:spacing w:before="0"/>
        <w:jc w:val="both"/>
        <w:rPr>
          <w:rFonts w:ascii="Times New Roman" w:hAnsi="Times New Roman" w:cs="Times New Roman"/>
          <w:b/>
          <w:color w:val="000000" w:themeColor="text1"/>
          <w:sz w:val="22"/>
          <w:szCs w:val="22"/>
        </w:rPr>
      </w:pPr>
      <w:r w:rsidRPr="00C1255F">
        <w:rPr>
          <w:rFonts w:ascii="Times New Roman" w:hAnsi="Times New Roman" w:cs="Times New Roman"/>
          <w:b/>
          <w:color w:val="000000" w:themeColor="text1"/>
          <w:sz w:val="22"/>
          <w:szCs w:val="22"/>
        </w:rPr>
        <w:t>Sample Size Determination</w:t>
      </w:r>
    </w:p>
    <w:p w14:paraId="48E54F9A" w14:textId="2D7947B7" w:rsidR="00E73D9B" w:rsidRPr="00C1255F" w:rsidRDefault="00E73D9B" w:rsidP="004E4340">
      <w:pPr>
        <w:pStyle w:val="ds-markdown-paragraph"/>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t>Sample size was calculated using Cochran's formula based on a previously reported MBL prevalence of 20</w:t>
      </w:r>
      <w:r w:rsidR="00CC0E3B" w:rsidRPr="00C1255F">
        <w:rPr>
          <w:color w:val="000000" w:themeColor="text1"/>
          <w:sz w:val="22"/>
          <w:szCs w:val="22"/>
        </w:rPr>
        <w:t xml:space="preserve"> </w:t>
      </w:r>
      <w:r w:rsidRPr="00C1255F">
        <w:rPr>
          <w:color w:val="000000" w:themeColor="text1"/>
          <w:sz w:val="22"/>
          <w:szCs w:val="22"/>
        </w:rPr>
        <w:t>% in the region (</w:t>
      </w:r>
      <w:proofErr w:type="spellStart"/>
      <w:r w:rsidRPr="00C1255F">
        <w:rPr>
          <w:color w:val="000000" w:themeColor="text1"/>
          <w:sz w:val="22"/>
          <w:szCs w:val="22"/>
        </w:rPr>
        <w:t>Maduakor</w:t>
      </w:r>
      <w:proofErr w:type="spellEnd"/>
      <w:r w:rsidRPr="00C1255F">
        <w:rPr>
          <w:color w:val="000000" w:themeColor="text1"/>
          <w:sz w:val="22"/>
          <w:szCs w:val="22"/>
        </w:rPr>
        <w:t xml:space="preserve"> et al., 2024), with 95</w:t>
      </w:r>
      <w:r w:rsidR="00CC0E3B" w:rsidRPr="00C1255F">
        <w:rPr>
          <w:color w:val="000000" w:themeColor="text1"/>
          <w:sz w:val="22"/>
          <w:szCs w:val="22"/>
        </w:rPr>
        <w:t xml:space="preserve"> </w:t>
      </w:r>
      <w:r w:rsidRPr="00C1255F">
        <w:rPr>
          <w:color w:val="000000" w:themeColor="text1"/>
          <w:sz w:val="22"/>
          <w:szCs w:val="22"/>
        </w:rPr>
        <w:t>% confidence interval and 5</w:t>
      </w:r>
      <w:r w:rsidR="00CC0E3B" w:rsidRPr="00C1255F">
        <w:rPr>
          <w:color w:val="000000" w:themeColor="text1"/>
          <w:sz w:val="22"/>
          <w:szCs w:val="22"/>
        </w:rPr>
        <w:t xml:space="preserve"> </w:t>
      </w:r>
      <w:r w:rsidRPr="00C1255F">
        <w:rPr>
          <w:color w:val="000000" w:themeColor="text1"/>
          <w:sz w:val="22"/>
          <w:szCs w:val="22"/>
        </w:rPr>
        <w:t>% margin of error, yielding a minimum sample of 246. A total of 400 samples were collected to enhance statistical power.</w:t>
      </w:r>
    </w:p>
    <w:p w14:paraId="202B9D31" w14:textId="77777777" w:rsidR="00CE038C" w:rsidRPr="00C1255F" w:rsidRDefault="00CE038C" w:rsidP="00681A05">
      <w:pPr>
        <w:pStyle w:val="Heading3"/>
        <w:shd w:val="clear" w:color="auto" w:fill="FFFFFF"/>
        <w:spacing w:before="0"/>
        <w:jc w:val="both"/>
        <w:rPr>
          <w:rFonts w:ascii="Times New Roman" w:hAnsi="Times New Roman" w:cs="Times New Roman"/>
          <w:b/>
          <w:color w:val="000000" w:themeColor="text1"/>
          <w:sz w:val="22"/>
          <w:szCs w:val="22"/>
        </w:rPr>
      </w:pPr>
      <w:r w:rsidRPr="00C1255F">
        <w:rPr>
          <w:rFonts w:ascii="Times New Roman" w:hAnsi="Times New Roman" w:cs="Times New Roman"/>
          <w:b/>
          <w:color w:val="000000" w:themeColor="text1"/>
          <w:sz w:val="22"/>
          <w:szCs w:val="22"/>
        </w:rPr>
        <w:t xml:space="preserve">Sample Collection </w:t>
      </w:r>
      <w:r w:rsidR="00F13452" w:rsidRPr="00C1255F">
        <w:rPr>
          <w:rFonts w:ascii="Times New Roman" w:hAnsi="Times New Roman" w:cs="Times New Roman"/>
          <w:b/>
          <w:color w:val="000000" w:themeColor="text1"/>
          <w:sz w:val="22"/>
          <w:szCs w:val="22"/>
        </w:rPr>
        <w:t>and Identification of </w:t>
      </w:r>
      <w:r w:rsidR="00F13452" w:rsidRPr="00C1255F">
        <w:rPr>
          <w:rStyle w:val="Emphasis"/>
          <w:rFonts w:ascii="Times New Roman" w:hAnsi="Times New Roman" w:cs="Times New Roman"/>
          <w:b/>
          <w:color w:val="000000" w:themeColor="text1"/>
          <w:sz w:val="22"/>
          <w:szCs w:val="22"/>
        </w:rPr>
        <w:t>Pseudomonas aeruginosa</w:t>
      </w:r>
    </w:p>
    <w:p w14:paraId="443A16E6" w14:textId="4D19009B" w:rsidR="00CE038C" w:rsidRPr="00C1255F" w:rsidRDefault="00CE038C" w:rsidP="00681A05">
      <w:pPr>
        <w:pStyle w:val="ds-markdown-paragraph"/>
        <w:shd w:val="clear" w:color="auto" w:fill="FFFFFF"/>
        <w:spacing w:before="0" w:beforeAutospacing="0" w:after="0" w:afterAutospacing="0"/>
        <w:jc w:val="both"/>
        <w:rPr>
          <w:b/>
          <w:color w:val="000000" w:themeColor="text1"/>
          <w:sz w:val="22"/>
          <w:szCs w:val="22"/>
        </w:rPr>
      </w:pPr>
      <w:r w:rsidRPr="00C1255F">
        <w:rPr>
          <w:color w:val="000000" w:themeColor="text1"/>
          <w:sz w:val="22"/>
          <w:szCs w:val="22"/>
        </w:rPr>
        <w:t xml:space="preserve">A total of 400 clinical samples comprising urine (n=340), wound swabs (n=31), and high vaginal swabs (n=29) were collected from both inpatients and outpatients. Samples were inoculated into </w:t>
      </w:r>
      <w:r w:rsidR="002B5ECE" w:rsidRPr="00C1255F">
        <w:rPr>
          <w:color w:val="000000" w:themeColor="text1"/>
          <w:sz w:val="22"/>
          <w:szCs w:val="22"/>
        </w:rPr>
        <w:t>Brain-heart Infusion</w:t>
      </w:r>
      <w:r w:rsidRPr="00C1255F">
        <w:rPr>
          <w:color w:val="000000" w:themeColor="text1"/>
          <w:sz w:val="22"/>
          <w:szCs w:val="22"/>
        </w:rPr>
        <w:t xml:space="preserve"> broth</w:t>
      </w:r>
      <w:r w:rsidR="002B5ECE" w:rsidRPr="00C1255F">
        <w:rPr>
          <w:color w:val="000000" w:themeColor="text1"/>
          <w:sz w:val="22"/>
          <w:szCs w:val="22"/>
        </w:rPr>
        <w:t xml:space="preserve"> (bioMérieux, France) </w:t>
      </w:r>
      <w:r w:rsidRPr="00C1255F">
        <w:rPr>
          <w:color w:val="000000" w:themeColor="text1"/>
          <w:sz w:val="22"/>
          <w:szCs w:val="22"/>
        </w:rPr>
        <w:t>and incubated at 37</w:t>
      </w:r>
      <w:r w:rsidR="00CC0E3B" w:rsidRPr="00C1255F">
        <w:rPr>
          <w:color w:val="000000" w:themeColor="text1"/>
          <w:sz w:val="22"/>
          <w:szCs w:val="22"/>
        </w:rPr>
        <w:t xml:space="preserve"> </w:t>
      </w:r>
      <w:r w:rsidRPr="00C1255F">
        <w:rPr>
          <w:color w:val="000000" w:themeColor="text1"/>
          <w:sz w:val="22"/>
          <w:szCs w:val="22"/>
        </w:rPr>
        <w:t>°C for 24 hours, then sub</w:t>
      </w:r>
      <w:r w:rsidR="00CC0E3B" w:rsidRPr="00C1255F">
        <w:rPr>
          <w:color w:val="000000" w:themeColor="text1"/>
          <w:sz w:val="22"/>
          <w:szCs w:val="22"/>
        </w:rPr>
        <w:t>-</w:t>
      </w:r>
      <w:r w:rsidRPr="00C1255F">
        <w:rPr>
          <w:color w:val="000000" w:themeColor="text1"/>
          <w:sz w:val="22"/>
          <w:szCs w:val="22"/>
        </w:rPr>
        <w:t>cultured onto cetrimide agar</w:t>
      </w:r>
      <w:r w:rsidR="005701A2" w:rsidRPr="00C1255F">
        <w:rPr>
          <w:color w:val="000000" w:themeColor="text1"/>
          <w:sz w:val="22"/>
          <w:szCs w:val="22"/>
        </w:rPr>
        <w:t xml:space="preserve"> (</w:t>
      </w:r>
      <w:proofErr w:type="spellStart"/>
      <w:r w:rsidR="0085236F" w:rsidRPr="00C1255F">
        <w:rPr>
          <w:color w:val="000000" w:themeColor="text1"/>
          <w:sz w:val="22"/>
          <w:szCs w:val="22"/>
        </w:rPr>
        <w:t>HiMedia</w:t>
      </w:r>
      <w:proofErr w:type="spellEnd"/>
      <w:r w:rsidR="005701A2" w:rsidRPr="00C1255F">
        <w:rPr>
          <w:color w:val="000000" w:themeColor="text1"/>
          <w:sz w:val="22"/>
          <w:szCs w:val="22"/>
        </w:rPr>
        <w:t xml:space="preserve">, </w:t>
      </w:r>
      <w:r w:rsidR="0085236F" w:rsidRPr="00C1255F">
        <w:rPr>
          <w:color w:val="000000" w:themeColor="text1"/>
          <w:sz w:val="22"/>
          <w:szCs w:val="22"/>
        </w:rPr>
        <w:t>India</w:t>
      </w:r>
      <w:r w:rsidR="005701A2" w:rsidRPr="00C1255F">
        <w:rPr>
          <w:color w:val="000000" w:themeColor="text1"/>
          <w:sz w:val="22"/>
          <w:szCs w:val="22"/>
        </w:rPr>
        <w:t>)</w:t>
      </w:r>
      <w:r w:rsidRPr="00C1255F">
        <w:rPr>
          <w:color w:val="000000" w:themeColor="text1"/>
          <w:sz w:val="22"/>
          <w:szCs w:val="22"/>
        </w:rPr>
        <w:t xml:space="preserve"> and incubated at 37</w:t>
      </w:r>
      <w:r w:rsidR="00CC0E3B" w:rsidRPr="00C1255F">
        <w:rPr>
          <w:color w:val="000000" w:themeColor="text1"/>
          <w:sz w:val="22"/>
          <w:szCs w:val="22"/>
        </w:rPr>
        <w:t xml:space="preserve"> </w:t>
      </w:r>
      <w:r w:rsidRPr="00C1255F">
        <w:rPr>
          <w:color w:val="000000" w:themeColor="text1"/>
          <w:sz w:val="22"/>
          <w:szCs w:val="22"/>
        </w:rPr>
        <w:t>°C for 24 hours. Suspected </w:t>
      </w:r>
      <w:r w:rsidRPr="00C1255F">
        <w:rPr>
          <w:rStyle w:val="Emphasis"/>
          <w:rFonts w:eastAsiaTheme="majorEastAsia"/>
          <w:color w:val="000000" w:themeColor="text1"/>
          <w:sz w:val="22"/>
          <w:szCs w:val="22"/>
        </w:rPr>
        <w:t>P. aeruginosa</w:t>
      </w:r>
      <w:r w:rsidRPr="00C1255F">
        <w:rPr>
          <w:color w:val="000000" w:themeColor="text1"/>
          <w:sz w:val="22"/>
          <w:szCs w:val="22"/>
        </w:rPr>
        <w:t> colonies (greenish, flat with irregular margins) were identified by Gram staining and biochemical tests including oxidase, catalase, citrate utilization, motility, and sugar fermentation tests following standard procedures (Cheesbrough, 2006; Iroha et al., 2019).</w:t>
      </w:r>
      <w:r w:rsidR="000D653D" w:rsidRPr="00C1255F">
        <w:rPr>
          <w:color w:val="000000" w:themeColor="text1"/>
          <w:sz w:val="22"/>
          <w:szCs w:val="22"/>
        </w:rPr>
        <w:t xml:space="preserve"> </w:t>
      </w:r>
      <w:r w:rsidR="000D653D" w:rsidRPr="00C1255F">
        <w:rPr>
          <w:color w:val="000000" w:themeColor="text1"/>
          <w:sz w:val="22"/>
          <w:szCs w:val="22"/>
          <w:shd w:val="clear" w:color="auto" w:fill="FFFFFF"/>
        </w:rPr>
        <w:t>In accordance with the manufacturer's guidelines, the VITEK® 2 COMPACT automated system (bioMérieux, France) was employed for further confirmatory testing.</w:t>
      </w:r>
    </w:p>
    <w:p w14:paraId="038D54F1" w14:textId="77777777" w:rsidR="00CE038C" w:rsidRPr="00C1255F" w:rsidRDefault="00CE038C" w:rsidP="00681A05">
      <w:pPr>
        <w:pStyle w:val="Heading3"/>
        <w:shd w:val="clear" w:color="auto" w:fill="FFFFFF"/>
        <w:spacing w:before="0"/>
        <w:jc w:val="both"/>
        <w:rPr>
          <w:rFonts w:ascii="Times New Roman" w:hAnsi="Times New Roman" w:cs="Times New Roman"/>
          <w:b/>
          <w:color w:val="000000" w:themeColor="text1"/>
          <w:sz w:val="22"/>
          <w:szCs w:val="22"/>
        </w:rPr>
      </w:pPr>
      <w:r w:rsidRPr="00C1255F">
        <w:rPr>
          <w:rFonts w:ascii="Times New Roman" w:hAnsi="Times New Roman" w:cs="Times New Roman"/>
          <w:b/>
          <w:color w:val="000000" w:themeColor="text1"/>
          <w:sz w:val="22"/>
          <w:szCs w:val="22"/>
        </w:rPr>
        <w:t>Phenotypic Detection of MBL Production</w:t>
      </w:r>
    </w:p>
    <w:p w14:paraId="60005DCB" w14:textId="53392156" w:rsidR="00CE038C" w:rsidRPr="00C1255F" w:rsidRDefault="00CE038C" w:rsidP="00681A05">
      <w:pPr>
        <w:pStyle w:val="ds-markdown-paragraph"/>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t>All </w:t>
      </w:r>
      <w:r w:rsidRPr="00C1255F">
        <w:rPr>
          <w:rStyle w:val="Emphasis"/>
          <w:rFonts w:eastAsiaTheme="majorEastAsia"/>
          <w:color w:val="000000" w:themeColor="text1"/>
          <w:sz w:val="22"/>
          <w:szCs w:val="22"/>
        </w:rPr>
        <w:t>P. aeruginosa</w:t>
      </w:r>
      <w:r w:rsidRPr="00C1255F">
        <w:rPr>
          <w:color w:val="000000" w:themeColor="text1"/>
          <w:sz w:val="22"/>
          <w:szCs w:val="22"/>
        </w:rPr>
        <w:t xml:space="preserve"> isolates were screened for carbapenem resistance using imipenem (10 </w:t>
      </w:r>
      <w:proofErr w:type="spellStart"/>
      <w:r w:rsidRPr="00C1255F">
        <w:rPr>
          <w:color w:val="000000" w:themeColor="text1"/>
          <w:sz w:val="22"/>
          <w:szCs w:val="22"/>
        </w:rPr>
        <w:t>μg</w:t>
      </w:r>
      <w:proofErr w:type="spellEnd"/>
      <w:r w:rsidRPr="00C1255F">
        <w:rPr>
          <w:color w:val="000000" w:themeColor="text1"/>
          <w:sz w:val="22"/>
          <w:szCs w:val="22"/>
        </w:rPr>
        <w:t xml:space="preserve">), meropenem (10 </w:t>
      </w:r>
      <w:proofErr w:type="spellStart"/>
      <w:r w:rsidRPr="00C1255F">
        <w:rPr>
          <w:color w:val="000000" w:themeColor="text1"/>
          <w:sz w:val="22"/>
          <w:szCs w:val="22"/>
        </w:rPr>
        <w:t>μg</w:t>
      </w:r>
      <w:proofErr w:type="spellEnd"/>
      <w:r w:rsidRPr="00C1255F">
        <w:rPr>
          <w:color w:val="000000" w:themeColor="text1"/>
          <w:sz w:val="22"/>
          <w:szCs w:val="22"/>
        </w:rPr>
        <w:t xml:space="preserve">), and ertapenem (10 </w:t>
      </w:r>
      <w:proofErr w:type="spellStart"/>
      <w:r w:rsidRPr="00C1255F">
        <w:rPr>
          <w:color w:val="000000" w:themeColor="text1"/>
          <w:sz w:val="22"/>
          <w:szCs w:val="22"/>
        </w:rPr>
        <w:t>μg</w:t>
      </w:r>
      <w:proofErr w:type="spellEnd"/>
      <w:r w:rsidRPr="00C1255F">
        <w:rPr>
          <w:color w:val="000000" w:themeColor="text1"/>
          <w:sz w:val="22"/>
          <w:szCs w:val="22"/>
        </w:rPr>
        <w:t>) disks (</w:t>
      </w:r>
      <w:proofErr w:type="spellStart"/>
      <w:r w:rsidRPr="00C1255F">
        <w:rPr>
          <w:color w:val="000000" w:themeColor="text1"/>
          <w:sz w:val="22"/>
          <w:szCs w:val="22"/>
        </w:rPr>
        <w:t>Oxoid</w:t>
      </w:r>
      <w:proofErr w:type="spellEnd"/>
      <w:r w:rsidRPr="00C1255F">
        <w:rPr>
          <w:color w:val="000000" w:themeColor="text1"/>
          <w:sz w:val="22"/>
          <w:szCs w:val="22"/>
        </w:rPr>
        <w:t>, UK). MBL production was confirmed using the Imipenem-EDTA combined disc test (CDT) as per CLSI guidelines (CLSI, 2022). An increase in inhibition zone diameter of ≥</w:t>
      </w:r>
      <w:r w:rsidR="00CC0E3B" w:rsidRPr="00C1255F">
        <w:rPr>
          <w:color w:val="000000" w:themeColor="text1"/>
          <w:sz w:val="22"/>
          <w:szCs w:val="22"/>
        </w:rPr>
        <w:t xml:space="preserve"> </w:t>
      </w:r>
      <w:r w:rsidRPr="00C1255F">
        <w:rPr>
          <w:color w:val="000000" w:themeColor="text1"/>
          <w:sz w:val="22"/>
          <w:szCs w:val="22"/>
        </w:rPr>
        <w:t>7 mm around the imipenem-EDTA disc compared to imipenem alone was considered positive for MBL production (Ogba et al., 2022b).</w:t>
      </w:r>
    </w:p>
    <w:p w14:paraId="091B1016" w14:textId="77777777" w:rsidR="00CE038C" w:rsidRPr="00C1255F" w:rsidRDefault="00CE038C" w:rsidP="00681A05">
      <w:pPr>
        <w:pStyle w:val="Heading3"/>
        <w:shd w:val="clear" w:color="auto" w:fill="FFFFFF"/>
        <w:spacing w:before="0"/>
        <w:jc w:val="both"/>
        <w:rPr>
          <w:rFonts w:ascii="Times New Roman" w:hAnsi="Times New Roman" w:cs="Times New Roman"/>
          <w:b/>
          <w:color w:val="000000" w:themeColor="text1"/>
          <w:sz w:val="22"/>
          <w:szCs w:val="22"/>
        </w:rPr>
      </w:pPr>
      <w:r w:rsidRPr="00C1255F">
        <w:rPr>
          <w:rFonts w:ascii="Times New Roman" w:hAnsi="Times New Roman" w:cs="Times New Roman"/>
          <w:b/>
          <w:color w:val="000000" w:themeColor="text1"/>
          <w:sz w:val="22"/>
          <w:szCs w:val="22"/>
        </w:rPr>
        <w:t>Antibiotic Susceptibility Testing</w:t>
      </w:r>
    </w:p>
    <w:p w14:paraId="6E44DF93" w14:textId="44A21D4E" w:rsidR="00CE038C" w:rsidRPr="00C1255F" w:rsidRDefault="00CE038C" w:rsidP="00681A05">
      <w:pPr>
        <w:pStyle w:val="ds-markdown-paragraph"/>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t>Antimicrobial susceptibility was determined by Kirby-Bauer disk diffusion method on Mueller-Hinton agar according</w:t>
      </w:r>
      <w:r w:rsidR="00154C14" w:rsidRPr="00C1255F">
        <w:rPr>
          <w:color w:val="000000" w:themeColor="text1"/>
          <w:sz w:val="22"/>
          <w:szCs w:val="22"/>
        </w:rPr>
        <w:t xml:space="preserve"> to CLSI guidelines (CLSI, 2022</w:t>
      </w:r>
      <w:r w:rsidRPr="00C1255F">
        <w:rPr>
          <w:color w:val="000000" w:themeColor="text1"/>
          <w:sz w:val="22"/>
          <w:szCs w:val="22"/>
        </w:rPr>
        <w:t xml:space="preserve">). The following antibiotics (Oxoid, UK) were tested: amoxicillin-clavulanic acid (20/10 </w:t>
      </w:r>
      <w:proofErr w:type="spellStart"/>
      <w:r w:rsidRPr="00C1255F">
        <w:rPr>
          <w:color w:val="000000" w:themeColor="text1"/>
          <w:sz w:val="22"/>
          <w:szCs w:val="22"/>
        </w:rPr>
        <w:t>μg</w:t>
      </w:r>
      <w:proofErr w:type="spellEnd"/>
      <w:r w:rsidRPr="00C1255F">
        <w:rPr>
          <w:color w:val="000000" w:themeColor="text1"/>
          <w:sz w:val="22"/>
          <w:szCs w:val="22"/>
        </w:rPr>
        <w:t xml:space="preserve">), aztreonam (30 </w:t>
      </w:r>
      <w:proofErr w:type="spellStart"/>
      <w:r w:rsidRPr="00C1255F">
        <w:rPr>
          <w:color w:val="000000" w:themeColor="text1"/>
          <w:sz w:val="22"/>
          <w:szCs w:val="22"/>
        </w:rPr>
        <w:t>μg</w:t>
      </w:r>
      <w:proofErr w:type="spellEnd"/>
      <w:r w:rsidRPr="00C1255F">
        <w:rPr>
          <w:color w:val="000000" w:themeColor="text1"/>
          <w:sz w:val="22"/>
          <w:szCs w:val="22"/>
        </w:rPr>
        <w:t xml:space="preserve">), piperacillin-tazobactam (110 </w:t>
      </w:r>
      <w:proofErr w:type="spellStart"/>
      <w:r w:rsidRPr="00C1255F">
        <w:rPr>
          <w:color w:val="000000" w:themeColor="text1"/>
          <w:sz w:val="22"/>
          <w:szCs w:val="22"/>
        </w:rPr>
        <w:t>μg</w:t>
      </w:r>
      <w:proofErr w:type="spellEnd"/>
      <w:r w:rsidRPr="00C1255F">
        <w:rPr>
          <w:color w:val="000000" w:themeColor="text1"/>
          <w:sz w:val="22"/>
          <w:szCs w:val="22"/>
        </w:rPr>
        <w:t xml:space="preserve">), cefotaxime (30 </w:t>
      </w:r>
      <w:proofErr w:type="spellStart"/>
      <w:r w:rsidRPr="00C1255F">
        <w:rPr>
          <w:color w:val="000000" w:themeColor="text1"/>
          <w:sz w:val="22"/>
          <w:szCs w:val="22"/>
        </w:rPr>
        <w:t>μg</w:t>
      </w:r>
      <w:proofErr w:type="spellEnd"/>
      <w:r w:rsidRPr="00C1255F">
        <w:rPr>
          <w:color w:val="000000" w:themeColor="text1"/>
          <w:sz w:val="22"/>
          <w:szCs w:val="22"/>
        </w:rPr>
        <w:t xml:space="preserve">), cefoxitin (30 </w:t>
      </w:r>
      <w:proofErr w:type="spellStart"/>
      <w:r w:rsidRPr="00C1255F">
        <w:rPr>
          <w:color w:val="000000" w:themeColor="text1"/>
          <w:sz w:val="22"/>
          <w:szCs w:val="22"/>
        </w:rPr>
        <w:t>μg</w:t>
      </w:r>
      <w:proofErr w:type="spellEnd"/>
      <w:r w:rsidRPr="00C1255F">
        <w:rPr>
          <w:color w:val="000000" w:themeColor="text1"/>
          <w:sz w:val="22"/>
          <w:szCs w:val="22"/>
        </w:rPr>
        <w:t xml:space="preserve">), imipenem (10 </w:t>
      </w:r>
      <w:proofErr w:type="spellStart"/>
      <w:r w:rsidRPr="00C1255F">
        <w:rPr>
          <w:color w:val="000000" w:themeColor="text1"/>
          <w:sz w:val="22"/>
          <w:szCs w:val="22"/>
        </w:rPr>
        <w:t>μg</w:t>
      </w:r>
      <w:proofErr w:type="spellEnd"/>
      <w:r w:rsidRPr="00C1255F">
        <w:rPr>
          <w:color w:val="000000" w:themeColor="text1"/>
          <w:sz w:val="22"/>
          <w:szCs w:val="22"/>
        </w:rPr>
        <w:t xml:space="preserve">), ertapenem (10 </w:t>
      </w:r>
      <w:proofErr w:type="spellStart"/>
      <w:r w:rsidRPr="00C1255F">
        <w:rPr>
          <w:color w:val="000000" w:themeColor="text1"/>
          <w:sz w:val="22"/>
          <w:szCs w:val="22"/>
        </w:rPr>
        <w:t>μg</w:t>
      </w:r>
      <w:proofErr w:type="spellEnd"/>
      <w:r w:rsidRPr="00C1255F">
        <w:rPr>
          <w:color w:val="000000" w:themeColor="text1"/>
          <w:sz w:val="22"/>
          <w:szCs w:val="22"/>
        </w:rPr>
        <w:t xml:space="preserve">), meropenem (10 </w:t>
      </w:r>
      <w:proofErr w:type="spellStart"/>
      <w:r w:rsidRPr="00C1255F">
        <w:rPr>
          <w:color w:val="000000" w:themeColor="text1"/>
          <w:sz w:val="22"/>
          <w:szCs w:val="22"/>
        </w:rPr>
        <w:t>μg</w:t>
      </w:r>
      <w:proofErr w:type="spellEnd"/>
      <w:r w:rsidRPr="00C1255F">
        <w:rPr>
          <w:color w:val="000000" w:themeColor="text1"/>
          <w:sz w:val="22"/>
          <w:szCs w:val="22"/>
        </w:rPr>
        <w:t xml:space="preserve">), ciprofloxacin (5 </w:t>
      </w:r>
      <w:proofErr w:type="spellStart"/>
      <w:r w:rsidRPr="00C1255F">
        <w:rPr>
          <w:color w:val="000000" w:themeColor="text1"/>
          <w:sz w:val="22"/>
          <w:szCs w:val="22"/>
        </w:rPr>
        <w:t>μg</w:t>
      </w:r>
      <w:proofErr w:type="spellEnd"/>
      <w:r w:rsidRPr="00C1255F">
        <w:rPr>
          <w:color w:val="000000" w:themeColor="text1"/>
          <w:sz w:val="22"/>
          <w:szCs w:val="22"/>
        </w:rPr>
        <w:t xml:space="preserve">), </w:t>
      </w:r>
      <w:r w:rsidRPr="00C1255F">
        <w:rPr>
          <w:color w:val="000000" w:themeColor="text1"/>
          <w:sz w:val="22"/>
          <w:szCs w:val="22"/>
        </w:rPr>
        <w:lastRenderedPageBreak/>
        <w:t xml:space="preserve">ofloxacin (5 </w:t>
      </w:r>
      <w:proofErr w:type="spellStart"/>
      <w:r w:rsidRPr="00C1255F">
        <w:rPr>
          <w:color w:val="000000" w:themeColor="text1"/>
          <w:sz w:val="22"/>
          <w:szCs w:val="22"/>
        </w:rPr>
        <w:t>μg</w:t>
      </w:r>
      <w:proofErr w:type="spellEnd"/>
      <w:r w:rsidRPr="00C1255F">
        <w:rPr>
          <w:color w:val="000000" w:themeColor="text1"/>
          <w:sz w:val="22"/>
          <w:szCs w:val="22"/>
        </w:rPr>
        <w:t xml:space="preserve">), levofloxacin (5 </w:t>
      </w:r>
      <w:proofErr w:type="spellStart"/>
      <w:r w:rsidRPr="00C1255F">
        <w:rPr>
          <w:color w:val="000000" w:themeColor="text1"/>
          <w:sz w:val="22"/>
          <w:szCs w:val="22"/>
        </w:rPr>
        <w:t>μg</w:t>
      </w:r>
      <w:proofErr w:type="spellEnd"/>
      <w:r w:rsidRPr="00C1255F">
        <w:rPr>
          <w:color w:val="000000" w:themeColor="text1"/>
          <w:sz w:val="22"/>
          <w:szCs w:val="22"/>
        </w:rPr>
        <w:t xml:space="preserve">), gentamicin (15 </w:t>
      </w:r>
      <w:proofErr w:type="spellStart"/>
      <w:r w:rsidRPr="00C1255F">
        <w:rPr>
          <w:color w:val="000000" w:themeColor="text1"/>
          <w:sz w:val="22"/>
          <w:szCs w:val="22"/>
        </w:rPr>
        <w:t>μg</w:t>
      </w:r>
      <w:proofErr w:type="spellEnd"/>
      <w:r w:rsidRPr="00C1255F">
        <w:rPr>
          <w:color w:val="000000" w:themeColor="text1"/>
          <w:sz w:val="22"/>
          <w:szCs w:val="22"/>
        </w:rPr>
        <w:t xml:space="preserve">), streptomycin (25 </w:t>
      </w:r>
      <w:proofErr w:type="spellStart"/>
      <w:r w:rsidRPr="00C1255F">
        <w:rPr>
          <w:color w:val="000000" w:themeColor="text1"/>
          <w:sz w:val="22"/>
          <w:szCs w:val="22"/>
        </w:rPr>
        <w:t>μg</w:t>
      </w:r>
      <w:proofErr w:type="spellEnd"/>
      <w:r w:rsidRPr="00C1255F">
        <w:rPr>
          <w:color w:val="000000" w:themeColor="text1"/>
          <w:sz w:val="22"/>
          <w:szCs w:val="22"/>
        </w:rPr>
        <w:t xml:space="preserve">), nalidixic acid (15 </w:t>
      </w:r>
      <w:proofErr w:type="spellStart"/>
      <w:r w:rsidRPr="00C1255F">
        <w:rPr>
          <w:color w:val="000000" w:themeColor="text1"/>
          <w:sz w:val="22"/>
          <w:szCs w:val="22"/>
        </w:rPr>
        <w:t>μg</w:t>
      </w:r>
      <w:proofErr w:type="spellEnd"/>
      <w:r w:rsidRPr="00C1255F">
        <w:rPr>
          <w:color w:val="000000" w:themeColor="text1"/>
          <w:sz w:val="22"/>
          <w:szCs w:val="22"/>
        </w:rPr>
        <w:t xml:space="preserve">), trimethoprim-sulfamethoxazole (25 </w:t>
      </w:r>
      <w:proofErr w:type="spellStart"/>
      <w:r w:rsidRPr="00C1255F">
        <w:rPr>
          <w:color w:val="000000" w:themeColor="text1"/>
          <w:sz w:val="22"/>
          <w:szCs w:val="22"/>
        </w:rPr>
        <w:t>μg</w:t>
      </w:r>
      <w:proofErr w:type="spellEnd"/>
      <w:r w:rsidRPr="00C1255F">
        <w:rPr>
          <w:color w:val="000000" w:themeColor="text1"/>
          <w:sz w:val="22"/>
          <w:szCs w:val="22"/>
        </w:rPr>
        <w:t xml:space="preserve">), chloramphenicol (30 </w:t>
      </w:r>
      <w:proofErr w:type="spellStart"/>
      <w:r w:rsidRPr="00C1255F">
        <w:rPr>
          <w:color w:val="000000" w:themeColor="text1"/>
          <w:sz w:val="22"/>
          <w:szCs w:val="22"/>
        </w:rPr>
        <w:t>μg</w:t>
      </w:r>
      <w:proofErr w:type="spellEnd"/>
      <w:r w:rsidRPr="00C1255F">
        <w:rPr>
          <w:color w:val="000000" w:themeColor="text1"/>
          <w:sz w:val="22"/>
          <w:szCs w:val="22"/>
        </w:rPr>
        <w:t xml:space="preserve">), and tetracycline (5 </w:t>
      </w:r>
      <w:proofErr w:type="spellStart"/>
      <w:r w:rsidRPr="00C1255F">
        <w:rPr>
          <w:color w:val="000000" w:themeColor="text1"/>
          <w:sz w:val="22"/>
          <w:szCs w:val="22"/>
        </w:rPr>
        <w:t>μg</w:t>
      </w:r>
      <w:proofErr w:type="spellEnd"/>
      <w:r w:rsidRPr="00C1255F">
        <w:rPr>
          <w:color w:val="000000" w:themeColor="text1"/>
          <w:sz w:val="22"/>
          <w:szCs w:val="22"/>
        </w:rPr>
        <w:t>). Results were interpreted using CLSI breakpoints (CLSI, 2022</w:t>
      </w:r>
      <w:r w:rsidR="00154C14" w:rsidRPr="00C1255F">
        <w:rPr>
          <w:color w:val="000000" w:themeColor="text1"/>
          <w:sz w:val="22"/>
          <w:szCs w:val="22"/>
        </w:rPr>
        <w:t>; Oke et al., 2024</w:t>
      </w:r>
      <w:r w:rsidRPr="00C1255F">
        <w:rPr>
          <w:color w:val="000000" w:themeColor="text1"/>
          <w:sz w:val="22"/>
          <w:szCs w:val="22"/>
        </w:rPr>
        <w:t>).</w:t>
      </w:r>
    </w:p>
    <w:p w14:paraId="63420475" w14:textId="77777777" w:rsidR="00CE038C" w:rsidRPr="00C1255F" w:rsidRDefault="00CE038C" w:rsidP="00681A05">
      <w:pPr>
        <w:pStyle w:val="Heading3"/>
        <w:shd w:val="clear" w:color="auto" w:fill="FFFFFF"/>
        <w:spacing w:before="0"/>
        <w:jc w:val="both"/>
        <w:rPr>
          <w:rFonts w:ascii="Times New Roman" w:hAnsi="Times New Roman" w:cs="Times New Roman"/>
          <w:b/>
          <w:color w:val="000000" w:themeColor="text1"/>
          <w:sz w:val="22"/>
          <w:szCs w:val="22"/>
        </w:rPr>
      </w:pPr>
      <w:r w:rsidRPr="00C1255F">
        <w:rPr>
          <w:rFonts w:ascii="Times New Roman" w:hAnsi="Times New Roman" w:cs="Times New Roman"/>
          <w:b/>
          <w:color w:val="000000" w:themeColor="text1"/>
          <w:sz w:val="22"/>
          <w:szCs w:val="22"/>
        </w:rPr>
        <w:t>Multiple Antibiotic Resistance (MAR) Index</w:t>
      </w:r>
    </w:p>
    <w:p w14:paraId="76B1F8A8" w14:textId="70242350" w:rsidR="00CE038C" w:rsidRPr="00C1255F" w:rsidRDefault="00CE038C" w:rsidP="00681A05">
      <w:pPr>
        <w:pStyle w:val="ds-markdown-paragraph"/>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t>MAR index was calculated for each isolate as the ratio of the number of antibiotics to which the isolate was resistant to the total number of antibiotics tested. MAR index &gt;</w:t>
      </w:r>
      <w:r w:rsidR="00CC0E3B" w:rsidRPr="00C1255F">
        <w:rPr>
          <w:color w:val="000000" w:themeColor="text1"/>
          <w:sz w:val="22"/>
          <w:szCs w:val="22"/>
        </w:rPr>
        <w:t xml:space="preserve"> </w:t>
      </w:r>
      <w:r w:rsidRPr="00C1255F">
        <w:rPr>
          <w:color w:val="000000" w:themeColor="text1"/>
          <w:sz w:val="22"/>
          <w:szCs w:val="22"/>
        </w:rPr>
        <w:t>0.2 indicates isolates originating from high-risk sources (</w:t>
      </w:r>
      <w:proofErr w:type="spellStart"/>
      <w:r w:rsidR="0054749A" w:rsidRPr="00C1255F">
        <w:rPr>
          <w:color w:val="000000" w:themeColor="text1"/>
          <w:sz w:val="22"/>
          <w:szCs w:val="22"/>
        </w:rPr>
        <w:t>Nomeh</w:t>
      </w:r>
      <w:proofErr w:type="spellEnd"/>
      <w:r w:rsidR="0054749A" w:rsidRPr="00C1255F">
        <w:rPr>
          <w:color w:val="000000" w:themeColor="text1"/>
          <w:sz w:val="22"/>
          <w:szCs w:val="22"/>
        </w:rPr>
        <w:t xml:space="preserve"> </w:t>
      </w:r>
      <w:r w:rsidR="0054749A" w:rsidRPr="00C1255F">
        <w:rPr>
          <w:i/>
          <w:color w:val="000000" w:themeColor="text1"/>
          <w:sz w:val="22"/>
          <w:szCs w:val="22"/>
        </w:rPr>
        <w:t>et al.,</w:t>
      </w:r>
      <w:r w:rsidR="0054749A" w:rsidRPr="00C1255F">
        <w:rPr>
          <w:color w:val="000000" w:themeColor="text1"/>
          <w:sz w:val="22"/>
          <w:szCs w:val="22"/>
        </w:rPr>
        <w:t xml:space="preserve"> 202</w:t>
      </w:r>
      <w:r w:rsidR="00590665" w:rsidRPr="00C1255F">
        <w:rPr>
          <w:color w:val="000000" w:themeColor="text1"/>
          <w:sz w:val="22"/>
          <w:szCs w:val="22"/>
        </w:rPr>
        <w:t>5</w:t>
      </w:r>
      <w:r w:rsidRPr="00C1255F">
        <w:rPr>
          <w:color w:val="000000" w:themeColor="text1"/>
          <w:sz w:val="22"/>
          <w:szCs w:val="22"/>
        </w:rPr>
        <w:t>; Ogba et al., 2022a).</w:t>
      </w:r>
    </w:p>
    <w:p w14:paraId="249D4469" w14:textId="77777777" w:rsidR="00CE038C" w:rsidRPr="00C1255F" w:rsidRDefault="00CE038C" w:rsidP="00681A05">
      <w:pPr>
        <w:pStyle w:val="Heading3"/>
        <w:shd w:val="clear" w:color="auto" w:fill="FFFFFF"/>
        <w:spacing w:before="0"/>
        <w:jc w:val="both"/>
        <w:rPr>
          <w:rFonts w:ascii="Times New Roman" w:hAnsi="Times New Roman" w:cs="Times New Roman"/>
          <w:b/>
          <w:color w:val="000000" w:themeColor="text1"/>
          <w:sz w:val="22"/>
          <w:szCs w:val="22"/>
        </w:rPr>
      </w:pPr>
      <w:r w:rsidRPr="00C1255F">
        <w:rPr>
          <w:rFonts w:ascii="Times New Roman" w:hAnsi="Times New Roman" w:cs="Times New Roman"/>
          <w:b/>
          <w:color w:val="000000" w:themeColor="text1"/>
          <w:sz w:val="22"/>
          <w:szCs w:val="22"/>
        </w:rPr>
        <w:t>Data Analysis</w:t>
      </w:r>
    </w:p>
    <w:p w14:paraId="405641E4" w14:textId="68483977" w:rsidR="00CE038C" w:rsidRPr="00C1255F" w:rsidRDefault="00CE038C" w:rsidP="00681A05">
      <w:pPr>
        <w:pStyle w:val="ds-markdown-paragraph"/>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t>Data were analyzed using SPSS version 26.0 (IBM Corp., Armonk, NY, USA). Categorical variables were compared using Chi-square or Fisher's exact tests. Continuous variables were compared using Student's t-test or Mann-Whitney U test. Multivariate logistic regression was performed to identify independent risk factors for MBL carriage. A p-value &lt;</w:t>
      </w:r>
      <w:r w:rsidR="00CC0E3B" w:rsidRPr="00C1255F">
        <w:rPr>
          <w:color w:val="000000" w:themeColor="text1"/>
          <w:sz w:val="22"/>
          <w:szCs w:val="22"/>
        </w:rPr>
        <w:t xml:space="preserve"> </w:t>
      </w:r>
      <w:r w:rsidRPr="00C1255F">
        <w:rPr>
          <w:color w:val="000000" w:themeColor="text1"/>
          <w:sz w:val="22"/>
          <w:szCs w:val="22"/>
        </w:rPr>
        <w:t>0.05 was considered statistically significant.</w:t>
      </w:r>
    </w:p>
    <w:p w14:paraId="482AA830" w14:textId="77777777" w:rsidR="00205197" w:rsidRPr="00C1255F" w:rsidRDefault="00FA5635" w:rsidP="00205197">
      <w:pPr>
        <w:pStyle w:val="Heading2"/>
        <w:shd w:val="clear" w:color="auto" w:fill="FFFFFF"/>
        <w:spacing w:before="0" w:line="240" w:lineRule="auto"/>
        <w:rPr>
          <w:rFonts w:ascii="Times New Roman" w:hAnsi="Times New Roman" w:cs="Times New Roman"/>
          <w:b/>
          <w:color w:val="000000" w:themeColor="text1"/>
          <w:sz w:val="24"/>
          <w:szCs w:val="24"/>
        </w:rPr>
      </w:pPr>
      <w:r w:rsidRPr="00C1255F">
        <w:rPr>
          <w:rFonts w:ascii="Times New Roman" w:hAnsi="Times New Roman" w:cs="Times New Roman"/>
          <w:b/>
          <w:color w:val="000000" w:themeColor="text1"/>
          <w:sz w:val="24"/>
          <w:szCs w:val="24"/>
        </w:rPr>
        <w:t>RESULTS</w:t>
      </w:r>
    </w:p>
    <w:p w14:paraId="2783038B" w14:textId="77777777" w:rsidR="00205197" w:rsidRPr="00C1255F" w:rsidRDefault="00205197" w:rsidP="00205197">
      <w:pPr>
        <w:pStyle w:val="Heading2"/>
        <w:shd w:val="clear" w:color="auto" w:fill="FFFFFF"/>
        <w:spacing w:before="0" w:line="240" w:lineRule="auto"/>
        <w:rPr>
          <w:rFonts w:ascii="Times New Roman" w:hAnsi="Times New Roman" w:cs="Times New Roman"/>
          <w:b/>
          <w:color w:val="000000" w:themeColor="text1"/>
          <w:sz w:val="22"/>
          <w:szCs w:val="22"/>
        </w:rPr>
      </w:pPr>
      <w:r w:rsidRPr="00C1255F">
        <w:rPr>
          <w:rFonts w:ascii="Times New Roman" w:hAnsi="Times New Roman" w:cs="Times New Roman"/>
          <w:b/>
          <w:color w:val="000000" w:themeColor="text1"/>
          <w:sz w:val="22"/>
          <w:szCs w:val="22"/>
        </w:rPr>
        <w:t>Prevalence of </w:t>
      </w:r>
      <w:r w:rsidRPr="00C1255F">
        <w:rPr>
          <w:rStyle w:val="Emphasis"/>
          <w:rFonts w:ascii="Times New Roman" w:hAnsi="Times New Roman" w:cs="Times New Roman"/>
          <w:b/>
          <w:color w:val="000000" w:themeColor="text1"/>
          <w:sz w:val="22"/>
          <w:szCs w:val="22"/>
        </w:rPr>
        <w:t>Pseudomonas aeruginosa</w:t>
      </w:r>
      <w:r w:rsidRPr="00C1255F">
        <w:rPr>
          <w:rFonts w:ascii="Times New Roman" w:hAnsi="Times New Roman" w:cs="Times New Roman"/>
          <w:b/>
          <w:color w:val="000000" w:themeColor="text1"/>
          <w:sz w:val="22"/>
          <w:szCs w:val="22"/>
        </w:rPr>
        <w:t> and MBL-Producing Isolates</w:t>
      </w:r>
    </w:p>
    <w:p w14:paraId="682BB79F" w14:textId="0AC6FB25" w:rsidR="00205197" w:rsidRPr="00C1255F" w:rsidRDefault="00205197" w:rsidP="00205197">
      <w:pPr>
        <w:pStyle w:val="Heading2"/>
        <w:shd w:val="clear" w:color="auto" w:fill="FFFFFF"/>
        <w:spacing w:before="0" w:line="240" w:lineRule="auto"/>
        <w:rPr>
          <w:rFonts w:ascii="Times New Roman" w:hAnsi="Times New Roman" w:cs="Times New Roman"/>
          <w:color w:val="000000" w:themeColor="text1"/>
          <w:sz w:val="22"/>
          <w:szCs w:val="22"/>
        </w:rPr>
      </w:pPr>
      <w:r w:rsidRPr="00C1255F">
        <w:rPr>
          <w:rFonts w:ascii="Times New Roman" w:hAnsi="Times New Roman" w:cs="Times New Roman"/>
          <w:color w:val="000000" w:themeColor="text1"/>
          <w:sz w:val="22"/>
          <w:szCs w:val="22"/>
        </w:rPr>
        <w:t>Of 400 clinical samples analyzed, 131 (32.75</w:t>
      </w:r>
      <w:r w:rsidR="00CC0E3B" w:rsidRPr="00C1255F">
        <w:rPr>
          <w:rFonts w:ascii="Times New Roman" w:hAnsi="Times New Roman" w:cs="Times New Roman"/>
          <w:color w:val="000000" w:themeColor="text1"/>
          <w:sz w:val="22"/>
          <w:szCs w:val="22"/>
        </w:rPr>
        <w:t xml:space="preserve"> </w:t>
      </w:r>
      <w:r w:rsidRPr="00C1255F">
        <w:rPr>
          <w:rFonts w:ascii="Times New Roman" w:hAnsi="Times New Roman" w:cs="Times New Roman"/>
          <w:color w:val="000000" w:themeColor="text1"/>
          <w:sz w:val="22"/>
          <w:szCs w:val="22"/>
        </w:rPr>
        <w:t>%) yielded </w:t>
      </w:r>
      <w:r w:rsidRPr="00C1255F">
        <w:rPr>
          <w:rStyle w:val="Emphasis"/>
          <w:rFonts w:ascii="Times New Roman" w:hAnsi="Times New Roman" w:cs="Times New Roman"/>
          <w:color w:val="000000" w:themeColor="text1"/>
          <w:sz w:val="22"/>
          <w:szCs w:val="22"/>
        </w:rPr>
        <w:t>P. aeruginosa</w:t>
      </w:r>
      <w:r w:rsidRPr="00C1255F">
        <w:rPr>
          <w:rFonts w:ascii="Times New Roman" w:hAnsi="Times New Roman" w:cs="Times New Roman"/>
          <w:color w:val="000000" w:themeColor="text1"/>
          <w:sz w:val="22"/>
          <w:szCs w:val="22"/>
        </w:rPr>
        <w:t>. Urine samples showed the highest isolation rate (120/340, 35.29</w:t>
      </w:r>
      <w:r w:rsidR="00CC0E3B" w:rsidRPr="00C1255F">
        <w:rPr>
          <w:rFonts w:ascii="Times New Roman" w:hAnsi="Times New Roman" w:cs="Times New Roman"/>
          <w:color w:val="000000" w:themeColor="text1"/>
          <w:sz w:val="22"/>
          <w:szCs w:val="22"/>
        </w:rPr>
        <w:t xml:space="preserve"> </w:t>
      </w:r>
      <w:r w:rsidRPr="00C1255F">
        <w:rPr>
          <w:rFonts w:ascii="Times New Roman" w:hAnsi="Times New Roman" w:cs="Times New Roman"/>
          <w:color w:val="000000" w:themeColor="text1"/>
          <w:sz w:val="22"/>
          <w:szCs w:val="22"/>
        </w:rPr>
        <w:t>%), followed by wound swabs (6/31, 19.35</w:t>
      </w:r>
      <w:r w:rsidR="00CC0E3B" w:rsidRPr="00C1255F">
        <w:rPr>
          <w:rFonts w:ascii="Times New Roman" w:hAnsi="Times New Roman" w:cs="Times New Roman"/>
          <w:color w:val="000000" w:themeColor="text1"/>
          <w:sz w:val="22"/>
          <w:szCs w:val="22"/>
        </w:rPr>
        <w:t xml:space="preserve"> </w:t>
      </w:r>
      <w:r w:rsidRPr="00C1255F">
        <w:rPr>
          <w:rFonts w:ascii="Times New Roman" w:hAnsi="Times New Roman" w:cs="Times New Roman"/>
          <w:color w:val="000000" w:themeColor="text1"/>
          <w:sz w:val="22"/>
          <w:szCs w:val="22"/>
        </w:rPr>
        <w:t>%) and high vaginal swabs (5/29, 17.24</w:t>
      </w:r>
      <w:r w:rsidR="00CC0E3B" w:rsidRPr="00C1255F">
        <w:rPr>
          <w:rFonts w:ascii="Times New Roman" w:hAnsi="Times New Roman" w:cs="Times New Roman"/>
          <w:color w:val="000000" w:themeColor="text1"/>
          <w:sz w:val="22"/>
          <w:szCs w:val="22"/>
        </w:rPr>
        <w:t xml:space="preserve"> </w:t>
      </w:r>
      <w:r w:rsidRPr="00C1255F">
        <w:rPr>
          <w:rFonts w:ascii="Times New Roman" w:hAnsi="Times New Roman" w:cs="Times New Roman"/>
          <w:color w:val="000000" w:themeColor="text1"/>
          <w:sz w:val="22"/>
          <w:szCs w:val="22"/>
        </w:rPr>
        <w:t>%) (Table 1).</w:t>
      </w:r>
    </w:p>
    <w:p w14:paraId="70303D94" w14:textId="3757EE0D" w:rsidR="00205197" w:rsidRPr="00C1255F" w:rsidRDefault="00205197" w:rsidP="00205197">
      <w:pPr>
        <w:pStyle w:val="Heading2"/>
        <w:shd w:val="clear" w:color="auto" w:fill="FFFFFF"/>
        <w:spacing w:before="0" w:line="240" w:lineRule="auto"/>
        <w:rPr>
          <w:rFonts w:ascii="Segoe UI" w:hAnsi="Segoe UI" w:cs="Segoe UI"/>
          <w:b/>
          <w:color w:val="000000" w:themeColor="text1"/>
        </w:rPr>
      </w:pPr>
      <w:r w:rsidRPr="00C1255F">
        <w:rPr>
          <w:rFonts w:ascii="Times New Roman" w:hAnsi="Times New Roman" w:cs="Times New Roman"/>
          <w:color w:val="000000" w:themeColor="text1"/>
          <w:sz w:val="22"/>
          <w:szCs w:val="22"/>
        </w:rPr>
        <w:t>Phenotypic testing confirmed 53 isolates (13.25</w:t>
      </w:r>
      <w:r w:rsidR="00CC0E3B" w:rsidRPr="00C1255F">
        <w:rPr>
          <w:rFonts w:ascii="Times New Roman" w:hAnsi="Times New Roman" w:cs="Times New Roman"/>
          <w:color w:val="000000" w:themeColor="text1"/>
          <w:sz w:val="22"/>
          <w:szCs w:val="22"/>
        </w:rPr>
        <w:t xml:space="preserve"> </w:t>
      </w:r>
      <w:r w:rsidRPr="00C1255F">
        <w:rPr>
          <w:rFonts w:ascii="Times New Roman" w:hAnsi="Times New Roman" w:cs="Times New Roman"/>
          <w:color w:val="000000" w:themeColor="text1"/>
          <w:sz w:val="22"/>
          <w:szCs w:val="22"/>
        </w:rPr>
        <w:t>% of total samples; 40.46</w:t>
      </w:r>
      <w:r w:rsidR="00CC0E3B" w:rsidRPr="00C1255F">
        <w:rPr>
          <w:rFonts w:ascii="Times New Roman" w:hAnsi="Times New Roman" w:cs="Times New Roman"/>
          <w:color w:val="000000" w:themeColor="text1"/>
          <w:sz w:val="22"/>
          <w:szCs w:val="22"/>
        </w:rPr>
        <w:t xml:space="preserve"> </w:t>
      </w:r>
      <w:r w:rsidRPr="00C1255F">
        <w:rPr>
          <w:rFonts w:ascii="Times New Roman" w:hAnsi="Times New Roman" w:cs="Times New Roman"/>
          <w:color w:val="000000" w:themeColor="text1"/>
          <w:sz w:val="22"/>
          <w:szCs w:val="22"/>
        </w:rPr>
        <w:t>% of </w:t>
      </w:r>
      <w:r w:rsidRPr="00C1255F">
        <w:rPr>
          <w:rStyle w:val="Emphasis"/>
          <w:rFonts w:ascii="Times New Roman" w:hAnsi="Times New Roman" w:cs="Times New Roman"/>
          <w:color w:val="000000" w:themeColor="text1"/>
          <w:sz w:val="22"/>
          <w:szCs w:val="22"/>
        </w:rPr>
        <w:t>P. aeruginosa</w:t>
      </w:r>
      <w:r w:rsidRPr="00C1255F">
        <w:rPr>
          <w:rFonts w:ascii="Times New Roman" w:hAnsi="Times New Roman" w:cs="Times New Roman"/>
          <w:color w:val="000000" w:themeColor="text1"/>
          <w:sz w:val="22"/>
          <w:szCs w:val="22"/>
        </w:rPr>
        <w:t> isolates) as MBL-producers. Among these, urine samples accounted for 49 MBL-positive isolates (92.45</w:t>
      </w:r>
      <w:r w:rsidR="00CC0E3B" w:rsidRPr="00C1255F">
        <w:rPr>
          <w:rFonts w:ascii="Times New Roman" w:hAnsi="Times New Roman" w:cs="Times New Roman"/>
          <w:color w:val="000000" w:themeColor="text1"/>
          <w:sz w:val="22"/>
          <w:szCs w:val="22"/>
        </w:rPr>
        <w:t xml:space="preserve"> </w:t>
      </w:r>
      <w:r w:rsidRPr="00C1255F">
        <w:rPr>
          <w:rFonts w:ascii="Times New Roman" w:hAnsi="Times New Roman" w:cs="Times New Roman"/>
          <w:color w:val="000000" w:themeColor="text1"/>
          <w:sz w:val="22"/>
          <w:szCs w:val="22"/>
        </w:rPr>
        <w:t>%), wound swabs for 3 (5.66</w:t>
      </w:r>
      <w:r w:rsidR="00CC0E3B" w:rsidRPr="00C1255F">
        <w:rPr>
          <w:rFonts w:ascii="Times New Roman" w:hAnsi="Times New Roman" w:cs="Times New Roman"/>
          <w:color w:val="000000" w:themeColor="text1"/>
          <w:sz w:val="22"/>
          <w:szCs w:val="22"/>
        </w:rPr>
        <w:t xml:space="preserve"> </w:t>
      </w:r>
      <w:r w:rsidRPr="00C1255F">
        <w:rPr>
          <w:rFonts w:ascii="Times New Roman" w:hAnsi="Times New Roman" w:cs="Times New Roman"/>
          <w:color w:val="000000" w:themeColor="text1"/>
          <w:sz w:val="22"/>
          <w:szCs w:val="22"/>
        </w:rPr>
        <w:t>%), and high vaginal swabs for 1 (1.89</w:t>
      </w:r>
      <w:r w:rsidR="00CC0E3B" w:rsidRPr="00C1255F">
        <w:rPr>
          <w:rFonts w:ascii="Times New Roman" w:hAnsi="Times New Roman" w:cs="Times New Roman"/>
          <w:color w:val="000000" w:themeColor="text1"/>
          <w:sz w:val="22"/>
          <w:szCs w:val="22"/>
        </w:rPr>
        <w:t xml:space="preserve"> </w:t>
      </w:r>
      <w:r w:rsidRPr="00C1255F">
        <w:rPr>
          <w:rFonts w:ascii="Times New Roman" w:hAnsi="Times New Roman" w:cs="Times New Roman"/>
          <w:color w:val="000000" w:themeColor="text1"/>
          <w:sz w:val="22"/>
          <w:szCs w:val="22"/>
        </w:rPr>
        <w:t>%).</w:t>
      </w:r>
    </w:p>
    <w:p w14:paraId="05B74969" w14:textId="56878B89" w:rsidR="000B723F" w:rsidRPr="00C1255F" w:rsidRDefault="00BD6BE1" w:rsidP="000B723F">
      <w:pPr>
        <w:spacing w:after="0"/>
        <w:jc w:val="both"/>
        <w:rPr>
          <w:rStyle w:val="Strong"/>
          <w:rFonts w:ascii="Times New Roman" w:hAnsi="Times New Roman" w:cs="Times New Roman"/>
          <w:color w:val="000000" w:themeColor="text1"/>
          <w:shd w:val="clear" w:color="auto" w:fill="FFFFFF"/>
        </w:rPr>
      </w:pPr>
      <w:r w:rsidRPr="00C1255F">
        <w:rPr>
          <w:rStyle w:val="Strong"/>
          <w:rFonts w:ascii="Times New Roman" w:hAnsi="Times New Roman" w:cs="Times New Roman"/>
          <w:color w:val="000000" w:themeColor="text1"/>
          <w:shd w:val="clear" w:color="auto" w:fill="FFFFFF"/>
        </w:rPr>
        <w:t>Table 1: Distribution of </w:t>
      </w:r>
      <w:r w:rsidRPr="00C1255F">
        <w:rPr>
          <w:rStyle w:val="Emphasis"/>
          <w:rFonts w:ascii="Times New Roman" w:hAnsi="Times New Roman" w:cs="Times New Roman"/>
          <w:b/>
          <w:bCs/>
          <w:color w:val="000000" w:themeColor="text1"/>
          <w:shd w:val="clear" w:color="auto" w:fill="FFFFFF"/>
        </w:rPr>
        <w:t>P. aeruginosa</w:t>
      </w:r>
      <w:r w:rsidRPr="00C1255F">
        <w:rPr>
          <w:rStyle w:val="Strong"/>
          <w:rFonts w:ascii="Times New Roman" w:hAnsi="Times New Roman" w:cs="Times New Roman"/>
          <w:color w:val="000000" w:themeColor="text1"/>
          <w:shd w:val="clear" w:color="auto" w:fill="FFFFFF"/>
        </w:rPr>
        <w:t xml:space="preserve"> and MBL-Producing Isolates </w:t>
      </w:r>
      <w:r w:rsidR="00CC0E3B" w:rsidRPr="00C1255F">
        <w:rPr>
          <w:rStyle w:val="Strong"/>
          <w:rFonts w:ascii="Times New Roman" w:hAnsi="Times New Roman" w:cs="Times New Roman"/>
          <w:color w:val="000000" w:themeColor="text1"/>
          <w:shd w:val="clear" w:color="auto" w:fill="FFFFFF"/>
        </w:rPr>
        <w:t>from different clinical</w:t>
      </w:r>
      <w:r w:rsidRPr="00C1255F">
        <w:rPr>
          <w:rStyle w:val="Strong"/>
          <w:rFonts w:ascii="Times New Roman" w:hAnsi="Times New Roman" w:cs="Times New Roman"/>
          <w:color w:val="000000" w:themeColor="text1"/>
          <w:shd w:val="clear" w:color="auto" w:fill="FFFFFF"/>
        </w:rPr>
        <w:t xml:space="preserve"> Sample</w:t>
      </w:r>
      <w:r w:rsidR="00CC0E3B" w:rsidRPr="00C1255F">
        <w:rPr>
          <w:rStyle w:val="Strong"/>
          <w:rFonts w:ascii="Times New Roman" w:hAnsi="Times New Roman" w:cs="Times New Roman"/>
          <w:color w:val="000000" w:themeColor="text1"/>
          <w:shd w:val="clear" w:color="auto" w:fill="FFFFFF"/>
        </w:rPr>
        <w:t>s</w:t>
      </w:r>
      <w:r w:rsidRPr="00C1255F">
        <w:rPr>
          <w:rStyle w:val="Strong"/>
          <w:rFonts w:ascii="Times New Roman" w:hAnsi="Times New Roman" w:cs="Times New Roman"/>
          <w:color w:val="000000" w:themeColor="text1"/>
          <w:shd w:val="clear" w:color="auto" w:fill="FFFFFF"/>
        </w:rPr>
        <w:t xml:space="preserve"> </w:t>
      </w:r>
    </w:p>
    <w:tbl>
      <w:tblPr>
        <w:tblW w:w="0" w:type="auto"/>
        <w:tblBorders>
          <w:top w:val="single" w:sz="4" w:space="0" w:color="auto"/>
          <w:bottom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69"/>
        <w:gridCol w:w="1819"/>
        <w:gridCol w:w="2338"/>
        <w:gridCol w:w="2497"/>
      </w:tblGrid>
      <w:tr w:rsidR="00C1255F" w:rsidRPr="00C1255F" w14:paraId="303B2A68" w14:textId="77777777" w:rsidTr="002E31D5">
        <w:trPr>
          <w:tblHeader/>
        </w:trPr>
        <w:tc>
          <w:tcPr>
            <w:tcW w:w="0" w:type="auto"/>
            <w:tcBorders>
              <w:top w:val="single" w:sz="4" w:space="0" w:color="auto"/>
              <w:bottom w:val="single" w:sz="4" w:space="0" w:color="auto"/>
            </w:tcBorders>
            <w:shd w:val="clear" w:color="auto" w:fill="FFFFFF"/>
            <w:tcMar>
              <w:top w:w="150" w:type="dxa"/>
              <w:left w:w="0" w:type="dxa"/>
              <w:bottom w:w="150" w:type="dxa"/>
              <w:right w:w="240" w:type="dxa"/>
            </w:tcMar>
            <w:vAlign w:val="center"/>
            <w:hideMark/>
          </w:tcPr>
          <w:p w14:paraId="6387F12C" w14:textId="77777777" w:rsidR="000A0847" w:rsidRPr="00C1255F" w:rsidRDefault="000A0847" w:rsidP="000A0847">
            <w:pPr>
              <w:spacing w:after="0" w:line="240" w:lineRule="auto"/>
              <w:rPr>
                <w:rFonts w:ascii="Times New Roman" w:eastAsia="Times New Roman" w:hAnsi="Times New Roman" w:cs="Times New Roman"/>
                <w:b/>
                <w:bCs/>
                <w:color w:val="000000" w:themeColor="text1"/>
              </w:rPr>
            </w:pPr>
            <w:r w:rsidRPr="00C1255F">
              <w:rPr>
                <w:rFonts w:ascii="Times New Roman" w:eastAsia="Times New Roman" w:hAnsi="Times New Roman" w:cs="Times New Roman"/>
                <w:b/>
                <w:bCs/>
                <w:color w:val="000000" w:themeColor="text1"/>
              </w:rPr>
              <w:t>Sample Type</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713C0F61" w14:textId="77777777" w:rsidR="000A0847" w:rsidRPr="00C1255F" w:rsidRDefault="000A0847" w:rsidP="000A0847">
            <w:pPr>
              <w:spacing w:after="0" w:line="240" w:lineRule="auto"/>
              <w:rPr>
                <w:rFonts w:ascii="Times New Roman" w:eastAsia="Times New Roman" w:hAnsi="Times New Roman" w:cs="Times New Roman"/>
                <w:b/>
                <w:bCs/>
                <w:color w:val="000000" w:themeColor="text1"/>
              </w:rPr>
            </w:pPr>
            <w:r w:rsidRPr="00C1255F">
              <w:rPr>
                <w:rFonts w:ascii="Times New Roman" w:eastAsia="Times New Roman" w:hAnsi="Times New Roman" w:cs="Times New Roman"/>
                <w:b/>
                <w:bCs/>
                <w:color w:val="000000" w:themeColor="text1"/>
              </w:rPr>
              <w:t>Total Samples</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2826F9BF" w14:textId="77777777" w:rsidR="000A0847" w:rsidRPr="00C1255F" w:rsidRDefault="000A0847" w:rsidP="000A0847">
            <w:pPr>
              <w:spacing w:after="0" w:line="240" w:lineRule="auto"/>
              <w:rPr>
                <w:rFonts w:ascii="Times New Roman" w:eastAsia="Times New Roman" w:hAnsi="Times New Roman" w:cs="Times New Roman"/>
                <w:b/>
                <w:bCs/>
                <w:color w:val="000000" w:themeColor="text1"/>
              </w:rPr>
            </w:pPr>
            <w:r w:rsidRPr="00C1255F">
              <w:rPr>
                <w:rFonts w:ascii="Times New Roman" w:eastAsia="Times New Roman" w:hAnsi="Times New Roman" w:cs="Times New Roman"/>
                <w:b/>
                <w:bCs/>
                <w:i/>
                <w:iCs/>
                <w:color w:val="000000" w:themeColor="text1"/>
              </w:rPr>
              <w:t>P. aeruginosa</w:t>
            </w:r>
            <w:r w:rsidRPr="00C1255F">
              <w:rPr>
                <w:rFonts w:ascii="Times New Roman" w:eastAsia="Times New Roman" w:hAnsi="Times New Roman" w:cs="Times New Roman"/>
                <w:b/>
                <w:bCs/>
                <w:color w:val="000000" w:themeColor="text1"/>
              </w:rPr>
              <w:t> n (%)</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7A47D173" w14:textId="77777777" w:rsidR="000A0847" w:rsidRPr="00C1255F" w:rsidRDefault="000A0847" w:rsidP="000A0847">
            <w:pPr>
              <w:spacing w:after="0" w:line="240" w:lineRule="auto"/>
              <w:rPr>
                <w:rFonts w:ascii="Times New Roman" w:eastAsia="Times New Roman" w:hAnsi="Times New Roman" w:cs="Times New Roman"/>
                <w:b/>
                <w:bCs/>
                <w:color w:val="000000" w:themeColor="text1"/>
              </w:rPr>
            </w:pPr>
            <w:r w:rsidRPr="00C1255F">
              <w:rPr>
                <w:rFonts w:ascii="Times New Roman" w:eastAsia="Times New Roman" w:hAnsi="Times New Roman" w:cs="Times New Roman"/>
                <w:b/>
                <w:bCs/>
                <w:color w:val="000000" w:themeColor="text1"/>
              </w:rPr>
              <w:t>MBL-Positive n (%)*</w:t>
            </w:r>
          </w:p>
        </w:tc>
      </w:tr>
      <w:tr w:rsidR="00C1255F" w:rsidRPr="00C1255F" w14:paraId="6B6A3099" w14:textId="77777777" w:rsidTr="002E31D5">
        <w:tc>
          <w:tcPr>
            <w:tcW w:w="0" w:type="auto"/>
            <w:tcBorders>
              <w:top w:val="single" w:sz="4" w:space="0" w:color="auto"/>
            </w:tcBorders>
            <w:shd w:val="clear" w:color="auto" w:fill="FFFFFF"/>
            <w:tcMar>
              <w:top w:w="150" w:type="dxa"/>
              <w:left w:w="0" w:type="dxa"/>
              <w:bottom w:w="150" w:type="dxa"/>
              <w:right w:w="240" w:type="dxa"/>
            </w:tcMar>
            <w:vAlign w:val="center"/>
            <w:hideMark/>
          </w:tcPr>
          <w:p w14:paraId="68D69465" w14:textId="77777777" w:rsidR="000A0847" w:rsidRPr="00C1255F" w:rsidRDefault="000A0847" w:rsidP="000A0847">
            <w:pPr>
              <w:spacing w:after="0" w:line="240" w:lineRule="auto"/>
              <w:rPr>
                <w:rFonts w:ascii="Times New Roman" w:eastAsia="Times New Roman" w:hAnsi="Times New Roman" w:cs="Times New Roman"/>
                <w:color w:val="000000" w:themeColor="text1"/>
              </w:rPr>
            </w:pPr>
            <w:r w:rsidRPr="00C1255F">
              <w:rPr>
                <w:rFonts w:ascii="Times New Roman" w:eastAsia="Times New Roman" w:hAnsi="Times New Roman" w:cs="Times New Roman"/>
                <w:color w:val="000000" w:themeColor="text1"/>
              </w:rPr>
              <w:t>Urine</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0B07E4E0" w14:textId="77777777" w:rsidR="000A0847" w:rsidRPr="00C1255F" w:rsidRDefault="000A0847" w:rsidP="000A0847">
            <w:pPr>
              <w:spacing w:after="0" w:line="240" w:lineRule="auto"/>
              <w:rPr>
                <w:rFonts w:ascii="Times New Roman" w:eastAsia="Times New Roman" w:hAnsi="Times New Roman" w:cs="Times New Roman"/>
                <w:color w:val="000000" w:themeColor="text1"/>
              </w:rPr>
            </w:pPr>
            <w:r w:rsidRPr="00C1255F">
              <w:rPr>
                <w:rFonts w:ascii="Times New Roman" w:eastAsia="Times New Roman" w:hAnsi="Times New Roman" w:cs="Times New Roman"/>
                <w:color w:val="000000" w:themeColor="text1"/>
              </w:rPr>
              <w:t>340</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48E4145B" w14:textId="77777777" w:rsidR="000A0847" w:rsidRPr="00C1255F" w:rsidRDefault="000A0847" w:rsidP="000A0847">
            <w:pPr>
              <w:spacing w:after="0" w:line="240" w:lineRule="auto"/>
              <w:rPr>
                <w:rFonts w:ascii="Times New Roman" w:eastAsia="Times New Roman" w:hAnsi="Times New Roman" w:cs="Times New Roman"/>
                <w:color w:val="000000" w:themeColor="text1"/>
              </w:rPr>
            </w:pPr>
            <w:r w:rsidRPr="00C1255F">
              <w:rPr>
                <w:rFonts w:ascii="Times New Roman" w:eastAsia="Times New Roman" w:hAnsi="Times New Roman" w:cs="Times New Roman"/>
                <w:color w:val="000000" w:themeColor="text1"/>
              </w:rPr>
              <w:t>120 (35.29)</w:t>
            </w:r>
          </w:p>
        </w:tc>
        <w:tc>
          <w:tcPr>
            <w:tcW w:w="0" w:type="auto"/>
            <w:tcBorders>
              <w:top w:val="single" w:sz="4" w:space="0" w:color="auto"/>
            </w:tcBorders>
            <w:shd w:val="clear" w:color="auto" w:fill="FFFFFF"/>
            <w:tcMar>
              <w:top w:w="150" w:type="dxa"/>
              <w:left w:w="240" w:type="dxa"/>
              <w:bottom w:w="150" w:type="dxa"/>
              <w:right w:w="0" w:type="dxa"/>
            </w:tcMar>
            <w:vAlign w:val="center"/>
            <w:hideMark/>
          </w:tcPr>
          <w:p w14:paraId="70EDBCA0" w14:textId="77777777" w:rsidR="000A0847" w:rsidRPr="00C1255F" w:rsidRDefault="000A0847" w:rsidP="000A0847">
            <w:pPr>
              <w:spacing w:after="0" w:line="240" w:lineRule="auto"/>
              <w:rPr>
                <w:rFonts w:ascii="Times New Roman" w:eastAsia="Times New Roman" w:hAnsi="Times New Roman" w:cs="Times New Roman"/>
                <w:color w:val="000000" w:themeColor="text1"/>
              </w:rPr>
            </w:pPr>
            <w:r w:rsidRPr="00C1255F">
              <w:rPr>
                <w:rFonts w:ascii="Times New Roman" w:eastAsia="Times New Roman" w:hAnsi="Times New Roman" w:cs="Times New Roman"/>
                <w:color w:val="000000" w:themeColor="text1"/>
              </w:rPr>
              <w:t>49 (40.83)</w:t>
            </w:r>
          </w:p>
        </w:tc>
      </w:tr>
      <w:tr w:rsidR="00C1255F" w:rsidRPr="00C1255F" w14:paraId="01921D7A" w14:textId="77777777" w:rsidTr="002E31D5">
        <w:tc>
          <w:tcPr>
            <w:tcW w:w="0" w:type="auto"/>
            <w:shd w:val="clear" w:color="auto" w:fill="FFFFFF"/>
            <w:tcMar>
              <w:top w:w="150" w:type="dxa"/>
              <w:left w:w="0" w:type="dxa"/>
              <w:bottom w:w="150" w:type="dxa"/>
              <w:right w:w="240" w:type="dxa"/>
            </w:tcMar>
            <w:vAlign w:val="center"/>
            <w:hideMark/>
          </w:tcPr>
          <w:p w14:paraId="63D73BC4" w14:textId="77777777" w:rsidR="000A0847" w:rsidRPr="00C1255F" w:rsidRDefault="000A0847" w:rsidP="000A0847">
            <w:pPr>
              <w:spacing w:after="0" w:line="240" w:lineRule="auto"/>
              <w:rPr>
                <w:rFonts w:ascii="Times New Roman" w:eastAsia="Times New Roman" w:hAnsi="Times New Roman" w:cs="Times New Roman"/>
                <w:color w:val="000000" w:themeColor="text1"/>
              </w:rPr>
            </w:pPr>
            <w:r w:rsidRPr="00C1255F">
              <w:rPr>
                <w:rFonts w:ascii="Times New Roman" w:eastAsia="Times New Roman" w:hAnsi="Times New Roman" w:cs="Times New Roman"/>
                <w:color w:val="000000" w:themeColor="text1"/>
              </w:rPr>
              <w:t>Wound Swab</w:t>
            </w:r>
          </w:p>
        </w:tc>
        <w:tc>
          <w:tcPr>
            <w:tcW w:w="0" w:type="auto"/>
            <w:shd w:val="clear" w:color="auto" w:fill="FFFFFF"/>
            <w:tcMar>
              <w:top w:w="150" w:type="dxa"/>
              <w:left w:w="240" w:type="dxa"/>
              <w:bottom w:w="150" w:type="dxa"/>
              <w:right w:w="240" w:type="dxa"/>
            </w:tcMar>
            <w:vAlign w:val="center"/>
            <w:hideMark/>
          </w:tcPr>
          <w:p w14:paraId="531CB47B" w14:textId="77777777" w:rsidR="000A0847" w:rsidRPr="00C1255F" w:rsidRDefault="000A0847" w:rsidP="000A0847">
            <w:pPr>
              <w:spacing w:after="0" w:line="240" w:lineRule="auto"/>
              <w:rPr>
                <w:rFonts w:ascii="Times New Roman" w:eastAsia="Times New Roman" w:hAnsi="Times New Roman" w:cs="Times New Roman"/>
                <w:color w:val="000000" w:themeColor="text1"/>
              </w:rPr>
            </w:pPr>
            <w:r w:rsidRPr="00C1255F">
              <w:rPr>
                <w:rFonts w:ascii="Times New Roman" w:eastAsia="Times New Roman" w:hAnsi="Times New Roman" w:cs="Times New Roman"/>
                <w:color w:val="000000" w:themeColor="text1"/>
              </w:rPr>
              <w:t>31</w:t>
            </w:r>
          </w:p>
        </w:tc>
        <w:tc>
          <w:tcPr>
            <w:tcW w:w="0" w:type="auto"/>
            <w:shd w:val="clear" w:color="auto" w:fill="FFFFFF"/>
            <w:tcMar>
              <w:top w:w="150" w:type="dxa"/>
              <w:left w:w="240" w:type="dxa"/>
              <w:bottom w:w="150" w:type="dxa"/>
              <w:right w:w="240" w:type="dxa"/>
            </w:tcMar>
            <w:vAlign w:val="center"/>
            <w:hideMark/>
          </w:tcPr>
          <w:p w14:paraId="0F44AA34" w14:textId="77777777" w:rsidR="000A0847" w:rsidRPr="00C1255F" w:rsidRDefault="000A0847" w:rsidP="000A0847">
            <w:pPr>
              <w:spacing w:after="0" w:line="240" w:lineRule="auto"/>
              <w:rPr>
                <w:rFonts w:ascii="Times New Roman" w:eastAsia="Times New Roman" w:hAnsi="Times New Roman" w:cs="Times New Roman"/>
                <w:color w:val="000000" w:themeColor="text1"/>
              </w:rPr>
            </w:pPr>
            <w:r w:rsidRPr="00C1255F">
              <w:rPr>
                <w:rFonts w:ascii="Times New Roman" w:eastAsia="Times New Roman" w:hAnsi="Times New Roman" w:cs="Times New Roman"/>
                <w:color w:val="000000" w:themeColor="text1"/>
              </w:rPr>
              <w:t>6 (19.35)</w:t>
            </w:r>
          </w:p>
        </w:tc>
        <w:tc>
          <w:tcPr>
            <w:tcW w:w="0" w:type="auto"/>
            <w:shd w:val="clear" w:color="auto" w:fill="FFFFFF"/>
            <w:tcMar>
              <w:top w:w="150" w:type="dxa"/>
              <w:left w:w="240" w:type="dxa"/>
              <w:bottom w:w="150" w:type="dxa"/>
              <w:right w:w="0" w:type="dxa"/>
            </w:tcMar>
            <w:vAlign w:val="center"/>
            <w:hideMark/>
          </w:tcPr>
          <w:p w14:paraId="5842465C" w14:textId="77777777" w:rsidR="000A0847" w:rsidRPr="00C1255F" w:rsidRDefault="000A0847" w:rsidP="000A0847">
            <w:pPr>
              <w:spacing w:after="0" w:line="240" w:lineRule="auto"/>
              <w:rPr>
                <w:rFonts w:ascii="Times New Roman" w:eastAsia="Times New Roman" w:hAnsi="Times New Roman" w:cs="Times New Roman"/>
                <w:color w:val="000000" w:themeColor="text1"/>
              </w:rPr>
            </w:pPr>
            <w:r w:rsidRPr="00C1255F">
              <w:rPr>
                <w:rFonts w:ascii="Times New Roman" w:eastAsia="Times New Roman" w:hAnsi="Times New Roman" w:cs="Times New Roman"/>
                <w:color w:val="000000" w:themeColor="text1"/>
              </w:rPr>
              <w:t>3 (50.00)</w:t>
            </w:r>
          </w:p>
        </w:tc>
      </w:tr>
      <w:tr w:rsidR="00C1255F" w:rsidRPr="00C1255F" w14:paraId="55FF0721" w14:textId="77777777" w:rsidTr="002E31D5">
        <w:tc>
          <w:tcPr>
            <w:tcW w:w="0" w:type="auto"/>
            <w:shd w:val="clear" w:color="auto" w:fill="FFFFFF"/>
            <w:tcMar>
              <w:top w:w="150" w:type="dxa"/>
              <w:left w:w="0" w:type="dxa"/>
              <w:bottom w:w="150" w:type="dxa"/>
              <w:right w:w="240" w:type="dxa"/>
            </w:tcMar>
            <w:vAlign w:val="center"/>
            <w:hideMark/>
          </w:tcPr>
          <w:p w14:paraId="5D8193EE" w14:textId="77777777" w:rsidR="000A0847" w:rsidRPr="00C1255F" w:rsidRDefault="000A0847" w:rsidP="000A0847">
            <w:pPr>
              <w:spacing w:after="0" w:line="240" w:lineRule="auto"/>
              <w:rPr>
                <w:rFonts w:ascii="Times New Roman" w:eastAsia="Times New Roman" w:hAnsi="Times New Roman" w:cs="Times New Roman"/>
                <w:color w:val="000000" w:themeColor="text1"/>
              </w:rPr>
            </w:pPr>
            <w:r w:rsidRPr="00C1255F">
              <w:rPr>
                <w:rFonts w:ascii="Times New Roman" w:eastAsia="Times New Roman" w:hAnsi="Times New Roman" w:cs="Times New Roman"/>
                <w:color w:val="000000" w:themeColor="text1"/>
              </w:rPr>
              <w:t>HVS</w:t>
            </w:r>
          </w:p>
        </w:tc>
        <w:tc>
          <w:tcPr>
            <w:tcW w:w="0" w:type="auto"/>
            <w:shd w:val="clear" w:color="auto" w:fill="FFFFFF"/>
            <w:tcMar>
              <w:top w:w="150" w:type="dxa"/>
              <w:left w:w="240" w:type="dxa"/>
              <w:bottom w:w="150" w:type="dxa"/>
              <w:right w:w="240" w:type="dxa"/>
            </w:tcMar>
            <w:vAlign w:val="center"/>
            <w:hideMark/>
          </w:tcPr>
          <w:p w14:paraId="4F14FDA8" w14:textId="77777777" w:rsidR="000A0847" w:rsidRPr="00C1255F" w:rsidRDefault="000A0847" w:rsidP="000A0847">
            <w:pPr>
              <w:spacing w:after="0" w:line="240" w:lineRule="auto"/>
              <w:rPr>
                <w:rFonts w:ascii="Times New Roman" w:eastAsia="Times New Roman" w:hAnsi="Times New Roman" w:cs="Times New Roman"/>
                <w:color w:val="000000" w:themeColor="text1"/>
              </w:rPr>
            </w:pPr>
            <w:r w:rsidRPr="00C1255F">
              <w:rPr>
                <w:rFonts w:ascii="Times New Roman" w:eastAsia="Times New Roman" w:hAnsi="Times New Roman" w:cs="Times New Roman"/>
                <w:color w:val="000000" w:themeColor="text1"/>
              </w:rPr>
              <w:t>29</w:t>
            </w:r>
          </w:p>
        </w:tc>
        <w:tc>
          <w:tcPr>
            <w:tcW w:w="0" w:type="auto"/>
            <w:shd w:val="clear" w:color="auto" w:fill="FFFFFF"/>
            <w:tcMar>
              <w:top w:w="150" w:type="dxa"/>
              <w:left w:w="240" w:type="dxa"/>
              <w:bottom w:w="150" w:type="dxa"/>
              <w:right w:w="240" w:type="dxa"/>
            </w:tcMar>
            <w:vAlign w:val="center"/>
            <w:hideMark/>
          </w:tcPr>
          <w:p w14:paraId="7354066C" w14:textId="77777777" w:rsidR="000A0847" w:rsidRPr="00C1255F" w:rsidRDefault="000A0847" w:rsidP="000A0847">
            <w:pPr>
              <w:spacing w:after="0" w:line="240" w:lineRule="auto"/>
              <w:rPr>
                <w:rFonts w:ascii="Times New Roman" w:eastAsia="Times New Roman" w:hAnsi="Times New Roman" w:cs="Times New Roman"/>
                <w:color w:val="000000" w:themeColor="text1"/>
              </w:rPr>
            </w:pPr>
            <w:r w:rsidRPr="00C1255F">
              <w:rPr>
                <w:rFonts w:ascii="Times New Roman" w:eastAsia="Times New Roman" w:hAnsi="Times New Roman" w:cs="Times New Roman"/>
                <w:color w:val="000000" w:themeColor="text1"/>
              </w:rPr>
              <w:t>5 (17.24)</w:t>
            </w:r>
          </w:p>
        </w:tc>
        <w:tc>
          <w:tcPr>
            <w:tcW w:w="0" w:type="auto"/>
            <w:shd w:val="clear" w:color="auto" w:fill="FFFFFF"/>
            <w:tcMar>
              <w:top w:w="150" w:type="dxa"/>
              <w:left w:w="240" w:type="dxa"/>
              <w:bottom w:w="150" w:type="dxa"/>
              <w:right w:w="0" w:type="dxa"/>
            </w:tcMar>
            <w:vAlign w:val="center"/>
            <w:hideMark/>
          </w:tcPr>
          <w:p w14:paraId="798748C1" w14:textId="77777777" w:rsidR="000A0847" w:rsidRPr="00C1255F" w:rsidRDefault="000A0847" w:rsidP="000A0847">
            <w:pPr>
              <w:spacing w:after="0" w:line="240" w:lineRule="auto"/>
              <w:rPr>
                <w:rFonts w:ascii="Times New Roman" w:eastAsia="Times New Roman" w:hAnsi="Times New Roman" w:cs="Times New Roman"/>
                <w:color w:val="000000" w:themeColor="text1"/>
              </w:rPr>
            </w:pPr>
            <w:r w:rsidRPr="00C1255F">
              <w:rPr>
                <w:rFonts w:ascii="Times New Roman" w:eastAsia="Times New Roman" w:hAnsi="Times New Roman" w:cs="Times New Roman"/>
                <w:color w:val="000000" w:themeColor="text1"/>
              </w:rPr>
              <w:t>1 (20.00)</w:t>
            </w:r>
          </w:p>
        </w:tc>
      </w:tr>
      <w:tr w:rsidR="00C1255F" w:rsidRPr="00C1255F" w14:paraId="6DCE17D4" w14:textId="77777777" w:rsidTr="002E31D5">
        <w:tc>
          <w:tcPr>
            <w:tcW w:w="0" w:type="auto"/>
            <w:shd w:val="clear" w:color="auto" w:fill="FFFFFF"/>
            <w:tcMar>
              <w:top w:w="150" w:type="dxa"/>
              <w:left w:w="0" w:type="dxa"/>
              <w:bottom w:w="150" w:type="dxa"/>
              <w:right w:w="240" w:type="dxa"/>
            </w:tcMar>
            <w:vAlign w:val="center"/>
            <w:hideMark/>
          </w:tcPr>
          <w:p w14:paraId="33C14FEF" w14:textId="77777777" w:rsidR="000A0847" w:rsidRPr="00C1255F" w:rsidRDefault="000A0847" w:rsidP="000A0847">
            <w:pPr>
              <w:spacing w:after="0" w:line="240" w:lineRule="auto"/>
              <w:rPr>
                <w:rFonts w:ascii="Times New Roman" w:eastAsia="Times New Roman" w:hAnsi="Times New Roman" w:cs="Times New Roman"/>
                <w:color w:val="000000" w:themeColor="text1"/>
              </w:rPr>
            </w:pPr>
            <w:r w:rsidRPr="00C1255F">
              <w:rPr>
                <w:rFonts w:ascii="Times New Roman" w:eastAsia="Times New Roman" w:hAnsi="Times New Roman" w:cs="Times New Roman"/>
                <w:b/>
                <w:bCs/>
                <w:color w:val="000000" w:themeColor="text1"/>
              </w:rPr>
              <w:t>Total</w:t>
            </w:r>
          </w:p>
        </w:tc>
        <w:tc>
          <w:tcPr>
            <w:tcW w:w="0" w:type="auto"/>
            <w:shd w:val="clear" w:color="auto" w:fill="FFFFFF"/>
            <w:tcMar>
              <w:top w:w="150" w:type="dxa"/>
              <w:left w:w="240" w:type="dxa"/>
              <w:bottom w:w="150" w:type="dxa"/>
              <w:right w:w="240" w:type="dxa"/>
            </w:tcMar>
            <w:vAlign w:val="center"/>
            <w:hideMark/>
          </w:tcPr>
          <w:p w14:paraId="1A246097" w14:textId="77777777" w:rsidR="000A0847" w:rsidRPr="00C1255F" w:rsidRDefault="000A0847" w:rsidP="000A0847">
            <w:pPr>
              <w:spacing w:after="0" w:line="240" w:lineRule="auto"/>
              <w:rPr>
                <w:rFonts w:ascii="Times New Roman" w:eastAsia="Times New Roman" w:hAnsi="Times New Roman" w:cs="Times New Roman"/>
                <w:color w:val="000000" w:themeColor="text1"/>
              </w:rPr>
            </w:pPr>
            <w:r w:rsidRPr="00C1255F">
              <w:rPr>
                <w:rFonts w:ascii="Times New Roman" w:eastAsia="Times New Roman" w:hAnsi="Times New Roman" w:cs="Times New Roman"/>
                <w:b/>
                <w:bCs/>
                <w:color w:val="000000" w:themeColor="text1"/>
              </w:rPr>
              <w:t>400</w:t>
            </w:r>
          </w:p>
        </w:tc>
        <w:tc>
          <w:tcPr>
            <w:tcW w:w="0" w:type="auto"/>
            <w:shd w:val="clear" w:color="auto" w:fill="FFFFFF"/>
            <w:tcMar>
              <w:top w:w="150" w:type="dxa"/>
              <w:left w:w="240" w:type="dxa"/>
              <w:bottom w:w="150" w:type="dxa"/>
              <w:right w:w="240" w:type="dxa"/>
            </w:tcMar>
            <w:vAlign w:val="center"/>
            <w:hideMark/>
          </w:tcPr>
          <w:p w14:paraId="009A2F64" w14:textId="77777777" w:rsidR="000A0847" w:rsidRPr="00C1255F" w:rsidRDefault="000A0847" w:rsidP="000A0847">
            <w:pPr>
              <w:spacing w:after="0" w:line="240" w:lineRule="auto"/>
              <w:rPr>
                <w:rFonts w:ascii="Times New Roman" w:eastAsia="Times New Roman" w:hAnsi="Times New Roman" w:cs="Times New Roman"/>
                <w:color w:val="000000" w:themeColor="text1"/>
              </w:rPr>
            </w:pPr>
            <w:r w:rsidRPr="00C1255F">
              <w:rPr>
                <w:rFonts w:ascii="Times New Roman" w:eastAsia="Times New Roman" w:hAnsi="Times New Roman" w:cs="Times New Roman"/>
                <w:b/>
                <w:bCs/>
                <w:color w:val="000000" w:themeColor="text1"/>
              </w:rPr>
              <w:t>131 (32.75)</w:t>
            </w:r>
          </w:p>
        </w:tc>
        <w:tc>
          <w:tcPr>
            <w:tcW w:w="0" w:type="auto"/>
            <w:shd w:val="clear" w:color="auto" w:fill="FFFFFF"/>
            <w:tcMar>
              <w:top w:w="150" w:type="dxa"/>
              <w:left w:w="240" w:type="dxa"/>
              <w:bottom w:w="150" w:type="dxa"/>
              <w:right w:w="0" w:type="dxa"/>
            </w:tcMar>
            <w:vAlign w:val="center"/>
            <w:hideMark/>
          </w:tcPr>
          <w:p w14:paraId="3618BB16" w14:textId="77777777" w:rsidR="000A0847" w:rsidRPr="00C1255F" w:rsidRDefault="000A0847" w:rsidP="000A0847">
            <w:pPr>
              <w:spacing w:after="0" w:line="240" w:lineRule="auto"/>
              <w:rPr>
                <w:rFonts w:ascii="Times New Roman" w:eastAsia="Times New Roman" w:hAnsi="Times New Roman" w:cs="Times New Roman"/>
                <w:color w:val="000000" w:themeColor="text1"/>
              </w:rPr>
            </w:pPr>
            <w:r w:rsidRPr="00C1255F">
              <w:rPr>
                <w:rFonts w:ascii="Times New Roman" w:eastAsia="Times New Roman" w:hAnsi="Times New Roman" w:cs="Times New Roman"/>
                <w:b/>
                <w:bCs/>
                <w:color w:val="000000" w:themeColor="text1"/>
              </w:rPr>
              <w:t>53 (40.46)</w:t>
            </w:r>
          </w:p>
        </w:tc>
      </w:tr>
    </w:tbl>
    <w:p w14:paraId="16750758" w14:textId="77777777" w:rsidR="000A0847" w:rsidRPr="00C1255F" w:rsidRDefault="003F6CA3" w:rsidP="000B723F">
      <w:pPr>
        <w:spacing w:after="0"/>
        <w:jc w:val="both"/>
        <w:rPr>
          <w:rFonts w:ascii="Segoe UI" w:hAnsi="Segoe UI" w:cs="Segoe UI"/>
          <w:color w:val="000000" w:themeColor="text1"/>
          <w:shd w:val="clear" w:color="auto" w:fill="FFFFFF"/>
        </w:rPr>
      </w:pPr>
      <w:r w:rsidRPr="00C1255F">
        <w:rPr>
          <w:rFonts w:ascii="Segoe UI" w:hAnsi="Segoe UI" w:cs="Segoe UI"/>
          <w:color w:val="000000" w:themeColor="text1"/>
          <w:shd w:val="clear" w:color="auto" w:fill="FFFFFF"/>
        </w:rPr>
        <w:t>*</w:t>
      </w:r>
      <w:r w:rsidRPr="00C1255F">
        <w:rPr>
          <w:rFonts w:ascii="Times New Roman" w:hAnsi="Times New Roman" w:cs="Times New Roman"/>
          <w:color w:val="000000" w:themeColor="text1"/>
          <w:shd w:val="clear" w:color="auto" w:fill="FFFFFF"/>
        </w:rPr>
        <w:t>Percentage of </w:t>
      </w:r>
      <w:r w:rsidRPr="00C1255F">
        <w:rPr>
          <w:rStyle w:val="Emphasis"/>
          <w:rFonts w:ascii="Times New Roman" w:hAnsi="Times New Roman" w:cs="Times New Roman"/>
          <w:color w:val="000000" w:themeColor="text1"/>
          <w:shd w:val="clear" w:color="auto" w:fill="FFFFFF"/>
        </w:rPr>
        <w:t>P. aeruginosa</w:t>
      </w:r>
      <w:r w:rsidRPr="00C1255F">
        <w:rPr>
          <w:rFonts w:ascii="Times New Roman" w:hAnsi="Times New Roman" w:cs="Times New Roman"/>
          <w:color w:val="000000" w:themeColor="text1"/>
          <w:shd w:val="clear" w:color="auto" w:fill="FFFFFF"/>
        </w:rPr>
        <w:t> isolates; HVS = High Vaginal Swab</w:t>
      </w:r>
    </w:p>
    <w:p w14:paraId="22A78107" w14:textId="77777777" w:rsidR="00692E97" w:rsidRPr="00C1255F" w:rsidRDefault="00692E97" w:rsidP="000B723F">
      <w:pPr>
        <w:spacing w:after="0"/>
        <w:jc w:val="both"/>
        <w:rPr>
          <w:rFonts w:ascii="Segoe UI" w:hAnsi="Segoe UI" w:cs="Segoe UI"/>
          <w:color w:val="000000" w:themeColor="text1"/>
          <w:shd w:val="clear" w:color="auto" w:fill="FFFFFF"/>
        </w:rPr>
      </w:pPr>
    </w:p>
    <w:p w14:paraId="0F0DBD04" w14:textId="77777777" w:rsidR="00692E97" w:rsidRPr="00C1255F" w:rsidRDefault="00692E97" w:rsidP="00225673">
      <w:pPr>
        <w:pStyle w:val="Heading3"/>
        <w:shd w:val="clear" w:color="auto" w:fill="FFFFFF"/>
        <w:spacing w:before="0"/>
        <w:jc w:val="both"/>
        <w:rPr>
          <w:rFonts w:ascii="Times New Roman" w:hAnsi="Times New Roman" w:cs="Times New Roman"/>
          <w:b/>
          <w:color w:val="000000" w:themeColor="text1"/>
          <w:sz w:val="22"/>
          <w:szCs w:val="22"/>
        </w:rPr>
      </w:pPr>
      <w:r w:rsidRPr="00C1255F">
        <w:rPr>
          <w:rFonts w:ascii="Times New Roman" w:hAnsi="Times New Roman" w:cs="Times New Roman"/>
          <w:b/>
          <w:color w:val="000000" w:themeColor="text1"/>
          <w:sz w:val="22"/>
          <w:szCs w:val="22"/>
        </w:rPr>
        <w:t>Comparison of MBL Prevalence: Outpatients versus Inpatients</w:t>
      </w:r>
    </w:p>
    <w:p w14:paraId="1D190345" w14:textId="308AD496" w:rsidR="00692E97" w:rsidRPr="00C1255F" w:rsidRDefault="00692E97" w:rsidP="00225673">
      <w:pPr>
        <w:pStyle w:val="ds-markdown-paragraph"/>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t>Outpatients demonstrated higher MBL prevalence (36/253, 14.23</w:t>
      </w:r>
      <w:r w:rsidR="00CC0E3B" w:rsidRPr="00C1255F">
        <w:rPr>
          <w:color w:val="000000" w:themeColor="text1"/>
          <w:sz w:val="22"/>
          <w:szCs w:val="22"/>
        </w:rPr>
        <w:t xml:space="preserve"> </w:t>
      </w:r>
      <w:r w:rsidRPr="00C1255F">
        <w:rPr>
          <w:color w:val="000000" w:themeColor="text1"/>
          <w:sz w:val="22"/>
          <w:szCs w:val="22"/>
        </w:rPr>
        <w:t>%) compared to inpatients (17/147, 11.56</w:t>
      </w:r>
      <w:r w:rsidR="00CC0E3B" w:rsidRPr="00C1255F">
        <w:rPr>
          <w:color w:val="000000" w:themeColor="text1"/>
          <w:sz w:val="22"/>
          <w:szCs w:val="22"/>
        </w:rPr>
        <w:t xml:space="preserve"> </w:t>
      </w:r>
      <w:r w:rsidRPr="00C1255F">
        <w:rPr>
          <w:color w:val="000000" w:themeColor="text1"/>
          <w:sz w:val="22"/>
          <w:szCs w:val="22"/>
        </w:rPr>
        <w:t>%), though this difference did not reach statistical significance (p=0.412) (Table 2). Among </w:t>
      </w:r>
      <w:r w:rsidRPr="00C1255F">
        <w:rPr>
          <w:rStyle w:val="Emphasis"/>
          <w:rFonts w:eastAsiaTheme="majorEastAsia"/>
          <w:color w:val="000000" w:themeColor="text1"/>
          <w:sz w:val="22"/>
          <w:szCs w:val="22"/>
        </w:rPr>
        <w:t>P. aeruginosa</w:t>
      </w:r>
      <w:r w:rsidRPr="00C1255F">
        <w:rPr>
          <w:color w:val="000000" w:themeColor="text1"/>
          <w:sz w:val="22"/>
          <w:szCs w:val="22"/>
        </w:rPr>
        <w:t> isolates, MBL production was detected in 50.0</w:t>
      </w:r>
      <w:r w:rsidR="00CC0E3B" w:rsidRPr="00C1255F">
        <w:rPr>
          <w:color w:val="000000" w:themeColor="text1"/>
          <w:sz w:val="22"/>
          <w:szCs w:val="22"/>
        </w:rPr>
        <w:t xml:space="preserve"> </w:t>
      </w:r>
      <w:r w:rsidRPr="00C1255F">
        <w:rPr>
          <w:color w:val="000000" w:themeColor="text1"/>
          <w:sz w:val="22"/>
          <w:szCs w:val="22"/>
        </w:rPr>
        <w:t>% (36/72) of outpatient isolates versus 28.8</w:t>
      </w:r>
      <w:r w:rsidR="00CC0E3B" w:rsidRPr="00C1255F">
        <w:rPr>
          <w:color w:val="000000" w:themeColor="text1"/>
          <w:sz w:val="22"/>
          <w:szCs w:val="22"/>
        </w:rPr>
        <w:t xml:space="preserve"> </w:t>
      </w:r>
      <w:r w:rsidRPr="00C1255F">
        <w:rPr>
          <w:color w:val="000000" w:themeColor="text1"/>
          <w:sz w:val="22"/>
          <w:szCs w:val="22"/>
        </w:rPr>
        <w:t>% (17/59) of inpatient isolates (p=0.018).</w:t>
      </w:r>
    </w:p>
    <w:p w14:paraId="639F261C" w14:textId="77777777" w:rsidR="00225673" w:rsidRPr="00C1255F" w:rsidRDefault="00225673" w:rsidP="00225673">
      <w:pPr>
        <w:pStyle w:val="ds-markdown-paragraph"/>
        <w:shd w:val="clear" w:color="auto" w:fill="FFFFFF"/>
        <w:spacing w:before="0" w:beforeAutospacing="0" w:after="0" w:afterAutospacing="0"/>
        <w:jc w:val="both"/>
        <w:rPr>
          <w:color w:val="000000" w:themeColor="text1"/>
          <w:sz w:val="22"/>
          <w:szCs w:val="22"/>
        </w:rPr>
      </w:pPr>
    </w:p>
    <w:p w14:paraId="488EF3A9" w14:textId="501D022E" w:rsidR="00CC0E3B" w:rsidRPr="00C1255F" w:rsidRDefault="005D1E7F" w:rsidP="00CC0E3B">
      <w:pPr>
        <w:pStyle w:val="Heading3"/>
        <w:shd w:val="clear" w:color="auto" w:fill="FFFFFF"/>
        <w:spacing w:before="0"/>
        <w:jc w:val="both"/>
        <w:rPr>
          <w:rFonts w:ascii="Times New Roman" w:hAnsi="Times New Roman" w:cs="Times New Roman"/>
          <w:b/>
          <w:color w:val="000000" w:themeColor="text1"/>
          <w:sz w:val="22"/>
          <w:szCs w:val="22"/>
        </w:rPr>
      </w:pPr>
      <w:r w:rsidRPr="00C1255F">
        <w:rPr>
          <w:rStyle w:val="Strong"/>
          <w:rFonts w:ascii="Times New Roman" w:hAnsi="Times New Roman" w:cs="Times New Roman"/>
          <w:color w:val="000000" w:themeColor="text1"/>
          <w:sz w:val="22"/>
          <w:szCs w:val="22"/>
          <w:shd w:val="clear" w:color="auto" w:fill="FFFFFF"/>
        </w:rPr>
        <w:t>Table 2: Distribution of MBL-Producing </w:t>
      </w:r>
      <w:r w:rsidRPr="00C1255F">
        <w:rPr>
          <w:rStyle w:val="Emphasis"/>
          <w:rFonts w:ascii="Times New Roman" w:hAnsi="Times New Roman" w:cs="Times New Roman"/>
          <w:b/>
          <w:bCs/>
          <w:color w:val="000000" w:themeColor="text1"/>
          <w:sz w:val="22"/>
          <w:szCs w:val="22"/>
          <w:shd w:val="clear" w:color="auto" w:fill="FFFFFF"/>
        </w:rPr>
        <w:t>P. aeruginosa</w:t>
      </w:r>
      <w:r w:rsidRPr="00C1255F">
        <w:rPr>
          <w:rStyle w:val="Strong"/>
          <w:rFonts w:ascii="Times New Roman" w:hAnsi="Times New Roman" w:cs="Times New Roman"/>
          <w:color w:val="000000" w:themeColor="text1"/>
          <w:sz w:val="22"/>
          <w:szCs w:val="22"/>
          <w:shd w:val="clear" w:color="auto" w:fill="FFFFFF"/>
        </w:rPr>
        <w:t> </w:t>
      </w:r>
      <w:r w:rsidR="00CC0E3B" w:rsidRPr="00C1255F">
        <w:rPr>
          <w:rStyle w:val="Strong"/>
          <w:rFonts w:ascii="Times New Roman" w:hAnsi="Times New Roman" w:cs="Times New Roman"/>
          <w:color w:val="000000" w:themeColor="text1"/>
          <w:sz w:val="22"/>
          <w:szCs w:val="22"/>
          <w:shd w:val="clear" w:color="auto" w:fill="FFFFFF"/>
        </w:rPr>
        <w:t xml:space="preserve">from In and </w:t>
      </w:r>
      <w:r w:rsidR="00CC0E3B" w:rsidRPr="00C1255F">
        <w:rPr>
          <w:rFonts w:ascii="Times New Roman" w:hAnsi="Times New Roman" w:cs="Times New Roman"/>
          <w:b/>
          <w:bCs/>
          <w:color w:val="000000" w:themeColor="text1"/>
          <w:sz w:val="22"/>
          <w:szCs w:val="22"/>
        </w:rPr>
        <w:t xml:space="preserve">Out patients </w:t>
      </w:r>
    </w:p>
    <w:p w14:paraId="6B85FB47" w14:textId="2F267210" w:rsidR="00225673" w:rsidRPr="00C1255F" w:rsidRDefault="00225673" w:rsidP="00225673">
      <w:pPr>
        <w:pStyle w:val="ds-markdown-paragraph"/>
        <w:shd w:val="clear" w:color="auto" w:fill="FFFFFF"/>
        <w:spacing w:before="0" w:beforeAutospacing="0" w:after="0" w:afterAutospacing="0"/>
        <w:jc w:val="both"/>
        <w:rPr>
          <w:rStyle w:val="Strong"/>
          <w:color w:val="000000" w:themeColor="text1"/>
          <w:sz w:val="22"/>
          <w:szCs w:val="22"/>
          <w:shd w:val="clear" w:color="auto" w:fill="FFFFFF"/>
        </w:rPr>
      </w:pPr>
    </w:p>
    <w:tbl>
      <w:tblPr>
        <w:tblW w:w="0" w:type="auto"/>
        <w:tblBorders>
          <w:top w:val="single" w:sz="4" w:space="0" w:color="auto"/>
          <w:bottom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78"/>
        <w:gridCol w:w="1485"/>
        <w:gridCol w:w="1938"/>
        <w:gridCol w:w="2146"/>
        <w:gridCol w:w="2513"/>
      </w:tblGrid>
      <w:tr w:rsidR="00C1255F" w:rsidRPr="00C1255F" w14:paraId="0C94071F" w14:textId="77777777" w:rsidTr="000348E4">
        <w:trPr>
          <w:tblHeader/>
        </w:trPr>
        <w:tc>
          <w:tcPr>
            <w:tcW w:w="0" w:type="auto"/>
            <w:tcBorders>
              <w:top w:val="single" w:sz="4" w:space="0" w:color="auto"/>
              <w:bottom w:val="single" w:sz="4" w:space="0" w:color="auto"/>
            </w:tcBorders>
            <w:shd w:val="clear" w:color="auto" w:fill="FFFFFF"/>
            <w:tcMar>
              <w:top w:w="150" w:type="dxa"/>
              <w:left w:w="0" w:type="dxa"/>
              <w:bottom w:w="150" w:type="dxa"/>
              <w:right w:w="240" w:type="dxa"/>
            </w:tcMar>
            <w:vAlign w:val="center"/>
            <w:hideMark/>
          </w:tcPr>
          <w:p w14:paraId="0E05BD58" w14:textId="77777777" w:rsidR="000348E4" w:rsidRPr="00C1255F" w:rsidRDefault="000348E4" w:rsidP="000348E4">
            <w:pPr>
              <w:spacing w:after="0" w:line="240" w:lineRule="auto"/>
              <w:rPr>
                <w:rFonts w:ascii="Times New Roman" w:eastAsia="Times New Roman" w:hAnsi="Times New Roman" w:cs="Times New Roman"/>
                <w:b/>
                <w:bCs/>
                <w:color w:val="000000" w:themeColor="text1"/>
              </w:rPr>
            </w:pPr>
            <w:r w:rsidRPr="00C1255F">
              <w:rPr>
                <w:rFonts w:ascii="Times New Roman" w:eastAsia="Times New Roman" w:hAnsi="Times New Roman" w:cs="Times New Roman"/>
                <w:b/>
                <w:bCs/>
                <w:color w:val="000000" w:themeColor="text1"/>
              </w:rPr>
              <w:t>Patient Type</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0D3D97B0" w14:textId="77777777" w:rsidR="000348E4" w:rsidRPr="00C1255F" w:rsidRDefault="000348E4" w:rsidP="000348E4">
            <w:pPr>
              <w:spacing w:after="0" w:line="240" w:lineRule="auto"/>
              <w:rPr>
                <w:rFonts w:ascii="Times New Roman" w:eastAsia="Times New Roman" w:hAnsi="Times New Roman" w:cs="Times New Roman"/>
                <w:b/>
                <w:bCs/>
                <w:color w:val="000000" w:themeColor="text1"/>
              </w:rPr>
            </w:pPr>
            <w:r w:rsidRPr="00C1255F">
              <w:rPr>
                <w:rFonts w:ascii="Times New Roman" w:eastAsia="Times New Roman" w:hAnsi="Times New Roman" w:cs="Times New Roman"/>
                <w:b/>
                <w:bCs/>
                <w:color w:val="000000" w:themeColor="text1"/>
              </w:rPr>
              <w:t>Total Samples</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0EF0EFB1" w14:textId="77777777" w:rsidR="000348E4" w:rsidRPr="00C1255F" w:rsidRDefault="000348E4" w:rsidP="000348E4">
            <w:pPr>
              <w:spacing w:after="0" w:line="240" w:lineRule="auto"/>
              <w:rPr>
                <w:rFonts w:ascii="Times New Roman" w:eastAsia="Times New Roman" w:hAnsi="Times New Roman" w:cs="Times New Roman"/>
                <w:b/>
                <w:bCs/>
                <w:color w:val="000000" w:themeColor="text1"/>
              </w:rPr>
            </w:pPr>
            <w:r w:rsidRPr="00C1255F">
              <w:rPr>
                <w:rFonts w:ascii="Times New Roman" w:eastAsia="Times New Roman" w:hAnsi="Times New Roman" w:cs="Times New Roman"/>
                <w:b/>
                <w:bCs/>
                <w:i/>
                <w:iCs/>
                <w:color w:val="000000" w:themeColor="text1"/>
              </w:rPr>
              <w:t>P. aeruginosa</w:t>
            </w:r>
            <w:r w:rsidRPr="00C1255F">
              <w:rPr>
                <w:rFonts w:ascii="Times New Roman" w:eastAsia="Times New Roman" w:hAnsi="Times New Roman" w:cs="Times New Roman"/>
                <w:b/>
                <w:bCs/>
                <w:color w:val="000000" w:themeColor="text1"/>
              </w:rPr>
              <w:t> n (%)</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4C2807FB" w14:textId="77777777" w:rsidR="000348E4" w:rsidRPr="00C1255F" w:rsidRDefault="000348E4" w:rsidP="000348E4">
            <w:pPr>
              <w:spacing w:after="0" w:line="240" w:lineRule="auto"/>
              <w:rPr>
                <w:rFonts w:ascii="Times New Roman" w:eastAsia="Times New Roman" w:hAnsi="Times New Roman" w:cs="Times New Roman"/>
                <w:b/>
                <w:bCs/>
                <w:color w:val="000000" w:themeColor="text1"/>
              </w:rPr>
            </w:pPr>
            <w:r w:rsidRPr="00C1255F">
              <w:rPr>
                <w:rFonts w:ascii="Times New Roman" w:eastAsia="Times New Roman" w:hAnsi="Times New Roman" w:cs="Times New Roman"/>
                <w:b/>
                <w:bCs/>
                <w:color w:val="000000" w:themeColor="text1"/>
              </w:rPr>
              <w:t>MBL-Positive n (% of samples)</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36C7083E" w14:textId="77777777" w:rsidR="000348E4" w:rsidRPr="00C1255F" w:rsidRDefault="000348E4" w:rsidP="000348E4">
            <w:pPr>
              <w:spacing w:after="0" w:line="240" w:lineRule="auto"/>
              <w:rPr>
                <w:rFonts w:ascii="Times New Roman" w:eastAsia="Times New Roman" w:hAnsi="Times New Roman" w:cs="Times New Roman"/>
                <w:b/>
                <w:bCs/>
                <w:color w:val="000000" w:themeColor="text1"/>
              </w:rPr>
            </w:pPr>
            <w:r w:rsidRPr="00C1255F">
              <w:rPr>
                <w:rFonts w:ascii="Times New Roman" w:eastAsia="Times New Roman" w:hAnsi="Times New Roman" w:cs="Times New Roman"/>
                <w:b/>
                <w:bCs/>
                <w:color w:val="000000" w:themeColor="text1"/>
              </w:rPr>
              <w:t>MBL-Positive n (% of </w:t>
            </w:r>
            <w:r w:rsidRPr="00C1255F">
              <w:rPr>
                <w:rFonts w:ascii="Times New Roman" w:eastAsia="Times New Roman" w:hAnsi="Times New Roman" w:cs="Times New Roman"/>
                <w:b/>
                <w:bCs/>
                <w:i/>
                <w:iCs/>
                <w:color w:val="000000" w:themeColor="text1"/>
              </w:rPr>
              <w:t>P. aeruginosa</w:t>
            </w:r>
            <w:r w:rsidRPr="00C1255F">
              <w:rPr>
                <w:rFonts w:ascii="Times New Roman" w:eastAsia="Times New Roman" w:hAnsi="Times New Roman" w:cs="Times New Roman"/>
                <w:b/>
                <w:bCs/>
                <w:color w:val="000000" w:themeColor="text1"/>
              </w:rPr>
              <w:t>)</w:t>
            </w:r>
          </w:p>
        </w:tc>
      </w:tr>
      <w:tr w:rsidR="00C1255F" w:rsidRPr="00C1255F" w14:paraId="10F84285" w14:textId="77777777" w:rsidTr="000348E4">
        <w:tc>
          <w:tcPr>
            <w:tcW w:w="0" w:type="auto"/>
            <w:tcBorders>
              <w:top w:val="single" w:sz="4" w:space="0" w:color="auto"/>
            </w:tcBorders>
            <w:shd w:val="clear" w:color="auto" w:fill="FFFFFF"/>
            <w:tcMar>
              <w:top w:w="150" w:type="dxa"/>
              <w:left w:w="0" w:type="dxa"/>
              <w:bottom w:w="150" w:type="dxa"/>
              <w:right w:w="240" w:type="dxa"/>
            </w:tcMar>
            <w:vAlign w:val="center"/>
            <w:hideMark/>
          </w:tcPr>
          <w:p w14:paraId="25E1E683" w14:textId="77777777" w:rsidR="000348E4" w:rsidRPr="00C1255F" w:rsidRDefault="000348E4" w:rsidP="000348E4">
            <w:pPr>
              <w:spacing w:after="0" w:line="240" w:lineRule="auto"/>
              <w:rPr>
                <w:rFonts w:ascii="Times New Roman" w:eastAsia="Times New Roman" w:hAnsi="Times New Roman" w:cs="Times New Roman"/>
                <w:color w:val="000000" w:themeColor="text1"/>
              </w:rPr>
            </w:pPr>
            <w:r w:rsidRPr="00C1255F">
              <w:rPr>
                <w:rFonts w:ascii="Times New Roman" w:eastAsia="Times New Roman" w:hAnsi="Times New Roman" w:cs="Times New Roman"/>
                <w:color w:val="000000" w:themeColor="text1"/>
              </w:rPr>
              <w:t>Inpatient</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6654F68C" w14:textId="77777777" w:rsidR="000348E4" w:rsidRPr="00C1255F" w:rsidRDefault="000348E4" w:rsidP="000348E4">
            <w:pPr>
              <w:spacing w:after="0" w:line="240" w:lineRule="auto"/>
              <w:rPr>
                <w:rFonts w:ascii="Times New Roman" w:eastAsia="Times New Roman" w:hAnsi="Times New Roman" w:cs="Times New Roman"/>
                <w:color w:val="000000" w:themeColor="text1"/>
              </w:rPr>
            </w:pPr>
            <w:r w:rsidRPr="00C1255F">
              <w:rPr>
                <w:rFonts w:ascii="Times New Roman" w:eastAsia="Times New Roman" w:hAnsi="Times New Roman" w:cs="Times New Roman"/>
                <w:color w:val="000000" w:themeColor="text1"/>
              </w:rPr>
              <w:t>147</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64833339" w14:textId="77777777" w:rsidR="000348E4" w:rsidRPr="00C1255F" w:rsidRDefault="000348E4" w:rsidP="000348E4">
            <w:pPr>
              <w:spacing w:after="0" w:line="240" w:lineRule="auto"/>
              <w:rPr>
                <w:rFonts w:ascii="Times New Roman" w:eastAsia="Times New Roman" w:hAnsi="Times New Roman" w:cs="Times New Roman"/>
                <w:color w:val="000000" w:themeColor="text1"/>
              </w:rPr>
            </w:pPr>
            <w:r w:rsidRPr="00C1255F">
              <w:rPr>
                <w:rFonts w:ascii="Times New Roman" w:eastAsia="Times New Roman" w:hAnsi="Times New Roman" w:cs="Times New Roman"/>
                <w:color w:val="000000" w:themeColor="text1"/>
              </w:rPr>
              <w:t>59 (40.14)</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1850EDCC" w14:textId="77777777" w:rsidR="000348E4" w:rsidRPr="00C1255F" w:rsidRDefault="000348E4" w:rsidP="000348E4">
            <w:pPr>
              <w:spacing w:after="0" w:line="240" w:lineRule="auto"/>
              <w:rPr>
                <w:rFonts w:ascii="Times New Roman" w:eastAsia="Times New Roman" w:hAnsi="Times New Roman" w:cs="Times New Roman"/>
                <w:color w:val="000000" w:themeColor="text1"/>
              </w:rPr>
            </w:pPr>
            <w:r w:rsidRPr="00C1255F">
              <w:rPr>
                <w:rFonts w:ascii="Times New Roman" w:eastAsia="Times New Roman" w:hAnsi="Times New Roman" w:cs="Times New Roman"/>
                <w:color w:val="000000" w:themeColor="text1"/>
              </w:rPr>
              <w:t>17 (11.56)</w:t>
            </w:r>
          </w:p>
        </w:tc>
        <w:tc>
          <w:tcPr>
            <w:tcW w:w="0" w:type="auto"/>
            <w:tcBorders>
              <w:top w:val="single" w:sz="4" w:space="0" w:color="auto"/>
            </w:tcBorders>
            <w:shd w:val="clear" w:color="auto" w:fill="FFFFFF"/>
            <w:tcMar>
              <w:top w:w="150" w:type="dxa"/>
              <w:left w:w="240" w:type="dxa"/>
              <w:bottom w:w="150" w:type="dxa"/>
              <w:right w:w="0" w:type="dxa"/>
            </w:tcMar>
            <w:vAlign w:val="center"/>
            <w:hideMark/>
          </w:tcPr>
          <w:p w14:paraId="73BF67A6" w14:textId="77777777" w:rsidR="000348E4" w:rsidRPr="00C1255F" w:rsidRDefault="000348E4" w:rsidP="000348E4">
            <w:pPr>
              <w:spacing w:after="0" w:line="240" w:lineRule="auto"/>
              <w:rPr>
                <w:rFonts w:ascii="Times New Roman" w:eastAsia="Times New Roman" w:hAnsi="Times New Roman" w:cs="Times New Roman"/>
                <w:color w:val="000000" w:themeColor="text1"/>
              </w:rPr>
            </w:pPr>
            <w:r w:rsidRPr="00C1255F">
              <w:rPr>
                <w:rFonts w:ascii="Times New Roman" w:eastAsia="Times New Roman" w:hAnsi="Times New Roman" w:cs="Times New Roman"/>
                <w:color w:val="000000" w:themeColor="text1"/>
              </w:rPr>
              <w:t>17 (28.81)</w:t>
            </w:r>
          </w:p>
        </w:tc>
      </w:tr>
      <w:tr w:rsidR="00C1255F" w:rsidRPr="00C1255F" w14:paraId="7AA2384F" w14:textId="77777777" w:rsidTr="000348E4">
        <w:tc>
          <w:tcPr>
            <w:tcW w:w="0" w:type="auto"/>
            <w:shd w:val="clear" w:color="auto" w:fill="FFFFFF"/>
            <w:tcMar>
              <w:top w:w="150" w:type="dxa"/>
              <w:left w:w="0" w:type="dxa"/>
              <w:bottom w:w="150" w:type="dxa"/>
              <w:right w:w="240" w:type="dxa"/>
            </w:tcMar>
            <w:vAlign w:val="center"/>
            <w:hideMark/>
          </w:tcPr>
          <w:p w14:paraId="1F1C9B7F" w14:textId="77777777" w:rsidR="000348E4" w:rsidRPr="00C1255F" w:rsidRDefault="000348E4" w:rsidP="000348E4">
            <w:pPr>
              <w:spacing w:after="0" w:line="240" w:lineRule="auto"/>
              <w:rPr>
                <w:rFonts w:ascii="Times New Roman" w:eastAsia="Times New Roman" w:hAnsi="Times New Roman" w:cs="Times New Roman"/>
                <w:color w:val="000000" w:themeColor="text1"/>
              </w:rPr>
            </w:pPr>
            <w:r w:rsidRPr="00C1255F">
              <w:rPr>
                <w:rFonts w:ascii="Times New Roman" w:eastAsia="Times New Roman" w:hAnsi="Times New Roman" w:cs="Times New Roman"/>
                <w:color w:val="000000" w:themeColor="text1"/>
              </w:rPr>
              <w:t>Outpatient</w:t>
            </w:r>
          </w:p>
        </w:tc>
        <w:tc>
          <w:tcPr>
            <w:tcW w:w="0" w:type="auto"/>
            <w:shd w:val="clear" w:color="auto" w:fill="FFFFFF"/>
            <w:tcMar>
              <w:top w:w="150" w:type="dxa"/>
              <w:left w:w="240" w:type="dxa"/>
              <w:bottom w:w="150" w:type="dxa"/>
              <w:right w:w="240" w:type="dxa"/>
            </w:tcMar>
            <w:vAlign w:val="center"/>
            <w:hideMark/>
          </w:tcPr>
          <w:p w14:paraId="27860CF0" w14:textId="77777777" w:rsidR="000348E4" w:rsidRPr="00C1255F" w:rsidRDefault="000348E4" w:rsidP="000348E4">
            <w:pPr>
              <w:spacing w:after="0" w:line="240" w:lineRule="auto"/>
              <w:rPr>
                <w:rFonts w:ascii="Times New Roman" w:eastAsia="Times New Roman" w:hAnsi="Times New Roman" w:cs="Times New Roman"/>
                <w:color w:val="000000" w:themeColor="text1"/>
              </w:rPr>
            </w:pPr>
            <w:r w:rsidRPr="00C1255F">
              <w:rPr>
                <w:rFonts w:ascii="Times New Roman" w:eastAsia="Times New Roman" w:hAnsi="Times New Roman" w:cs="Times New Roman"/>
                <w:color w:val="000000" w:themeColor="text1"/>
              </w:rPr>
              <w:t>253</w:t>
            </w:r>
          </w:p>
        </w:tc>
        <w:tc>
          <w:tcPr>
            <w:tcW w:w="0" w:type="auto"/>
            <w:shd w:val="clear" w:color="auto" w:fill="FFFFFF"/>
            <w:tcMar>
              <w:top w:w="150" w:type="dxa"/>
              <w:left w:w="240" w:type="dxa"/>
              <w:bottom w:w="150" w:type="dxa"/>
              <w:right w:w="240" w:type="dxa"/>
            </w:tcMar>
            <w:vAlign w:val="center"/>
            <w:hideMark/>
          </w:tcPr>
          <w:p w14:paraId="5CAB16B2" w14:textId="77777777" w:rsidR="000348E4" w:rsidRPr="00C1255F" w:rsidRDefault="000348E4" w:rsidP="000348E4">
            <w:pPr>
              <w:spacing w:after="0" w:line="240" w:lineRule="auto"/>
              <w:rPr>
                <w:rFonts w:ascii="Times New Roman" w:eastAsia="Times New Roman" w:hAnsi="Times New Roman" w:cs="Times New Roman"/>
                <w:color w:val="000000" w:themeColor="text1"/>
              </w:rPr>
            </w:pPr>
            <w:r w:rsidRPr="00C1255F">
              <w:rPr>
                <w:rFonts w:ascii="Times New Roman" w:eastAsia="Times New Roman" w:hAnsi="Times New Roman" w:cs="Times New Roman"/>
                <w:color w:val="000000" w:themeColor="text1"/>
              </w:rPr>
              <w:t>72 (28.46)</w:t>
            </w:r>
          </w:p>
        </w:tc>
        <w:tc>
          <w:tcPr>
            <w:tcW w:w="0" w:type="auto"/>
            <w:shd w:val="clear" w:color="auto" w:fill="FFFFFF"/>
            <w:tcMar>
              <w:top w:w="150" w:type="dxa"/>
              <w:left w:w="240" w:type="dxa"/>
              <w:bottom w:w="150" w:type="dxa"/>
              <w:right w:w="240" w:type="dxa"/>
            </w:tcMar>
            <w:vAlign w:val="center"/>
            <w:hideMark/>
          </w:tcPr>
          <w:p w14:paraId="2A929DC1" w14:textId="77777777" w:rsidR="000348E4" w:rsidRPr="00C1255F" w:rsidRDefault="000348E4" w:rsidP="000348E4">
            <w:pPr>
              <w:spacing w:after="0" w:line="240" w:lineRule="auto"/>
              <w:rPr>
                <w:rFonts w:ascii="Times New Roman" w:eastAsia="Times New Roman" w:hAnsi="Times New Roman" w:cs="Times New Roman"/>
                <w:color w:val="000000" w:themeColor="text1"/>
              </w:rPr>
            </w:pPr>
            <w:r w:rsidRPr="00C1255F">
              <w:rPr>
                <w:rFonts w:ascii="Times New Roman" w:eastAsia="Times New Roman" w:hAnsi="Times New Roman" w:cs="Times New Roman"/>
                <w:color w:val="000000" w:themeColor="text1"/>
              </w:rPr>
              <w:t>36 (14.23)</w:t>
            </w:r>
          </w:p>
        </w:tc>
        <w:tc>
          <w:tcPr>
            <w:tcW w:w="0" w:type="auto"/>
            <w:shd w:val="clear" w:color="auto" w:fill="FFFFFF"/>
            <w:tcMar>
              <w:top w:w="150" w:type="dxa"/>
              <w:left w:w="240" w:type="dxa"/>
              <w:bottom w:w="150" w:type="dxa"/>
              <w:right w:w="0" w:type="dxa"/>
            </w:tcMar>
            <w:vAlign w:val="center"/>
            <w:hideMark/>
          </w:tcPr>
          <w:p w14:paraId="55BACEF4" w14:textId="77777777" w:rsidR="000348E4" w:rsidRPr="00C1255F" w:rsidRDefault="000348E4" w:rsidP="000348E4">
            <w:pPr>
              <w:spacing w:after="0" w:line="240" w:lineRule="auto"/>
              <w:rPr>
                <w:rFonts w:ascii="Times New Roman" w:eastAsia="Times New Roman" w:hAnsi="Times New Roman" w:cs="Times New Roman"/>
                <w:color w:val="000000" w:themeColor="text1"/>
              </w:rPr>
            </w:pPr>
            <w:r w:rsidRPr="00C1255F">
              <w:rPr>
                <w:rFonts w:ascii="Times New Roman" w:eastAsia="Times New Roman" w:hAnsi="Times New Roman" w:cs="Times New Roman"/>
                <w:color w:val="000000" w:themeColor="text1"/>
              </w:rPr>
              <w:t>36 (50.00)</w:t>
            </w:r>
          </w:p>
        </w:tc>
      </w:tr>
      <w:tr w:rsidR="00C1255F" w:rsidRPr="00C1255F" w14:paraId="1CC42ABD" w14:textId="77777777" w:rsidTr="000348E4">
        <w:tc>
          <w:tcPr>
            <w:tcW w:w="0" w:type="auto"/>
            <w:shd w:val="clear" w:color="auto" w:fill="FFFFFF"/>
            <w:tcMar>
              <w:top w:w="150" w:type="dxa"/>
              <w:left w:w="0" w:type="dxa"/>
              <w:bottom w:w="150" w:type="dxa"/>
              <w:right w:w="240" w:type="dxa"/>
            </w:tcMar>
            <w:vAlign w:val="center"/>
            <w:hideMark/>
          </w:tcPr>
          <w:p w14:paraId="3C572E74" w14:textId="77777777" w:rsidR="000348E4" w:rsidRPr="00C1255F" w:rsidRDefault="000348E4" w:rsidP="000348E4">
            <w:pPr>
              <w:spacing w:after="0" w:line="240" w:lineRule="auto"/>
              <w:rPr>
                <w:rFonts w:ascii="Times New Roman" w:eastAsia="Times New Roman" w:hAnsi="Times New Roman" w:cs="Times New Roman"/>
                <w:color w:val="000000" w:themeColor="text1"/>
              </w:rPr>
            </w:pPr>
            <w:r w:rsidRPr="00C1255F">
              <w:rPr>
                <w:rFonts w:ascii="Times New Roman" w:eastAsia="Times New Roman" w:hAnsi="Times New Roman" w:cs="Times New Roman"/>
                <w:b/>
                <w:bCs/>
                <w:color w:val="000000" w:themeColor="text1"/>
              </w:rPr>
              <w:lastRenderedPageBreak/>
              <w:t>Total</w:t>
            </w:r>
          </w:p>
        </w:tc>
        <w:tc>
          <w:tcPr>
            <w:tcW w:w="0" w:type="auto"/>
            <w:shd w:val="clear" w:color="auto" w:fill="FFFFFF"/>
            <w:tcMar>
              <w:top w:w="150" w:type="dxa"/>
              <w:left w:w="240" w:type="dxa"/>
              <w:bottom w:w="150" w:type="dxa"/>
              <w:right w:w="240" w:type="dxa"/>
            </w:tcMar>
            <w:vAlign w:val="center"/>
            <w:hideMark/>
          </w:tcPr>
          <w:p w14:paraId="779DE670" w14:textId="77777777" w:rsidR="000348E4" w:rsidRPr="00C1255F" w:rsidRDefault="000348E4" w:rsidP="000348E4">
            <w:pPr>
              <w:spacing w:after="0" w:line="240" w:lineRule="auto"/>
              <w:rPr>
                <w:rFonts w:ascii="Times New Roman" w:eastAsia="Times New Roman" w:hAnsi="Times New Roman" w:cs="Times New Roman"/>
                <w:color w:val="000000" w:themeColor="text1"/>
              </w:rPr>
            </w:pPr>
            <w:r w:rsidRPr="00C1255F">
              <w:rPr>
                <w:rFonts w:ascii="Times New Roman" w:eastAsia="Times New Roman" w:hAnsi="Times New Roman" w:cs="Times New Roman"/>
                <w:b/>
                <w:bCs/>
                <w:color w:val="000000" w:themeColor="text1"/>
              </w:rPr>
              <w:t>400</w:t>
            </w:r>
          </w:p>
        </w:tc>
        <w:tc>
          <w:tcPr>
            <w:tcW w:w="0" w:type="auto"/>
            <w:shd w:val="clear" w:color="auto" w:fill="FFFFFF"/>
            <w:tcMar>
              <w:top w:w="150" w:type="dxa"/>
              <w:left w:w="240" w:type="dxa"/>
              <w:bottom w:w="150" w:type="dxa"/>
              <w:right w:w="240" w:type="dxa"/>
            </w:tcMar>
            <w:vAlign w:val="center"/>
            <w:hideMark/>
          </w:tcPr>
          <w:p w14:paraId="7F9E4FC5" w14:textId="77777777" w:rsidR="000348E4" w:rsidRPr="00C1255F" w:rsidRDefault="000348E4" w:rsidP="000348E4">
            <w:pPr>
              <w:spacing w:after="0" w:line="240" w:lineRule="auto"/>
              <w:rPr>
                <w:rFonts w:ascii="Times New Roman" w:eastAsia="Times New Roman" w:hAnsi="Times New Roman" w:cs="Times New Roman"/>
                <w:color w:val="000000" w:themeColor="text1"/>
              </w:rPr>
            </w:pPr>
            <w:r w:rsidRPr="00C1255F">
              <w:rPr>
                <w:rFonts w:ascii="Times New Roman" w:eastAsia="Times New Roman" w:hAnsi="Times New Roman" w:cs="Times New Roman"/>
                <w:b/>
                <w:bCs/>
                <w:color w:val="000000" w:themeColor="text1"/>
              </w:rPr>
              <w:t>131 (32.75)</w:t>
            </w:r>
          </w:p>
        </w:tc>
        <w:tc>
          <w:tcPr>
            <w:tcW w:w="0" w:type="auto"/>
            <w:shd w:val="clear" w:color="auto" w:fill="FFFFFF"/>
            <w:tcMar>
              <w:top w:w="150" w:type="dxa"/>
              <w:left w:w="240" w:type="dxa"/>
              <w:bottom w:w="150" w:type="dxa"/>
              <w:right w:w="240" w:type="dxa"/>
            </w:tcMar>
            <w:vAlign w:val="center"/>
            <w:hideMark/>
          </w:tcPr>
          <w:p w14:paraId="776726C8" w14:textId="77777777" w:rsidR="000348E4" w:rsidRPr="00C1255F" w:rsidRDefault="000348E4" w:rsidP="000348E4">
            <w:pPr>
              <w:spacing w:after="0" w:line="240" w:lineRule="auto"/>
              <w:rPr>
                <w:rFonts w:ascii="Times New Roman" w:eastAsia="Times New Roman" w:hAnsi="Times New Roman" w:cs="Times New Roman"/>
                <w:color w:val="000000" w:themeColor="text1"/>
              </w:rPr>
            </w:pPr>
            <w:r w:rsidRPr="00C1255F">
              <w:rPr>
                <w:rFonts w:ascii="Times New Roman" w:eastAsia="Times New Roman" w:hAnsi="Times New Roman" w:cs="Times New Roman"/>
                <w:b/>
                <w:bCs/>
                <w:color w:val="000000" w:themeColor="text1"/>
              </w:rPr>
              <w:t>53 (13.25)</w:t>
            </w:r>
          </w:p>
        </w:tc>
        <w:tc>
          <w:tcPr>
            <w:tcW w:w="0" w:type="auto"/>
            <w:shd w:val="clear" w:color="auto" w:fill="FFFFFF"/>
            <w:tcMar>
              <w:top w:w="150" w:type="dxa"/>
              <w:left w:w="240" w:type="dxa"/>
              <w:bottom w:w="150" w:type="dxa"/>
              <w:right w:w="0" w:type="dxa"/>
            </w:tcMar>
            <w:vAlign w:val="center"/>
            <w:hideMark/>
          </w:tcPr>
          <w:p w14:paraId="4B47CE5A" w14:textId="77777777" w:rsidR="000348E4" w:rsidRPr="00C1255F" w:rsidRDefault="000348E4" w:rsidP="000348E4">
            <w:pPr>
              <w:spacing w:after="0" w:line="240" w:lineRule="auto"/>
              <w:rPr>
                <w:rFonts w:ascii="Times New Roman" w:eastAsia="Times New Roman" w:hAnsi="Times New Roman" w:cs="Times New Roman"/>
                <w:color w:val="000000" w:themeColor="text1"/>
              </w:rPr>
            </w:pPr>
            <w:r w:rsidRPr="00C1255F">
              <w:rPr>
                <w:rFonts w:ascii="Times New Roman" w:eastAsia="Times New Roman" w:hAnsi="Times New Roman" w:cs="Times New Roman"/>
                <w:b/>
                <w:bCs/>
                <w:color w:val="000000" w:themeColor="text1"/>
              </w:rPr>
              <w:t>53 (40.46)</w:t>
            </w:r>
          </w:p>
        </w:tc>
      </w:tr>
    </w:tbl>
    <w:p w14:paraId="2CA8588C" w14:textId="77777777" w:rsidR="005D1E7F" w:rsidRPr="00C1255F" w:rsidRDefault="005D1E7F" w:rsidP="00225673">
      <w:pPr>
        <w:pStyle w:val="ds-markdown-paragraph"/>
        <w:shd w:val="clear" w:color="auto" w:fill="FFFFFF"/>
        <w:spacing w:before="0" w:beforeAutospacing="0" w:after="0" w:afterAutospacing="0"/>
        <w:jc w:val="both"/>
        <w:rPr>
          <w:color w:val="000000" w:themeColor="text1"/>
          <w:sz w:val="22"/>
          <w:szCs w:val="22"/>
        </w:rPr>
      </w:pPr>
    </w:p>
    <w:p w14:paraId="5159BC10" w14:textId="77777777" w:rsidR="009E3030" w:rsidRPr="00C1255F" w:rsidRDefault="009E3030" w:rsidP="009E3030">
      <w:pPr>
        <w:pStyle w:val="Heading3"/>
        <w:shd w:val="clear" w:color="auto" w:fill="FFFFFF"/>
        <w:spacing w:before="0"/>
        <w:rPr>
          <w:rFonts w:ascii="Times New Roman" w:hAnsi="Times New Roman" w:cs="Times New Roman"/>
          <w:b/>
          <w:color w:val="000000" w:themeColor="text1"/>
          <w:sz w:val="22"/>
          <w:szCs w:val="22"/>
        </w:rPr>
      </w:pPr>
      <w:r w:rsidRPr="00C1255F">
        <w:rPr>
          <w:rFonts w:ascii="Times New Roman" w:hAnsi="Times New Roman" w:cs="Times New Roman"/>
          <w:b/>
          <w:color w:val="000000" w:themeColor="text1"/>
          <w:sz w:val="22"/>
          <w:szCs w:val="22"/>
        </w:rPr>
        <w:t>Demographic Risk Factors for MBL Carriage</w:t>
      </w:r>
    </w:p>
    <w:p w14:paraId="7A909D68" w14:textId="3A4B8883" w:rsidR="009E3030" w:rsidRPr="00C1255F" w:rsidRDefault="009E3030" w:rsidP="009E3030">
      <w:pPr>
        <w:pStyle w:val="ds-markdown-paragraph"/>
        <w:shd w:val="clear" w:color="auto" w:fill="FFFFFF"/>
        <w:spacing w:before="0" w:beforeAutospacing="0" w:after="0" w:afterAutospacing="0"/>
        <w:jc w:val="both"/>
        <w:rPr>
          <w:color w:val="000000" w:themeColor="text1"/>
        </w:rPr>
      </w:pPr>
      <w:r w:rsidRPr="00C1255F">
        <w:rPr>
          <w:color w:val="000000" w:themeColor="text1"/>
        </w:rPr>
        <w:t>The highest MBL-positive rate was observed in patients aged ≥</w:t>
      </w:r>
      <w:r w:rsidR="00CC0E3B" w:rsidRPr="00C1255F">
        <w:rPr>
          <w:color w:val="000000" w:themeColor="text1"/>
        </w:rPr>
        <w:t xml:space="preserve"> </w:t>
      </w:r>
      <w:r w:rsidRPr="00C1255F">
        <w:rPr>
          <w:color w:val="000000" w:themeColor="text1"/>
        </w:rPr>
        <w:t>46 years (20/86, 23.26</w:t>
      </w:r>
      <w:r w:rsidR="00CC0E3B" w:rsidRPr="00C1255F">
        <w:rPr>
          <w:color w:val="000000" w:themeColor="text1"/>
        </w:rPr>
        <w:t xml:space="preserve"> </w:t>
      </w:r>
      <w:r w:rsidRPr="00C1255F">
        <w:rPr>
          <w:color w:val="000000" w:themeColor="text1"/>
        </w:rPr>
        <w:t>%), followed by the 31-45 years age group (28/113, 24.78</w:t>
      </w:r>
      <w:r w:rsidR="00CC0E3B" w:rsidRPr="00C1255F">
        <w:rPr>
          <w:color w:val="000000" w:themeColor="text1"/>
        </w:rPr>
        <w:t xml:space="preserve"> </w:t>
      </w:r>
      <w:r w:rsidRPr="00C1255F">
        <w:rPr>
          <w:color w:val="000000" w:themeColor="text1"/>
        </w:rPr>
        <w:t>% of isolates) (Table 3). No MBL-producers were detected in the 1-15 years age group. Female patients showed significantly higher MBL carriage (39/221, 17.65</w:t>
      </w:r>
      <w:r w:rsidR="00CC0E3B" w:rsidRPr="00C1255F">
        <w:rPr>
          <w:color w:val="000000" w:themeColor="text1"/>
        </w:rPr>
        <w:t xml:space="preserve"> </w:t>
      </w:r>
      <w:r w:rsidRPr="00C1255F">
        <w:rPr>
          <w:color w:val="000000" w:themeColor="text1"/>
        </w:rPr>
        <w:t>%) compared to males (14/179, 7.82</w:t>
      </w:r>
      <w:r w:rsidR="00CC0E3B" w:rsidRPr="00C1255F">
        <w:rPr>
          <w:color w:val="000000" w:themeColor="text1"/>
        </w:rPr>
        <w:t xml:space="preserve"> </w:t>
      </w:r>
      <w:r w:rsidRPr="00C1255F">
        <w:rPr>
          <w:color w:val="000000" w:themeColor="text1"/>
        </w:rPr>
        <w:t>%) (p=0.003; OR = 2.52, 95% CI: 1.33-4.78).</w:t>
      </w:r>
    </w:p>
    <w:p w14:paraId="18F398B1" w14:textId="4526F4E7" w:rsidR="009E3030" w:rsidRPr="00C1255F" w:rsidRDefault="009E3030" w:rsidP="009E3030">
      <w:pPr>
        <w:pStyle w:val="ds-markdown-paragraph"/>
        <w:shd w:val="clear" w:color="auto" w:fill="FFFFFF"/>
        <w:spacing w:before="0" w:beforeAutospacing="0" w:after="0" w:afterAutospacing="0"/>
        <w:jc w:val="both"/>
        <w:rPr>
          <w:color w:val="000000" w:themeColor="text1"/>
        </w:rPr>
      </w:pPr>
      <w:r w:rsidRPr="00C1255F">
        <w:rPr>
          <w:color w:val="000000" w:themeColor="text1"/>
        </w:rPr>
        <w:t>Multivariate logistic regression identified female gender (adjusted OR = 2.84, 95</w:t>
      </w:r>
      <w:r w:rsidR="00CC0E3B" w:rsidRPr="00C1255F">
        <w:rPr>
          <w:color w:val="000000" w:themeColor="text1"/>
        </w:rPr>
        <w:t xml:space="preserve"> </w:t>
      </w:r>
      <w:r w:rsidRPr="00C1255F">
        <w:rPr>
          <w:color w:val="000000" w:themeColor="text1"/>
        </w:rPr>
        <w:t>% CI: 1.46-5.52, p=</w:t>
      </w:r>
      <w:r w:rsidR="00CC0E3B" w:rsidRPr="00C1255F">
        <w:rPr>
          <w:color w:val="000000" w:themeColor="text1"/>
        </w:rPr>
        <w:t xml:space="preserve"> </w:t>
      </w:r>
      <w:r w:rsidRPr="00C1255F">
        <w:rPr>
          <w:color w:val="000000" w:themeColor="text1"/>
        </w:rPr>
        <w:t>0.002) and age ≥</w:t>
      </w:r>
      <w:r w:rsidR="00CC0E3B" w:rsidRPr="00C1255F">
        <w:rPr>
          <w:color w:val="000000" w:themeColor="text1"/>
        </w:rPr>
        <w:t xml:space="preserve"> </w:t>
      </w:r>
      <w:r w:rsidRPr="00C1255F">
        <w:rPr>
          <w:color w:val="000000" w:themeColor="text1"/>
        </w:rPr>
        <w:t>46 years (adjusted OR = 3.67, 95</w:t>
      </w:r>
      <w:r w:rsidR="00CC0E3B" w:rsidRPr="00C1255F">
        <w:rPr>
          <w:color w:val="000000" w:themeColor="text1"/>
        </w:rPr>
        <w:t xml:space="preserve"> </w:t>
      </w:r>
      <w:r w:rsidRPr="00C1255F">
        <w:rPr>
          <w:color w:val="000000" w:themeColor="text1"/>
        </w:rPr>
        <w:t>% CI: 1.89-7.12, p</w:t>
      </w:r>
      <w:r w:rsidR="00CC0E3B" w:rsidRPr="00C1255F">
        <w:rPr>
          <w:color w:val="000000" w:themeColor="text1"/>
        </w:rPr>
        <w:t xml:space="preserve"> </w:t>
      </w:r>
      <w:r w:rsidRPr="00C1255F">
        <w:rPr>
          <w:color w:val="000000" w:themeColor="text1"/>
        </w:rPr>
        <w:t>&lt;</w:t>
      </w:r>
      <w:r w:rsidR="00CC0E3B" w:rsidRPr="00C1255F">
        <w:rPr>
          <w:color w:val="000000" w:themeColor="text1"/>
        </w:rPr>
        <w:t xml:space="preserve"> </w:t>
      </w:r>
      <w:r w:rsidRPr="00C1255F">
        <w:rPr>
          <w:color w:val="000000" w:themeColor="text1"/>
        </w:rPr>
        <w:t>0.001) as independent risk factors for MBL carriage.</w:t>
      </w:r>
    </w:p>
    <w:p w14:paraId="54358628" w14:textId="77777777" w:rsidR="00692E97" w:rsidRPr="00C1255F" w:rsidRDefault="00692E97" w:rsidP="000B723F">
      <w:pPr>
        <w:spacing w:after="0"/>
        <w:jc w:val="both"/>
        <w:rPr>
          <w:rFonts w:ascii="Times New Roman" w:hAnsi="Times New Roman" w:cs="Times New Roman"/>
          <w:color w:val="000000" w:themeColor="text1"/>
        </w:rPr>
      </w:pPr>
    </w:p>
    <w:p w14:paraId="24688DCA" w14:textId="77777777" w:rsidR="008E6FFA" w:rsidRPr="00C1255F" w:rsidRDefault="008E6FFA" w:rsidP="000B723F">
      <w:pPr>
        <w:spacing w:after="0"/>
        <w:jc w:val="both"/>
        <w:rPr>
          <w:rStyle w:val="Emphasis"/>
          <w:rFonts w:ascii="Times New Roman" w:hAnsi="Times New Roman" w:cs="Times New Roman"/>
          <w:b/>
          <w:bCs/>
          <w:color w:val="000000" w:themeColor="text1"/>
          <w:sz w:val="20"/>
          <w:szCs w:val="20"/>
          <w:shd w:val="clear" w:color="auto" w:fill="FFFFFF"/>
        </w:rPr>
      </w:pPr>
      <w:r w:rsidRPr="00C1255F">
        <w:rPr>
          <w:rStyle w:val="Strong"/>
          <w:rFonts w:ascii="Times New Roman" w:hAnsi="Times New Roman" w:cs="Times New Roman"/>
          <w:color w:val="000000" w:themeColor="text1"/>
          <w:sz w:val="20"/>
          <w:szCs w:val="20"/>
          <w:shd w:val="clear" w:color="auto" w:fill="FFFFFF"/>
        </w:rPr>
        <w:t>Table 3: Demographic Factors Associated with MBL-Producing </w:t>
      </w:r>
      <w:r w:rsidRPr="00C1255F">
        <w:rPr>
          <w:rStyle w:val="Emphasis"/>
          <w:rFonts w:ascii="Times New Roman" w:hAnsi="Times New Roman" w:cs="Times New Roman"/>
          <w:b/>
          <w:bCs/>
          <w:color w:val="000000" w:themeColor="text1"/>
          <w:sz w:val="20"/>
          <w:szCs w:val="20"/>
          <w:shd w:val="clear" w:color="auto" w:fill="FFFFFF"/>
        </w:rPr>
        <w:t>P. aeruginosa</w:t>
      </w:r>
    </w:p>
    <w:tbl>
      <w:tblPr>
        <w:tblW w:w="9990" w:type="dxa"/>
        <w:tblBorders>
          <w:top w:val="single" w:sz="4" w:space="0" w:color="auto"/>
          <w:bottom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62"/>
        <w:gridCol w:w="1269"/>
        <w:gridCol w:w="1560"/>
        <w:gridCol w:w="2006"/>
        <w:gridCol w:w="1997"/>
        <w:gridCol w:w="1696"/>
      </w:tblGrid>
      <w:tr w:rsidR="00C1255F" w:rsidRPr="00C1255F" w14:paraId="058A6397" w14:textId="77777777" w:rsidTr="00D04E5F">
        <w:trPr>
          <w:tblHeader/>
        </w:trPr>
        <w:tc>
          <w:tcPr>
            <w:tcW w:w="0" w:type="auto"/>
            <w:tcBorders>
              <w:top w:val="single" w:sz="4" w:space="0" w:color="auto"/>
              <w:bottom w:val="single" w:sz="4" w:space="0" w:color="auto"/>
            </w:tcBorders>
            <w:shd w:val="clear" w:color="auto" w:fill="FFFFFF"/>
            <w:tcMar>
              <w:top w:w="150" w:type="dxa"/>
              <w:left w:w="0" w:type="dxa"/>
              <w:bottom w:w="150" w:type="dxa"/>
              <w:right w:w="240" w:type="dxa"/>
            </w:tcMar>
            <w:vAlign w:val="center"/>
            <w:hideMark/>
          </w:tcPr>
          <w:p w14:paraId="5A144F61" w14:textId="77777777" w:rsidR="008E6FFA" w:rsidRPr="00C1255F" w:rsidRDefault="008E6FFA" w:rsidP="008E6FFA">
            <w:pPr>
              <w:spacing w:after="0" w:line="240" w:lineRule="auto"/>
              <w:rPr>
                <w:rFonts w:ascii="Times New Roman" w:eastAsia="Times New Roman" w:hAnsi="Times New Roman" w:cs="Times New Roman"/>
                <w:b/>
                <w:bCs/>
                <w:color w:val="000000" w:themeColor="text1"/>
                <w:sz w:val="20"/>
                <w:szCs w:val="20"/>
              </w:rPr>
            </w:pPr>
            <w:r w:rsidRPr="00C1255F">
              <w:rPr>
                <w:rFonts w:ascii="Times New Roman" w:eastAsia="Times New Roman" w:hAnsi="Times New Roman" w:cs="Times New Roman"/>
                <w:b/>
                <w:bCs/>
                <w:color w:val="000000" w:themeColor="text1"/>
                <w:sz w:val="20"/>
                <w:szCs w:val="20"/>
              </w:rPr>
              <w:t>Characteristic</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583623A3" w14:textId="77777777" w:rsidR="008E6FFA" w:rsidRPr="00C1255F" w:rsidRDefault="008E6FFA" w:rsidP="008E6FFA">
            <w:pPr>
              <w:spacing w:after="0" w:line="240" w:lineRule="auto"/>
              <w:rPr>
                <w:rFonts w:ascii="Times New Roman" w:eastAsia="Times New Roman" w:hAnsi="Times New Roman" w:cs="Times New Roman"/>
                <w:b/>
                <w:bCs/>
                <w:color w:val="000000" w:themeColor="text1"/>
                <w:sz w:val="20"/>
                <w:szCs w:val="20"/>
              </w:rPr>
            </w:pPr>
            <w:r w:rsidRPr="00C1255F">
              <w:rPr>
                <w:rFonts w:ascii="Times New Roman" w:eastAsia="Times New Roman" w:hAnsi="Times New Roman" w:cs="Times New Roman"/>
                <w:b/>
                <w:bCs/>
                <w:color w:val="000000" w:themeColor="text1"/>
                <w:sz w:val="20"/>
                <w:szCs w:val="20"/>
              </w:rPr>
              <w:t>Category</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30021788" w14:textId="77777777" w:rsidR="008E6FFA" w:rsidRPr="00C1255F" w:rsidRDefault="008E6FFA" w:rsidP="008E6FFA">
            <w:pPr>
              <w:spacing w:after="0" w:line="240" w:lineRule="auto"/>
              <w:rPr>
                <w:rFonts w:ascii="Times New Roman" w:eastAsia="Times New Roman" w:hAnsi="Times New Roman" w:cs="Times New Roman"/>
                <w:b/>
                <w:bCs/>
                <w:color w:val="000000" w:themeColor="text1"/>
                <w:sz w:val="20"/>
                <w:szCs w:val="20"/>
              </w:rPr>
            </w:pPr>
            <w:r w:rsidRPr="00C1255F">
              <w:rPr>
                <w:rFonts w:ascii="Times New Roman" w:eastAsia="Times New Roman" w:hAnsi="Times New Roman" w:cs="Times New Roman"/>
                <w:b/>
                <w:bCs/>
                <w:color w:val="000000" w:themeColor="text1"/>
                <w:sz w:val="20"/>
                <w:szCs w:val="20"/>
              </w:rPr>
              <w:t>Total Samples</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5B4D84C9" w14:textId="77777777" w:rsidR="008E6FFA" w:rsidRPr="00C1255F" w:rsidRDefault="008E6FFA" w:rsidP="008E6FFA">
            <w:pPr>
              <w:spacing w:after="0" w:line="240" w:lineRule="auto"/>
              <w:rPr>
                <w:rFonts w:ascii="Times New Roman" w:eastAsia="Times New Roman" w:hAnsi="Times New Roman" w:cs="Times New Roman"/>
                <w:b/>
                <w:bCs/>
                <w:color w:val="000000" w:themeColor="text1"/>
                <w:sz w:val="20"/>
                <w:szCs w:val="20"/>
              </w:rPr>
            </w:pPr>
            <w:r w:rsidRPr="00C1255F">
              <w:rPr>
                <w:rFonts w:ascii="Times New Roman" w:eastAsia="Times New Roman" w:hAnsi="Times New Roman" w:cs="Times New Roman"/>
                <w:b/>
                <w:bCs/>
                <w:i/>
                <w:iCs/>
                <w:color w:val="000000" w:themeColor="text1"/>
                <w:sz w:val="20"/>
                <w:szCs w:val="20"/>
              </w:rPr>
              <w:t>P. aeruginosa</w:t>
            </w:r>
            <w:r w:rsidRPr="00C1255F">
              <w:rPr>
                <w:rFonts w:ascii="Times New Roman" w:eastAsia="Times New Roman" w:hAnsi="Times New Roman" w:cs="Times New Roman"/>
                <w:b/>
                <w:bCs/>
                <w:color w:val="000000" w:themeColor="text1"/>
                <w:sz w:val="20"/>
                <w:szCs w:val="20"/>
              </w:rPr>
              <w:t> n (%)</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47EBFEB1" w14:textId="77777777" w:rsidR="008E6FFA" w:rsidRPr="00C1255F" w:rsidRDefault="008E6FFA" w:rsidP="008E6FFA">
            <w:pPr>
              <w:spacing w:after="0" w:line="240" w:lineRule="auto"/>
              <w:rPr>
                <w:rFonts w:ascii="Times New Roman" w:eastAsia="Times New Roman" w:hAnsi="Times New Roman" w:cs="Times New Roman"/>
                <w:b/>
                <w:bCs/>
                <w:color w:val="000000" w:themeColor="text1"/>
                <w:sz w:val="20"/>
                <w:szCs w:val="20"/>
              </w:rPr>
            </w:pPr>
            <w:r w:rsidRPr="00C1255F">
              <w:rPr>
                <w:rFonts w:ascii="Times New Roman" w:eastAsia="Times New Roman" w:hAnsi="Times New Roman" w:cs="Times New Roman"/>
                <w:b/>
                <w:bCs/>
                <w:color w:val="000000" w:themeColor="text1"/>
                <w:sz w:val="20"/>
                <w:szCs w:val="20"/>
              </w:rPr>
              <w:t>MBL-Positive n (%)*</w:t>
            </w:r>
          </w:p>
        </w:tc>
        <w:tc>
          <w:tcPr>
            <w:tcW w:w="1696" w:type="dxa"/>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4396A6D0" w14:textId="77777777" w:rsidR="008E6FFA" w:rsidRPr="00C1255F" w:rsidRDefault="008E6FFA" w:rsidP="008E6FFA">
            <w:pPr>
              <w:spacing w:after="0" w:line="240" w:lineRule="auto"/>
              <w:rPr>
                <w:rFonts w:ascii="Times New Roman" w:eastAsia="Times New Roman" w:hAnsi="Times New Roman" w:cs="Times New Roman"/>
                <w:b/>
                <w:bCs/>
                <w:color w:val="000000" w:themeColor="text1"/>
                <w:sz w:val="20"/>
                <w:szCs w:val="20"/>
              </w:rPr>
            </w:pPr>
            <w:r w:rsidRPr="00C1255F">
              <w:rPr>
                <w:rFonts w:ascii="Times New Roman" w:eastAsia="Times New Roman" w:hAnsi="Times New Roman" w:cs="Times New Roman"/>
                <w:b/>
                <w:bCs/>
                <w:color w:val="000000" w:themeColor="text1"/>
                <w:sz w:val="20"/>
                <w:szCs w:val="20"/>
              </w:rPr>
              <w:t>p-value</w:t>
            </w:r>
          </w:p>
        </w:tc>
      </w:tr>
      <w:tr w:rsidR="00C1255F" w:rsidRPr="00C1255F" w14:paraId="05BFB540" w14:textId="77777777" w:rsidTr="00D04E5F">
        <w:tc>
          <w:tcPr>
            <w:tcW w:w="0" w:type="auto"/>
            <w:tcBorders>
              <w:top w:val="single" w:sz="4" w:space="0" w:color="auto"/>
            </w:tcBorders>
            <w:shd w:val="clear" w:color="auto" w:fill="FFFFFF"/>
            <w:tcMar>
              <w:top w:w="150" w:type="dxa"/>
              <w:left w:w="0" w:type="dxa"/>
              <w:bottom w:w="150" w:type="dxa"/>
              <w:right w:w="240" w:type="dxa"/>
            </w:tcMar>
            <w:vAlign w:val="center"/>
            <w:hideMark/>
          </w:tcPr>
          <w:p w14:paraId="291B4C28" w14:textId="77777777" w:rsidR="008E6FFA" w:rsidRPr="00C1255F" w:rsidRDefault="008E6FFA" w:rsidP="008E6FFA">
            <w:pPr>
              <w:spacing w:after="0" w:line="240" w:lineRule="auto"/>
              <w:rPr>
                <w:rFonts w:ascii="Times New Roman" w:eastAsia="Times New Roman" w:hAnsi="Times New Roman" w:cs="Times New Roman"/>
                <w:color w:val="000000" w:themeColor="text1"/>
                <w:sz w:val="20"/>
                <w:szCs w:val="20"/>
              </w:rPr>
            </w:pPr>
            <w:r w:rsidRPr="00C1255F">
              <w:rPr>
                <w:rFonts w:ascii="Times New Roman" w:eastAsia="Times New Roman" w:hAnsi="Times New Roman" w:cs="Times New Roman"/>
                <w:b/>
                <w:bCs/>
                <w:color w:val="000000" w:themeColor="text1"/>
                <w:sz w:val="20"/>
                <w:szCs w:val="20"/>
              </w:rPr>
              <w:t>Age (years)</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17456C22" w14:textId="77777777" w:rsidR="008E6FFA" w:rsidRPr="00C1255F" w:rsidRDefault="008E6FFA" w:rsidP="008E6FFA">
            <w:pPr>
              <w:spacing w:after="0" w:line="240" w:lineRule="auto"/>
              <w:rPr>
                <w:rFonts w:ascii="Times New Roman" w:eastAsia="Times New Roman" w:hAnsi="Times New Roman" w:cs="Times New Roman"/>
                <w:color w:val="000000" w:themeColor="text1"/>
                <w:sz w:val="20"/>
                <w:szCs w:val="20"/>
              </w:rPr>
            </w:pPr>
            <w:r w:rsidRPr="00C1255F">
              <w:rPr>
                <w:rFonts w:ascii="Times New Roman" w:eastAsia="Times New Roman" w:hAnsi="Times New Roman" w:cs="Times New Roman"/>
                <w:color w:val="000000" w:themeColor="text1"/>
                <w:sz w:val="20"/>
                <w:szCs w:val="20"/>
              </w:rPr>
              <w:t>1-15</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5D520068" w14:textId="77777777" w:rsidR="008E6FFA" w:rsidRPr="00C1255F" w:rsidRDefault="008E6FFA" w:rsidP="008E6FFA">
            <w:pPr>
              <w:spacing w:after="0" w:line="240" w:lineRule="auto"/>
              <w:rPr>
                <w:rFonts w:ascii="Times New Roman" w:eastAsia="Times New Roman" w:hAnsi="Times New Roman" w:cs="Times New Roman"/>
                <w:color w:val="000000" w:themeColor="text1"/>
                <w:sz w:val="20"/>
                <w:szCs w:val="20"/>
              </w:rPr>
            </w:pPr>
            <w:r w:rsidRPr="00C1255F">
              <w:rPr>
                <w:rFonts w:ascii="Times New Roman" w:eastAsia="Times New Roman" w:hAnsi="Times New Roman" w:cs="Times New Roman"/>
                <w:color w:val="000000" w:themeColor="text1"/>
                <w:sz w:val="20"/>
                <w:szCs w:val="20"/>
              </w:rPr>
              <w:t>42</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2DE68E7E" w14:textId="77777777" w:rsidR="008E6FFA" w:rsidRPr="00C1255F" w:rsidRDefault="008E6FFA" w:rsidP="008E6FFA">
            <w:pPr>
              <w:spacing w:after="0" w:line="240" w:lineRule="auto"/>
              <w:rPr>
                <w:rFonts w:ascii="Times New Roman" w:eastAsia="Times New Roman" w:hAnsi="Times New Roman" w:cs="Times New Roman"/>
                <w:color w:val="000000" w:themeColor="text1"/>
                <w:sz w:val="20"/>
                <w:szCs w:val="20"/>
              </w:rPr>
            </w:pPr>
            <w:r w:rsidRPr="00C1255F">
              <w:rPr>
                <w:rFonts w:ascii="Times New Roman" w:eastAsia="Times New Roman" w:hAnsi="Times New Roman" w:cs="Times New Roman"/>
                <w:color w:val="000000" w:themeColor="text1"/>
                <w:sz w:val="20"/>
                <w:szCs w:val="20"/>
              </w:rPr>
              <w:t>8 (19.05)</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00F54328" w14:textId="77777777" w:rsidR="008E6FFA" w:rsidRPr="00C1255F" w:rsidRDefault="008E6FFA" w:rsidP="008E6FFA">
            <w:pPr>
              <w:spacing w:after="0" w:line="240" w:lineRule="auto"/>
              <w:rPr>
                <w:rFonts w:ascii="Times New Roman" w:eastAsia="Times New Roman" w:hAnsi="Times New Roman" w:cs="Times New Roman"/>
                <w:color w:val="000000" w:themeColor="text1"/>
                <w:sz w:val="20"/>
                <w:szCs w:val="20"/>
              </w:rPr>
            </w:pPr>
            <w:r w:rsidRPr="00C1255F">
              <w:rPr>
                <w:rFonts w:ascii="Times New Roman" w:eastAsia="Times New Roman" w:hAnsi="Times New Roman" w:cs="Times New Roman"/>
                <w:color w:val="000000" w:themeColor="text1"/>
                <w:sz w:val="20"/>
                <w:szCs w:val="20"/>
              </w:rPr>
              <w:t>0 (0.0)</w:t>
            </w:r>
          </w:p>
        </w:tc>
        <w:tc>
          <w:tcPr>
            <w:tcW w:w="1696" w:type="dxa"/>
            <w:tcBorders>
              <w:top w:val="single" w:sz="4" w:space="0" w:color="auto"/>
            </w:tcBorders>
            <w:shd w:val="clear" w:color="auto" w:fill="FFFFFF"/>
            <w:tcMar>
              <w:top w:w="150" w:type="dxa"/>
              <w:left w:w="240" w:type="dxa"/>
              <w:bottom w:w="150" w:type="dxa"/>
              <w:right w:w="0" w:type="dxa"/>
            </w:tcMar>
            <w:vAlign w:val="center"/>
            <w:hideMark/>
          </w:tcPr>
          <w:p w14:paraId="5C1DFEAA" w14:textId="77777777" w:rsidR="008E6FFA" w:rsidRPr="00C1255F" w:rsidRDefault="008E6FFA" w:rsidP="008E6FFA">
            <w:pPr>
              <w:spacing w:after="0" w:line="240" w:lineRule="auto"/>
              <w:rPr>
                <w:rFonts w:ascii="Times New Roman" w:eastAsia="Times New Roman" w:hAnsi="Times New Roman" w:cs="Times New Roman"/>
                <w:color w:val="000000" w:themeColor="text1"/>
                <w:sz w:val="20"/>
                <w:szCs w:val="20"/>
              </w:rPr>
            </w:pPr>
            <w:r w:rsidRPr="00C1255F">
              <w:rPr>
                <w:rFonts w:ascii="Times New Roman" w:eastAsia="Times New Roman" w:hAnsi="Times New Roman" w:cs="Times New Roman"/>
                <w:color w:val="000000" w:themeColor="text1"/>
                <w:sz w:val="20"/>
                <w:szCs w:val="20"/>
              </w:rPr>
              <w:t>&lt;0.001</w:t>
            </w:r>
          </w:p>
        </w:tc>
      </w:tr>
      <w:tr w:rsidR="00C1255F" w:rsidRPr="00C1255F" w14:paraId="018D164B" w14:textId="77777777" w:rsidTr="00D04E5F">
        <w:tc>
          <w:tcPr>
            <w:tcW w:w="0" w:type="auto"/>
            <w:shd w:val="clear" w:color="auto" w:fill="FFFFFF"/>
            <w:tcMar>
              <w:top w:w="150" w:type="dxa"/>
              <w:left w:w="0" w:type="dxa"/>
              <w:bottom w:w="150" w:type="dxa"/>
              <w:right w:w="240" w:type="dxa"/>
            </w:tcMar>
            <w:vAlign w:val="center"/>
            <w:hideMark/>
          </w:tcPr>
          <w:p w14:paraId="26991000" w14:textId="77777777" w:rsidR="008E6FFA" w:rsidRPr="00C1255F" w:rsidRDefault="008E6FFA" w:rsidP="008E6FFA">
            <w:pPr>
              <w:spacing w:after="0" w:line="240" w:lineRule="auto"/>
              <w:rPr>
                <w:rFonts w:ascii="Times New Roman" w:eastAsia="Times New Roman" w:hAnsi="Times New Roman" w:cs="Times New Roman"/>
                <w:color w:val="000000" w:themeColor="text1"/>
                <w:sz w:val="20"/>
                <w:szCs w:val="20"/>
              </w:rPr>
            </w:pPr>
          </w:p>
        </w:tc>
        <w:tc>
          <w:tcPr>
            <w:tcW w:w="0" w:type="auto"/>
            <w:shd w:val="clear" w:color="auto" w:fill="FFFFFF"/>
            <w:tcMar>
              <w:top w:w="150" w:type="dxa"/>
              <w:left w:w="240" w:type="dxa"/>
              <w:bottom w:w="150" w:type="dxa"/>
              <w:right w:w="240" w:type="dxa"/>
            </w:tcMar>
            <w:vAlign w:val="center"/>
            <w:hideMark/>
          </w:tcPr>
          <w:p w14:paraId="590788DF" w14:textId="77777777" w:rsidR="008E6FFA" w:rsidRPr="00C1255F" w:rsidRDefault="008E6FFA" w:rsidP="008E6FFA">
            <w:pPr>
              <w:spacing w:after="0" w:line="240" w:lineRule="auto"/>
              <w:rPr>
                <w:rFonts w:ascii="Times New Roman" w:eastAsia="Times New Roman" w:hAnsi="Times New Roman" w:cs="Times New Roman"/>
                <w:color w:val="000000" w:themeColor="text1"/>
                <w:sz w:val="20"/>
                <w:szCs w:val="20"/>
              </w:rPr>
            </w:pPr>
            <w:r w:rsidRPr="00C1255F">
              <w:rPr>
                <w:rFonts w:ascii="Times New Roman" w:eastAsia="Times New Roman" w:hAnsi="Times New Roman" w:cs="Times New Roman"/>
                <w:color w:val="000000" w:themeColor="text1"/>
                <w:sz w:val="20"/>
                <w:szCs w:val="20"/>
              </w:rPr>
              <w:t>16-30</w:t>
            </w:r>
          </w:p>
        </w:tc>
        <w:tc>
          <w:tcPr>
            <w:tcW w:w="0" w:type="auto"/>
            <w:shd w:val="clear" w:color="auto" w:fill="FFFFFF"/>
            <w:tcMar>
              <w:top w:w="150" w:type="dxa"/>
              <w:left w:w="240" w:type="dxa"/>
              <w:bottom w:w="150" w:type="dxa"/>
              <w:right w:w="240" w:type="dxa"/>
            </w:tcMar>
            <w:vAlign w:val="center"/>
            <w:hideMark/>
          </w:tcPr>
          <w:p w14:paraId="111AA7AF" w14:textId="77777777" w:rsidR="008E6FFA" w:rsidRPr="00C1255F" w:rsidRDefault="008E6FFA" w:rsidP="008E6FFA">
            <w:pPr>
              <w:spacing w:after="0" w:line="240" w:lineRule="auto"/>
              <w:rPr>
                <w:rFonts w:ascii="Times New Roman" w:eastAsia="Times New Roman" w:hAnsi="Times New Roman" w:cs="Times New Roman"/>
                <w:color w:val="000000" w:themeColor="text1"/>
                <w:sz w:val="20"/>
                <w:szCs w:val="20"/>
              </w:rPr>
            </w:pPr>
            <w:r w:rsidRPr="00C1255F">
              <w:rPr>
                <w:rFonts w:ascii="Times New Roman" w:eastAsia="Times New Roman" w:hAnsi="Times New Roman" w:cs="Times New Roman"/>
                <w:color w:val="000000" w:themeColor="text1"/>
                <w:sz w:val="20"/>
                <w:szCs w:val="20"/>
              </w:rPr>
              <w:t>159</w:t>
            </w:r>
          </w:p>
        </w:tc>
        <w:tc>
          <w:tcPr>
            <w:tcW w:w="0" w:type="auto"/>
            <w:shd w:val="clear" w:color="auto" w:fill="FFFFFF"/>
            <w:tcMar>
              <w:top w:w="150" w:type="dxa"/>
              <w:left w:w="240" w:type="dxa"/>
              <w:bottom w:w="150" w:type="dxa"/>
              <w:right w:w="240" w:type="dxa"/>
            </w:tcMar>
            <w:vAlign w:val="center"/>
            <w:hideMark/>
          </w:tcPr>
          <w:p w14:paraId="469FA1CA" w14:textId="77777777" w:rsidR="008E6FFA" w:rsidRPr="00C1255F" w:rsidRDefault="008E6FFA" w:rsidP="008E6FFA">
            <w:pPr>
              <w:spacing w:after="0" w:line="240" w:lineRule="auto"/>
              <w:rPr>
                <w:rFonts w:ascii="Times New Roman" w:eastAsia="Times New Roman" w:hAnsi="Times New Roman" w:cs="Times New Roman"/>
                <w:color w:val="000000" w:themeColor="text1"/>
                <w:sz w:val="20"/>
                <w:szCs w:val="20"/>
              </w:rPr>
            </w:pPr>
            <w:r w:rsidRPr="00C1255F">
              <w:rPr>
                <w:rFonts w:ascii="Times New Roman" w:eastAsia="Times New Roman" w:hAnsi="Times New Roman" w:cs="Times New Roman"/>
                <w:color w:val="000000" w:themeColor="text1"/>
                <w:sz w:val="20"/>
                <w:szCs w:val="20"/>
              </w:rPr>
              <w:t>33 (20.75)</w:t>
            </w:r>
          </w:p>
        </w:tc>
        <w:tc>
          <w:tcPr>
            <w:tcW w:w="0" w:type="auto"/>
            <w:shd w:val="clear" w:color="auto" w:fill="FFFFFF"/>
            <w:tcMar>
              <w:top w:w="150" w:type="dxa"/>
              <w:left w:w="240" w:type="dxa"/>
              <w:bottom w:w="150" w:type="dxa"/>
              <w:right w:w="240" w:type="dxa"/>
            </w:tcMar>
            <w:vAlign w:val="center"/>
            <w:hideMark/>
          </w:tcPr>
          <w:p w14:paraId="750EAB94" w14:textId="77777777" w:rsidR="008E6FFA" w:rsidRPr="00C1255F" w:rsidRDefault="008E6FFA" w:rsidP="008E6FFA">
            <w:pPr>
              <w:spacing w:after="0" w:line="240" w:lineRule="auto"/>
              <w:rPr>
                <w:rFonts w:ascii="Times New Roman" w:eastAsia="Times New Roman" w:hAnsi="Times New Roman" w:cs="Times New Roman"/>
                <w:color w:val="000000" w:themeColor="text1"/>
                <w:sz w:val="20"/>
                <w:szCs w:val="20"/>
              </w:rPr>
            </w:pPr>
            <w:r w:rsidRPr="00C1255F">
              <w:rPr>
                <w:rFonts w:ascii="Times New Roman" w:eastAsia="Times New Roman" w:hAnsi="Times New Roman" w:cs="Times New Roman"/>
                <w:color w:val="000000" w:themeColor="text1"/>
                <w:sz w:val="20"/>
                <w:szCs w:val="20"/>
              </w:rPr>
              <w:t>5 (3.14)</w:t>
            </w:r>
          </w:p>
        </w:tc>
        <w:tc>
          <w:tcPr>
            <w:tcW w:w="1696" w:type="dxa"/>
            <w:shd w:val="clear" w:color="auto" w:fill="FFFFFF"/>
            <w:tcMar>
              <w:top w:w="150" w:type="dxa"/>
              <w:left w:w="240" w:type="dxa"/>
              <w:bottom w:w="150" w:type="dxa"/>
              <w:right w:w="0" w:type="dxa"/>
            </w:tcMar>
            <w:vAlign w:val="center"/>
            <w:hideMark/>
          </w:tcPr>
          <w:p w14:paraId="4ED94DDE" w14:textId="77777777" w:rsidR="008E6FFA" w:rsidRPr="00C1255F" w:rsidRDefault="008E6FFA" w:rsidP="008E6FFA">
            <w:pPr>
              <w:spacing w:after="0" w:line="240" w:lineRule="auto"/>
              <w:rPr>
                <w:rFonts w:ascii="Times New Roman" w:eastAsia="Times New Roman" w:hAnsi="Times New Roman" w:cs="Times New Roman"/>
                <w:color w:val="000000" w:themeColor="text1"/>
                <w:sz w:val="20"/>
                <w:szCs w:val="20"/>
              </w:rPr>
            </w:pPr>
          </w:p>
        </w:tc>
      </w:tr>
      <w:tr w:rsidR="00C1255F" w:rsidRPr="00C1255F" w14:paraId="525F2A22" w14:textId="77777777" w:rsidTr="00D04E5F">
        <w:tc>
          <w:tcPr>
            <w:tcW w:w="0" w:type="auto"/>
            <w:shd w:val="clear" w:color="auto" w:fill="FFFFFF"/>
            <w:tcMar>
              <w:top w:w="150" w:type="dxa"/>
              <w:left w:w="0" w:type="dxa"/>
              <w:bottom w:w="150" w:type="dxa"/>
              <w:right w:w="240" w:type="dxa"/>
            </w:tcMar>
            <w:vAlign w:val="center"/>
            <w:hideMark/>
          </w:tcPr>
          <w:p w14:paraId="1C9CEA27" w14:textId="77777777" w:rsidR="008E6FFA" w:rsidRPr="00C1255F" w:rsidRDefault="008E6FFA" w:rsidP="008E6FFA">
            <w:pPr>
              <w:spacing w:after="0" w:line="240" w:lineRule="auto"/>
              <w:rPr>
                <w:rFonts w:ascii="Times New Roman" w:eastAsia="Times New Roman" w:hAnsi="Times New Roman" w:cs="Times New Roman"/>
                <w:color w:val="000000" w:themeColor="text1"/>
                <w:sz w:val="20"/>
                <w:szCs w:val="20"/>
              </w:rPr>
            </w:pPr>
          </w:p>
        </w:tc>
        <w:tc>
          <w:tcPr>
            <w:tcW w:w="0" w:type="auto"/>
            <w:shd w:val="clear" w:color="auto" w:fill="FFFFFF"/>
            <w:tcMar>
              <w:top w:w="150" w:type="dxa"/>
              <w:left w:w="240" w:type="dxa"/>
              <w:bottom w:w="150" w:type="dxa"/>
              <w:right w:w="240" w:type="dxa"/>
            </w:tcMar>
            <w:vAlign w:val="center"/>
            <w:hideMark/>
          </w:tcPr>
          <w:p w14:paraId="4ACFA8C5" w14:textId="77777777" w:rsidR="008E6FFA" w:rsidRPr="00C1255F" w:rsidRDefault="008E6FFA" w:rsidP="008E6FFA">
            <w:pPr>
              <w:spacing w:after="0" w:line="240" w:lineRule="auto"/>
              <w:rPr>
                <w:rFonts w:ascii="Times New Roman" w:eastAsia="Times New Roman" w:hAnsi="Times New Roman" w:cs="Times New Roman"/>
                <w:color w:val="000000" w:themeColor="text1"/>
                <w:sz w:val="20"/>
                <w:szCs w:val="20"/>
              </w:rPr>
            </w:pPr>
            <w:r w:rsidRPr="00C1255F">
              <w:rPr>
                <w:rFonts w:ascii="Times New Roman" w:eastAsia="Times New Roman" w:hAnsi="Times New Roman" w:cs="Times New Roman"/>
                <w:color w:val="000000" w:themeColor="text1"/>
                <w:sz w:val="20"/>
                <w:szCs w:val="20"/>
              </w:rPr>
              <w:t>31-45</w:t>
            </w:r>
          </w:p>
        </w:tc>
        <w:tc>
          <w:tcPr>
            <w:tcW w:w="0" w:type="auto"/>
            <w:shd w:val="clear" w:color="auto" w:fill="FFFFFF"/>
            <w:tcMar>
              <w:top w:w="150" w:type="dxa"/>
              <w:left w:w="240" w:type="dxa"/>
              <w:bottom w:w="150" w:type="dxa"/>
              <w:right w:w="240" w:type="dxa"/>
            </w:tcMar>
            <w:vAlign w:val="center"/>
            <w:hideMark/>
          </w:tcPr>
          <w:p w14:paraId="1B8A614D" w14:textId="77777777" w:rsidR="008E6FFA" w:rsidRPr="00C1255F" w:rsidRDefault="008E6FFA" w:rsidP="008E6FFA">
            <w:pPr>
              <w:spacing w:after="0" w:line="240" w:lineRule="auto"/>
              <w:rPr>
                <w:rFonts w:ascii="Times New Roman" w:eastAsia="Times New Roman" w:hAnsi="Times New Roman" w:cs="Times New Roman"/>
                <w:color w:val="000000" w:themeColor="text1"/>
                <w:sz w:val="20"/>
                <w:szCs w:val="20"/>
              </w:rPr>
            </w:pPr>
            <w:r w:rsidRPr="00C1255F">
              <w:rPr>
                <w:rFonts w:ascii="Times New Roman" w:eastAsia="Times New Roman" w:hAnsi="Times New Roman" w:cs="Times New Roman"/>
                <w:color w:val="000000" w:themeColor="text1"/>
                <w:sz w:val="20"/>
                <w:szCs w:val="20"/>
              </w:rPr>
              <w:t>113</w:t>
            </w:r>
          </w:p>
        </w:tc>
        <w:tc>
          <w:tcPr>
            <w:tcW w:w="0" w:type="auto"/>
            <w:shd w:val="clear" w:color="auto" w:fill="FFFFFF"/>
            <w:tcMar>
              <w:top w:w="150" w:type="dxa"/>
              <w:left w:w="240" w:type="dxa"/>
              <w:bottom w:w="150" w:type="dxa"/>
              <w:right w:w="240" w:type="dxa"/>
            </w:tcMar>
            <w:vAlign w:val="center"/>
            <w:hideMark/>
          </w:tcPr>
          <w:p w14:paraId="26C38D08" w14:textId="77777777" w:rsidR="008E6FFA" w:rsidRPr="00C1255F" w:rsidRDefault="008E6FFA" w:rsidP="008E6FFA">
            <w:pPr>
              <w:spacing w:after="0" w:line="240" w:lineRule="auto"/>
              <w:rPr>
                <w:rFonts w:ascii="Times New Roman" w:eastAsia="Times New Roman" w:hAnsi="Times New Roman" w:cs="Times New Roman"/>
                <w:color w:val="000000" w:themeColor="text1"/>
                <w:sz w:val="20"/>
                <w:szCs w:val="20"/>
              </w:rPr>
            </w:pPr>
            <w:r w:rsidRPr="00C1255F">
              <w:rPr>
                <w:rFonts w:ascii="Times New Roman" w:eastAsia="Times New Roman" w:hAnsi="Times New Roman" w:cs="Times New Roman"/>
                <w:color w:val="000000" w:themeColor="text1"/>
                <w:sz w:val="20"/>
                <w:szCs w:val="20"/>
              </w:rPr>
              <w:t>63 (55.75)</w:t>
            </w:r>
          </w:p>
        </w:tc>
        <w:tc>
          <w:tcPr>
            <w:tcW w:w="0" w:type="auto"/>
            <w:shd w:val="clear" w:color="auto" w:fill="FFFFFF"/>
            <w:tcMar>
              <w:top w:w="150" w:type="dxa"/>
              <w:left w:w="240" w:type="dxa"/>
              <w:bottom w:w="150" w:type="dxa"/>
              <w:right w:w="240" w:type="dxa"/>
            </w:tcMar>
            <w:vAlign w:val="center"/>
            <w:hideMark/>
          </w:tcPr>
          <w:p w14:paraId="37063F61" w14:textId="77777777" w:rsidR="008E6FFA" w:rsidRPr="00C1255F" w:rsidRDefault="008E6FFA" w:rsidP="008E6FFA">
            <w:pPr>
              <w:spacing w:after="0" w:line="240" w:lineRule="auto"/>
              <w:rPr>
                <w:rFonts w:ascii="Times New Roman" w:eastAsia="Times New Roman" w:hAnsi="Times New Roman" w:cs="Times New Roman"/>
                <w:color w:val="000000" w:themeColor="text1"/>
                <w:sz w:val="20"/>
                <w:szCs w:val="20"/>
              </w:rPr>
            </w:pPr>
            <w:r w:rsidRPr="00C1255F">
              <w:rPr>
                <w:rFonts w:ascii="Times New Roman" w:eastAsia="Times New Roman" w:hAnsi="Times New Roman" w:cs="Times New Roman"/>
                <w:color w:val="000000" w:themeColor="text1"/>
                <w:sz w:val="20"/>
                <w:szCs w:val="20"/>
              </w:rPr>
              <w:t>28 (24.78)</w:t>
            </w:r>
          </w:p>
        </w:tc>
        <w:tc>
          <w:tcPr>
            <w:tcW w:w="1696" w:type="dxa"/>
            <w:shd w:val="clear" w:color="auto" w:fill="FFFFFF"/>
            <w:tcMar>
              <w:top w:w="150" w:type="dxa"/>
              <w:left w:w="240" w:type="dxa"/>
              <w:bottom w:w="150" w:type="dxa"/>
              <w:right w:w="0" w:type="dxa"/>
            </w:tcMar>
            <w:vAlign w:val="center"/>
            <w:hideMark/>
          </w:tcPr>
          <w:p w14:paraId="05BA2D0E" w14:textId="77777777" w:rsidR="008E6FFA" w:rsidRPr="00C1255F" w:rsidRDefault="008E6FFA" w:rsidP="008E6FFA">
            <w:pPr>
              <w:spacing w:after="0" w:line="240" w:lineRule="auto"/>
              <w:rPr>
                <w:rFonts w:ascii="Times New Roman" w:eastAsia="Times New Roman" w:hAnsi="Times New Roman" w:cs="Times New Roman"/>
                <w:color w:val="000000" w:themeColor="text1"/>
                <w:sz w:val="20"/>
                <w:szCs w:val="20"/>
              </w:rPr>
            </w:pPr>
          </w:p>
        </w:tc>
      </w:tr>
      <w:tr w:rsidR="00C1255F" w:rsidRPr="00C1255F" w14:paraId="3311E687" w14:textId="77777777" w:rsidTr="00D04E5F">
        <w:tc>
          <w:tcPr>
            <w:tcW w:w="0" w:type="auto"/>
            <w:shd w:val="clear" w:color="auto" w:fill="FFFFFF"/>
            <w:tcMar>
              <w:top w:w="150" w:type="dxa"/>
              <w:left w:w="0" w:type="dxa"/>
              <w:bottom w:w="150" w:type="dxa"/>
              <w:right w:w="240" w:type="dxa"/>
            </w:tcMar>
            <w:vAlign w:val="center"/>
            <w:hideMark/>
          </w:tcPr>
          <w:p w14:paraId="27E02F19" w14:textId="77777777" w:rsidR="008E6FFA" w:rsidRPr="00C1255F" w:rsidRDefault="008E6FFA" w:rsidP="008E6FFA">
            <w:pPr>
              <w:spacing w:after="0" w:line="240" w:lineRule="auto"/>
              <w:rPr>
                <w:rFonts w:ascii="Times New Roman" w:eastAsia="Times New Roman" w:hAnsi="Times New Roman" w:cs="Times New Roman"/>
                <w:color w:val="000000" w:themeColor="text1"/>
                <w:sz w:val="20"/>
                <w:szCs w:val="20"/>
              </w:rPr>
            </w:pPr>
          </w:p>
        </w:tc>
        <w:tc>
          <w:tcPr>
            <w:tcW w:w="0" w:type="auto"/>
            <w:shd w:val="clear" w:color="auto" w:fill="FFFFFF"/>
            <w:tcMar>
              <w:top w:w="150" w:type="dxa"/>
              <w:left w:w="240" w:type="dxa"/>
              <w:bottom w:w="150" w:type="dxa"/>
              <w:right w:w="240" w:type="dxa"/>
            </w:tcMar>
            <w:vAlign w:val="center"/>
            <w:hideMark/>
          </w:tcPr>
          <w:p w14:paraId="5E7B9644" w14:textId="77777777" w:rsidR="008E6FFA" w:rsidRPr="00C1255F" w:rsidRDefault="008E6FFA" w:rsidP="008E6FFA">
            <w:pPr>
              <w:spacing w:after="0" w:line="240" w:lineRule="auto"/>
              <w:rPr>
                <w:rFonts w:ascii="Times New Roman" w:eastAsia="Times New Roman" w:hAnsi="Times New Roman" w:cs="Times New Roman"/>
                <w:color w:val="000000" w:themeColor="text1"/>
                <w:sz w:val="20"/>
                <w:szCs w:val="20"/>
              </w:rPr>
            </w:pPr>
            <w:r w:rsidRPr="00C1255F">
              <w:rPr>
                <w:rFonts w:ascii="Times New Roman" w:eastAsia="Times New Roman" w:hAnsi="Times New Roman" w:cs="Times New Roman"/>
                <w:color w:val="000000" w:themeColor="text1"/>
                <w:sz w:val="20"/>
                <w:szCs w:val="20"/>
              </w:rPr>
              <w:t>≥46</w:t>
            </w:r>
          </w:p>
        </w:tc>
        <w:tc>
          <w:tcPr>
            <w:tcW w:w="0" w:type="auto"/>
            <w:shd w:val="clear" w:color="auto" w:fill="FFFFFF"/>
            <w:tcMar>
              <w:top w:w="150" w:type="dxa"/>
              <w:left w:w="240" w:type="dxa"/>
              <w:bottom w:w="150" w:type="dxa"/>
              <w:right w:w="240" w:type="dxa"/>
            </w:tcMar>
            <w:vAlign w:val="center"/>
            <w:hideMark/>
          </w:tcPr>
          <w:p w14:paraId="464093C8" w14:textId="77777777" w:rsidR="008E6FFA" w:rsidRPr="00C1255F" w:rsidRDefault="008E6FFA" w:rsidP="008E6FFA">
            <w:pPr>
              <w:spacing w:after="0" w:line="240" w:lineRule="auto"/>
              <w:rPr>
                <w:rFonts w:ascii="Times New Roman" w:eastAsia="Times New Roman" w:hAnsi="Times New Roman" w:cs="Times New Roman"/>
                <w:color w:val="000000" w:themeColor="text1"/>
                <w:sz w:val="20"/>
                <w:szCs w:val="20"/>
              </w:rPr>
            </w:pPr>
            <w:r w:rsidRPr="00C1255F">
              <w:rPr>
                <w:rFonts w:ascii="Times New Roman" w:eastAsia="Times New Roman" w:hAnsi="Times New Roman" w:cs="Times New Roman"/>
                <w:color w:val="000000" w:themeColor="text1"/>
                <w:sz w:val="20"/>
                <w:szCs w:val="20"/>
              </w:rPr>
              <w:t>86</w:t>
            </w:r>
          </w:p>
        </w:tc>
        <w:tc>
          <w:tcPr>
            <w:tcW w:w="0" w:type="auto"/>
            <w:shd w:val="clear" w:color="auto" w:fill="FFFFFF"/>
            <w:tcMar>
              <w:top w:w="150" w:type="dxa"/>
              <w:left w:w="240" w:type="dxa"/>
              <w:bottom w:w="150" w:type="dxa"/>
              <w:right w:w="240" w:type="dxa"/>
            </w:tcMar>
            <w:vAlign w:val="center"/>
            <w:hideMark/>
          </w:tcPr>
          <w:p w14:paraId="36723AC5" w14:textId="77777777" w:rsidR="008E6FFA" w:rsidRPr="00C1255F" w:rsidRDefault="008E6FFA" w:rsidP="008E6FFA">
            <w:pPr>
              <w:spacing w:after="0" w:line="240" w:lineRule="auto"/>
              <w:rPr>
                <w:rFonts w:ascii="Times New Roman" w:eastAsia="Times New Roman" w:hAnsi="Times New Roman" w:cs="Times New Roman"/>
                <w:color w:val="000000" w:themeColor="text1"/>
                <w:sz w:val="20"/>
                <w:szCs w:val="20"/>
              </w:rPr>
            </w:pPr>
            <w:r w:rsidRPr="00C1255F">
              <w:rPr>
                <w:rFonts w:ascii="Times New Roman" w:eastAsia="Times New Roman" w:hAnsi="Times New Roman" w:cs="Times New Roman"/>
                <w:color w:val="000000" w:themeColor="text1"/>
                <w:sz w:val="20"/>
                <w:szCs w:val="20"/>
              </w:rPr>
              <w:t>27 (31.40)</w:t>
            </w:r>
          </w:p>
        </w:tc>
        <w:tc>
          <w:tcPr>
            <w:tcW w:w="0" w:type="auto"/>
            <w:shd w:val="clear" w:color="auto" w:fill="FFFFFF"/>
            <w:tcMar>
              <w:top w:w="150" w:type="dxa"/>
              <w:left w:w="240" w:type="dxa"/>
              <w:bottom w:w="150" w:type="dxa"/>
              <w:right w:w="240" w:type="dxa"/>
            </w:tcMar>
            <w:vAlign w:val="center"/>
            <w:hideMark/>
          </w:tcPr>
          <w:p w14:paraId="57456C9C" w14:textId="77777777" w:rsidR="008E6FFA" w:rsidRPr="00C1255F" w:rsidRDefault="008E6FFA" w:rsidP="008E6FFA">
            <w:pPr>
              <w:spacing w:after="0" w:line="240" w:lineRule="auto"/>
              <w:rPr>
                <w:rFonts w:ascii="Times New Roman" w:eastAsia="Times New Roman" w:hAnsi="Times New Roman" w:cs="Times New Roman"/>
                <w:color w:val="000000" w:themeColor="text1"/>
                <w:sz w:val="20"/>
                <w:szCs w:val="20"/>
              </w:rPr>
            </w:pPr>
            <w:r w:rsidRPr="00C1255F">
              <w:rPr>
                <w:rFonts w:ascii="Times New Roman" w:eastAsia="Times New Roman" w:hAnsi="Times New Roman" w:cs="Times New Roman"/>
                <w:color w:val="000000" w:themeColor="text1"/>
                <w:sz w:val="20"/>
                <w:szCs w:val="20"/>
              </w:rPr>
              <w:t>20 (23.26)</w:t>
            </w:r>
          </w:p>
        </w:tc>
        <w:tc>
          <w:tcPr>
            <w:tcW w:w="1696" w:type="dxa"/>
            <w:shd w:val="clear" w:color="auto" w:fill="FFFFFF"/>
            <w:tcMar>
              <w:top w:w="150" w:type="dxa"/>
              <w:left w:w="240" w:type="dxa"/>
              <w:bottom w:w="150" w:type="dxa"/>
              <w:right w:w="0" w:type="dxa"/>
            </w:tcMar>
            <w:vAlign w:val="center"/>
            <w:hideMark/>
          </w:tcPr>
          <w:p w14:paraId="1D647CBB" w14:textId="77777777" w:rsidR="008E6FFA" w:rsidRPr="00C1255F" w:rsidRDefault="008E6FFA" w:rsidP="008E6FFA">
            <w:pPr>
              <w:spacing w:after="0" w:line="240" w:lineRule="auto"/>
              <w:rPr>
                <w:rFonts w:ascii="Times New Roman" w:eastAsia="Times New Roman" w:hAnsi="Times New Roman" w:cs="Times New Roman"/>
                <w:color w:val="000000" w:themeColor="text1"/>
                <w:sz w:val="20"/>
                <w:szCs w:val="20"/>
              </w:rPr>
            </w:pPr>
          </w:p>
        </w:tc>
      </w:tr>
      <w:tr w:rsidR="00C1255F" w:rsidRPr="00C1255F" w14:paraId="24E15608" w14:textId="77777777" w:rsidTr="00D04E5F">
        <w:tc>
          <w:tcPr>
            <w:tcW w:w="0" w:type="auto"/>
            <w:shd w:val="clear" w:color="auto" w:fill="FFFFFF"/>
            <w:tcMar>
              <w:top w:w="150" w:type="dxa"/>
              <w:left w:w="0" w:type="dxa"/>
              <w:bottom w:w="150" w:type="dxa"/>
              <w:right w:w="240" w:type="dxa"/>
            </w:tcMar>
            <w:vAlign w:val="center"/>
            <w:hideMark/>
          </w:tcPr>
          <w:p w14:paraId="50C5A5A7" w14:textId="77777777" w:rsidR="008E6FFA" w:rsidRPr="00C1255F" w:rsidRDefault="008E6FFA" w:rsidP="008E6FFA">
            <w:pPr>
              <w:spacing w:after="0" w:line="240" w:lineRule="auto"/>
              <w:rPr>
                <w:rFonts w:ascii="Times New Roman" w:eastAsia="Times New Roman" w:hAnsi="Times New Roman" w:cs="Times New Roman"/>
                <w:color w:val="000000" w:themeColor="text1"/>
                <w:sz w:val="20"/>
                <w:szCs w:val="20"/>
              </w:rPr>
            </w:pPr>
            <w:r w:rsidRPr="00C1255F">
              <w:rPr>
                <w:rFonts w:ascii="Times New Roman" w:eastAsia="Times New Roman" w:hAnsi="Times New Roman" w:cs="Times New Roman"/>
                <w:b/>
                <w:bCs/>
                <w:color w:val="000000" w:themeColor="text1"/>
                <w:sz w:val="20"/>
                <w:szCs w:val="20"/>
              </w:rPr>
              <w:t>Gender</w:t>
            </w:r>
          </w:p>
        </w:tc>
        <w:tc>
          <w:tcPr>
            <w:tcW w:w="0" w:type="auto"/>
            <w:shd w:val="clear" w:color="auto" w:fill="FFFFFF"/>
            <w:tcMar>
              <w:top w:w="150" w:type="dxa"/>
              <w:left w:w="240" w:type="dxa"/>
              <w:bottom w:w="150" w:type="dxa"/>
              <w:right w:w="240" w:type="dxa"/>
            </w:tcMar>
            <w:vAlign w:val="center"/>
            <w:hideMark/>
          </w:tcPr>
          <w:p w14:paraId="4970E4FD" w14:textId="77777777" w:rsidR="008E6FFA" w:rsidRPr="00C1255F" w:rsidRDefault="008E6FFA" w:rsidP="008E6FFA">
            <w:pPr>
              <w:spacing w:after="0" w:line="240" w:lineRule="auto"/>
              <w:rPr>
                <w:rFonts w:ascii="Times New Roman" w:eastAsia="Times New Roman" w:hAnsi="Times New Roman" w:cs="Times New Roman"/>
                <w:color w:val="000000" w:themeColor="text1"/>
                <w:sz w:val="20"/>
                <w:szCs w:val="20"/>
              </w:rPr>
            </w:pPr>
            <w:r w:rsidRPr="00C1255F">
              <w:rPr>
                <w:rFonts w:ascii="Times New Roman" w:eastAsia="Times New Roman" w:hAnsi="Times New Roman" w:cs="Times New Roman"/>
                <w:color w:val="000000" w:themeColor="text1"/>
                <w:sz w:val="20"/>
                <w:szCs w:val="20"/>
              </w:rPr>
              <w:t>Female</w:t>
            </w:r>
          </w:p>
        </w:tc>
        <w:tc>
          <w:tcPr>
            <w:tcW w:w="0" w:type="auto"/>
            <w:shd w:val="clear" w:color="auto" w:fill="FFFFFF"/>
            <w:tcMar>
              <w:top w:w="150" w:type="dxa"/>
              <w:left w:w="240" w:type="dxa"/>
              <w:bottom w:w="150" w:type="dxa"/>
              <w:right w:w="240" w:type="dxa"/>
            </w:tcMar>
            <w:vAlign w:val="center"/>
            <w:hideMark/>
          </w:tcPr>
          <w:p w14:paraId="0B0D9847" w14:textId="77777777" w:rsidR="008E6FFA" w:rsidRPr="00C1255F" w:rsidRDefault="008E6FFA" w:rsidP="008E6FFA">
            <w:pPr>
              <w:spacing w:after="0" w:line="240" w:lineRule="auto"/>
              <w:rPr>
                <w:rFonts w:ascii="Times New Roman" w:eastAsia="Times New Roman" w:hAnsi="Times New Roman" w:cs="Times New Roman"/>
                <w:color w:val="000000" w:themeColor="text1"/>
                <w:sz w:val="20"/>
                <w:szCs w:val="20"/>
              </w:rPr>
            </w:pPr>
            <w:r w:rsidRPr="00C1255F">
              <w:rPr>
                <w:rFonts w:ascii="Times New Roman" w:eastAsia="Times New Roman" w:hAnsi="Times New Roman" w:cs="Times New Roman"/>
                <w:color w:val="000000" w:themeColor="text1"/>
                <w:sz w:val="20"/>
                <w:szCs w:val="20"/>
              </w:rPr>
              <w:t>221</w:t>
            </w:r>
          </w:p>
        </w:tc>
        <w:tc>
          <w:tcPr>
            <w:tcW w:w="0" w:type="auto"/>
            <w:shd w:val="clear" w:color="auto" w:fill="FFFFFF"/>
            <w:tcMar>
              <w:top w:w="150" w:type="dxa"/>
              <w:left w:w="240" w:type="dxa"/>
              <w:bottom w:w="150" w:type="dxa"/>
              <w:right w:w="240" w:type="dxa"/>
            </w:tcMar>
            <w:vAlign w:val="center"/>
            <w:hideMark/>
          </w:tcPr>
          <w:p w14:paraId="23979185" w14:textId="77777777" w:rsidR="008E6FFA" w:rsidRPr="00C1255F" w:rsidRDefault="008E6FFA" w:rsidP="008E6FFA">
            <w:pPr>
              <w:spacing w:after="0" w:line="240" w:lineRule="auto"/>
              <w:rPr>
                <w:rFonts w:ascii="Times New Roman" w:eastAsia="Times New Roman" w:hAnsi="Times New Roman" w:cs="Times New Roman"/>
                <w:color w:val="000000" w:themeColor="text1"/>
                <w:sz w:val="20"/>
                <w:szCs w:val="20"/>
              </w:rPr>
            </w:pPr>
            <w:r w:rsidRPr="00C1255F">
              <w:rPr>
                <w:rFonts w:ascii="Times New Roman" w:eastAsia="Times New Roman" w:hAnsi="Times New Roman" w:cs="Times New Roman"/>
                <w:color w:val="000000" w:themeColor="text1"/>
                <w:sz w:val="20"/>
                <w:szCs w:val="20"/>
              </w:rPr>
              <w:t>84 (38.01)</w:t>
            </w:r>
          </w:p>
        </w:tc>
        <w:tc>
          <w:tcPr>
            <w:tcW w:w="0" w:type="auto"/>
            <w:shd w:val="clear" w:color="auto" w:fill="FFFFFF"/>
            <w:tcMar>
              <w:top w:w="150" w:type="dxa"/>
              <w:left w:w="240" w:type="dxa"/>
              <w:bottom w:w="150" w:type="dxa"/>
              <w:right w:w="240" w:type="dxa"/>
            </w:tcMar>
            <w:vAlign w:val="center"/>
            <w:hideMark/>
          </w:tcPr>
          <w:p w14:paraId="08B657DD" w14:textId="77777777" w:rsidR="008E6FFA" w:rsidRPr="00C1255F" w:rsidRDefault="008E6FFA" w:rsidP="008E6FFA">
            <w:pPr>
              <w:spacing w:after="0" w:line="240" w:lineRule="auto"/>
              <w:rPr>
                <w:rFonts w:ascii="Times New Roman" w:eastAsia="Times New Roman" w:hAnsi="Times New Roman" w:cs="Times New Roman"/>
                <w:color w:val="000000" w:themeColor="text1"/>
                <w:sz w:val="20"/>
                <w:szCs w:val="20"/>
              </w:rPr>
            </w:pPr>
            <w:r w:rsidRPr="00C1255F">
              <w:rPr>
                <w:rFonts w:ascii="Times New Roman" w:eastAsia="Times New Roman" w:hAnsi="Times New Roman" w:cs="Times New Roman"/>
                <w:color w:val="000000" w:themeColor="text1"/>
                <w:sz w:val="20"/>
                <w:szCs w:val="20"/>
              </w:rPr>
              <w:t>39 (17.65)</w:t>
            </w:r>
          </w:p>
        </w:tc>
        <w:tc>
          <w:tcPr>
            <w:tcW w:w="1696" w:type="dxa"/>
            <w:shd w:val="clear" w:color="auto" w:fill="FFFFFF"/>
            <w:tcMar>
              <w:top w:w="150" w:type="dxa"/>
              <w:left w:w="240" w:type="dxa"/>
              <w:bottom w:w="150" w:type="dxa"/>
              <w:right w:w="0" w:type="dxa"/>
            </w:tcMar>
            <w:vAlign w:val="center"/>
            <w:hideMark/>
          </w:tcPr>
          <w:p w14:paraId="565563C5" w14:textId="77777777" w:rsidR="008E6FFA" w:rsidRPr="00C1255F" w:rsidRDefault="008E6FFA" w:rsidP="008E6FFA">
            <w:pPr>
              <w:spacing w:after="0" w:line="240" w:lineRule="auto"/>
              <w:rPr>
                <w:rFonts w:ascii="Times New Roman" w:eastAsia="Times New Roman" w:hAnsi="Times New Roman" w:cs="Times New Roman"/>
                <w:color w:val="000000" w:themeColor="text1"/>
                <w:sz w:val="20"/>
                <w:szCs w:val="20"/>
              </w:rPr>
            </w:pPr>
            <w:r w:rsidRPr="00C1255F">
              <w:rPr>
                <w:rFonts w:ascii="Times New Roman" w:eastAsia="Times New Roman" w:hAnsi="Times New Roman" w:cs="Times New Roman"/>
                <w:color w:val="000000" w:themeColor="text1"/>
                <w:sz w:val="20"/>
                <w:szCs w:val="20"/>
              </w:rPr>
              <w:t>0.003</w:t>
            </w:r>
          </w:p>
        </w:tc>
      </w:tr>
      <w:tr w:rsidR="00C1255F" w:rsidRPr="00C1255F" w14:paraId="52144B86" w14:textId="77777777" w:rsidTr="00D04E5F">
        <w:tc>
          <w:tcPr>
            <w:tcW w:w="0" w:type="auto"/>
            <w:shd w:val="clear" w:color="auto" w:fill="FFFFFF"/>
            <w:tcMar>
              <w:top w:w="150" w:type="dxa"/>
              <w:left w:w="0" w:type="dxa"/>
              <w:bottom w:w="150" w:type="dxa"/>
              <w:right w:w="240" w:type="dxa"/>
            </w:tcMar>
            <w:vAlign w:val="center"/>
            <w:hideMark/>
          </w:tcPr>
          <w:p w14:paraId="73AE4619" w14:textId="77777777" w:rsidR="008E6FFA" w:rsidRPr="00C1255F" w:rsidRDefault="008E6FFA" w:rsidP="008E6FFA">
            <w:pPr>
              <w:spacing w:after="0" w:line="240" w:lineRule="auto"/>
              <w:rPr>
                <w:rFonts w:ascii="Times New Roman" w:eastAsia="Times New Roman" w:hAnsi="Times New Roman" w:cs="Times New Roman"/>
                <w:color w:val="000000" w:themeColor="text1"/>
                <w:sz w:val="20"/>
                <w:szCs w:val="20"/>
              </w:rPr>
            </w:pPr>
          </w:p>
        </w:tc>
        <w:tc>
          <w:tcPr>
            <w:tcW w:w="0" w:type="auto"/>
            <w:shd w:val="clear" w:color="auto" w:fill="FFFFFF"/>
            <w:tcMar>
              <w:top w:w="150" w:type="dxa"/>
              <w:left w:w="240" w:type="dxa"/>
              <w:bottom w:w="150" w:type="dxa"/>
              <w:right w:w="240" w:type="dxa"/>
            </w:tcMar>
            <w:vAlign w:val="center"/>
            <w:hideMark/>
          </w:tcPr>
          <w:p w14:paraId="7FC41B13" w14:textId="77777777" w:rsidR="008E6FFA" w:rsidRPr="00C1255F" w:rsidRDefault="008E6FFA" w:rsidP="008E6FFA">
            <w:pPr>
              <w:spacing w:after="0" w:line="240" w:lineRule="auto"/>
              <w:rPr>
                <w:rFonts w:ascii="Times New Roman" w:eastAsia="Times New Roman" w:hAnsi="Times New Roman" w:cs="Times New Roman"/>
                <w:color w:val="000000" w:themeColor="text1"/>
                <w:sz w:val="20"/>
                <w:szCs w:val="20"/>
              </w:rPr>
            </w:pPr>
            <w:r w:rsidRPr="00C1255F">
              <w:rPr>
                <w:rFonts w:ascii="Times New Roman" w:eastAsia="Times New Roman" w:hAnsi="Times New Roman" w:cs="Times New Roman"/>
                <w:color w:val="000000" w:themeColor="text1"/>
                <w:sz w:val="20"/>
                <w:szCs w:val="20"/>
              </w:rPr>
              <w:t>Male</w:t>
            </w:r>
          </w:p>
        </w:tc>
        <w:tc>
          <w:tcPr>
            <w:tcW w:w="0" w:type="auto"/>
            <w:shd w:val="clear" w:color="auto" w:fill="FFFFFF"/>
            <w:tcMar>
              <w:top w:w="150" w:type="dxa"/>
              <w:left w:w="240" w:type="dxa"/>
              <w:bottom w:w="150" w:type="dxa"/>
              <w:right w:w="240" w:type="dxa"/>
            </w:tcMar>
            <w:vAlign w:val="center"/>
            <w:hideMark/>
          </w:tcPr>
          <w:p w14:paraId="214F9A9F" w14:textId="77777777" w:rsidR="008E6FFA" w:rsidRPr="00C1255F" w:rsidRDefault="008E6FFA" w:rsidP="008E6FFA">
            <w:pPr>
              <w:spacing w:after="0" w:line="240" w:lineRule="auto"/>
              <w:rPr>
                <w:rFonts w:ascii="Times New Roman" w:eastAsia="Times New Roman" w:hAnsi="Times New Roman" w:cs="Times New Roman"/>
                <w:color w:val="000000" w:themeColor="text1"/>
                <w:sz w:val="20"/>
                <w:szCs w:val="20"/>
              </w:rPr>
            </w:pPr>
            <w:r w:rsidRPr="00C1255F">
              <w:rPr>
                <w:rFonts w:ascii="Times New Roman" w:eastAsia="Times New Roman" w:hAnsi="Times New Roman" w:cs="Times New Roman"/>
                <w:color w:val="000000" w:themeColor="text1"/>
                <w:sz w:val="20"/>
                <w:szCs w:val="20"/>
              </w:rPr>
              <w:t>179</w:t>
            </w:r>
          </w:p>
        </w:tc>
        <w:tc>
          <w:tcPr>
            <w:tcW w:w="0" w:type="auto"/>
            <w:shd w:val="clear" w:color="auto" w:fill="FFFFFF"/>
            <w:tcMar>
              <w:top w:w="150" w:type="dxa"/>
              <w:left w:w="240" w:type="dxa"/>
              <w:bottom w:w="150" w:type="dxa"/>
              <w:right w:w="240" w:type="dxa"/>
            </w:tcMar>
            <w:vAlign w:val="center"/>
            <w:hideMark/>
          </w:tcPr>
          <w:p w14:paraId="05EB7CD6" w14:textId="77777777" w:rsidR="008E6FFA" w:rsidRPr="00C1255F" w:rsidRDefault="008E6FFA" w:rsidP="008E6FFA">
            <w:pPr>
              <w:spacing w:after="0" w:line="240" w:lineRule="auto"/>
              <w:rPr>
                <w:rFonts w:ascii="Times New Roman" w:eastAsia="Times New Roman" w:hAnsi="Times New Roman" w:cs="Times New Roman"/>
                <w:color w:val="000000" w:themeColor="text1"/>
                <w:sz w:val="20"/>
                <w:szCs w:val="20"/>
              </w:rPr>
            </w:pPr>
            <w:r w:rsidRPr="00C1255F">
              <w:rPr>
                <w:rFonts w:ascii="Times New Roman" w:eastAsia="Times New Roman" w:hAnsi="Times New Roman" w:cs="Times New Roman"/>
                <w:color w:val="000000" w:themeColor="text1"/>
                <w:sz w:val="20"/>
                <w:szCs w:val="20"/>
              </w:rPr>
              <w:t>47 (26.26)</w:t>
            </w:r>
          </w:p>
        </w:tc>
        <w:tc>
          <w:tcPr>
            <w:tcW w:w="0" w:type="auto"/>
            <w:shd w:val="clear" w:color="auto" w:fill="FFFFFF"/>
            <w:tcMar>
              <w:top w:w="150" w:type="dxa"/>
              <w:left w:w="240" w:type="dxa"/>
              <w:bottom w:w="150" w:type="dxa"/>
              <w:right w:w="240" w:type="dxa"/>
            </w:tcMar>
            <w:vAlign w:val="center"/>
            <w:hideMark/>
          </w:tcPr>
          <w:p w14:paraId="3620E4A0" w14:textId="77777777" w:rsidR="008E6FFA" w:rsidRPr="00C1255F" w:rsidRDefault="008E6FFA" w:rsidP="008E6FFA">
            <w:pPr>
              <w:spacing w:after="0" w:line="240" w:lineRule="auto"/>
              <w:rPr>
                <w:rFonts w:ascii="Times New Roman" w:eastAsia="Times New Roman" w:hAnsi="Times New Roman" w:cs="Times New Roman"/>
                <w:color w:val="000000" w:themeColor="text1"/>
                <w:sz w:val="20"/>
                <w:szCs w:val="20"/>
              </w:rPr>
            </w:pPr>
            <w:r w:rsidRPr="00C1255F">
              <w:rPr>
                <w:rFonts w:ascii="Times New Roman" w:eastAsia="Times New Roman" w:hAnsi="Times New Roman" w:cs="Times New Roman"/>
                <w:color w:val="000000" w:themeColor="text1"/>
                <w:sz w:val="20"/>
                <w:szCs w:val="20"/>
              </w:rPr>
              <w:t>14 (7.82)</w:t>
            </w:r>
          </w:p>
        </w:tc>
        <w:tc>
          <w:tcPr>
            <w:tcW w:w="1696" w:type="dxa"/>
            <w:shd w:val="clear" w:color="auto" w:fill="FFFFFF"/>
            <w:vAlign w:val="center"/>
            <w:hideMark/>
          </w:tcPr>
          <w:p w14:paraId="26EFA186" w14:textId="77777777" w:rsidR="008E6FFA" w:rsidRPr="00C1255F" w:rsidRDefault="008E6FFA" w:rsidP="008E6FFA">
            <w:pPr>
              <w:spacing w:after="0" w:line="240" w:lineRule="auto"/>
              <w:rPr>
                <w:rFonts w:ascii="Times New Roman" w:eastAsia="Times New Roman" w:hAnsi="Times New Roman" w:cs="Times New Roman"/>
                <w:color w:val="000000" w:themeColor="text1"/>
                <w:sz w:val="20"/>
                <w:szCs w:val="20"/>
              </w:rPr>
            </w:pPr>
          </w:p>
        </w:tc>
      </w:tr>
    </w:tbl>
    <w:p w14:paraId="6FA23635" w14:textId="77777777" w:rsidR="008E6FFA" w:rsidRPr="00C1255F" w:rsidRDefault="00A82693" w:rsidP="000B723F">
      <w:pPr>
        <w:spacing w:after="0"/>
        <w:jc w:val="both"/>
        <w:rPr>
          <w:rFonts w:ascii="Times New Roman" w:hAnsi="Times New Roman" w:cs="Times New Roman"/>
          <w:i/>
          <w:color w:val="000000" w:themeColor="text1"/>
          <w:shd w:val="clear" w:color="auto" w:fill="FFFFFF"/>
        </w:rPr>
      </w:pPr>
      <w:r w:rsidRPr="00C1255F">
        <w:rPr>
          <w:rFonts w:ascii="Times New Roman" w:hAnsi="Times New Roman" w:cs="Times New Roman"/>
          <w:b/>
          <w:i/>
          <w:color w:val="000000" w:themeColor="text1"/>
          <w:shd w:val="clear" w:color="auto" w:fill="FFFFFF"/>
        </w:rPr>
        <w:t>*</w:t>
      </w:r>
      <w:r w:rsidRPr="00C1255F">
        <w:rPr>
          <w:rFonts w:ascii="Times New Roman" w:hAnsi="Times New Roman" w:cs="Times New Roman"/>
          <w:i/>
          <w:color w:val="000000" w:themeColor="text1"/>
          <w:shd w:val="clear" w:color="auto" w:fill="FFFFFF"/>
        </w:rPr>
        <w:t>Percentage of total samples in each category</w:t>
      </w:r>
    </w:p>
    <w:p w14:paraId="3D0689FD" w14:textId="77777777" w:rsidR="007C6BE8" w:rsidRPr="00C1255F" w:rsidRDefault="007C6BE8" w:rsidP="00296EF6">
      <w:pPr>
        <w:pStyle w:val="Heading3"/>
        <w:shd w:val="clear" w:color="auto" w:fill="FFFFFF"/>
        <w:spacing w:before="480" w:after="240"/>
        <w:jc w:val="both"/>
        <w:rPr>
          <w:rFonts w:ascii="Times New Roman" w:hAnsi="Times New Roman" w:cs="Times New Roman"/>
          <w:b/>
          <w:color w:val="000000" w:themeColor="text1"/>
          <w:sz w:val="22"/>
          <w:szCs w:val="22"/>
        </w:rPr>
      </w:pPr>
      <w:r w:rsidRPr="00C1255F">
        <w:rPr>
          <w:rFonts w:ascii="Times New Roman" w:hAnsi="Times New Roman" w:cs="Times New Roman"/>
          <w:b/>
          <w:color w:val="000000" w:themeColor="text1"/>
          <w:sz w:val="22"/>
          <w:szCs w:val="22"/>
        </w:rPr>
        <w:t>Antibiotic Resistance Patterns: Outpatients versus Inpatients</w:t>
      </w:r>
    </w:p>
    <w:p w14:paraId="3EE8769E" w14:textId="6627FD8C" w:rsidR="007C6BE8" w:rsidRPr="00C1255F" w:rsidRDefault="007C6BE8" w:rsidP="00630F54">
      <w:pPr>
        <w:pStyle w:val="ds-markdown-paragraph"/>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t>MBL-producing isolates exhibited extremely high resistance rates to multiple antibiotic classes (Table 4). All isolates (100</w:t>
      </w:r>
      <w:r w:rsidR="00CC0E3B" w:rsidRPr="00C1255F">
        <w:rPr>
          <w:color w:val="000000" w:themeColor="text1"/>
          <w:sz w:val="22"/>
          <w:szCs w:val="22"/>
        </w:rPr>
        <w:t xml:space="preserve"> </w:t>
      </w:r>
      <w:r w:rsidRPr="00C1255F">
        <w:rPr>
          <w:color w:val="000000" w:themeColor="text1"/>
          <w:sz w:val="22"/>
          <w:szCs w:val="22"/>
        </w:rPr>
        <w:t>%) from both patient groups were resistant to amoxicillin-clavulanic acid, cefoxitin, imipenem, ertapenem, meropenem, and levofloxacin.</w:t>
      </w:r>
    </w:p>
    <w:p w14:paraId="771B5EB7" w14:textId="59403B90" w:rsidR="002C0B24" w:rsidRPr="00C1255F" w:rsidRDefault="00E10576" w:rsidP="00630F54">
      <w:pPr>
        <w:spacing w:after="0"/>
        <w:jc w:val="both"/>
        <w:rPr>
          <w:rStyle w:val="Strong"/>
          <w:rFonts w:ascii="Times New Roman" w:hAnsi="Times New Roman" w:cs="Times New Roman"/>
          <w:color w:val="000000" w:themeColor="text1"/>
          <w:shd w:val="clear" w:color="auto" w:fill="FFFFFF"/>
        </w:rPr>
      </w:pPr>
      <w:r w:rsidRPr="00C1255F">
        <w:rPr>
          <w:rFonts w:ascii="Times New Roman" w:hAnsi="Times New Roman" w:cs="Times New Roman"/>
          <w:color w:val="000000" w:themeColor="text1"/>
          <w:shd w:val="clear" w:color="auto" w:fill="FFFFFF"/>
        </w:rPr>
        <w:t>Significant differences were observed between inpatient and outpatient isolates for piperacillin-tazobactam (0% vs. 69.44</w:t>
      </w:r>
      <w:r w:rsidR="00CC0E3B" w:rsidRPr="00C1255F">
        <w:rPr>
          <w:rFonts w:ascii="Times New Roman" w:hAnsi="Times New Roman" w:cs="Times New Roman"/>
          <w:color w:val="000000" w:themeColor="text1"/>
          <w:shd w:val="clear" w:color="auto" w:fill="FFFFFF"/>
        </w:rPr>
        <w:t xml:space="preserve"> </w:t>
      </w:r>
      <w:r w:rsidRPr="00C1255F">
        <w:rPr>
          <w:rFonts w:ascii="Times New Roman" w:hAnsi="Times New Roman" w:cs="Times New Roman"/>
          <w:color w:val="000000" w:themeColor="text1"/>
          <w:shd w:val="clear" w:color="auto" w:fill="FFFFFF"/>
        </w:rPr>
        <w:t>% resistance, p&lt;0.001), ciprofloxacin (23.53</w:t>
      </w:r>
      <w:r w:rsidR="00CC0E3B" w:rsidRPr="00C1255F">
        <w:rPr>
          <w:rFonts w:ascii="Times New Roman" w:hAnsi="Times New Roman" w:cs="Times New Roman"/>
          <w:color w:val="000000" w:themeColor="text1"/>
          <w:shd w:val="clear" w:color="auto" w:fill="FFFFFF"/>
        </w:rPr>
        <w:t xml:space="preserve"> </w:t>
      </w:r>
      <w:r w:rsidRPr="00C1255F">
        <w:rPr>
          <w:rFonts w:ascii="Times New Roman" w:hAnsi="Times New Roman" w:cs="Times New Roman"/>
          <w:color w:val="000000" w:themeColor="text1"/>
          <w:shd w:val="clear" w:color="auto" w:fill="FFFFFF"/>
        </w:rPr>
        <w:t>% vs. 72.22% resistance, p&lt;0.01), and aztreonam (64.71</w:t>
      </w:r>
      <w:r w:rsidR="00CC0E3B" w:rsidRPr="00C1255F">
        <w:rPr>
          <w:rFonts w:ascii="Times New Roman" w:hAnsi="Times New Roman" w:cs="Times New Roman"/>
          <w:color w:val="000000" w:themeColor="text1"/>
          <w:shd w:val="clear" w:color="auto" w:fill="FFFFFF"/>
        </w:rPr>
        <w:t xml:space="preserve"> </w:t>
      </w:r>
      <w:r w:rsidRPr="00C1255F">
        <w:rPr>
          <w:rFonts w:ascii="Times New Roman" w:hAnsi="Times New Roman" w:cs="Times New Roman"/>
          <w:color w:val="000000" w:themeColor="text1"/>
          <w:shd w:val="clear" w:color="auto" w:fill="FFFFFF"/>
        </w:rPr>
        <w:t>% vs. 94.44</w:t>
      </w:r>
      <w:r w:rsidR="00CC0E3B" w:rsidRPr="00C1255F">
        <w:rPr>
          <w:rFonts w:ascii="Times New Roman" w:hAnsi="Times New Roman" w:cs="Times New Roman"/>
          <w:color w:val="000000" w:themeColor="text1"/>
          <w:shd w:val="clear" w:color="auto" w:fill="FFFFFF"/>
        </w:rPr>
        <w:t xml:space="preserve"> </w:t>
      </w:r>
      <w:r w:rsidRPr="00C1255F">
        <w:rPr>
          <w:rFonts w:ascii="Times New Roman" w:hAnsi="Times New Roman" w:cs="Times New Roman"/>
          <w:color w:val="000000" w:themeColor="text1"/>
          <w:shd w:val="clear" w:color="auto" w:fill="FFFFFF"/>
        </w:rPr>
        <w:t>% resistance, p=0.012); however, ofloxacin resistance was not significantly different between groups (70.59</w:t>
      </w:r>
      <w:r w:rsidR="00CC0E3B" w:rsidRPr="00C1255F">
        <w:rPr>
          <w:rFonts w:ascii="Times New Roman" w:hAnsi="Times New Roman" w:cs="Times New Roman"/>
          <w:color w:val="000000" w:themeColor="text1"/>
          <w:shd w:val="clear" w:color="auto" w:fill="FFFFFF"/>
        </w:rPr>
        <w:t xml:space="preserve"> </w:t>
      </w:r>
      <w:r w:rsidRPr="00C1255F">
        <w:rPr>
          <w:rFonts w:ascii="Times New Roman" w:hAnsi="Times New Roman" w:cs="Times New Roman"/>
          <w:color w:val="000000" w:themeColor="text1"/>
          <w:shd w:val="clear" w:color="auto" w:fill="FFFFFF"/>
        </w:rPr>
        <w:t>% vs. 88.89</w:t>
      </w:r>
      <w:r w:rsidR="00CC0E3B" w:rsidRPr="00C1255F">
        <w:rPr>
          <w:rFonts w:ascii="Times New Roman" w:hAnsi="Times New Roman" w:cs="Times New Roman"/>
          <w:color w:val="000000" w:themeColor="text1"/>
          <w:shd w:val="clear" w:color="auto" w:fill="FFFFFF"/>
        </w:rPr>
        <w:t xml:space="preserve"> </w:t>
      </w:r>
      <w:r w:rsidRPr="00C1255F">
        <w:rPr>
          <w:rFonts w:ascii="Times New Roman" w:hAnsi="Times New Roman" w:cs="Times New Roman"/>
          <w:color w:val="000000" w:themeColor="text1"/>
          <w:shd w:val="clear" w:color="auto" w:fill="FFFFFF"/>
        </w:rPr>
        <w:t>%, p=0.089), and gentamicin remained highly effective in both inpatient and outpatient isolates, with susceptibility rates of 88.24</w:t>
      </w:r>
      <w:r w:rsidR="00CF3D4E" w:rsidRPr="00C1255F">
        <w:rPr>
          <w:rFonts w:ascii="Times New Roman" w:hAnsi="Times New Roman" w:cs="Times New Roman"/>
          <w:color w:val="000000" w:themeColor="text1"/>
          <w:shd w:val="clear" w:color="auto" w:fill="FFFFFF"/>
        </w:rPr>
        <w:t xml:space="preserve"> </w:t>
      </w:r>
      <w:r w:rsidRPr="00C1255F">
        <w:rPr>
          <w:rFonts w:ascii="Times New Roman" w:hAnsi="Times New Roman" w:cs="Times New Roman"/>
          <w:color w:val="000000" w:themeColor="text1"/>
          <w:shd w:val="clear" w:color="auto" w:fill="FFFFFF"/>
        </w:rPr>
        <w:t>% and 94.44</w:t>
      </w:r>
      <w:r w:rsidR="00CF3D4E" w:rsidRPr="00C1255F">
        <w:rPr>
          <w:rFonts w:ascii="Times New Roman" w:hAnsi="Times New Roman" w:cs="Times New Roman"/>
          <w:color w:val="000000" w:themeColor="text1"/>
          <w:shd w:val="clear" w:color="auto" w:fill="FFFFFF"/>
        </w:rPr>
        <w:t xml:space="preserve"> </w:t>
      </w:r>
      <w:r w:rsidRPr="00C1255F">
        <w:rPr>
          <w:rFonts w:ascii="Times New Roman" w:hAnsi="Times New Roman" w:cs="Times New Roman"/>
          <w:color w:val="000000" w:themeColor="text1"/>
          <w:shd w:val="clear" w:color="auto" w:fill="FFFFFF"/>
        </w:rPr>
        <w:t>%, respectively (p=0.412).</w:t>
      </w:r>
    </w:p>
    <w:p w14:paraId="19E8502F" w14:textId="77777777" w:rsidR="00CF3D4E" w:rsidRPr="00C1255F" w:rsidRDefault="00CF3D4E" w:rsidP="002C0B24">
      <w:pPr>
        <w:spacing w:after="0"/>
        <w:jc w:val="both"/>
        <w:rPr>
          <w:rStyle w:val="Strong"/>
          <w:rFonts w:ascii="Times New Roman" w:hAnsi="Times New Roman" w:cs="Times New Roman"/>
          <w:color w:val="000000" w:themeColor="text1"/>
          <w:sz w:val="18"/>
          <w:szCs w:val="18"/>
          <w:shd w:val="clear" w:color="auto" w:fill="FFFFFF"/>
        </w:rPr>
      </w:pPr>
    </w:p>
    <w:p w14:paraId="700D9215" w14:textId="48CE6749" w:rsidR="002C0B24" w:rsidRPr="00C1255F" w:rsidRDefault="002C0B24" w:rsidP="002C0B24">
      <w:pPr>
        <w:spacing w:after="0"/>
        <w:jc w:val="both"/>
        <w:rPr>
          <w:rFonts w:ascii="Times New Roman" w:hAnsi="Times New Roman" w:cs="Times New Roman"/>
          <w:b/>
          <w:bCs/>
          <w:color w:val="000000" w:themeColor="text1"/>
          <w:sz w:val="18"/>
          <w:szCs w:val="18"/>
          <w:shd w:val="clear" w:color="auto" w:fill="FFFFFF"/>
        </w:rPr>
      </w:pPr>
      <w:r w:rsidRPr="00C1255F">
        <w:rPr>
          <w:rStyle w:val="Strong"/>
          <w:rFonts w:ascii="Times New Roman" w:hAnsi="Times New Roman" w:cs="Times New Roman"/>
          <w:color w:val="000000" w:themeColor="text1"/>
          <w:sz w:val="18"/>
          <w:szCs w:val="18"/>
          <w:shd w:val="clear" w:color="auto" w:fill="FFFFFF"/>
        </w:rPr>
        <w:t>Table 4: Antibiotic Resistance Patterns of MBL-Producing </w:t>
      </w:r>
      <w:r w:rsidRPr="00C1255F">
        <w:rPr>
          <w:rStyle w:val="Emphasis"/>
          <w:rFonts w:ascii="Times New Roman" w:hAnsi="Times New Roman" w:cs="Times New Roman"/>
          <w:b/>
          <w:bCs/>
          <w:color w:val="000000" w:themeColor="text1"/>
          <w:sz w:val="18"/>
          <w:szCs w:val="18"/>
          <w:shd w:val="clear" w:color="auto" w:fill="FFFFFF"/>
        </w:rPr>
        <w:t>P. aeruginosa</w:t>
      </w:r>
      <w:r w:rsidRPr="00C1255F">
        <w:rPr>
          <w:rStyle w:val="Strong"/>
          <w:rFonts w:ascii="Times New Roman" w:hAnsi="Times New Roman" w:cs="Times New Roman"/>
          <w:color w:val="000000" w:themeColor="text1"/>
          <w:sz w:val="18"/>
          <w:szCs w:val="18"/>
          <w:shd w:val="clear" w:color="auto" w:fill="FFFFFF"/>
        </w:rPr>
        <w:t> </w:t>
      </w:r>
      <w:r w:rsidR="00CF3D4E" w:rsidRPr="00C1255F">
        <w:rPr>
          <w:rStyle w:val="Strong"/>
          <w:rFonts w:ascii="Times New Roman" w:hAnsi="Times New Roman" w:cs="Times New Roman"/>
          <w:color w:val="000000" w:themeColor="text1"/>
          <w:sz w:val="18"/>
          <w:szCs w:val="18"/>
          <w:shd w:val="clear" w:color="auto" w:fill="FFFFFF"/>
        </w:rPr>
        <w:t xml:space="preserve">from out and in patients </w:t>
      </w:r>
    </w:p>
    <w:tbl>
      <w:tblPr>
        <w:tblpPr w:leftFromText="180" w:rightFromText="180" w:vertAnchor="text" w:tblpY="197"/>
        <w:tblW w:w="9540" w:type="dxa"/>
        <w:tblBorders>
          <w:top w:val="single" w:sz="4" w:space="0" w:color="auto"/>
          <w:bottom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480"/>
        <w:gridCol w:w="2865"/>
        <w:gridCol w:w="2983"/>
        <w:gridCol w:w="1212"/>
      </w:tblGrid>
      <w:tr w:rsidR="00C1255F" w:rsidRPr="00C1255F" w14:paraId="7A525555" w14:textId="77777777" w:rsidTr="002A0A7E">
        <w:trPr>
          <w:tblHeader/>
        </w:trPr>
        <w:tc>
          <w:tcPr>
            <w:tcW w:w="0" w:type="auto"/>
            <w:tcBorders>
              <w:top w:val="single" w:sz="4" w:space="0" w:color="auto"/>
              <w:bottom w:val="single" w:sz="4" w:space="0" w:color="auto"/>
            </w:tcBorders>
            <w:shd w:val="clear" w:color="auto" w:fill="FFFFFF"/>
            <w:tcMar>
              <w:top w:w="150" w:type="dxa"/>
              <w:left w:w="0" w:type="dxa"/>
              <w:bottom w:w="150" w:type="dxa"/>
              <w:right w:w="240" w:type="dxa"/>
            </w:tcMar>
            <w:vAlign w:val="center"/>
            <w:hideMark/>
          </w:tcPr>
          <w:p w14:paraId="53AA165B" w14:textId="77777777" w:rsidR="002C0B24" w:rsidRPr="00C1255F" w:rsidRDefault="002C0B24" w:rsidP="002C0B24">
            <w:pPr>
              <w:spacing w:after="0" w:line="240" w:lineRule="auto"/>
              <w:rPr>
                <w:rFonts w:ascii="Times New Roman" w:eastAsia="Times New Roman" w:hAnsi="Times New Roman" w:cs="Times New Roman"/>
                <w:b/>
                <w:bCs/>
                <w:color w:val="000000" w:themeColor="text1"/>
                <w:sz w:val="18"/>
                <w:szCs w:val="18"/>
              </w:rPr>
            </w:pPr>
            <w:r w:rsidRPr="00C1255F">
              <w:rPr>
                <w:rFonts w:ascii="Times New Roman" w:eastAsia="Times New Roman" w:hAnsi="Times New Roman" w:cs="Times New Roman"/>
                <w:b/>
                <w:bCs/>
                <w:color w:val="000000" w:themeColor="text1"/>
                <w:sz w:val="18"/>
                <w:szCs w:val="18"/>
              </w:rPr>
              <w:lastRenderedPageBreak/>
              <w:t>Antibiotic</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3F287C19" w14:textId="77777777" w:rsidR="002C0B24" w:rsidRPr="00C1255F" w:rsidRDefault="002C0B24" w:rsidP="002C0B24">
            <w:pPr>
              <w:spacing w:after="0" w:line="240" w:lineRule="auto"/>
              <w:rPr>
                <w:rFonts w:ascii="Times New Roman" w:eastAsia="Times New Roman" w:hAnsi="Times New Roman" w:cs="Times New Roman"/>
                <w:b/>
                <w:bCs/>
                <w:color w:val="000000" w:themeColor="text1"/>
                <w:sz w:val="18"/>
                <w:szCs w:val="18"/>
              </w:rPr>
            </w:pPr>
            <w:r w:rsidRPr="00C1255F">
              <w:rPr>
                <w:rFonts w:ascii="Times New Roman" w:eastAsia="Times New Roman" w:hAnsi="Times New Roman" w:cs="Times New Roman"/>
                <w:b/>
                <w:bCs/>
                <w:color w:val="000000" w:themeColor="text1"/>
                <w:sz w:val="18"/>
                <w:szCs w:val="18"/>
              </w:rPr>
              <w:t>Inpatient (n=17) Resistance n (%)</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0F2D9929" w14:textId="77777777" w:rsidR="002C0B24" w:rsidRPr="00C1255F" w:rsidRDefault="002C0B24" w:rsidP="002C0B24">
            <w:pPr>
              <w:spacing w:after="0" w:line="240" w:lineRule="auto"/>
              <w:rPr>
                <w:rFonts w:ascii="Times New Roman" w:eastAsia="Times New Roman" w:hAnsi="Times New Roman" w:cs="Times New Roman"/>
                <w:b/>
                <w:bCs/>
                <w:color w:val="000000" w:themeColor="text1"/>
                <w:sz w:val="18"/>
                <w:szCs w:val="18"/>
              </w:rPr>
            </w:pPr>
            <w:r w:rsidRPr="00C1255F">
              <w:rPr>
                <w:rFonts w:ascii="Times New Roman" w:eastAsia="Times New Roman" w:hAnsi="Times New Roman" w:cs="Times New Roman"/>
                <w:b/>
                <w:bCs/>
                <w:color w:val="000000" w:themeColor="text1"/>
                <w:sz w:val="18"/>
                <w:szCs w:val="18"/>
              </w:rPr>
              <w:t>Outpatient (n=36) Resistance n (%)</w:t>
            </w:r>
          </w:p>
        </w:tc>
        <w:tc>
          <w:tcPr>
            <w:tcW w:w="1212" w:type="dxa"/>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635977B5" w14:textId="77777777" w:rsidR="002C0B24" w:rsidRPr="00C1255F" w:rsidRDefault="002C0B24" w:rsidP="002C0B24">
            <w:pPr>
              <w:spacing w:after="0" w:line="240" w:lineRule="auto"/>
              <w:rPr>
                <w:rFonts w:ascii="Times New Roman" w:eastAsia="Times New Roman" w:hAnsi="Times New Roman" w:cs="Times New Roman"/>
                <w:b/>
                <w:bCs/>
                <w:color w:val="000000" w:themeColor="text1"/>
                <w:sz w:val="18"/>
                <w:szCs w:val="18"/>
              </w:rPr>
            </w:pPr>
            <w:r w:rsidRPr="00C1255F">
              <w:rPr>
                <w:rFonts w:ascii="Times New Roman" w:eastAsia="Times New Roman" w:hAnsi="Times New Roman" w:cs="Times New Roman"/>
                <w:b/>
                <w:bCs/>
                <w:color w:val="000000" w:themeColor="text1"/>
                <w:sz w:val="18"/>
                <w:szCs w:val="18"/>
              </w:rPr>
              <w:t>p-value</w:t>
            </w:r>
          </w:p>
        </w:tc>
      </w:tr>
      <w:tr w:rsidR="00C1255F" w:rsidRPr="00C1255F" w14:paraId="6B42CC0A" w14:textId="77777777" w:rsidTr="002A0A7E">
        <w:tc>
          <w:tcPr>
            <w:tcW w:w="0" w:type="auto"/>
            <w:tcBorders>
              <w:top w:val="single" w:sz="4" w:space="0" w:color="auto"/>
            </w:tcBorders>
            <w:shd w:val="clear" w:color="auto" w:fill="FFFFFF"/>
            <w:tcMar>
              <w:top w:w="150" w:type="dxa"/>
              <w:left w:w="0" w:type="dxa"/>
              <w:bottom w:w="150" w:type="dxa"/>
              <w:right w:w="240" w:type="dxa"/>
            </w:tcMar>
            <w:vAlign w:val="center"/>
            <w:hideMark/>
          </w:tcPr>
          <w:p w14:paraId="43A0A460"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Amoxicillin-Clavulanic Acid</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04CED284"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17 (100)</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0D6ECB0D"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36 (100)</w:t>
            </w:r>
          </w:p>
        </w:tc>
        <w:tc>
          <w:tcPr>
            <w:tcW w:w="1212" w:type="dxa"/>
            <w:tcBorders>
              <w:top w:val="single" w:sz="4" w:space="0" w:color="auto"/>
            </w:tcBorders>
            <w:shd w:val="clear" w:color="auto" w:fill="FFFFFF"/>
            <w:tcMar>
              <w:top w:w="150" w:type="dxa"/>
              <w:left w:w="240" w:type="dxa"/>
              <w:bottom w:w="150" w:type="dxa"/>
              <w:right w:w="0" w:type="dxa"/>
            </w:tcMar>
            <w:vAlign w:val="center"/>
            <w:hideMark/>
          </w:tcPr>
          <w:p w14:paraId="6E7074EE"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1.000</w:t>
            </w:r>
          </w:p>
        </w:tc>
      </w:tr>
      <w:tr w:rsidR="00C1255F" w:rsidRPr="00C1255F" w14:paraId="671DB4C1" w14:textId="77777777" w:rsidTr="002A0A7E">
        <w:tc>
          <w:tcPr>
            <w:tcW w:w="0" w:type="auto"/>
            <w:shd w:val="clear" w:color="auto" w:fill="FFFFFF"/>
            <w:tcMar>
              <w:top w:w="150" w:type="dxa"/>
              <w:left w:w="0" w:type="dxa"/>
              <w:bottom w:w="150" w:type="dxa"/>
              <w:right w:w="240" w:type="dxa"/>
            </w:tcMar>
            <w:vAlign w:val="center"/>
            <w:hideMark/>
          </w:tcPr>
          <w:p w14:paraId="7C9A85F4"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Aztreonam</w:t>
            </w:r>
          </w:p>
        </w:tc>
        <w:tc>
          <w:tcPr>
            <w:tcW w:w="0" w:type="auto"/>
            <w:shd w:val="clear" w:color="auto" w:fill="FFFFFF"/>
            <w:tcMar>
              <w:top w:w="150" w:type="dxa"/>
              <w:left w:w="240" w:type="dxa"/>
              <w:bottom w:w="150" w:type="dxa"/>
              <w:right w:w="240" w:type="dxa"/>
            </w:tcMar>
            <w:vAlign w:val="center"/>
            <w:hideMark/>
          </w:tcPr>
          <w:p w14:paraId="4F11D840"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11 (64.71)</w:t>
            </w:r>
          </w:p>
        </w:tc>
        <w:tc>
          <w:tcPr>
            <w:tcW w:w="0" w:type="auto"/>
            <w:shd w:val="clear" w:color="auto" w:fill="FFFFFF"/>
            <w:tcMar>
              <w:top w:w="150" w:type="dxa"/>
              <w:left w:w="240" w:type="dxa"/>
              <w:bottom w:w="150" w:type="dxa"/>
              <w:right w:w="240" w:type="dxa"/>
            </w:tcMar>
            <w:vAlign w:val="center"/>
            <w:hideMark/>
          </w:tcPr>
          <w:p w14:paraId="7AA1FDC4"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34 (94.44)</w:t>
            </w:r>
          </w:p>
        </w:tc>
        <w:tc>
          <w:tcPr>
            <w:tcW w:w="1212" w:type="dxa"/>
            <w:shd w:val="clear" w:color="auto" w:fill="FFFFFF"/>
            <w:tcMar>
              <w:top w:w="150" w:type="dxa"/>
              <w:left w:w="240" w:type="dxa"/>
              <w:bottom w:w="150" w:type="dxa"/>
              <w:right w:w="0" w:type="dxa"/>
            </w:tcMar>
            <w:vAlign w:val="center"/>
            <w:hideMark/>
          </w:tcPr>
          <w:p w14:paraId="33914556"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0.012</w:t>
            </w:r>
          </w:p>
        </w:tc>
      </w:tr>
      <w:tr w:rsidR="00C1255F" w:rsidRPr="00C1255F" w14:paraId="75D33DF5" w14:textId="77777777" w:rsidTr="002A0A7E">
        <w:tc>
          <w:tcPr>
            <w:tcW w:w="0" w:type="auto"/>
            <w:shd w:val="clear" w:color="auto" w:fill="FFFFFF"/>
            <w:tcMar>
              <w:top w:w="150" w:type="dxa"/>
              <w:left w:w="0" w:type="dxa"/>
              <w:bottom w:w="150" w:type="dxa"/>
              <w:right w:w="240" w:type="dxa"/>
            </w:tcMar>
            <w:vAlign w:val="center"/>
            <w:hideMark/>
          </w:tcPr>
          <w:p w14:paraId="79AC3902"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Piperacillin-Tazobactam</w:t>
            </w:r>
          </w:p>
        </w:tc>
        <w:tc>
          <w:tcPr>
            <w:tcW w:w="0" w:type="auto"/>
            <w:shd w:val="clear" w:color="auto" w:fill="FFFFFF"/>
            <w:tcMar>
              <w:top w:w="150" w:type="dxa"/>
              <w:left w:w="240" w:type="dxa"/>
              <w:bottom w:w="150" w:type="dxa"/>
              <w:right w:w="240" w:type="dxa"/>
            </w:tcMar>
            <w:vAlign w:val="center"/>
            <w:hideMark/>
          </w:tcPr>
          <w:p w14:paraId="5F140D51"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0 (0.0)</w:t>
            </w:r>
          </w:p>
        </w:tc>
        <w:tc>
          <w:tcPr>
            <w:tcW w:w="0" w:type="auto"/>
            <w:shd w:val="clear" w:color="auto" w:fill="FFFFFF"/>
            <w:tcMar>
              <w:top w:w="150" w:type="dxa"/>
              <w:left w:w="240" w:type="dxa"/>
              <w:bottom w:w="150" w:type="dxa"/>
              <w:right w:w="240" w:type="dxa"/>
            </w:tcMar>
            <w:vAlign w:val="center"/>
            <w:hideMark/>
          </w:tcPr>
          <w:p w14:paraId="1F4FC58D"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25 (69.44)</w:t>
            </w:r>
          </w:p>
        </w:tc>
        <w:tc>
          <w:tcPr>
            <w:tcW w:w="1212" w:type="dxa"/>
            <w:shd w:val="clear" w:color="auto" w:fill="FFFFFF"/>
            <w:tcMar>
              <w:top w:w="150" w:type="dxa"/>
              <w:left w:w="240" w:type="dxa"/>
              <w:bottom w:w="150" w:type="dxa"/>
              <w:right w:w="0" w:type="dxa"/>
            </w:tcMar>
            <w:vAlign w:val="center"/>
            <w:hideMark/>
          </w:tcPr>
          <w:p w14:paraId="525A85FE"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&lt;0.001</w:t>
            </w:r>
          </w:p>
        </w:tc>
      </w:tr>
      <w:tr w:rsidR="00C1255F" w:rsidRPr="00C1255F" w14:paraId="5B36E94C" w14:textId="77777777" w:rsidTr="002A0A7E">
        <w:tc>
          <w:tcPr>
            <w:tcW w:w="0" w:type="auto"/>
            <w:shd w:val="clear" w:color="auto" w:fill="FFFFFF"/>
            <w:tcMar>
              <w:top w:w="150" w:type="dxa"/>
              <w:left w:w="0" w:type="dxa"/>
              <w:bottom w:w="150" w:type="dxa"/>
              <w:right w:w="240" w:type="dxa"/>
            </w:tcMar>
            <w:vAlign w:val="center"/>
            <w:hideMark/>
          </w:tcPr>
          <w:p w14:paraId="43FCD44B"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Cefotaxime</w:t>
            </w:r>
          </w:p>
        </w:tc>
        <w:tc>
          <w:tcPr>
            <w:tcW w:w="0" w:type="auto"/>
            <w:shd w:val="clear" w:color="auto" w:fill="FFFFFF"/>
            <w:tcMar>
              <w:top w:w="150" w:type="dxa"/>
              <w:left w:w="240" w:type="dxa"/>
              <w:bottom w:w="150" w:type="dxa"/>
              <w:right w:w="240" w:type="dxa"/>
            </w:tcMar>
            <w:vAlign w:val="center"/>
            <w:hideMark/>
          </w:tcPr>
          <w:p w14:paraId="5569177D"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14 (82.35)</w:t>
            </w:r>
          </w:p>
        </w:tc>
        <w:tc>
          <w:tcPr>
            <w:tcW w:w="0" w:type="auto"/>
            <w:shd w:val="clear" w:color="auto" w:fill="FFFFFF"/>
            <w:tcMar>
              <w:top w:w="150" w:type="dxa"/>
              <w:left w:w="240" w:type="dxa"/>
              <w:bottom w:w="150" w:type="dxa"/>
              <w:right w:w="240" w:type="dxa"/>
            </w:tcMar>
            <w:vAlign w:val="center"/>
            <w:hideMark/>
          </w:tcPr>
          <w:p w14:paraId="3BB6F2DF"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34 (94.44)</w:t>
            </w:r>
          </w:p>
        </w:tc>
        <w:tc>
          <w:tcPr>
            <w:tcW w:w="1212" w:type="dxa"/>
            <w:shd w:val="clear" w:color="auto" w:fill="FFFFFF"/>
            <w:tcMar>
              <w:top w:w="150" w:type="dxa"/>
              <w:left w:w="240" w:type="dxa"/>
              <w:bottom w:w="150" w:type="dxa"/>
              <w:right w:w="0" w:type="dxa"/>
            </w:tcMar>
            <w:vAlign w:val="center"/>
            <w:hideMark/>
          </w:tcPr>
          <w:p w14:paraId="74903464"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0.315</w:t>
            </w:r>
          </w:p>
        </w:tc>
      </w:tr>
      <w:tr w:rsidR="00C1255F" w:rsidRPr="00C1255F" w14:paraId="573A46F7" w14:textId="77777777" w:rsidTr="002A0A7E">
        <w:tc>
          <w:tcPr>
            <w:tcW w:w="0" w:type="auto"/>
            <w:shd w:val="clear" w:color="auto" w:fill="FFFFFF"/>
            <w:tcMar>
              <w:top w:w="150" w:type="dxa"/>
              <w:left w:w="0" w:type="dxa"/>
              <w:bottom w:w="150" w:type="dxa"/>
              <w:right w:w="240" w:type="dxa"/>
            </w:tcMar>
            <w:vAlign w:val="center"/>
            <w:hideMark/>
          </w:tcPr>
          <w:p w14:paraId="64A0E3F2"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Cefoxitin</w:t>
            </w:r>
          </w:p>
        </w:tc>
        <w:tc>
          <w:tcPr>
            <w:tcW w:w="0" w:type="auto"/>
            <w:shd w:val="clear" w:color="auto" w:fill="FFFFFF"/>
            <w:tcMar>
              <w:top w:w="150" w:type="dxa"/>
              <w:left w:w="240" w:type="dxa"/>
              <w:bottom w:w="150" w:type="dxa"/>
              <w:right w:w="240" w:type="dxa"/>
            </w:tcMar>
            <w:vAlign w:val="center"/>
            <w:hideMark/>
          </w:tcPr>
          <w:p w14:paraId="0B55A4DE"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17 (100)</w:t>
            </w:r>
          </w:p>
        </w:tc>
        <w:tc>
          <w:tcPr>
            <w:tcW w:w="0" w:type="auto"/>
            <w:shd w:val="clear" w:color="auto" w:fill="FFFFFF"/>
            <w:tcMar>
              <w:top w:w="150" w:type="dxa"/>
              <w:left w:w="240" w:type="dxa"/>
              <w:bottom w:w="150" w:type="dxa"/>
              <w:right w:w="240" w:type="dxa"/>
            </w:tcMar>
            <w:vAlign w:val="center"/>
            <w:hideMark/>
          </w:tcPr>
          <w:p w14:paraId="6FA285FA"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36 (100)</w:t>
            </w:r>
          </w:p>
        </w:tc>
        <w:tc>
          <w:tcPr>
            <w:tcW w:w="1212" w:type="dxa"/>
            <w:shd w:val="clear" w:color="auto" w:fill="FFFFFF"/>
            <w:tcMar>
              <w:top w:w="150" w:type="dxa"/>
              <w:left w:w="240" w:type="dxa"/>
              <w:bottom w:w="150" w:type="dxa"/>
              <w:right w:w="0" w:type="dxa"/>
            </w:tcMar>
            <w:vAlign w:val="center"/>
            <w:hideMark/>
          </w:tcPr>
          <w:p w14:paraId="48FAC3E7"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1.000</w:t>
            </w:r>
          </w:p>
        </w:tc>
      </w:tr>
      <w:tr w:rsidR="00C1255F" w:rsidRPr="00C1255F" w14:paraId="3EC4923A" w14:textId="77777777" w:rsidTr="002A0A7E">
        <w:tc>
          <w:tcPr>
            <w:tcW w:w="0" w:type="auto"/>
            <w:shd w:val="clear" w:color="auto" w:fill="FFFFFF"/>
            <w:tcMar>
              <w:top w:w="150" w:type="dxa"/>
              <w:left w:w="0" w:type="dxa"/>
              <w:bottom w:w="150" w:type="dxa"/>
              <w:right w:w="240" w:type="dxa"/>
            </w:tcMar>
            <w:vAlign w:val="center"/>
            <w:hideMark/>
          </w:tcPr>
          <w:p w14:paraId="71C14798"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Imipenem</w:t>
            </w:r>
          </w:p>
        </w:tc>
        <w:tc>
          <w:tcPr>
            <w:tcW w:w="0" w:type="auto"/>
            <w:shd w:val="clear" w:color="auto" w:fill="FFFFFF"/>
            <w:tcMar>
              <w:top w:w="150" w:type="dxa"/>
              <w:left w:w="240" w:type="dxa"/>
              <w:bottom w:w="150" w:type="dxa"/>
              <w:right w:w="240" w:type="dxa"/>
            </w:tcMar>
            <w:vAlign w:val="center"/>
            <w:hideMark/>
          </w:tcPr>
          <w:p w14:paraId="1EE49891"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17 (100)</w:t>
            </w:r>
          </w:p>
        </w:tc>
        <w:tc>
          <w:tcPr>
            <w:tcW w:w="0" w:type="auto"/>
            <w:shd w:val="clear" w:color="auto" w:fill="FFFFFF"/>
            <w:tcMar>
              <w:top w:w="150" w:type="dxa"/>
              <w:left w:w="240" w:type="dxa"/>
              <w:bottom w:w="150" w:type="dxa"/>
              <w:right w:w="240" w:type="dxa"/>
            </w:tcMar>
            <w:vAlign w:val="center"/>
            <w:hideMark/>
          </w:tcPr>
          <w:p w14:paraId="42BDC060"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36 (100)</w:t>
            </w:r>
          </w:p>
        </w:tc>
        <w:tc>
          <w:tcPr>
            <w:tcW w:w="1212" w:type="dxa"/>
            <w:shd w:val="clear" w:color="auto" w:fill="FFFFFF"/>
            <w:tcMar>
              <w:top w:w="150" w:type="dxa"/>
              <w:left w:w="240" w:type="dxa"/>
              <w:bottom w:w="150" w:type="dxa"/>
              <w:right w:w="0" w:type="dxa"/>
            </w:tcMar>
            <w:vAlign w:val="center"/>
            <w:hideMark/>
          </w:tcPr>
          <w:p w14:paraId="048A0A94"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1.000</w:t>
            </w:r>
          </w:p>
        </w:tc>
      </w:tr>
      <w:tr w:rsidR="00C1255F" w:rsidRPr="00C1255F" w14:paraId="4BB342B1" w14:textId="77777777" w:rsidTr="002A0A7E">
        <w:tc>
          <w:tcPr>
            <w:tcW w:w="0" w:type="auto"/>
            <w:shd w:val="clear" w:color="auto" w:fill="FFFFFF"/>
            <w:tcMar>
              <w:top w:w="150" w:type="dxa"/>
              <w:left w:w="0" w:type="dxa"/>
              <w:bottom w:w="150" w:type="dxa"/>
              <w:right w:w="240" w:type="dxa"/>
            </w:tcMar>
            <w:vAlign w:val="center"/>
            <w:hideMark/>
          </w:tcPr>
          <w:p w14:paraId="162A9955"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Ertapenem</w:t>
            </w:r>
          </w:p>
        </w:tc>
        <w:tc>
          <w:tcPr>
            <w:tcW w:w="0" w:type="auto"/>
            <w:shd w:val="clear" w:color="auto" w:fill="FFFFFF"/>
            <w:tcMar>
              <w:top w:w="150" w:type="dxa"/>
              <w:left w:w="240" w:type="dxa"/>
              <w:bottom w:w="150" w:type="dxa"/>
              <w:right w:w="240" w:type="dxa"/>
            </w:tcMar>
            <w:vAlign w:val="center"/>
            <w:hideMark/>
          </w:tcPr>
          <w:p w14:paraId="7B4918AF"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17 (100)</w:t>
            </w:r>
          </w:p>
        </w:tc>
        <w:tc>
          <w:tcPr>
            <w:tcW w:w="0" w:type="auto"/>
            <w:shd w:val="clear" w:color="auto" w:fill="FFFFFF"/>
            <w:tcMar>
              <w:top w:w="150" w:type="dxa"/>
              <w:left w:w="240" w:type="dxa"/>
              <w:bottom w:w="150" w:type="dxa"/>
              <w:right w:w="240" w:type="dxa"/>
            </w:tcMar>
            <w:vAlign w:val="center"/>
            <w:hideMark/>
          </w:tcPr>
          <w:p w14:paraId="3E44E45D"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36 (100)</w:t>
            </w:r>
          </w:p>
        </w:tc>
        <w:tc>
          <w:tcPr>
            <w:tcW w:w="1212" w:type="dxa"/>
            <w:shd w:val="clear" w:color="auto" w:fill="FFFFFF"/>
            <w:tcMar>
              <w:top w:w="150" w:type="dxa"/>
              <w:left w:w="240" w:type="dxa"/>
              <w:bottom w:w="150" w:type="dxa"/>
              <w:right w:w="0" w:type="dxa"/>
            </w:tcMar>
            <w:vAlign w:val="center"/>
            <w:hideMark/>
          </w:tcPr>
          <w:p w14:paraId="73F9A81C"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1.000</w:t>
            </w:r>
          </w:p>
        </w:tc>
      </w:tr>
      <w:tr w:rsidR="00C1255F" w:rsidRPr="00C1255F" w14:paraId="02BE8280" w14:textId="77777777" w:rsidTr="002A0A7E">
        <w:tc>
          <w:tcPr>
            <w:tcW w:w="0" w:type="auto"/>
            <w:shd w:val="clear" w:color="auto" w:fill="FFFFFF"/>
            <w:tcMar>
              <w:top w:w="150" w:type="dxa"/>
              <w:left w:w="0" w:type="dxa"/>
              <w:bottom w:w="150" w:type="dxa"/>
              <w:right w:w="240" w:type="dxa"/>
            </w:tcMar>
            <w:vAlign w:val="center"/>
            <w:hideMark/>
          </w:tcPr>
          <w:p w14:paraId="37125831"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Meropenem</w:t>
            </w:r>
          </w:p>
        </w:tc>
        <w:tc>
          <w:tcPr>
            <w:tcW w:w="0" w:type="auto"/>
            <w:shd w:val="clear" w:color="auto" w:fill="FFFFFF"/>
            <w:tcMar>
              <w:top w:w="150" w:type="dxa"/>
              <w:left w:w="240" w:type="dxa"/>
              <w:bottom w:w="150" w:type="dxa"/>
              <w:right w:w="240" w:type="dxa"/>
            </w:tcMar>
            <w:vAlign w:val="center"/>
            <w:hideMark/>
          </w:tcPr>
          <w:p w14:paraId="55CE2C1D"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17 (100)</w:t>
            </w:r>
          </w:p>
        </w:tc>
        <w:tc>
          <w:tcPr>
            <w:tcW w:w="0" w:type="auto"/>
            <w:shd w:val="clear" w:color="auto" w:fill="FFFFFF"/>
            <w:tcMar>
              <w:top w:w="150" w:type="dxa"/>
              <w:left w:w="240" w:type="dxa"/>
              <w:bottom w:w="150" w:type="dxa"/>
              <w:right w:w="240" w:type="dxa"/>
            </w:tcMar>
            <w:vAlign w:val="center"/>
            <w:hideMark/>
          </w:tcPr>
          <w:p w14:paraId="617F25FB"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36 (100)</w:t>
            </w:r>
          </w:p>
        </w:tc>
        <w:tc>
          <w:tcPr>
            <w:tcW w:w="1212" w:type="dxa"/>
            <w:shd w:val="clear" w:color="auto" w:fill="FFFFFF"/>
            <w:tcMar>
              <w:top w:w="150" w:type="dxa"/>
              <w:left w:w="240" w:type="dxa"/>
              <w:bottom w:w="150" w:type="dxa"/>
              <w:right w:w="0" w:type="dxa"/>
            </w:tcMar>
            <w:vAlign w:val="center"/>
            <w:hideMark/>
          </w:tcPr>
          <w:p w14:paraId="65E0F908"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1.000</w:t>
            </w:r>
          </w:p>
        </w:tc>
      </w:tr>
      <w:tr w:rsidR="00C1255F" w:rsidRPr="00C1255F" w14:paraId="1046D033" w14:textId="77777777" w:rsidTr="002A0A7E">
        <w:tc>
          <w:tcPr>
            <w:tcW w:w="0" w:type="auto"/>
            <w:shd w:val="clear" w:color="auto" w:fill="FFFFFF"/>
            <w:tcMar>
              <w:top w:w="150" w:type="dxa"/>
              <w:left w:w="0" w:type="dxa"/>
              <w:bottom w:w="150" w:type="dxa"/>
              <w:right w:w="240" w:type="dxa"/>
            </w:tcMar>
            <w:vAlign w:val="center"/>
            <w:hideMark/>
          </w:tcPr>
          <w:p w14:paraId="61A10CC3"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Ciprofloxacin</w:t>
            </w:r>
          </w:p>
        </w:tc>
        <w:tc>
          <w:tcPr>
            <w:tcW w:w="0" w:type="auto"/>
            <w:shd w:val="clear" w:color="auto" w:fill="FFFFFF"/>
            <w:tcMar>
              <w:top w:w="150" w:type="dxa"/>
              <w:left w:w="240" w:type="dxa"/>
              <w:bottom w:w="150" w:type="dxa"/>
              <w:right w:w="240" w:type="dxa"/>
            </w:tcMar>
            <w:vAlign w:val="center"/>
            <w:hideMark/>
          </w:tcPr>
          <w:p w14:paraId="7A7391BF"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4 (23.53)</w:t>
            </w:r>
          </w:p>
        </w:tc>
        <w:tc>
          <w:tcPr>
            <w:tcW w:w="0" w:type="auto"/>
            <w:shd w:val="clear" w:color="auto" w:fill="FFFFFF"/>
            <w:tcMar>
              <w:top w:w="150" w:type="dxa"/>
              <w:left w:w="240" w:type="dxa"/>
              <w:bottom w:w="150" w:type="dxa"/>
              <w:right w:w="240" w:type="dxa"/>
            </w:tcMar>
            <w:vAlign w:val="center"/>
            <w:hideMark/>
          </w:tcPr>
          <w:p w14:paraId="3EAB355D"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26 (72.22)</w:t>
            </w:r>
          </w:p>
        </w:tc>
        <w:tc>
          <w:tcPr>
            <w:tcW w:w="1212" w:type="dxa"/>
            <w:shd w:val="clear" w:color="auto" w:fill="FFFFFF"/>
            <w:tcMar>
              <w:top w:w="150" w:type="dxa"/>
              <w:left w:w="240" w:type="dxa"/>
              <w:bottom w:w="150" w:type="dxa"/>
              <w:right w:w="0" w:type="dxa"/>
            </w:tcMar>
            <w:vAlign w:val="center"/>
            <w:hideMark/>
          </w:tcPr>
          <w:p w14:paraId="492AF6B1"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0.002</w:t>
            </w:r>
          </w:p>
        </w:tc>
      </w:tr>
      <w:tr w:rsidR="00C1255F" w:rsidRPr="00C1255F" w14:paraId="6B3968C8" w14:textId="77777777" w:rsidTr="002A0A7E">
        <w:tc>
          <w:tcPr>
            <w:tcW w:w="0" w:type="auto"/>
            <w:shd w:val="clear" w:color="auto" w:fill="FFFFFF"/>
            <w:tcMar>
              <w:top w:w="150" w:type="dxa"/>
              <w:left w:w="0" w:type="dxa"/>
              <w:bottom w:w="150" w:type="dxa"/>
              <w:right w:w="240" w:type="dxa"/>
            </w:tcMar>
            <w:vAlign w:val="center"/>
            <w:hideMark/>
          </w:tcPr>
          <w:p w14:paraId="07ADFD96"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Ofloxacin</w:t>
            </w:r>
          </w:p>
        </w:tc>
        <w:tc>
          <w:tcPr>
            <w:tcW w:w="0" w:type="auto"/>
            <w:shd w:val="clear" w:color="auto" w:fill="FFFFFF"/>
            <w:tcMar>
              <w:top w:w="150" w:type="dxa"/>
              <w:left w:w="240" w:type="dxa"/>
              <w:bottom w:w="150" w:type="dxa"/>
              <w:right w:w="240" w:type="dxa"/>
            </w:tcMar>
            <w:vAlign w:val="center"/>
            <w:hideMark/>
          </w:tcPr>
          <w:p w14:paraId="38E61ACA"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12 (70.59)</w:t>
            </w:r>
          </w:p>
        </w:tc>
        <w:tc>
          <w:tcPr>
            <w:tcW w:w="0" w:type="auto"/>
            <w:shd w:val="clear" w:color="auto" w:fill="FFFFFF"/>
            <w:tcMar>
              <w:top w:w="150" w:type="dxa"/>
              <w:left w:w="240" w:type="dxa"/>
              <w:bottom w:w="150" w:type="dxa"/>
              <w:right w:w="240" w:type="dxa"/>
            </w:tcMar>
            <w:vAlign w:val="center"/>
            <w:hideMark/>
          </w:tcPr>
          <w:p w14:paraId="6E9E932B"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32 (88.89)</w:t>
            </w:r>
          </w:p>
        </w:tc>
        <w:tc>
          <w:tcPr>
            <w:tcW w:w="1212" w:type="dxa"/>
            <w:shd w:val="clear" w:color="auto" w:fill="FFFFFF"/>
            <w:tcMar>
              <w:top w:w="150" w:type="dxa"/>
              <w:left w:w="240" w:type="dxa"/>
              <w:bottom w:w="150" w:type="dxa"/>
              <w:right w:w="0" w:type="dxa"/>
            </w:tcMar>
            <w:vAlign w:val="center"/>
            <w:hideMark/>
          </w:tcPr>
          <w:p w14:paraId="5480C604"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0.089</w:t>
            </w:r>
          </w:p>
        </w:tc>
      </w:tr>
      <w:tr w:rsidR="00C1255F" w:rsidRPr="00C1255F" w14:paraId="38DA3E15" w14:textId="77777777" w:rsidTr="002A0A7E">
        <w:tc>
          <w:tcPr>
            <w:tcW w:w="0" w:type="auto"/>
            <w:shd w:val="clear" w:color="auto" w:fill="FFFFFF"/>
            <w:tcMar>
              <w:top w:w="150" w:type="dxa"/>
              <w:left w:w="0" w:type="dxa"/>
              <w:bottom w:w="150" w:type="dxa"/>
              <w:right w:w="240" w:type="dxa"/>
            </w:tcMar>
            <w:vAlign w:val="center"/>
            <w:hideMark/>
          </w:tcPr>
          <w:p w14:paraId="1475BEFD"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Levofloxacin</w:t>
            </w:r>
          </w:p>
        </w:tc>
        <w:tc>
          <w:tcPr>
            <w:tcW w:w="0" w:type="auto"/>
            <w:shd w:val="clear" w:color="auto" w:fill="FFFFFF"/>
            <w:tcMar>
              <w:top w:w="150" w:type="dxa"/>
              <w:left w:w="240" w:type="dxa"/>
              <w:bottom w:w="150" w:type="dxa"/>
              <w:right w:w="240" w:type="dxa"/>
            </w:tcMar>
            <w:vAlign w:val="center"/>
            <w:hideMark/>
          </w:tcPr>
          <w:p w14:paraId="042CACD5"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17 (100)</w:t>
            </w:r>
          </w:p>
        </w:tc>
        <w:tc>
          <w:tcPr>
            <w:tcW w:w="0" w:type="auto"/>
            <w:shd w:val="clear" w:color="auto" w:fill="FFFFFF"/>
            <w:tcMar>
              <w:top w:w="150" w:type="dxa"/>
              <w:left w:w="240" w:type="dxa"/>
              <w:bottom w:w="150" w:type="dxa"/>
              <w:right w:w="240" w:type="dxa"/>
            </w:tcMar>
            <w:vAlign w:val="center"/>
            <w:hideMark/>
          </w:tcPr>
          <w:p w14:paraId="40EF0E58"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36 (100)</w:t>
            </w:r>
          </w:p>
        </w:tc>
        <w:tc>
          <w:tcPr>
            <w:tcW w:w="1212" w:type="dxa"/>
            <w:shd w:val="clear" w:color="auto" w:fill="FFFFFF"/>
            <w:tcMar>
              <w:top w:w="150" w:type="dxa"/>
              <w:left w:w="240" w:type="dxa"/>
              <w:bottom w:w="150" w:type="dxa"/>
              <w:right w:w="0" w:type="dxa"/>
            </w:tcMar>
            <w:vAlign w:val="center"/>
            <w:hideMark/>
          </w:tcPr>
          <w:p w14:paraId="2E060AD4"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1.000</w:t>
            </w:r>
          </w:p>
        </w:tc>
      </w:tr>
      <w:tr w:rsidR="00C1255F" w:rsidRPr="00C1255F" w14:paraId="001D2837" w14:textId="77777777" w:rsidTr="002A0A7E">
        <w:tc>
          <w:tcPr>
            <w:tcW w:w="0" w:type="auto"/>
            <w:shd w:val="clear" w:color="auto" w:fill="FFFFFF"/>
            <w:tcMar>
              <w:top w:w="150" w:type="dxa"/>
              <w:left w:w="0" w:type="dxa"/>
              <w:bottom w:w="150" w:type="dxa"/>
              <w:right w:w="240" w:type="dxa"/>
            </w:tcMar>
            <w:vAlign w:val="center"/>
            <w:hideMark/>
          </w:tcPr>
          <w:p w14:paraId="278C8804"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Gentamicin</w:t>
            </w:r>
          </w:p>
        </w:tc>
        <w:tc>
          <w:tcPr>
            <w:tcW w:w="0" w:type="auto"/>
            <w:shd w:val="clear" w:color="auto" w:fill="FFFFFF"/>
            <w:tcMar>
              <w:top w:w="150" w:type="dxa"/>
              <w:left w:w="240" w:type="dxa"/>
              <w:bottom w:w="150" w:type="dxa"/>
              <w:right w:w="240" w:type="dxa"/>
            </w:tcMar>
            <w:vAlign w:val="center"/>
            <w:hideMark/>
          </w:tcPr>
          <w:p w14:paraId="554AD9DE"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2 (11.76)</w:t>
            </w:r>
          </w:p>
        </w:tc>
        <w:tc>
          <w:tcPr>
            <w:tcW w:w="0" w:type="auto"/>
            <w:shd w:val="clear" w:color="auto" w:fill="FFFFFF"/>
            <w:tcMar>
              <w:top w:w="150" w:type="dxa"/>
              <w:left w:w="240" w:type="dxa"/>
              <w:bottom w:w="150" w:type="dxa"/>
              <w:right w:w="240" w:type="dxa"/>
            </w:tcMar>
            <w:vAlign w:val="center"/>
            <w:hideMark/>
          </w:tcPr>
          <w:p w14:paraId="33950060"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2 (5.56)</w:t>
            </w:r>
          </w:p>
        </w:tc>
        <w:tc>
          <w:tcPr>
            <w:tcW w:w="1212" w:type="dxa"/>
            <w:shd w:val="clear" w:color="auto" w:fill="FFFFFF"/>
            <w:tcMar>
              <w:top w:w="150" w:type="dxa"/>
              <w:left w:w="240" w:type="dxa"/>
              <w:bottom w:w="150" w:type="dxa"/>
              <w:right w:w="0" w:type="dxa"/>
            </w:tcMar>
            <w:vAlign w:val="center"/>
            <w:hideMark/>
          </w:tcPr>
          <w:p w14:paraId="763C3DD6"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0.412</w:t>
            </w:r>
          </w:p>
        </w:tc>
      </w:tr>
      <w:tr w:rsidR="00C1255F" w:rsidRPr="00C1255F" w14:paraId="79C42ACE" w14:textId="77777777" w:rsidTr="002A0A7E">
        <w:tc>
          <w:tcPr>
            <w:tcW w:w="0" w:type="auto"/>
            <w:shd w:val="clear" w:color="auto" w:fill="FFFFFF"/>
            <w:tcMar>
              <w:top w:w="150" w:type="dxa"/>
              <w:left w:w="0" w:type="dxa"/>
              <w:bottom w:w="150" w:type="dxa"/>
              <w:right w:w="240" w:type="dxa"/>
            </w:tcMar>
            <w:vAlign w:val="center"/>
            <w:hideMark/>
          </w:tcPr>
          <w:p w14:paraId="799C87FD"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Streptomycin</w:t>
            </w:r>
          </w:p>
        </w:tc>
        <w:tc>
          <w:tcPr>
            <w:tcW w:w="0" w:type="auto"/>
            <w:shd w:val="clear" w:color="auto" w:fill="FFFFFF"/>
            <w:tcMar>
              <w:top w:w="150" w:type="dxa"/>
              <w:left w:w="240" w:type="dxa"/>
              <w:bottom w:w="150" w:type="dxa"/>
              <w:right w:w="240" w:type="dxa"/>
            </w:tcMar>
            <w:vAlign w:val="center"/>
            <w:hideMark/>
          </w:tcPr>
          <w:p w14:paraId="0519F618"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15 (88.24)</w:t>
            </w:r>
          </w:p>
        </w:tc>
        <w:tc>
          <w:tcPr>
            <w:tcW w:w="0" w:type="auto"/>
            <w:shd w:val="clear" w:color="auto" w:fill="FFFFFF"/>
            <w:tcMar>
              <w:top w:w="150" w:type="dxa"/>
              <w:left w:w="240" w:type="dxa"/>
              <w:bottom w:w="150" w:type="dxa"/>
              <w:right w:w="240" w:type="dxa"/>
            </w:tcMar>
            <w:vAlign w:val="center"/>
            <w:hideMark/>
          </w:tcPr>
          <w:p w14:paraId="500297E9"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35 (97.22)</w:t>
            </w:r>
          </w:p>
        </w:tc>
        <w:tc>
          <w:tcPr>
            <w:tcW w:w="1212" w:type="dxa"/>
            <w:shd w:val="clear" w:color="auto" w:fill="FFFFFF"/>
            <w:tcMar>
              <w:top w:w="150" w:type="dxa"/>
              <w:left w:w="240" w:type="dxa"/>
              <w:bottom w:w="150" w:type="dxa"/>
              <w:right w:w="0" w:type="dxa"/>
            </w:tcMar>
            <w:vAlign w:val="center"/>
            <w:hideMark/>
          </w:tcPr>
          <w:p w14:paraId="0E8AB165"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0.239</w:t>
            </w:r>
          </w:p>
        </w:tc>
      </w:tr>
      <w:tr w:rsidR="00C1255F" w:rsidRPr="00C1255F" w14:paraId="3B032A29" w14:textId="77777777" w:rsidTr="002A0A7E">
        <w:tc>
          <w:tcPr>
            <w:tcW w:w="0" w:type="auto"/>
            <w:shd w:val="clear" w:color="auto" w:fill="FFFFFF"/>
            <w:tcMar>
              <w:top w:w="150" w:type="dxa"/>
              <w:left w:w="0" w:type="dxa"/>
              <w:bottom w:w="150" w:type="dxa"/>
              <w:right w:w="240" w:type="dxa"/>
            </w:tcMar>
            <w:vAlign w:val="center"/>
            <w:hideMark/>
          </w:tcPr>
          <w:p w14:paraId="75AB2D19"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Nalidixic Acid</w:t>
            </w:r>
          </w:p>
        </w:tc>
        <w:tc>
          <w:tcPr>
            <w:tcW w:w="0" w:type="auto"/>
            <w:shd w:val="clear" w:color="auto" w:fill="FFFFFF"/>
            <w:tcMar>
              <w:top w:w="150" w:type="dxa"/>
              <w:left w:w="240" w:type="dxa"/>
              <w:bottom w:w="150" w:type="dxa"/>
              <w:right w:w="240" w:type="dxa"/>
            </w:tcMar>
            <w:vAlign w:val="center"/>
            <w:hideMark/>
          </w:tcPr>
          <w:p w14:paraId="42EE197C"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12 (70.59)</w:t>
            </w:r>
          </w:p>
        </w:tc>
        <w:tc>
          <w:tcPr>
            <w:tcW w:w="0" w:type="auto"/>
            <w:shd w:val="clear" w:color="auto" w:fill="FFFFFF"/>
            <w:tcMar>
              <w:top w:w="150" w:type="dxa"/>
              <w:left w:w="240" w:type="dxa"/>
              <w:bottom w:w="150" w:type="dxa"/>
              <w:right w:w="240" w:type="dxa"/>
            </w:tcMar>
            <w:vAlign w:val="center"/>
            <w:hideMark/>
          </w:tcPr>
          <w:p w14:paraId="43547832"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33 (91.67)</w:t>
            </w:r>
          </w:p>
        </w:tc>
        <w:tc>
          <w:tcPr>
            <w:tcW w:w="1212" w:type="dxa"/>
            <w:shd w:val="clear" w:color="auto" w:fill="FFFFFF"/>
            <w:tcMar>
              <w:top w:w="150" w:type="dxa"/>
              <w:left w:w="240" w:type="dxa"/>
              <w:bottom w:w="150" w:type="dxa"/>
              <w:right w:w="0" w:type="dxa"/>
            </w:tcMar>
            <w:vAlign w:val="center"/>
            <w:hideMark/>
          </w:tcPr>
          <w:p w14:paraId="1A940150"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0.089</w:t>
            </w:r>
          </w:p>
        </w:tc>
      </w:tr>
      <w:tr w:rsidR="00C1255F" w:rsidRPr="00C1255F" w14:paraId="0384AC1A" w14:textId="77777777" w:rsidTr="002A0A7E">
        <w:tc>
          <w:tcPr>
            <w:tcW w:w="0" w:type="auto"/>
            <w:shd w:val="clear" w:color="auto" w:fill="FFFFFF"/>
            <w:tcMar>
              <w:top w:w="150" w:type="dxa"/>
              <w:left w:w="0" w:type="dxa"/>
              <w:bottom w:w="150" w:type="dxa"/>
              <w:right w:w="240" w:type="dxa"/>
            </w:tcMar>
            <w:vAlign w:val="center"/>
            <w:hideMark/>
          </w:tcPr>
          <w:p w14:paraId="03754768"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Chloramphenicol</w:t>
            </w:r>
          </w:p>
        </w:tc>
        <w:tc>
          <w:tcPr>
            <w:tcW w:w="0" w:type="auto"/>
            <w:shd w:val="clear" w:color="auto" w:fill="FFFFFF"/>
            <w:tcMar>
              <w:top w:w="150" w:type="dxa"/>
              <w:left w:w="240" w:type="dxa"/>
              <w:bottom w:w="150" w:type="dxa"/>
              <w:right w:w="240" w:type="dxa"/>
            </w:tcMar>
            <w:vAlign w:val="center"/>
            <w:hideMark/>
          </w:tcPr>
          <w:p w14:paraId="45411275"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14 (82.35)</w:t>
            </w:r>
          </w:p>
        </w:tc>
        <w:tc>
          <w:tcPr>
            <w:tcW w:w="0" w:type="auto"/>
            <w:shd w:val="clear" w:color="auto" w:fill="FFFFFF"/>
            <w:tcMar>
              <w:top w:w="150" w:type="dxa"/>
              <w:left w:w="240" w:type="dxa"/>
              <w:bottom w:w="150" w:type="dxa"/>
              <w:right w:w="240" w:type="dxa"/>
            </w:tcMar>
            <w:vAlign w:val="center"/>
            <w:hideMark/>
          </w:tcPr>
          <w:p w14:paraId="6C6DFCC0"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33 (91.67)</w:t>
            </w:r>
          </w:p>
        </w:tc>
        <w:tc>
          <w:tcPr>
            <w:tcW w:w="1212" w:type="dxa"/>
            <w:shd w:val="clear" w:color="auto" w:fill="FFFFFF"/>
            <w:tcMar>
              <w:top w:w="150" w:type="dxa"/>
              <w:left w:w="240" w:type="dxa"/>
              <w:bottom w:w="150" w:type="dxa"/>
              <w:right w:w="0" w:type="dxa"/>
            </w:tcMar>
            <w:vAlign w:val="center"/>
            <w:hideMark/>
          </w:tcPr>
          <w:p w14:paraId="52864151"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0.315</w:t>
            </w:r>
          </w:p>
        </w:tc>
      </w:tr>
      <w:tr w:rsidR="00C1255F" w:rsidRPr="00C1255F" w14:paraId="6DB2E9B0" w14:textId="77777777" w:rsidTr="002A0A7E">
        <w:tc>
          <w:tcPr>
            <w:tcW w:w="0" w:type="auto"/>
            <w:shd w:val="clear" w:color="auto" w:fill="FFFFFF"/>
            <w:tcMar>
              <w:top w:w="150" w:type="dxa"/>
              <w:left w:w="0" w:type="dxa"/>
              <w:bottom w:w="150" w:type="dxa"/>
              <w:right w:w="240" w:type="dxa"/>
            </w:tcMar>
            <w:vAlign w:val="center"/>
            <w:hideMark/>
          </w:tcPr>
          <w:p w14:paraId="13CB1599"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Trimethoprim-Sulfamethoxazole</w:t>
            </w:r>
          </w:p>
        </w:tc>
        <w:tc>
          <w:tcPr>
            <w:tcW w:w="0" w:type="auto"/>
            <w:shd w:val="clear" w:color="auto" w:fill="FFFFFF"/>
            <w:tcMar>
              <w:top w:w="150" w:type="dxa"/>
              <w:left w:w="240" w:type="dxa"/>
              <w:bottom w:w="150" w:type="dxa"/>
              <w:right w:w="240" w:type="dxa"/>
            </w:tcMar>
            <w:vAlign w:val="center"/>
            <w:hideMark/>
          </w:tcPr>
          <w:p w14:paraId="7108523D"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17 (100)</w:t>
            </w:r>
          </w:p>
        </w:tc>
        <w:tc>
          <w:tcPr>
            <w:tcW w:w="0" w:type="auto"/>
            <w:shd w:val="clear" w:color="auto" w:fill="FFFFFF"/>
            <w:tcMar>
              <w:top w:w="150" w:type="dxa"/>
              <w:left w:w="240" w:type="dxa"/>
              <w:bottom w:w="150" w:type="dxa"/>
              <w:right w:w="240" w:type="dxa"/>
            </w:tcMar>
            <w:vAlign w:val="center"/>
            <w:hideMark/>
          </w:tcPr>
          <w:p w14:paraId="6747EF2F"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36 (100)</w:t>
            </w:r>
          </w:p>
        </w:tc>
        <w:tc>
          <w:tcPr>
            <w:tcW w:w="1212" w:type="dxa"/>
            <w:shd w:val="clear" w:color="auto" w:fill="FFFFFF"/>
            <w:tcMar>
              <w:top w:w="150" w:type="dxa"/>
              <w:left w:w="240" w:type="dxa"/>
              <w:bottom w:w="150" w:type="dxa"/>
              <w:right w:w="0" w:type="dxa"/>
            </w:tcMar>
            <w:vAlign w:val="center"/>
            <w:hideMark/>
          </w:tcPr>
          <w:p w14:paraId="4DAFD609"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1.000</w:t>
            </w:r>
          </w:p>
        </w:tc>
      </w:tr>
      <w:tr w:rsidR="00C1255F" w:rsidRPr="00C1255F" w14:paraId="55DE2C64" w14:textId="77777777" w:rsidTr="002A0A7E">
        <w:tc>
          <w:tcPr>
            <w:tcW w:w="0" w:type="auto"/>
            <w:shd w:val="clear" w:color="auto" w:fill="FFFFFF"/>
            <w:tcMar>
              <w:top w:w="150" w:type="dxa"/>
              <w:left w:w="0" w:type="dxa"/>
              <w:bottom w:w="150" w:type="dxa"/>
              <w:right w:w="240" w:type="dxa"/>
            </w:tcMar>
            <w:vAlign w:val="center"/>
            <w:hideMark/>
          </w:tcPr>
          <w:p w14:paraId="03BBFDA7"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Tetracycline</w:t>
            </w:r>
          </w:p>
        </w:tc>
        <w:tc>
          <w:tcPr>
            <w:tcW w:w="0" w:type="auto"/>
            <w:shd w:val="clear" w:color="auto" w:fill="FFFFFF"/>
            <w:tcMar>
              <w:top w:w="150" w:type="dxa"/>
              <w:left w:w="240" w:type="dxa"/>
              <w:bottom w:w="150" w:type="dxa"/>
              <w:right w:w="240" w:type="dxa"/>
            </w:tcMar>
            <w:vAlign w:val="center"/>
            <w:hideMark/>
          </w:tcPr>
          <w:p w14:paraId="5DFE94C2"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15 (88.24)</w:t>
            </w:r>
          </w:p>
        </w:tc>
        <w:tc>
          <w:tcPr>
            <w:tcW w:w="0" w:type="auto"/>
            <w:shd w:val="clear" w:color="auto" w:fill="FFFFFF"/>
            <w:tcMar>
              <w:top w:w="150" w:type="dxa"/>
              <w:left w:w="240" w:type="dxa"/>
              <w:bottom w:w="150" w:type="dxa"/>
              <w:right w:w="240" w:type="dxa"/>
            </w:tcMar>
            <w:vAlign w:val="center"/>
            <w:hideMark/>
          </w:tcPr>
          <w:p w14:paraId="0A9DACF3"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35 (97.22)</w:t>
            </w:r>
          </w:p>
        </w:tc>
        <w:tc>
          <w:tcPr>
            <w:tcW w:w="1212" w:type="dxa"/>
            <w:shd w:val="clear" w:color="auto" w:fill="FFFFFF"/>
            <w:tcMar>
              <w:top w:w="150" w:type="dxa"/>
              <w:left w:w="240" w:type="dxa"/>
              <w:bottom w:w="150" w:type="dxa"/>
              <w:right w:w="0" w:type="dxa"/>
            </w:tcMar>
            <w:vAlign w:val="center"/>
            <w:hideMark/>
          </w:tcPr>
          <w:p w14:paraId="5E008AEA" w14:textId="77777777" w:rsidR="002C0B24" w:rsidRPr="00C1255F" w:rsidRDefault="002C0B24" w:rsidP="002C0B24">
            <w:pPr>
              <w:spacing w:after="0" w:line="240" w:lineRule="auto"/>
              <w:rPr>
                <w:rFonts w:ascii="Times New Roman" w:eastAsia="Times New Roman" w:hAnsi="Times New Roman" w:cs="Times New Roman"/>
                <w:color w:val="000000" w:themeColor="text1"/>
                <w:sz w:val="18"/>
                <w:szCs w:val="18"/>
              </w:rPr>
            </w:pPr>
            <w:r w:rsidRPr="00C1255F">
              <w:rPr>
                <w:rFonts w:ascii="Times New Roman" w:eastAsia="Times New Roman" w:hAnsi="Times New Roman" w:cs="Times New Roman"/>
                <w:color w:val="000000" w:themeColor="text1"/>
                <w:sz w:val="18"/>
                <w:szCs w:val="18"/>
              </w:rPr>
              <w:t>0.2</w:t>
            </w:r>
          </w:p>
        </w:tc>
      </w:tr>
    </w:tbl>
    <w:p w14:paraId="4759DC0F" w14:textId="77777777" w:rsidR="002158B9" w:rsidRPr="00C1255F" w:rsidRDefault="002158B9" w:rsidP="00296EF6">
      <w:pPr>
        <w:spacing w:after="0"/>
        <w:jc w:val="both"/>
        <w:rPr>
          <w:rFonts w:ascii="Times New Roman" w:hAnsi="Times New Roman" w:cs="Times New Roman"/>
          <w:color w:val="000000" w:themeColor="text1"/>
          <w:sz w:val="18"/>
          <w:szCs w:val="18"/>
        </w:rPr>
      </w:pPr>
    </w:p>
    <w:p w14:paraId="5D5BFC38" w14:textId="77777777" w:rsidR="002B5EE4" w:rsidRPr="00C1255F" w:rsidRDefault="002B5EE4" w:rsidP="002B5EE4">
      <w:pPr>
        <w:pStyle w:val="Heading3"/>
        <w:shd w:val="clear" w:color="auto" w:fill="FFFFFF"/>
        <w:spacing w:before="0"/>
        <w:jc w:val="both"/>
        <w:rPr>
          <w:rFonts w:ascii="Times New Roman" w:hAnsi="Times New Roman" w:cs="Times New Roman"/>
          <w:b/>
          <w:color w:val="000000" w:themeColor="text1"/>
          <w:sz w:val="22"/>
          <w:szCs w:val="22"/>
        </w:rPr>
      </w:pPr>
      <w:r w:rsidRPr="00C1255F">
        <w:rPr>
          <w:rFonts w:ascii="Times New Roman" w:hAnsi="Times New Roman" w:cs="Times New Roman"/>
          <w:b/>
          <w:color w:val="000000" w:themeColor="text1"/>
          <w:sz w:val="22"/>
          <w:szCs w:val="22"/>
        </w:rPr>
        <w:t>Multiple Antibiotic Resistance (MAR) Index</w:t>
      </w:r>
    </w:p>
    <w:p w14:paraId="2CE7E934" w14:textId="77777777" w:rsidR="002B5EE4" w:rsidRPr="00C1255F" w:rsidRDefault="002B5EE4" w:rsidP="002B5EE4">
      <w:pPr>
        <w:pStyle w:val="ds-markdown-paragraph"/>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t>All MBL-producing isolates exhibited MAR indices exceeding the 0.2 threshold, confirming origin from high-risk sources. Urine isolates showed the highest MAR index (0.83), followed by high vaginal swab isolates (0.59) and wound isolates (0.47) (Table 5). Outpatient isolates demonstrated higher mean MAR index (0.78 ± 0.12) compared to inpatient isolates (0.69 ± 0.15) (p=0.034).</w:t>
      </w:r>
    </w:p>
    <w:p w14:paraId="61E5C44C" w14:textId="77777777" w:rsidR="00CF3D4E" w:rsidRPr="00C1255F" w:rsidRDefault="00CF3D4E" w:rsidP="00847A07">
      <w:pPr>
        <w:spacing w:after="0" w:line="240" w:lineRule="auto"/>
        <w:jc w:val="both"/>
        <w:rPr>
          <w:rStyle w:val="Strong"/>
          <w:rFonts w:ascii="Times New Roman" w:hAnsi="Times New Roman" w:cs="Times New Roman"/>
          <w:color w:val="000000" w:themeColor="text1"/>
          <w:sz w:val="20"/>
          <w:szCs w:val="20"/>
          <w:shd w:val="clear" w:color="auto" w:fill="FFFFFF"/>
        </w:rPr>
      </w:pPr>
    </w:p>
    <w:p w14:paraId="57EA4934" w14:textId="315D4326" w:rsidR="00EC41FC" w:rsidRPr="00C1255F" w:rsidRDefault="00A228CC" w:rsidP="00847A07">
      <w:pPr>
        <w:spacing w:after="0" w:line="240" w:lineRule="auto"/>
        <w:jc w:val="both"/>
        <w:rPr>
          <w:rStyle w:val="Strong"/>
          <w:rFonts w:ascii="Times New Roman" w:hAnsi="Times New Roman" w:cs="Times New Roman"/>
          <w:color w:val="000000" w:themeColor="text1"/>
          <w:sz w:val="20"/>
          <w:szCs w:val="20"/>
          <w:shd w:val="clear" w:color="auto" w:fill="FFFFFF"/>
        </w:rPr>
      </w:pPr>
      <w:r w:rsidRPr="00C1255F">
        <w:rPr>
          <w:rStyle w:val="Strong"/>
          <w:rFonts w:ascii="Times New Roman" w:hAnsi="Times New Roman" w:cs="Times New Roman"/>
          <w:color w:val="000000" w:themeColor="text1"/>
          <w:sz w:val="20"/>
          <w:szCs w:val="20"/>
          <w:shd w:val="clear" w:color="auto" w:fill="FFFFFF"/>
        </w:rPr>
        <w:t>Table 5: MAR Index of MBL-Producing </w:t>
      </w:r>
      <w:r w:rsidRPr="00C1255F">
        <w:rPr>
          <w:rStyle w:val="Emphasis"/>
          <w:rFonts w:ascii="Times New Roman" w:hAnsi="Times New Roman" w:cs="Times New Roman"/>
          <w:b/>
          <w:bCs/>
          <w:color w:val="000000" w:themeColor="text1"/>
          <w:sz w:val="20"/>
          <w:szCs w:val="20"/>
          <w:shd w:val="clear" w:color="auto" w:fill="FFFFFF"/>
        </w:rPr>
        <w:t>P. aeruginosa</w:t>
      </w:r>
      <w:r w:rsidRPr="00C1255F">
        <w:rPr>
          <w:rStyle w:val="Strong"/>
          <w:rFonts w:ascii="Times New Roman" w:hAnsi="Times New Roman" w:cs="Times New Roman"/>
          <w:color w:val="000000" w:themeColor="text1"/>
          <w:sz w:val="20"/>
          <w:szCs w:val="20"/>
          <w:shd w:val="clear" w:color="auto" w:fill="FFFFFF"/>
        </w:rPr>
        <w:t> Isolates</w:t>
      </w:r>
    </w:p>
    <w:p w14:paraId="52073D83" w14:textId="77777777" w:rsidR="00F47844" w:rsidRPr="00C1255F" w:rsidRDefault="00F47844" w:rsidP="00847A07">
      <w:pPr>
        <w:spacing w:after="0" w:line="240" w:lineRule="auto"/>
        <w:jc w:val="both"/>
        <w:rPr>
          <w:rStyle w:val="Strong"/>
          <w:rFonts w:ascii="Times New Roman" w:hAnsi="Times New Roman" w:cs="Times New Roman"/>
          <w:color w:val="000000" w:themeColor="text1"/>
          <w:sz w:val="20"/>
          <w:szCs w:val="20"/>
          <w:shd w:val="clear" w:color="auto" w:fill="FFFFFF"/>
        </w:rPr>
      </w:pPr>
    </w:p>
    <w:tbl>
      <w:tblPr>
        <w:tblW w:w="0" w:type="auto"/>
        <w:tblBorders>
          <w:top w:val="single" w:sz="4" w:space="0" w:color="auto"/>
          <w:bottom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18"/>
        <w:gridCol w:w="2103"/>
        <w:gridCol w:w="2036"/>
        <w:gridCol w:w="1247"/>
        <w:gridCol w:w="1702"/>
      </w:tblGrid>
      <w:tr w:rsidR="00C1255F" w:rsidRPr="00C1255F" w14:paraId="23478490" w14:textId="77777777" w:rsidTr="00F47844">
        <w:trPr>
          <w:tblHeader/>
        </w:trPr>
        <w:tc>
          <w:tcPr>
            <w:tcW w:w="0" w:type="auto"/>
            <w:tcBorders>
              <w:top w:val="single" w:sz="4" w:space="0" w:color="auto"/>
              <w:bottom w:val="single" w:sz="4" w:space="0" w:color="auto"/>
            </w:tcBorders>
            <w:shd w:val="clear" w:color="auto" w:fill="FFFFFF"/>
            <w:tcMar>
              <w:top w:w="150" w:type="dxa"/>
              <w:left w:w="0" w:type="dxa"/>
              <w:bottom w:w="150" w:type="dxa"/>
              <w:right w:w="240" w:type="dxa"/>
            </w:tcMar>
            <w:vAlign w:val="center"/>
            <w:hideMark/>
          </w:tcPr>
          <w:p w14:paraId="7ACF9A76" w14:textId="77777777" w:rsidR="00F47844" w:rsidRPr="00C1255F" w:rsidRDefault="00F47844" w:rsidP="00847A07">
            <w:pPr>
              <w:spacing w:after="0" w:line="240" w:lineRule="auto"/>
              <w:rPr>
                <w:rFonts w:ascii="Times New Roman" w:eastAsia="Times New Roman" w:hAnsi="Times New Roman" w:cs="Times New Roman"/>
                <w:b/>
                <w:bCs/>
                <w:color w:val="000000" w:themeColor="text1"/>
                <w:sz w:val="20"/>
                <w:szCs w:val="20"/>
              </w:rPr>
            </w:pPr>
            <w:r w:rsidRPr="00C1255F">
              <w:rPr>
                <w:rFonts w:ascii="Times New Roman" w:eastAsia="Times New Roman" w:hAnsi="Times New Roman" w:cs="Times New Roman"/>
                <w:b/>
                <w:bCs/>
                <w:color w:val="000000" w:themeColor="text1"/>
                <w:sz w:val="20"/>
                <w:szCs w:val="20"/>
              </w:rPr>
              <w:lastRenderedPageBreak/>
              <w:t>Sample Type</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096592D6" w14:textId="77777777" w:rsidR="00F47844" w:rsidRPr="00C1255F" w:rsidRDefault="00F47844" w:rsidP="00847A07">
            <w:pPr>
              <w:spacing w:after="0" w:line="240" w:lineRule="auto"/>
              <w:rPr>
                <w:rFonts w:ascii="Times New Roman" w:eastAsia="Times New Roman" w:hAnsi="Times New Roman" w:cs="Times New Roman"/>
                <w:b/>
                <w:bCs/>
                <w:color w:val="000000" w:themeColor="text1"/>
                <w:sz w:val="20"/>
                <w:szCs w:val="20"/>
              </w:rPr>
            </w:pPr>
            <w:r w:rsidRPr="00C1255F">
              <w:rPr>
                <w:rFonts w:ascii="Times New Roman" w:eastAsia="Times New Roman" w:hAnsi="Times New Roman" w:cs="Times New Roman"/>
                <w:b/>
                <w:bCs/>
                <w:color w:val="000000" w:themeColor="text1"/>
                <w:sz w:val="20"/>
                <w:szCs w:val="20"/>
              </w:rPr>
              <w:t>Number of Isolates</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18BED9DC" w14:textId="77777777" w:rsidR="00F47844" w:rsidRPr="00C1255F" w:rsidRDefault="00F47844" w:rsidP="00847A07">
            <w:pPr>
              <w:spacing w:after="0" w:line="240" w:lineRule="auto"/>
              <w:rPr>
                <w:rFonts w:ascii="Times New Roman" w:eastAsia="Times New Roman" w:hAnsi="Times New Roman" w:cs="Times New Roman"/>
                <w:b/>
                <w:bCs/>
                <w:color w:val="000000" w:themeColor="text1"/>
                <w:sz w:val="20"/>
                <w:szCs w:val="20"/>
              </w:rPr>
            </w:pPr>
            <w:r w:rsidRPr="00C1255F">
              <w:rPr>
                <w:rFonts w:ascii="Times New Roman" w:eastAsia="Times New Roman" w:hAnsi="Times New Roman" w:cs="Times New Roman"/>
                <w:b/>
                <w:bCs/>
                <w:color w:val="000000" w:themeColor="text1"/>
                <w:sz w:val="20"/>
                <w:szCs w:val="20"/>
              </w:rPr>
              <w:t>Mean MAR Index</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6CB896A6" w14:textId="77777777" w:rsidR="00F47844" w:rsidRPr="00C1255F" w:rsidRDefault="00F47844" w:rsidP="00847A07">
            <w:pPr>
              <w:spacing w:after="0" w:line="240" w:lineRule="auto"/>
              <w:rPr>
                <w:rFonts w:ascii="Times New Roman" w:eastAsia="Times New Roman" w:hAnsi="Times New Roman" w:cs="Times New Roman"/>
                <w:b/>
                <w:bCs/>
                <w:color w:val="000000" w:themeColor="text1"/>
                <w:sz w:val="20"/>
                <w:szCs w:val="20"/>
              </w:rPr>
            </w:pPr>
            <w:r w:rsidRPr="00C1255F">
              <w:rPr>
                <w:rFonts w:ascii="Times New Roman" w:eastAsia="Times New Roman" w:hAnsi="Times New Roman" w:cs="Times New Roman"/>
                <w:b/>
                <w:bCs/>
                <w:color w:val="000000" w:themeColor="text1"/>
                <w:sz w:val="20"/>
                <w:szCs w:val="20"/>
              </w:rPr>
              <w:t>Range</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00785452" w14:textId="77777777" w:rsidR="00F47844" w:rsidRPr="00C1255F" w:rsidRDefault="00F47844" w:rsidP="00847A07">
            <w:pPr>
              <w:spacing w:after="0" w:line="240" w:lineRule="auto"/>
              <w:rPr>
                <w:rFonts w:ascii="Times New Roman" w:eastAsia="Times New Roman" w:hAnsi="Times New Roman" w:cs="Times New Roman"/>
                <w:b/>
                <w:bCs/>
                <w:color w:val="000000" w:themeColor="text1"/>
                <w:sz w:val="20"/>
                <w:szCs w:val="20"/>
              </w:rPr>
            </w:pPr>
            <w:r w:rsidRPr="00C1255F">
              <w:rPr>
                <w:rFonts w:ascii="Times New Roman" w:eastAsia="Times New Roman" w:hAnsi="Times New Roman" w:cs="Times New Roman"/>
                <w:b/>
                <w:bCs/>
                <w:color w:val="000000" w:themeColor="text1"/>
                <w:sz w:val="20"/>
                <w:szCs w:val="20"/>
              </w:rPr>
              <w:t>Interpretation</w:t>
            </w:r>
          </w:p>
        </w:tc>
      </w:tr>
      <w:tr w:rsidR="00C1255F" w:rsidRPr="00C1255F" w14:paraId="302C11D3" w14:textId="77777777" w:rsidTr="00F47844">
        <w:tc>
          <w:tcPr>
            <w:tcW w:w="0" w:type="auto"/>
            <w:tcBorders>
              <w:top w:val="single" w:sz="4" w:space="0" w:color="auto"/>
            </w:tcBorders>
            <w:shd w:val="clear" w:color="auto" w:fill="FFFFFF"/>
            <w:tcMar>
              <w:top w:w="150" w:type="dxa"/>
              <w:left w:w="0" w:type="dxa"/>
              <w:bottom w:w="150" w:type="dxa"/>
              <w:right w:w="240" w:type="dxa"/>
            </w:tcMar>
            <w:vAlign w:val="center"/>
            <w:hideMark/>
          </w:tcPr>
          <w:p w14:paraId="09B559B0" w14:textId="77777777" w:rsidR="00F47844" w:rsidRPr="00C1255F" w:rsidRDefault="00F47844" w:rsidP="00847A07">
            <w:pPr>
              <w:spacing w:after="0" w:line="240" w:lineRule="auto"/>
              <w:rPr>
                <w:rFonts w:ascii="Times New Roman" w:eastAsia="Times New Roman" w:hAnsi="Times New Roman" w:cs="Times New Roman"/>
                <w:color w:val="000000" w:themeColor="text1"/>
                <w:sz w:val="20"/>
                <w:szCs w:val="20"/>
              </w:rPr>
            </w:pPr>
            <w:r w:rsidRPr="00C1255F">
              <w:rPr>
                <w:rFonts w:ascii="Times New Roman" w:eastAsia="Times New Roman" w:hAnsi="Times New Roman" w:cs="Times New Roman"/>
                <w:color w:val="000000" w:themeColor="text1"/>
                <w:sz w:val="20"/>
                <w:szCs w:val="20"/>
              </w:rPr>
              <w:t>Urine</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0D3E7DF5" w14:textId="77777777" w:rsidR="00F47844" w:rsidRPr="00C1255F" w:rsidRDefault="00F47844" w:rsidP="00847A07">
            <w:pPr>
              <w:spacing w:after="0" w:line="240" w:lineRule="auto"/>
              <w:rPr>
                <w:rFonts w:ascii="Times New Roman" w:eastAsia="Times New Roman" w:hAnsi="Times New Roman" w:cs="Times New Roman"/>
                <w:color w:val="000000" w:themeColor="text1"/>
                <w:sz w:val="20"/>
                <w:szCs w:val="20"/>
              </w:rPr>
            </w:pPr>
            <w:r w:rsidRPr="00C1255F">
              <w:rPr>
                <w:rFonts w:ascii="Times New Roman" w:eastAsia="Times New Roman" w:hAnsi="Times New Roman" w:cs="Times New Roman"/>
                <w:color w:val="000000" w:themeColor="text1"/>
                <w:sz w:val="20"/>
                <w:szCs w:val="20"/>
              </w:rPr>
              <w:t>49</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3172E700" w14:textId="77777777" w:rsidR="00F47844" w:rsidRPr="00C1255F" w:rsidRDefault="00F47844" w:rsidP="00847A07">
            <w:pPr>
              <w:spacing w:after="0" w:line="240" w:lineRule="auto"/>
              <w:rPr>
                <w:rFonts w:ascii="Times New Roman" w:eastAsia="Times New Roman" w:hAnsi="Times New Roman" w:cs="Times New Roman"/>
                <w:color w:val="000000" w:themeColor="text1"/>
                <w:sz w:val="20"/>
                <w:szCs w:val="20"/>
              </w:rPr>
            </w:pPr>
            <w:r w:rsidRPr="00C1255F">
              <w:rPr>
                <w:rFonts w:ascii="Times New Roman" w:eastAsia="Times New Roman" w:hAnsi="Times New Roman" w:cs="Times New Roman"/>
                <w:color w:val="000000" w:themeColor="text1"/>
                <w:sz w:val="20"/>
                <w:szCs w:val="20"/>
              </w:rPr>
              <w:t>0.83</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2014B5AB" w14:textId="77777777" w:rsidR="00F47844" w:rsidRPr="00C1255F" w:rsidRDefault="00F47844" w:rsidP="00847A07">
            <w:pPr>
              <w:spacing w:after="0" w:line="240" w:lineRule="auto"/>
              <w:rPr>
                <w:rFonts w:ascii="Times New Roman" w:eastAsia="Times New Roman" w:hAnsi="Times New Roman" w:cs="Times New Roman"/>
                <w:color w:val="000000" w:themeColor="text1"/>
                <w:sz w:val="20"/>
                <w:szCs w:val="20"/>
              </w:rPr>
            </w:pPr>
            <w:r w:rsidRPr="00C1255F">
              <w:rPr>
                <w:rFonts w:ascii="Times New Roman" w:eastAsia="Times New Roman" w:hAnsi="Times New Roman" w:cs="Times New Roman"/>
                <w:color w:val="000000" w:themeColor="text1"/>
                <w:sz w:val="20"/>
                <w:szCs w:val="20"/>
              </w:rPr>
              <w:t>0.71-0.94</w:t>
            </w:r>
          </w:p>
        </w:tc>
        <w:tc>
          <w:tcPr>
            <w:tcW w:w="0" w:type="auto"/>
            <w:tcBorders>
              <w:top w:val="single" w:sz="4" w:space="0" w:color="auto"/>
            </w:tcBorders>
            <w:shd w:val="clear" w:color="auto" w:fill="FFFFFF"/>
            <w:tcMar>
              <w:top w:w="150" w:type="dxa"/>
              <w:left w:w="240" w:type="dxa"/>
              <w:bottom w:w="150" w:type="dxa"/>
              <w:right w:w="0" w:type="dxa"/>
            </w:tcMar>
            <w:vAlign w:val="center"/>
            <w:hideMark/>
          </w:tcPr>
          <w:p w14:paraId="558A27F7" w14:textId="77777777" w:rsidR="00F47844" w:rsidRPr="00C1255F" w:rsidRDefault="00F47844" w:rsidP="00847A07">
            <w:pPr>
              <w:spacing w:after="0" w:line="240" w:lineRule="auto"/>
              <w:rPr>
                <w:rFonts w:ascii="Times New Roman" w:eastAsia="Times New Roman" w:hAnsi="Times New Roman" w:cs="Times New Roman"/>
                <w:color w:val="000000" w:themeColor="text1"/>
                <w:sz w:val="20"/>
                <w:szCs w:val="20"/>
              </w:rPr>
            </w:pPr>
            <w:r w:rsidRPr="00C1255F">
              <w:rPr>
                <w:rFonts w:ascii="Times New Roman" w:eastAsia="Times New Roman" w:hAnsi="Times New Roman" w:cs="Times New Roman"/>
                <w:color w:val="000000" w:themeColor="text1"/>
                <w:sz w:val="20"/>
                <w:szCs w:val="20"/>
              </w:rPr>
              <w:t>Very high MDR</w:t>
            </w:r>
          </w:p>
        </w:tc>
      </w:tr>
      <w:tr w:rsidR="00C1255F" w:rsidRPr="00C1255F" w14:paraId="77A65307" w14:textId="77777777" w:rsidTr="00F47844">
        <w:tc>
          <w:tcPr>
            <w:tcW w:w="0" w:type="auto"/>
            <w:shd w:val="clear" w:color="auto" w:fill="FFFFFF"/>
            <w:tcMar>
              <w:top w:w="150" w:type="dxa"/>
              <w:left w:w="0" w:type="dxa"/>
              <w:bottom w:w="150" w:type="dxa"/>
              <w:right w:w="240" w:type="dxa"/>
            </w:tcMar>
            <w:vAlign w:val="center"/>
            <w:hideMark/>
          </w:tcPr>
          <w:p w14:paraId="25B49AC7" w14:textId="77777777" w:rsidR="00F47844" w:rsidRPr="00C1255F" w:rsidRDefault="00F47844" w:rsidP="00847A07">
            <w:pPr>
              <w:spacing w:after="0" w:line="240" w:lineRule="auto"/>
              <w:rPr>
                <w:rFonts w:ascii="Times New Roman" w:eastAsia="Times New Roman" w:hAnsi="Times New Roman" w:cs="Times New Roman"/>
                <w:color w:val="000000" w:themeColor="text1"/>
                <w:sz w:val="20"/>
                <w:szCs w:val="20"/>
              </w:rPr>
            </w:pPr>
            <w:r w:rsidRPr="00C1255F">
              <w:rPr>
                <w:rFonts w:ascii="Times New Roman" w:eastAsia="Times New Roman" w:hAnsi="Times New Roman" w:cs="Times New Roman"/>
                <w:color w:val="000000" w:themeColor="text1"/>
                <w:sz w:val="20"/>
                <w:szCs w:val="20"/>
              </w:rPr>
              <w:t>High Vaginal Swab</w:t>
            </w:r>
          </w:p>
        </w:tc>
        <w:tc>
          <w:tcPr>
            <w:tcW w:w="0" w:type="auto"/>
            <w:shd w:val="clear" w:color="auto" w:fill="FFFFFF"/>
            <w:tcMar>
              <w:top w:w="150" w:type="dxa"/>
              <w:left w:w="240" w:type="dxa"/>
              <w:bottom w:w="150" w:type="dxa"/>
              <w:right w:w="240" w:type="dxa"/>
            </w:tcMar>
            <w:vAlign w:val="center"/>
            <w:hideMark/>
          </w:tcPr>
          <w:p w14:paraId="1CA296F1" w14:textId="77777777" w:rsidR="00F47844" w:rsidRPr="00C1255F" w:rsidRDefault="00F47844" w:rsidP="00847A07">
            <w:pPr>
              <w:spacing w:after="0" w:line="240" w:lineRule="auto"/>
              <w:rPr>
                <w:rFonts w:ascii="Times New Roman" w:eastAsia="Times New Roman" w:hAnsi="Times New Roman" w:cs="Times New Roman"/>
                <w:color w:val="000000" w:themeColor="text1"/>
                <w:sz w:val="20"/>
                <w:szCs w:val="20"/>
              </w:rPr>
            </w:pPr>
            <w:r w:rsidRPr="00C1255F">
              <w:rPr>
                <w:rFonts w:ascii="Times New Roman" w:eastAsia="Times New Roman" w:hAnsi="Times New Roman" w:cs="Times New Roman"/>
                <w:color w:val="000000" w:themeColor="text1"/>
                <w:sz w:val="20"/>
                <w:szCs w:val="20"/>
              </w:rPr>
              <w:t>1</w:t>
            </w:r>
          </w:p>
        </w:tc>
        <w:tc>
          <w:tcPr>
            <w:tcW w:w="0" w:type="auto"/>
            <w:shd w:val="clear" w:color="auto" w:fill="FFFFFF"/>
            <w:tcMar>
              <w:top w:w="150" w:type="dxa"/>
              <w:left w:w="240" w:type="dxa"/>
              <w:bottom w:w="150" w:type="dxa"/>
              <w:right w:w="240" w:type="dxa"/>
            </w:tcMar>
            <w:vAlign w:val="center"/>
            <w:hideMark/>
          </w:tcPr>
          <w:p w14:paraId="24855C71" w14:textId="77777777" w:rsidR="00F47844" w:rsidRPr="00C1255F" w:rsidRDefault="00F47844" w:rsidP="00847A07">
            <w:pPr>
              <w:spacing w:after="0" w:line="240" w:lineRule="auto"/>
              <w:rPr>
                <w:rFonts w:ascii="Times New Roman" w:eastAsia="Times New Roman" w:hAnsi="Times New Roman" w:cs="Times New Roman"/>
                <w:color w:val="000000" w:themeColor="text1"/>
                <w:sz w:val="20"/>
                <w:szCs w:val="20"/>
              </w:rPr>
            </w:pPr>
            <w:r w:rsidRPr="00C1255F">
              <w:rPr>
                <w:rFonts w:ascii="Times New Roman" w:eastAsia="Times New Roman" w:hAnsi="Times New Roman" w:cs="Times New Roman"/>
                <w:color w:val="000000" w:themeColor="text1"/>
                <w:sz w:val="20"/>
                <w:szCs w:val="20"/>
              </w:rPr>
              <w:t>0.59</w:t>
            </w:r>
          </w:p>
        </w:tc>
        <w:tc>
          <w:tcPr>
            <w:tcW w:w="0" w:type="auto"/>
            <w:shd w:val="clear" w:color="auto" w:fill="FFFFFF"/>
            <w:tcMar>
              <w:top w:w="150" w:type="dxa"/>
              <w:left w:w="240" w:type="dxa"/>
              <w:bottom w:w="150" w:type="dxa"/>
              <w:right w:w="240" w:type="dxa"/>
            </w:tcMar>
            <w:vAlign w:val="center"/>
            <w:hideMark/>
          </w:tcPr>
          <w:p w14:paraId="2B381A11" w14:textId="77777777" w:rsidR="00F47844" w:rsidRPr="00C1255F" w:rsidRDefault="00F47844" w:rsidP="00847A07">
            <w:pPr>
              <w:spacing w:after="0" w:line="240" w:lineRule="auto"/>
              <w:rPr>
                <w:rFonts w:ascii="Times New Roman" w:eastAsia="Times New Roman" w:hAnsi="Times New Roman" w:cs="Times New Roman"/>
                <w:color w:val="000000" w:themeColor="text1"/>
                <w:sz w:val="20"/>
                <w:szCs w:val="20"/>
              </w:rPr>
            </w:pPr>
            <w:r w:rsidRPr="00C1255F">
              <w:rPr>
                <w:rFonts w:ascii="Times New Roman" w:eastAsia="Times New Roman" w:hAnsi="Times New Roman" w:cs="Times New Roman"/>
                <w:color w:val="000000" w:themeColor="text1"/>
                <w:sz w:val="20"/>
                <w:szCs w:val="20"/>
              </w:rPr>
              <w:t>-</w:t>
            </w:r>
          </w:p>
        </w:tc>
        <w:tc>
          <w:tcPr>
            <w:tcW w:w="0" w:type="auto"/>
            <w:shd w:val="clear" w:color="auto" w:fill="FFFFFF"/>
            <w:tcMar>
              <w:top w:w="150" w:type="dxa"/>
              <w:left w:w="240" w:type="dxa"/>
              <w:bottom w:w="150" w:type="dxa"/>
              <w:right w:w="0" w:type="dxa"/>
            </w:tcMar>
            <w:vAlign w:val="center"/>
            <w:hideMark/>
          </w:tcPr>
          <w:p w14:paraId="224CCECD" w14:textId="77777777" w:rsidR="00F47844" w:rsidRPr="00C1255F" w:rsidRDefault="00F47844" w:rsidP="00847A07">
            <w:pPr>
              <w:spacing w:after="0" w:line="240" w:lineRule="auto"/>
              <w:rPr>
                <w:rFonts w:ascii="Times New Roman" w:eastAsia="Times New Roman" w:hAnsi="Times New Roman" w:cs="Times New Roman"/>
                <w:color w:val="000000" w:themeColor="text1"/>
                <w:sz w:val="20"/>
                <w:szCs w:val="20"/>
              </w:rPr>
            </w:pPr>
            <w:r w:rsidRPr="00C1255F">
              <w:rPr>
                <w:rFonts w:ascii="Times New Roman" w:eastAsia="Times New Roman" w:hAnsi="Times New Roman" w:cs="Times New Roman"/>
                <w:color w:val="000000" w:themeColor="text1"/>
                <w:sz w:val="20"/>
                <w:szCs w:val="20"/>
              </w:rPr>
              <w:t>High MDR</w:t>
            </w:r>
          </w:p>
        </w:tc>
      </w:tr>
      <w:tr w:rsidR="00C1255F" w:rsidRPr="00C1255F" w14:paraId="765F0C30" w14:textId="77777777" w:rsidTr="00F47844">
        <w:tc>
          <w:tcPr>
            <w:tcW w:w="0" w:type="auto"/>
            <w:shd w:val="clear" w:color="auto" w:fill="FFFFFF"/>
            <w:tcMar>
              <w:top w:w="150" w:type="dxa"/>
              <w:left w:w="0" w:type="dxa"/>
              <w:bottom w:w="150" w:type="dxa"/>
              <w:right w:w="240" w:type="dxa"/>
            </w:tcMar>
            <w:vAlign w:val="center"/>
            <w:hideMark/>
          </w:tcPr>
          <w:p w14:paraId="42CC3B77" w14:textId="77777777" w:rsidR="00F47844" w:rsidRPr="00C1255F" w:rsidRDefault="00F47844" w:rsidP="00847A07">
            <w:pPr>
              <w:spacing w:after="0" w:line="240" w:lineRule="auto"/>
              <w:rPr>
                <w:rFonts w:ascii="Times New Roman" w:eastAsia="Times New Roman" w:hAnsi="Times New Roman" w:cs="Times New Roman"/>
                <w:color w:val="000000" w:themeColor="text1"/>
                <w:sz w:val="20"/>
                <w:szCs w:val="20"/>
              </w:rPr>
            </w:pPr>
            <w:r w:rsidRPr="00C1255F">
              <w:rPr>
                <w:rFonts w:ascii="Times New Roman" w:eastAsia="Times New Roman" w:hAnsi="Times New Roman" w:cs="Times New Roman"/>
                <w:color w:val="000000" w:themeColor="text1"/>
                <w:sz w:val="20"/>
                <w:szCs w:val="20"/>
              </w:rPr>
              <w:t>Wound</w:t>
            </w:r>
          </w:p>
        </w:tc>
        <w:tc>
          <w:tcPr>
            <w:tcW w:w="0" w:type="auto"/>
            <w:shd w:val="clear" w:color="auto" w:fill="FFFFFF"/>
            <w:tcMar>
              <w:top w:w="150" w:type="dxa"/>
              <w:left w:w="240" w:type="dxa"/>
              <w:bottom w:w="150" w:type="dxa"/>
              <w:right w:w="240" w:type="dxa"/>
            </w:tcMar>
            <w:vAlign w:val="center"/>
            <w:hideMark/>
          </w:tcPr>
          <w:p w14:paraId="30120ABD" w14:textId="77777777" w:rsidR="00F47844" w:rsidRPr="00C1255F" w:rsidRDefault="00F47844" w:rsidP="00847A07">
            <w:pPr>
              <w:spacing w:after="0" w:line="240" w:lineRule="auto"/>
              <w:rPr>
                <w:rFonts w:ascii="Times New Roman" w:eastAsia="Times New Roman" w:hAnsi="Times New Roman" w:cs="Times New Roman"/>
                <w:color w:val="000000" w:themeColor="text1"/>
                <w:sz w:val="20"/>
                <w:szCs w:val="20"/>
              </w:rPr>
            </w:pPr>
            <w:r w:rsidRPr="00C1255F">
              <w:rPr>
                <w:rFonts w:ascii="Times New Roman" w:eastAsia="Times New Roman" w:hAnsi="Times New Roman" w:cs="Times New Roman"/>
                <w:color w:val="000000" w:themeColor="text1"/>
                <w:sz w:val="20"/>
                <w:szCs w:val="20"/>
              </w:rPr>
              <w:t>3</w:t>
            </w:r>
          </w:p>
        </w:tc>
        <w:tc>
          <w:tcPr>
            <w:tcW w:w="0" w:type="auto"/>
            <w:shd w:val="clear" w:color="auto" w:fill="FFFFFF"/>
            <w:tcMar>
              <w:top w:w="150" w:type="dxa"/>
              <w:left w:w="240" w:type="dxa"/>
              <w:bottom w:w="150" w:type="dxa"/>
              <w:right w:w="240" w:type="dxa"/>
            </w:tcMar>
            <w:vAlign w:val="center"/>
            <w:hideMark/>
          </w:tcPr>
          <w:p w14:paraId="3F32CB94" w14:textId="77777777" w:rsidR="00F47844" w:rsidRPr="00C1255F" w:rsidRDefault="00F47844" w:rsidP="00847A07">
            <w:pPr>
              <w:spacing w:after="0" w:line="240" w:lineRule="auto"/>
              <w:rPr>
                <w:rFonts w:ascii="Times New Roman" w:eastAsia="Times New Roman" w:hAnsi="Times New Roman" w:cs="Times New Roman"/>
                <w:color w:val="000000" w:themeColor="text1"/>
                <w:sz w:val="20"/>
                <w:szCs w:val="20"/>
              </w:rPr>
            </w:pPr>
            <w:r w:rsidRPr="00C1255F">
              <w:rPr>
                <w:rFonts w:ascii="Times New Roman" w:eastAsia="Times New Roman" w:hAnsi="Times New Roman" w:cs="Times New Roman"/>
                <w:color w:val="000000" w:themeColor="text1"/>
                <w:sz w:val="20"/>
                <w:szCs w:val="20"/>
              </w:rPr>
              <w:t>0.47</w:t>
            </w:r>
          </w:p>
        </w:tc>
        <w:tc>
          <w:tcPr>
            <w:tcW w:w="0" w:type="auto"/>
            <w:shd w:val="clear" w:color="auto" w:fill="FFFFFF"/>
            <w:tcMar>
              <w:top w:w="150" w:type="dxa"/>
              <w:left w:w="240" w:type="dxa"/>
              <w:bottom w:w="150" w:type="dxa"/>
              <w:right w:w="240" w:type="dxa"/>
            </w:tcMar>
            <w:vAlign w:val="center"/>
            <w:hideMark/>
          </w:tcPr>
          <w:p w14:paraId="1AB8BB38" w14:textId="77777777" w:rsidR="00F47844" w:rsidRPr="00C1255F" w:rsidRDefault="00F47844" w:rsidP="00847A07">
            <w:pPr>
              <w:spacing w:after="0" w:line="240" w:lineRule="auto"/>
              <w:rPr>
                <w:rFonts w:ascii="Times New Roman" w:eastAsia="Times New Roman" w:hAnsi="Times New Roman" w:cs="Times New Roman"/>
                <w:color w:val="000000" w:themeColor="text1"/>
                <w:sz w:val="20"/>
                <w:szCs w:val="20"/>
              </w:rPr>
            </w:pPr>
            <w:r w:rsidRPr="00C1255F">
              <w:rPr>
                <w:rFonts w:ascii="Times New Roman" w:eastAsia="Times New Roman" w:hAnsi="Times New Roman" w:cs="Times New Roman"/>
                <w:color w:val="000000" w:themeColor="text1"/>
                <w:sz w:val="20"/>
                <w:szCs w:val="20"/>
              </w:rPr>
              <w:t>0.41-0.53</w:t>
            </w:r>
          </w:p>
        </w:tc>
        <w:tc>
          <w:tcPr>
            <w:tcW w:w="0" w:type="auto"/>
            <w:shd w:val="clear" w:color="auto" w:fill="FFFFFF"/>
            <w:tcMar>
              <w:top w:w="150" w:type="dxa"/>
              <w:left w:w="240" w:type="dxa"/>
              <w:bottom w:w="150" w:type="dxa"/>
              <w:right w:w="0" w:type="dxa"/>
            </w:tcMar>
            <w:vAlign w:val="center"/>
            <w:hideMark/>
          </w:tcPr>
          <w:p w14:paraId="3BF30DA3" w14:textId="77777777" w:rsidR="00F47844" w:rsidRPr="00C1255F" w:rsidRDefault="00F47844" w:rsidP="00847A07">
            <w:pPr>
              <w:spacing w:after="0" w:line="240" w:lineRule="auto"/>
              <w:rPr>
                <w:rFonts w:ascii="Times New Roman" w:eastAsia="Times New Roman" w:hAnsi="Times New Roman" w:cs="Times New Roman"/>
                <w:color w:val="000000" w:themeColor="text1"/>
                <w:sz w:val="20"/>
                <w:szCs w:val="20"/>
              </w:rPr>
            </w:pPr>
            <w:r w:rsidRPr="00C1255F">
              <w:rPr>
                <w:rFonts w:ascii="Times New Roman" w:eastAsia="Times New Roman" w:hAnsi="Times New Roman" w:cs="Times New Roman"/>
                <w:color w:val="000000" w:themeColor="text1"/>
                <w:sz w:val="20"/>
                <w:szCs w:val="20"/>
              </w:rPr>
              <w:t>Moderate MDR</w:t>
            </w:r>
          </w:p>
        </w:tc>
      </w:tr>
      <w:tr w:rsidR="00C1255F" w:rsidRPr="00C1255F" w14:paraId="00FF7AF0" w14:textId="77777777" w:rsidTr="00F47844">
        <w:tc>
          <w:tcPr>
            <w:tcW w:w="0" w:type="auto"/>
            <w:shd w:val="clear" w:color="auto" w:fill="FFFFFF"/>
            <w:tcMar>
              <w:top w:w="150" w:type="dxa"/>
              <w:left w:w="0" w:type="dxa"/>
              <w:bottom w:w="150" w:type="dxa"/>
              <w:right w:w="240" w:type="dxa"/>
            </w:tcMar>
            <w:vAlign w:val="center"/>
            <w:hideMark/>
          </w:tcPr>
          <w:p w14:paraId="376395CF" w14:textId="77777777" w:rsidR="00F47844" w:rsidRPr="00C1255F" w:rsidRDefault="00F47844" w:rsidP="00847A07">
            <w:pPr>
              <w:spacing w:after="0" w:line="240" w:lineRule="auto"/>
              <w:rPr>
                <w:rFonts w:ascii="Times New Roman" w:eastAsia="Times New Roman" w:hAnsi="Times New Roman" w:cs="Times New Roman"/>
                <w:color w:val="000000" w:themeColor="text1"/>
                <w:sz w:val="20"/>
                <w:szCs w:val="20"/>
              </w:rPr>
            </w:pPr>
            <w:r w:rsidRPr="00C1255F">
              <w:rPr>
                <w:rFonts w:ascii="Times New Roman" w:eastAsia="Times New Roman" w:hAnsi="Times New Roman" w:cs="Times New Roman"/>
                <w:b/>
                <w:bCs/>
                <w:color w:val="000000" w:themeColor="text1"/>
                <w:sz w:val="20"/>
                <w:szCs w:val="20"/>
              </w:rPr>
              <w:t>Overall</w:t>
            </w:r>
          </w:p>
        </w:tc>
        <w:tc>
          <w:tcPr>
            <w:tcW w:w="0" w:type="auto"/>
            <w:shd w:val="clear" w:color="auto" w:fill="FFFFFF"/>
            <w:tcMar>
              <w:top w:w="150" w:type="dxa"/>
              <w:left w:w="240" w:type="dxa"/>
              <w:bottom w:w="150" w:type="dxa"/>
              <w:right w:w="240" w:type="dxa"/>
            </w:tcMar>
            <w:vAlign w:val="center"/>
            <w:hideMark/>
          </w:tcPr>
          <w:p w14:paraId="0276F028" w14:textId="77777777" w:rsidR="00F47844" w:rsidRPr="00C1255F" w:rsidRDefault="00F47844" w:rsidP="00847A07">
            <w:pPr>
              <w:spacing w:after="0" w:line="240" w:lineRule="auto"/>
              <w:rPr>
                <w:rFonts w:ascii="Times New Roman" w:eastAsia="Times New Roman" w:hAnsi="Times New Roman" w:cs="Times New Roman"/>
                <w:color w:val="000000" w:themeColor="text1"/>
                <w:sz w:val="20"/>
                <w:szCs w:val="20"/>
              </w:rPr>
            </w:pPr>
            <w:r w:rsidRPr="00C1255F">
              <w:rPr>
                <w:rFonts w:ascii="Times New Roman" w:eastAsia="Times New Roman" w:hAnsi="Times New Roman" w:cs="Times New Roman"/>
                <w:b/>
                <w:bCs/>
                <w:color w:val="000000" w:themeColor="text1"/>
                <w:sz w:val="20"/>
                <w:szCs w:val="20"/>
              </w:rPr>
              <w:t>53</w:t>
            </w:r>
          </w:p>
        </w:tc>
        <w:tc>
          <w:tcPr>
            <w:tcW w:w="0" w:type="auto"/>
            <w:shd w:val="clear" w:color="auto" w:fill="FFFFFF"/>
            <w:tcMar>
              <w:top w:w="150" w:type="dxa"/>
              <w:left w:w="240" w:type="dxa"/>
              <w:bottom w:w="150" w:type="dxa"/>
              <w:right w:w="240" w:type="dxa"/>
            </w:tcMar>
            <w:vAlign w:val="center"/>
            <w:hideMark/>
          </w:tcPr>
          <w:p w14:paraId="27E7ECB9" w14:textId="77777777" w:rsidR="00F47844" w:rsidRPr="00C1255F" w:rsidRDefault="00F47844" w:rsidP="00847A07">
            <w:pPr>
              <w:spacing w:after="0" w:line="240" w:lineRule="auto"/>
              <w:rPr>
                <w:rFonts w:ascii="Times New Roman" w:eastAsia="Times New Roman" w:hAnsi="Times New Roman" w:cs="Times New Roman"/>
                <w:color w:val="000000" w:themeColor="text1"/>
                <w:sz w:val="20"/>
                <w:szCs w:val="20"/>
              </w:rPr>
            </w:pPr>
            <w:r w:rsidRPr="00C1255F">
              <w:rPr>
                <w:rFonts w:ascii="Times New Roman" w:eastAsia="Times New Roman" w:hAnsi="Times New Roman" w:cs="Times New Roman"/>
                <w:b/>
                <w:bCs/>
                <w:color w:val="000000" w:themeColor="text1"/>
                <w:sz w:val="20"/>
                <w:szCs w:val="20"/>
              </w:rPr>
              <w:t>0.76</w:t>
            </w:r>
          </w:p>
        </w:tc>
        <w:tc>
          <w:tcPr>
            <w:tcW w:w="0" w:type="auto"/>
            <w:shd w:val="clear" w:color="auto" w:fill="FFFFFF"/>
            <w:tcMar>
              <w:top w:w="150" w:type="dxa"/>
              <w:left w:w="240" w:type="dxa"/>
              <w:bottom w:w="150" w:type="dxa"/>
              <w:right w:w="240" w:type="dxa"/>
            </w:tcMar>
            <w:vAlign w:val="center"/>
            <w:hideMark/>
          </w:tcPr>
          <w:p w14:paraId="077145E9" w14:textId="77777777" w:rsidR="00F47844" w:rsidRPr="00C1255F" w:rsidRDefault="00F47844" w:rsidP="00847A07">
            <w:pPr>
              <w:spacing w:after="0" w:line="240" w:lineRule="auto"/>
              <w:rPr>
                <w:rFonts w:ascii="Times New Roman" w:eastAsia="Times New Roman" w:hAnsi="Times New Roman" w:cs="Times New Roman"/>
                <w:color w:val="000000" w:themeColor="text1"/>
                <w:sz w:val="20"/>
                <w:szCs w:val="20"/>
              </w:rPr>
            </w:pPr>
            <w:r w:rsidRPr="00C1255F">
              <w:rPr>
                <w:rFonts w:ascii="Times New Roman" w:eastAsia="Times New Roman" w:hAnsi="Times New Roman" w:cs="Times New Roman"/>
                <w:b/>
                <w:bCs/>
                <w:color w:val="000000" w:themeColor="text1"/>
                <w:sz w:val="20"/>
                <w:szCs w:val="20"/>
              </w:rPr>
              <w:t>0.41-0.94</w:t>
            </w:r>
          </w:p>
        </w:tc>
        <w:tc>
          <w:tcPr>
            <w:tcW w:w="0" w:type="auto"/>
            <w:shd w:val="clear" w:color="auto" w:fill="FFFFFF"/>
            <w:tcMar>
              <w:top w:w="150" w:type="dxa"/>
              <w:left w:w="240" w:type="dxa"/>
              <w:bottom w:w="150" w:type="dxa"/>
              <w:right w:w="0" w:type="dxa"/>
            </w:tcMar>
            <w:vAlign w:val="center"/>
            <w:hideMark/>
          </w:tcPr>
          <w:p w14:paraId="1F93B7D0" w14:textId="77777777" w:rsidR="00F47844" w:rsidRPr="00C1255F" w:rsidRDefault="00F47844" w:rsidP="00847A07">
            <w:pPr>
              <w:spacing w:after="0" w:line="240" w:lineRule="auto"/>
              <w:rPr>
                <w:rFonts w:ascii="Times New Roman" w:eastAsia="Times New Roman" w:hAnsi="Times New Roman" w:cs="Times New Roman"/>
                <w:color w:val="000000" w:themeColor="text1"/>
                <w:sz w:val="20"/>
                <w:szCs w:val="20"/>
              </w:rPr>
            </w:pPr>
            <w:r w:rsidRPr="00C1255F">
              <w:rPr>
                <w:rFonts w:ascii="Times New Roman" w:eastAsia="Times New Roman" w:hAnsi="Times New Roman" w:cs="Times New Roman"/>
                <w:b/>
                <w:bCs/>
                <w:color w:val="000000" w:themeColor="text1"/>
                <w:sz w:val="20"/>
                <w:szCs w:val="20"/>
              </w:rPr>
              <w:t>High MDR</w:t>
            </w:r>
          </w:p>
        </w:tc>
      </w:tr>
    </w:tbl>
    <w:p w14:paraId="641BEA87" w14:textId="77777777" w:rsidR="00E96123" w:rsidRPr="00C1255F" w:rsidRDefault="00E96123" w:rsidP="00847A07">
      <w:pPr>
        <w:spacing w:after="0" w:line="240" w:lineRule="auto"/>
        <w:jc w:val="both"/>
        <w:rPr>
          <w:rFonts w:ascii="Times New Roman" w:hAnsi="Times New Roman" w:cs="Times New Roman"/>
          <w:color w:val="000000" w:themeColor="text1"/>
          <w:sz w:val="20"/>
          <w:szCs w:val="20"/>
          <w:shd w:val="clear" w:color="auto" w:fill="FFFFFF"/>
        </w:rPr>
      </w:pPr>
    </w:p>
    <w:p w14:paraId="1E0136BB" w14:textId="77777777" w:rsidR="00F47844" w:rsidRPr="00C1255F" w:rsidRDefault="00E96123" w:rsidP="00847A07">
      <w:pPr>
        <w:spacing w:after="0" w:line="240" w:lineRule="auto"/>
        <w:jc w:val="both"/>
        <w:rPr>
          <w:rFonts w:ascii="Times New Roman" w:hAnsi="Times New Roman" w:cs="Times New Roman"/>
          <w:color w:val="000000" w:themeColor="text1"/>
          <w:sz w:val="20"/>
          <w:szCs w:val="20"/>
          <w:shd w:val="clear" w:color="auto" w:fill="FFFFFF"/>
        </w:rPr>
      </w:pPr>
      <w:r w:rsidRPr="00C1255F">
        <w:rPr>
          <w:rFonts w:ascii="Times New Roman" w:hAnsi="Times New Roman" w:cs="Times New Roman"/>
          <w:b/>
          <w:color w:val="000000" w:themeColor="text1"/>
          <w:sz w:val="20"/>
          <w:szCs w:val="20"/>
          <w:shd w:val="clear" w:color="auto" w:fill="FFFFFF"/>
        </w:rPr>
        <w:t>MDR</w:t>
      </w:r>
      <w:r w:rsidRPr="00C1255F">
        <w:rPr>
          <w:rFonts w:ascii="Times New Roman" w:hAnsi="Times New Roman" w:cs="Times New Roman"/>
          <w:color w:val="000000" w:themeColor="text1"/>
          <w:sz w:val="20"/>
          <w:szCs w:val="20"/>
          <w:shd w:val="clear" w:color="auto" w:fill="FFFFFF"/>
        </w:rPr>
        <w:t xml:space="preserve"> = multidrug resistance</w:t>
      </w:r>
    </w:p>
    <w:p w14:paraId="2F9D6246" w14:textId="77777777" w:rsidR="00E96123" w:rsidRPr="00C1255F" w:rsidRDefault="00E96123" w:rsidP="00296EF6">
      <w:pPr>
        <w:spacing w:after="0"/>
        <w:jc w:val="both"/>
        <w:rPr>
          <w:rFonts w:ascii="Segoe UI" w:hAnsi="Segoe UI" w:cs="Segoe UI"/>
          <w:color w:val="000000" w:themeColor="text1"/>
          <w:shd w:val="clear" w:color="auto" w:fill="FFFFFF"/>
        </w:rPr>
      </w:pPr>
    </w:p>
    <w:p w14:paraId="43CFF610" w14:textId="77777777" w:rsidR="00E96123" w:rsidRPr="00C1255F" w:rsidRDefault="00E96123" w:rsidP="00761CB8">
      <w:pPr>
        <w:pStyle w:val="Heading2"/>
        <w:shd w:val="clear" w:color="auto" w:fill="FFFFFF"/>
        <w:spacing w:before="0"/>
        <w:jc w:val="both"/>
        <w:rPr>
          <w:rFonts w:ascii="Times New Roman" w:hAnsi="Times New Roman" w:cs="Times New Roman"/>
          <w:b/>
          <w:color w:val="000000" w:themeColor="text1"/>
          <w:sz w:val="22"/>
          <w:szCs w:val="22"/>
        </w:rPr>
      </w:pPr>
      <w:r w:rsidRPr="00C1255F">
        <w:rPr>
          <w:rFonts w:ascii="Times New Roman" w:hAnsi="Times New Roman" w:cs="Times New Roman"/>
          <w:b/>
          <w:color w:val="000000" w:themeColor="text1"/>
          <w:sz w:val="22"/>
          <w:szCs w:val="22"/>
        </w:rPr>
        <w:t>DISCUSSION</w:t>
      </w:r>
    </w:p>
    <w:p w14:paraId="1C1FAD77" w14:textId="38FE1AA7" w:rsidR="00E96123" w:rsidRPr="00C1255F" w:rsidRDefault="00E96123" w:rsidP="00761CB8">
      <w:pPr>
        <w:pStyle w:val="ds-markdown-paragraph"/>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t>This study provides critical comparative data on MBL-producing </w:t>
      </w:r>
      <w:r w:rsidRPr="00C1255F">
        <w:rPr>
          <w:rStyle w:val="Emphasis"/>
          <w:rFonts w:eastAsiaTheme="majorEastAsia"/>
          <w:color w:val="000000" w:themeColor="text1"/>
          <w:sz w:val="22"/>
          <w:szCs w:val="22"/>
        </w:rPr>
        <w:t>P. aeruginosa</w:t>
      </w:r>
      <w:r w:rsidRPr="00C1255F">
        <w:rPr>
          <w:color w:val="000000" w:themeColor="text1"/>
          <w:sz w:val="22"/>
          <w:szCs w:val="22"/>
        </w:rPr>
        <w:t> among outpatients and inpatients in Southeast Nigeria, revealing alarming community dissemination of these multidrug-resistant pathogens. The overall MBL prevalence of 13.25</w:t>
      </w:r>
      <w:r w:rsidR="00CF3D4E" w:rsidRPr="00C1255F">
        <w:rPr>
          <w:color w:val="000000" w:themeColor="text1"/>
          <w:sz w:val="22"/>
          <w:szCs w:val="22"/>
        </w:rPr>
        <w:t xml:space="preserve"> </w:t>
      </w:r>
      <w:r w:rsidRPr="00C1255F">
        <w:rPr>
          <w:color w:val="000000" w:themeColor="text1"/>
          <w:sz w:val="22"/>
          <w:szCs w:val="22"/>
        </w:rPr>
        <w:t>% among clinical samples (40.46</w:t>
      </w:r>
      <w:r w:rsidR="00CF3D4E" w:rsidRPr="00C1255F">
        <w:rPr>
          <w:color w:val="000000" w:themeColor="text1"/>
          <w:sz w:val="22"/>
          <w:szCs w:val="22"/>
        </w:rPr>
        <w:t xml:space="preserve"> </w:t>
      </w:r>
      <w:r w:rsidRPr="00C1255F">
        <w:rPr>
          <w:color w:val="000000" w:themeColor="text1"/>
          <w:sz w:val="22"/>
          <w:szCs w:val="22"/>
        </w:rPr>
        <w:t>% of </w:t>
      </w:r>
      <w:r w:rsidRPr="00C1255F">
        <w:rPr>
          <w:rStyle w:val="Emphasis"/>
          <w:rFonts w:eastAsiaTheme="majorEastAsia"/>
          <w:color w:val="000000" w:themeColor="text1"/>
          <w:sz w:val="22"/>
          <w:szCs w:val="22"/>
        </w:rPr>
        <w:t>P. aeruginosa</w:t>
      </w:r>
      <w:r w:rsidRPr="00C1255F">
        <w:rPr>
          <w:color w:val="000000" w:themeColor="text1"/>
          <w:sz w:val="22"/>
          <w:szCs w:val="22"/>
        </w:rPr>
        <w:t> isolates) is consistent with previous Nigerian studies reporting rates of 7.6-52.9</w:t>
      </w:r>
      <w:r w:rsidR="00CF3D4E" w:rsidRPr="00C1255F">
        <w:rPr>
          <w:color w:val="000000" w:themeColor="text1"/>
          <w:sz w:val="22"/>
          <w:szCs w:val="22"/>
        </w:rPr>
        <w:t xml:space="preserve"> </w:t>
      </w:r>
      <w:r w:rsidRPr="00C1255F">
        <w:rPr>
          <w:color w:val="000000" w:themeColor="text1"/>
          <w:sz w:val="22"/>
          <w:szCs w:val="22"/>
        </w:rPr>
        <w:t>% (</w:t>
      </w:r>
      <w:proofErr w:type="spellStart"/>
      <w:r w:rsidRPr="00C1255F">
        <w:rPr>
          <w:color w:val="000000" w:themeColor="text1"/>
          <w:sz w:val="22"/>
          <w:szCs w:val="22"/>
        </w:rPr>
        <w:t>Maduakor</w:t>
      </w:r>
      <w:proofErr w:type="spellEnd"/>
      <w:r w:rsidRPr="00C1255F">
        <w:rPr>
          <w:color w:val="000000" w:themeColor="text1"/>
          <w:sz w:val="22"/>
          <w:szCs w:val="22"/>
        </w:rPr>
        <w:t xml:space="preserve"> et al., 2024; </w:t>
      </w:r>
      <w:proofErr w:type="spellStart"/>
      <w:r w:rsidRPr="00C1255F">
        <w:rPr>
          <w:color w:val="000000" w:themeColor="text1"/>
          <w:sz w:val="22"/>
          <w:szCs w:val="22"/>
        </w:rPr>
        <w:t>Onwuezobe</w:t>
      </w:r>
      <w:proofErr w:type="spellEnd"/>
      <w:r w:rsidRPr="00C1255F">
        <w:rPr>
          <w:color w:val="000000" w:themeColor="text1"/>
          <w:sz w:val="22"/>
          <w:szCs w:val="22"/>
        </w:rPr>
        <w:t xml:space="preserve"> et al., 2023; Ogba et al., 2022a), but notably higher than the 2.5</w:t>
      </w:r>
      <w:r w:rsidR="00CF3D4E" w:rsidRPr="00C1255F">
        <w:rPr>
          <w:color w:val="000000" w:themeColor="text1"/>
          <w:sz w:val="22"/>
          <w:szCs w:val="22"/>
        </w:rPr>
        <w:t xml:space="preserve"> </w:t>
      </w:r>
      <w:r w:rsidRPr="00C1255F">
        <w:rPr>
          <w:color w:val="000000" w:themeColor="text1"/>
          <w:sz w:val="22"/>
          <w:szCs w:val="22"/>
        </w:rPr>
        <w:t xml:space="preserve">% reported in Abuja (Zubair and </w:t>
      </w:r>
      <w:proofErr w:type="spellStart"/>
      <w:r w:rsidRPr="00C1255F">
        <w:rPr>
          <w:color w:val="000000" w:themeColor="text1"/>
          <w:sz w:val="22"/>
          <w:szCs w:val="22"/>
        </w:rPr>
        <w:t>Iregbu</w:t>
      </w:r>
      <w:proofErr w:type="spellEnd"/>
      <w:r w:rsidRPr="00C1255F">
        <w:rPr>
          <w:color w:val="000000" w:themeColor="text1"/>
          <w:sz w:val="22"/>
          <w:szCs w:val="22"/>
        </w:rPr>
        <w:t>, 2018) and 4.2</w:t>
      </w:r>
      <w:r w:rsidR="00CF3D4E" w:rsidRPr="00C1255F">
        <w:rPr>
          <w:color w:val="000000" w:themeColor="text1"/>
          <w:sz w:val="22"/>
          <w:szCs w:val="22"/>
        </w:rPr>
        <w:t xml:space="preserve"> </w:t>
      </w:r>
      <w:r w:rsidRPr="00C1255F">
        <w:rPr>
          <w:color w:val="000000" w:themeColor="text1"/>
          <w:sz w:val="22"/>
          <w:szCs w:val="22"/>
        </w:rPr>
        <w:t>% in Edo State (</w:t>
      </w:r>
      <w:proofErr w:type="spellStart"/>
      <w:r w:rsidRPr="00C1255F">
        <w:rPr>
          <w:color w:val="000000" w:themeColor="text1"/>
          <w:sz w:val="22"/>
          <w:szCs w:val="22"/>
        </w:rPr>
        <w:t>Jesumirhewe</w:t>
      </w:r>
      <w:proofErr w:type="spellEnd"/>
      <w:r w:rsidRPr="00C1255F">
        <w:rPr>
          <w:color w:val="000000" w:themeColor="text1"/>
          <w:sz w:val="22"/>
          <w:szCs w:val="22"/>
        </w:rPr>
        <w:t xml:space="preserve"> et al., 2017). These variations likely reflect differences in antibiotic prescribing practices, infection control measures, and patient populations across regions.</w:t>
      </w:r>
    </w:p>
    <w:p w14:paraId="064E660E" w14:textId="350C7AB4" w:rsidR="00E96123" w:rsidRPr="00C1255F" w:rsidRDefault="00E96123" w:rsidP="00761CB8">
      <w:pPr>
        <w:pStyle w:val="ds-markdown-paragraph"/>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t>The most striking finding is the higher MBL prevalence among outpatients (14.23</w:t>
      </w:r>
      <w:r w:rsidR="00CF3D4E" w:rsidRPr="00C1255F">
        <w:rPr>
          <w:color w:val="000000" w:themeColor="text1"/>
          <w:sz w:val="22"/>
          <w:szCs w:val="22"/>
        </w:rPr>
        <w:t xml:space="preserve"> </w:t>
      </w:r>
      <w:r w:rsidRPr="00C1255F">
        <w:rPr>
          <w:color w:val="000000" w:themeColor="text1"/>
          <w:sz w:val="22"/>
          <w:szCs w:val="22"/>
        </w:rPr>
        <w:t>% of samples; 50.0</w:t>
      </w:r>
      <w:r w:rsidR="00CF3D4E" w:rsidRPr="00C1255F">
        <w:rPr>
          <w:color w:val="000000" w:themeColor="text1"/>
          <w:sz w:val="22"/>
          <w:szCs w:val="22"/>
        </w:rPr>
        <w:t xml:space="preserve"> </w:t>
      </w:r>
      <w:r w:rsidRPr="00C1255F">
        <w:rPr>
          <w:color w:val="000000" w:themeColor="text1"/>
          <w:sz w:val="22"/>
          <w:szCs w:val="22"/>
        </w:rPr>
        <w:t>% of </w:t>
      </w:r>
      <w:r w:rsidRPr="00C1255F">
        <w:rPr>
          <w:rStyle w:val="Emphasis"/>
          <w:rFonts w:eastAsiaTheme="majorEastAsia"/>
          <w:color w:val="000000" w:themeColor="text1"/>
          <w:sz w:val="22"/>
          <w:szCs w:val="22"/>
        </w:rPr>
        <w:t>P. aeruginosa</w:t>
      </w:r>
      <w:r w:rsidRPr="00C1255F">
        <w:rPr>
          <w:color w:val="000000" w:themeColor="text1"/>
          <w:sz w:val="22"/>
          <w:szCs w:val="22"/>
        </w:rPr>
        <w:t> isolates) compared to inpatients (11.56</w:t>
      </w:r>
      <w:r w:rsidR="00CF3D4E" w:rsidRPr="00C1255F">
        <w:rPr>
          <w:color w:val="000000" w:themeColor="text1"/>
          <w:sz w:val="22"/>
          <w:szCs w:val="22"/>
        </w:rPr>
        <w:t xml:space="preserve"> </w:t>
      </w:r>
      <w:r w:rsidRPr="00C1255F">
        <w:rPr>
          <w:color w:val="000000" w:themeColor="text1"/>
          <w:sz w:val="22"/>
          <w:szCs w:val="22"/>
        </w:rPr>
        <w:t>% of samples; 28.8</w:t>
      </w:r>
      <w:r w:rsidR="00CF3D4E" w:rsidRPr="00C1255F">
        <w:rPr>
          <w:color w:val="000000" w:themeColor="text1"/>
          <w:sz w:val="22"/>
          <w:szCs w:val="22"/>
        </w:rPr>
        <w:t xml:space="preserve"> </w:t>
      </w:r>
      <w:r w:rsidRPr="00C1255F">
        <w:rPr>
          <w:color w:val="000000" w:themeColor="text1"/>
          <w:sz w:val="22"/>
          <w:szCs w:val="22"/>
        </w:rPr>
        <w:t>% of </w:t>
      </w:r>
      <w:r w:rsidRPr="00C1255F">
        <w:rPr>
          <w:rStyle w:val="Emphasis"/>
          <w:rFonts w:eastAsiaTheme="majorEastAsia"/>
          <w:color w:val="000000" w:themeColor="text1"/>
          <w:sz w:val="22"/>
          <w:szCs w:val="22"/>
        </w:rPr>
        <w:t>P. aeruginosa</w:t>
      </w:r>
      <w:r w:rsidRPr="00C1255F">
        <w:rPr>
          <w:color w:val="000000" w:themeColor="text1"/>
          <w:sz w:val="22"/>
          <w:szCs w:val="22"/>
        </w:rPr>
        <w:t> isolates). This contradicts the conventional assumption that carbapenem resistance is predominantly a hospital-associated phenomenon (Logan and Weinstein, 2017) and suggests significant community transmission of MBL-producing organisms in Southeast Nigeria. Similar community dissemination has been reported in India (Garg et al., 2019) and Pakistan (Heinz et al., 2019), where environmental contamination and widespread antibiotic misuse drive resistance in non-hospitalized populations.</w:t>
      </w:r>
    </w:p>
    <w:p w14:paraId="77BFCA1A" w14:textId="77777777" w:rsidR="00CF3D4E" w:rsidRPr="00C1255F" w:rsidRDefault="00E96123" w:rsidP="00761CB8">
      <w:pPr>
        <w:pStyle w:val="ds-markdown-paragraph"/>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t>The community spread of MBL-producers has profound implications for infection control. Outpatients may serve as unrecognized reservoirs, introducing these pathogens into households and the broader community (Rolain et al., 2010). Furthermore, outpatient isolates demonstrated significantly broader resistance profiles, with 69.44</w:t>
      </w:r>
      <w:r w:rsidR="00CF3D4E" w:rsidRPr="00C1255F">
        <w:rPr>
          <w:color w:val="000000" w:themeColor="text1"/>
          <w:sz w:val="22"/>
          <w:szCs w:val="22"/>
        </w:rPr>
        <w:t xml:space="preserve"> </w:t>
      </w:r>
      <w:r w:rsidRPr="00C1255F">
        <w:rPr>
          <w:color w:val="000000" w:themeColor="text1"/>
          <w:sz w:val="22"/>
          <w:szCs w:val="22"/>
        </w:rPr>
        <w:t>% resistance to piperacillin-tazobactam and 72.22</w:t>
      </w:r>
      <w:r w:rsidR="00CF3D4E" w:rsidRPr="00C1255F">
        <w:rPr>
          <w:color w:val="000000" w:themeColor="text1"/>
          <w:sz w:val="22"/>
          <w:szCs w:val="22"/>
        </w:rPr>
        <w:t xml:space="preserve"> </w:t>
      </w:r>
      <w:r w:rsidRPr="00C1255F">
        <w:rPr>
          <w:color w:val="000000" w:themeColor="text1"/>
          <w:sz w:val="22"/>
          <w:szCs w:val="22"/>
        </w:rPr>
        <w:t xml:space="preserve">% resistance to ciprofloxacin compared to </w:t>
      </w:r>
    </w:p>
    <w:p w14:paraId="08ADE6EE" w14:textId="6B1FD9A6" w:rsidR="00E96123" w:rsidRPr="00C1255F" w:rsidRDefault="00E96123" w:rsidP="00761CB8">
      <w:pPr>
        <w:pStyle w:val="ds-markdown-paragraph"/>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t>0</w:t>
      </w:r>
      <w:r w:rsidR="00CF3D4E" w:rsidRPr="00C1255F">
        <w:rPr>
          <w:color w:val="000000" w:themeColor="text1"/>
          <w:sz w:val="22"/>
          <w:szCs w:val="22"/>
        </w:rPr>
        <w:t xml:space="preserve"> </w:t>
      </w:r>
      <w:r w:rsidRPr="00C1255F">
        <w:rPr>
          <w:color w:val="000000" w:themeColor="text1"/>
          <w:sz w:val="22"/>
          <w:szCs w:val="22"/>
        </w:rPr>
        <w:t>% and 23.53</w:t>
      </w:r>
      <w:r w:rsidR="00CF3D4E" w:rsidRPr="00C1255F">
        <w:rPr>
          <w:color w:val="000000" w:themeColor="text1"/>
          <w:sz w:val="22"/>
          <w:szCs w:val="22"/>
        </w:rPr>
        <w:t xml:space="preserve"> </w:t>
      </w:r>
      <w:r w:rsidRPr="00C1255F">
        <w:rPr>
          <w:color w:val="000000" w:themeColor="text1"/>
          <w:sz w:val="22"/>
          <w:szCs w:val="22"/>
        </w:rPr>
        <w:t>%, respectively, in inpatient iso</w:t>
      </w:r>
      <w:r w:rsidR="003B3093" w:rsidRPr="00C1255F">
        <w:rPr>
          <w:color w:val="000000" w:themeColor="text1"/>
          <w:sz w:val="22"/>
          <w:szCs w:val="22"/>
        </w:rPr>
        <w:t xml:space="preserve">lates. This paradoxical finding </w:t>
      </w:r>
      <w:r w:rsidRPr="00C1255F">
        <w:rPr>
          <w:color w:val="000000" w:themeColor="text1"/>
          <w:sz w:val="22"/>
          <w:szCs w:val="22"/>
        </w:rPr>
        <w:t>community isolates being more r</w:t>
      </w:r>
      <w:r w:rsidR="00D453EE" w:rsidRPr="00C1255F">
        <w:rPr>
          <w:color w:val="000000" w:themeColor="text1"/>
          <w:sz w:val="22"/>
          <w:szCs w:val="22"/>
        </w:rPr>
        <w:t xml:space="preserve">esistant than hospital isolates </w:t>
      </w:r>
      <w:r w:rsidRPr="00C1255F">
        <w:rPr>
          <w:color w:val="000000" w:themeColor="text1"/>
          <w:sz w:val="22"/>
          <w:szCs w:val="22"/>
        </w:rPr>
        <w:t>may reflect differential antibiotic exposure patterns. Outpatients in Nigeria often self-medicate with readily available antibiotics without prescription, exposing pathogens to sub-therapeutic concentrations that promote resistance development (Okeke et al., 1999).</w:t>
      </w:r>
    </w:p>
    <w:p w14:paraId="1280E2A6" w14:textId="2829203E" w:rsidR="00E96123" w:rsidRPr="00C1255F" w:rsidRDefault="00E96123" w:rsidP="00761CB8">
      <w:pPr>
        <w:pStyle w:val="ds-markdown-paragraph"/>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t>Female gender emerged as a significant risk factor for MBL carriage (17.65</w:t>
      </w:r>
      <w:r w:rsidR="00CF3D4E" w:rsidRPr="00C1255F">
        <w:rPr>
          <w:color w:val="000000" w:themeColor="text1"/>
          <w:sz w:val="22"/>
          <w:szCs w:val="22"/>
        </w:rPr>
        <w:t xml:space="preserve"> </w:t>
      </w:r>
      <w:r w:rsidRPr="00C1255F">
        <w:rPr>
          <w:color w:val="000000" w:themeColor="text1"/>
          <w:sz w:val="22"/>
          <w:szCs w:val="22"/>
        </w:rPr>
        <w:t>% v</w:t>
      </w:r>
      <w:r w:rsidR="006F597D" w:rsidRPr="00C1255F">
        <w:rPr>
          <w:color w:val="000000" w:themeColor="text1"/>
          <w:sz w:val="22"/>
          <w:szCs w:val="22"/>
        </w:rPr>
        <w:t xml:space="preserve">ersus </w:t>
      </w:r>
      <w:r w:rsidRPr="00C1255F">
        <w:rPr>
          <w:color w:val="000000" w:themeColor="text1"/>
          <w:sz w:val="22"/>
          <w:szCs w:val="22"/>
        </w:rPr>
        <w:t>7.82</w:t>
      </w:r>
      <w:r w:rsidR="00CF3D4E" w:rsidRPr="00C1255F">
        <w:rPr>
          <w:color w:val="000000" w:themeColor="text1"/>
          <w:sz w:val="22"/>
          <w:szCs w:val="22"/>
        </w:rPr>
        <w:t xml:space="preserve"> </w:t>
      </w:r>
      <w:r w:rsidRPr="00C1255F">
        <w:rPr>
          <w:color w:val="000000" w:themeColor="text1"/>
          <w:sz w:val="22"/>
          <w:szCs w:val="22"/>
        </w:rPr>
        <w:t>% in males; p</w:t>
      </w:r>
      <w:r w:rsidR="00CF3D4E" w:rsidRPr="00C1255F">
        <w:rPr>
          <w:color w:val="000000" w:themeColor="text1"/>
          <w:sz w:val="22"/>
          <w:szCs w:val="22"/>
        </w:rPr>
        <w:t xml:space="preserve"> </w:t>
      </w:r>
      <w:r w:rsidRPr="00C1255F">
        <w:rPr>
          <w:color w:val="000000" w:themeColor="text1"/>
          <w:sz w:val="22"/>
          <w:szCs w:val="22"/>
        </w:rPr>
        <w:t>=</w:t>
      </w:r>
      <w:r w:rsidR="00CF3D4E" w:rsidRPr="00C1255F">
        <w:rPr>
          <w:color w:val="000000" w:themeColor="text1"/>
          <w:sz w:val="22"/>
          <w:szCs w:val="22"/>
        </w:rPr>
        <w:t xml:space="preserve"> </w:t>
      </w:r>
      <w:r w:rsidRPr="00C1255F">
        <w:rPr>
          <w:color w:val="000000" w:themeColor="text1"/>
          <w:sz w:val="22"/>
          <w:szCs w:val="22"/>
        </w:rPr>
        <w:t xml:space="preserve">0.003), consistent with studies from Ethiopia (Abdeta et al., 2023) and India (Kumar et al., 2012). This disparity may be explained by higher rates of urinary tract infections in females, leading to more frequent antibiotic exposure and greater opportunity for resistance selection (Foxman, 2010). Additionally, hormonal factors and anatomical differences may increase susceptibility to colonization (Hooton, 2012). The association between advanced age </w:t>
      </w:r>
      <w:proofErr w:type="gramStart"/>
      <w:r w:rsidRPr="00C1255F">
        <w:rPr>
          <w:color w:val="000000" w:themeColor="text1"/>
          <w:sz w:val="22"/>
          <w:szCs w:val="22"/>
        </w:rPr>
        <w:t>(</w:t>
      </w:r>
      <w:r w:rsidR="00CF3D4E" w:rsidRPr="00C1255F">
        <w:rPr>
          <w:color w:val="000000" w:themeColor="text1"/>
          <w:sz w:val="22"/>
          <w:szCs w:val="22"/>
        </w:rPr>
        <w:t xml:space="preserve"> </w:t>
      </w:r>
      <w:r w:rsidRPr="00C1255F">
        <w:rPr>
          <w:color w:val="000000" w:themeColor="text1"/>
          <w:sz w:val="22"/>
          <w:szCs w:val="22"/>
        </w:rPr>
        <w:t>≥</w:t>
      </w:r>
      <w:proofErr w:type="gramEnd"/>
      <w:r w:rsidR="00CF3D4E" w:rsidRPr="00C1255F">
        <w:rPr>
          <w:color w:val="000000" w:themeColor="text1"/>
          <w:sz w:val="22"/>
          <w:szCs w:val="22"/>
        </w:rPr>
        <w:t xml:space="preserve"> </w:t>
      </w:r>
      <w:r w:rsidRPr="00C1255F">
        <w:rPr>
          <w:color w:val="000000" w:themeColor="text1"/>
          <w:sz w:val="22"/>
          <w:szCs w:val="22"/>
        </w:rPr>
        <w:t>46 years) and MBL carriage (23.26</w:t>
      </w:r>
      <w:r w:rsidR="00CF3D4E" w:rsidRPr="00C1255F">
        <w:rPr>
          <w:color w:val="000000" w:themeColor="text1"/>
          <w:sz w:val="22"/>
          <w:szCs w:val="22"/>
        </w:rPr>
        <w:t xml:space="preserve"> </w:t>
      </w:r>
      <w:r w:rsidRPr="00C1255F">
        <w:rPr>
          <w:color w:val="000000" w:themeColor="text1"/>
          <w:sz w:val="22"/>
          <w:szCs w:val="22"/>
        </w:rPr>
        <w:t>%; p</w:t>
      </w:r>
      <w:r w:rsidR="00CF3D4E" w:rsidRPr="00C1255F">
        <w:rPr>
          <w:color w:val="000000" w:themeColor="text1"/>
          <w:sz w:val="22"/>
          <w:szCs w:val="22"/>
        </w:rPr>
        <w:t xml:space="preserve"> </w:t>
      </w:r>
      <w:r w:rsidRPr="00C1255F">
        <w:rPr>
          <w:color w:val="000000" w:themeColor="text1"/>
          <w:sz w:val="22"/>
          <w:szCs w:val="22"/>
        </w:rPr>
        <w:t>&lt;</w:t>
      </w:r>
      <w:r w:rsidR="00CF3D4E" w:rsidRPr="00C1255F">
        <w:rPr>
          <w:color w:val="000000" w:themeColor="text1"/>
          <w:sz w:val="22"/>
          <w:szCs w:val="22"/>
        </w:rPr>
        <w:t xml:space="preserve"> </w:t>
      </w:r>
      <w:r w:rsidRPr="00C1255F">
        <w:rPr>
          <w:color w:val="000000" w:themeColor="text1"/>
          <w:sz w:val="22"/>
          <w:szCs w:val="22"/>
        </w:rPr>
        <w:t>0.001) likely reflects cumulative antibiotic exposure over a lifetime and age-related immune senescence (Gavazzi and Krause, 2002).</w:t>
      </w:r>
    </w:p>
    <w:p w14:paraId="7583B7E5" w14:textId="12B84A3A" w:rsidR="00E96123" w:rsidRPr="00C1255F" w:rsidRDefault="00E96123" w:rsidP="00761CB8">
      <w:pPr>
        <w:pStyle w:val="ds-markdown-paragraph"/>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t>The 100</w:t>
      </w:r>
      <w:r w:rsidR="00CF3D4E" w:rsidRPr="00C1255F">
        <w:rPr>
          <w:color w:val="000000" w:themeColor="text1"/>
          <w:sz w:val="22"/>
          <w:szCs w:val="22"/>
        </w:rPr>
        <w:t xml:space="preserve"> </w:t>
      </w:r>
      <w:r w:rsidRPr="00C1255F">
        <w:rPr>
          <w:color w:val="000000" w:themeColor="text1"/>
          <w:sz w:val="22"/>
          <w:szCs w:val="22"/>
        </w:rPr>
        <w:t>% resistance to carbapenems among MBL-producers confirms the clinical relevance of these enzymes and severely limits treatment options. This finding aligns with studies from Egypt (Edward et al., 2024), Iran (</w:t>
      </w:r>
      <w:proofErr w:type="spellStart"/>
      <w:r w:rsidRPr="00C1255F">
        <w:rPr>
          <w:color w:val="000000" w:themeColor="text1"/>
          <w:sz w:val="22"/>
          <w:szCs w:val="22"/>
        </w:rPr>
        <w:t>Safarirad</w:t>
      </w:r>
      <w:proofErr w:type="spellEnd"/>
      <w:r w:rsidRPr="00C1255F">
        <w:rPr>
          <w:color w:val="000000" w:themeColor="text1"/>
          <w:sz w:val="22"/>
          <w:szCs w:val="22"/>
        </w:rPr>
        <w:t xml:space="preserve"> et al., 2021), and India (Chand et al., 2024), where MBL production universally confers carbapenem resistance. The complete resistance to amoxicillin-clavulanic acid and cefoxitin reflects the broad hydrolytic activity of MBLs against </w:t>
      </w:r>
      <w:proofErr w:type="spellStart"/>
      <w:r w:rsidRPr="00C1255F">
        <w:rPr>
          <w:color w:val="000000" w:themeColor="text1"/>
          <w:sz w:val="22"/>
          <w:szCs w:val="22"/>
        </w:rPr>
        <w:t>penicillins</w:t>
      </w:r>
      <w:proofErr w:type="spellEnd"/>
      <w:r w:rsidRPr="00C1255F">
        <w:rPr>
          <w:color w:val="000000" w:themeColor="text1"/>
          <w:sz w:val="22"/>
          <w:szCs w:val="22"/>
        </w:rPr>
        <w:t xml:space="preserve"> and cephalosporins (Walsh et al., 2005).</w:t>
      </w:r>
    </w:p>
    <w:p w14:paraId="5932B1DE" w14:textId="153BA43C" w:rsidR="00E96123" w:rsidRPr="00C1255F" w:rsidRDefault="00E96123" w:rsidP="00761CB8">
      <w:pPr>
        <w:pStyle w:val="ds-markdown-paragraph"/>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lastRenderedPageBreak/>
        <w:t>Encouragingly, gentamicin retained high activity against MBL-producers (88.24-94.44</w:t>
      </w:r>
      <w:r w:rsidR="00CF3D4E" w:rsidRPr="00C1255F">
        <w:rPr>
          <w:color w:val="000000" w:themeColor="text1"/>
          <w:sz w:val="22"/>
          <w:szCs w:val="22"/>
        </w:rPr>
        <w:t xml:space="preserve"> </w:t>
      </w:r>
      <w:r w:rsidRPr="00C1255F">
        <w:rPr>
          <w:color w:val="000000" w:themeColor="text1"/>
          <w:sz w:val="22"/>
          <w:szCs w:val="22"/>
        </w:rPr>
        <w:t>% susceptibility), suggesting it remains a viable therapeutic option in this setting. This contrasts with studies from Egypt (Edward et al., 2024) and India (Chand et al., 2024) reporting gentamicin resistance rates exceeding 80</w:t>
      </w:r>
      <w:r w:rsidR="00CF3D4E" w:rsidRPr="00C1255F">
        <w:rPr>
          <w:color w:val="000000" w:themeColor="text1"/>
          <w:sz w:val="22"/>
          <w:szCs w:val="22"/>
        </w:rPr>
        <w:t xml:space="preserve"> </w:t>
      </w:r>
      <w:r w:rsidRPr="00C1255F">
        <w:rPr>
          <w:color w:val="000000" w:themeColor="text1"/>
          <w:sz w:val="22"/>
          <w:szCs w:val="22"/>
        </w:rPr>
        <w:t>%, highlighting geographical variations in resistance patterns and the importance of local susceptibility data. The retained activity of gentamicin may be explained by the absence of aminoglycoside-modifying enzymes commonly associated with MBL-encoding plasmids in this region (Tada et al., 2017).</w:t>
      </w:r>
    </w:p>
    <w:p w14:paraId="08DE7E39" w14:textId="172BF03F" w:rsidR="00E96123" w:rsidRPr="00C1255F" w:rsidRDefault="00E96123" w:rsidP="00761CB8">
      <w:pPr>
        <w:pStyle w:val="ds-markdown-paragraph"/>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t xml:space="preserve">The high MAR indices </w:t>
      </w:r>
      <w:r w:rsidR="00CF3D4E" w:rsidRPr="00C1255F">
        <w:rPr>
          <w:color w:val="000000" w:themeColor="text1"/>
          <w:sz w:val="22"/>
          <w:szCs w:val="22"/>
        </w:rPr>
        <w:t xml:space="preserve">of </w:t>
      </w:r>
      <w:r w:rsidRPr="00C1255F">
        <w:rPr>
          <w:color w:val="000000" w:themeColor="text1"/>
          <w:sz w:val="22"/>
          <w:szCs w:val="22"/>
        </w:rPr>
        <w:t>(0.47-0.83) far exceeding the 0.2 threshold confirm that these isolates originated from high-risk sources where antibiotics are heavily used (</w:t>
      </w:r>
      <w:proofErr w:type="spellStart"/>
      <w:r w:rsidR="00983C67" w:rsidRPr="00C1255F">
        <w:rPr>
          <w:color w:val="000000" w:themeColor="text1"/>
          <w:sz w:val="22"/>
          <w:szCs w:val="22"/>
        </w:rPr>
        <w:t>Nomeh</w:t>
      </w:r>
      <w:proofErr w:type="spellEnd"/>
      <w:r w:rsidR="00983C67" w:rsidRPr="00C1255F">
        <w:rPr>
          <w:color w:val="000000" w:themeColor="text1"/>
          <w:sz w:val="22"/>
          <w:szCs w:val="22"/>
        </w:rPr>
        <w:t xml:space="preserve"> </w:t>
      </w:r>
      <w:r w:rsidR="00983C67" w:rsidRPr="00C1255F">
        <w:rPr>
          <w:i/>
          <w:color w:val="000000" w:themeColor="text1"/>
          <w:sz w:val="22"/>
          <w:szCs w:val="22"/>
        </w:rPr>
        <w:t>et al.,</w:t>
      </w:r>
      <w:r w:rsidR="00590665" w:rsidRPr="00C1255F">
        <w:rPr>
          <w:color w:val="000000" w:themeColor="text1"/>
          <w:sz w:val="22"/>
          <w:szCs w:val="22"/>
        </w:rPr>
        <w:t xml:space="preserve"> 2025</w:t>
      </w:r>
      <w:r w:rsidRPr="00C1255F">
        <w:rPr>
          <w:color w:val="000000" w:themeColor="text1"/>
          <w:sz w:val="22"/>
          <w:szCs w:val="22"/>
        </w:rPr>
        <w:t>). The significantly higher MAR index in outpatient isolates (0.78 vs. 0.69; p</w:t>
      </w:r>
      <w:r w:rsidR="00CF3D4E" w:rsidRPr="00C1255F">
        <w:rPr>
          <w:color w:val="000000" w:themeColor="text1"/>
          <w:sz w:val="22"/>
          <w:szCs w:val="22"/>
        </w:rPr>
        <w:t xml:space="preserve"> </w:t>
      </w:r>
      <w:r w:rsidRPr="00C1255F">
        <w:rPr>
          <w:color w:val="000000" w:themeColor="text1"/>
          <w:sz w:val="22"/>
          <w:szCs w:val="22"/>
        </w:rPr>
        <w:t>=</w:t>
      </w:r>
      <w:r w:rsidR="00CF3D4E" w:rsidRPr="00C1255F">
        <w:rPr>
          <w:color w:val="000000" w:themeColor="text1"/>
          <w:sz w:val="22"/>
          <w:szCs w:val="22"/>
        </w:rPr>
        <w:t xml:space="preserve"> </w:t>
      </w:r>
      <w:r w:rsidRPr="00C1255F">
        <w:rPr>
          <w:color w:val="000000" w:themeColor="text1"/>
          <w:sz w:val="22"/>
          <w:szCs w:val="22"/>
        </w:rPr>
        <w:t>0.034) suggests that community antibiotic misuse may be driving more extensive resistance than hospital antibiotic stewardship programs. This finding is particularly concerning given the limited regulatory oversight of antibiotic sales in Nigerian community pharmacies and medicine vendors (</w:t>
      </w:r>
      <w:proofErr w:type="spellStart"/>
      <w:r w:rsidRPr="00C1255F">
        <w:rPr>
          <w:color w:val="000000" w:themeColor="text1"/>
          <w:sz w:val="22"/>
          <w:szCs w:val="22"/>
        </w:rPr>
        <w:t>Ayukekbong</w:t>
      </w:r>
      <w:proofErr w:type="spellEnd"/>
      <w:r w:rsidRPr="00C1255F">
        <w:rPr>
          <w:color w:val="000000" w:themeColor="text1"/>
          <w:sz w:val="22"/>
          <w:szCs w:val="22"/>
        </w:rPr>
        <w:t xml:space="preserve"> et al., 2017).</w:t>
      </w:r>
    </w:p>
    <w:p w14:paraId="5A9D0BC0" w14:textId="5F7781A8" w:rsidR="00E96123" w:rsidRPr="00C1255F" w:rsidRDefault="00E96123" w:rsidP="00761CB8">
      <w:pPr>
        <w:pStyle w:val="ds-markdown-paragraph"/>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t>The predominance of urine samples among MBL-producers (92.45</w:t>
      </w:r>
      <w:r w:rsidR="00CF3D4E" w:rsidRPr="00C1255F">
        <w:rPr>
          <w:color w:val="000000" w:themeColor="text1"/>
          <w:sz w:val="22"/>
          <w:szCs w:val="22"/>
        </w:rPr>
        <w:t xml:space="preserve"> </w:t>
      </w:r>
      <w:r w:rsidRPr="00C1255F">
        <w:rPr>
          <w:color w:val="000000" w:themeColor="text1"/>
          <w:sz w:val="22"/>
          <w:szCs w:val="22"/>
        </w:rPr>
        <w:t>%) underscores the urinary tract as a major reservoir for resistant </w:t>
      </w:r>
      <w:r w:rsidRPr="00C1255F">
        <w:rPr>
          <w:rStyle w:val="Emphasis"/>
          <w:rFonts w:eastAsiaTheme="majorEastAsia"/>
          <w:color w:val="000000" w:themeColor="text1"/>
          <w:sz w:val="22"/>
          <w:szCs w:val="22"/>
        </w:rPr>
        <w:t>P. aeruginosa</w:t>
      </w:r>
      <w:r w:rsidRPr="00C1255F">
        <w:rPr>
          <w:color w:val="000000" w:themeColor="text1"/>
          <w:sz w:val="22"/>
          <w:szCs w:val="22"/>
        </w:rPr>
        <w:t>. This finding has important implications for empirical treatment of community-acquired urinary tract infections, where carbapenems should be reserved for confirmed cases based on susceptibility testing (Gupta et al., 2011). The high prevalence in urine samples may also reflect the ease of sample collection and the frequency of urinary tract infections in the study population.</w:t>
      </w:r>
    </w:p>
    <w:p w14:paraId="55D8A3AF" w14:textId="5C5B16CA" w:rsidR="00E96123" w:rsidRPr="00C1255F" w:rsidRDefault="00E96123" w:rsidP="00761CB8">
      <w:pPr>
        <w:pStyle w:val="ds-markdown-paragraph"/>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t>The higher isolation rate of </w:t>
      </w:r>
      <w:r w:rsidRPr="00C1255F">
        <w:rPr>
          <w:rStyle w:val="Emphasis"/>
          <w:rFonts w:eastAsiaTheme="majorEastAsia"/>
          <w:color w:val="000000" w:themeColor="text1"/>
          <w:sz w:val="22"/>
          <w:szCs w:val="22"/>
        </w:rPr>
        <w:t>P. aeruginosa</w:t>
      </w:r>
      <w:r w:rsidRPr="00C1255F">
        <w:rPr>
          <w:color w:val="000000" w:themeColor="text1"/>
          <w:sz w:val="22"/>
          <w:szCs w:val="22"/>
        </w:rPr>
        <w:t> from inpatients (40.14</w:t>
      </w:r>
      <w:r w:rsidR="00CF3D4E" w:rsidRPr="00C1255F">
        <w:rPr>
          <w:color w:val="000000" w:themeColor="text1"/>
          <w:sz w:val="22"/>
          <w:szCs w:val="22"/>
        </w:rPr>
        <w:t xml:space="preserve"> </w:t>
      </w:r>
      <w:r w:rsidRPr="00C1255F">
        <w:rPr>
          <w:color w:val="000000" w:themeColor="text1"/>
          <w:sz w:val="22"/>
          <w:szCs w:val="22"/>
        </w:rPr>
        <w:t>%) compared to outpatients (28.46</w:t>
      </w:r>
      <w:r w:rsidR="00CF3D4E" w:rsidRPr="00C1255F">
        <w:rPr>
          <w:color w:val="000000" w:themeColor="text1"/>
          <w:sz w:val="22"/>
          <w:szCs w:val="22"/>
        </w:rPr>
        <w:t xml:space="preserve"> </w:t>
      </w:r>
      <w:r w:rsidRPr="00C1255F">
        <w:rPr>
          <w:color w:val="000000" w:themeColor="text1"/>
          <w:sz w:val="22"/>
          <w:szCs w:val="22"/>
        </w:rPr>
        <w:t>%) is expected given the hospital environment's role in nosocomial transmission (Yoon and Jeong, 2021). However, the higher proportion of MBL-producers among outpatient </w:t>
      </w:r>
      <w:r w:rsidRPr="00C1255F">
        <w:rPr>
          <w:rStyle w:val="Emphasis"/>
          <w:rFonts w:eastAsiaTheme="majorEastAsia"/>
          <w:color w:val="000000" w:themeColor="text1"/>
          <w:sz w:val="22"/>
          <w:szCs w:val="22"/>
        </w:rPr>
        <w:t>P. aeruginosa</w:t>
      </w:r>
      <w:r w:rsidRPr="00C1255F">
        <w:rPr>
          <w:color w:val="000000" w:themeColor="text1"/>
          <w:sz w:val="22"/>
          <w:szCs w:val="22"/>
        </w:rPr>
        <w:t> isolates (50.0</w:t>
      </w:r>
      <w:r w:rsidR="00CF3D4E" w:rsidRPr="00C1255F">
        <w:rPr>
          <w:color w:val="000000" w:themeColor="text1"/>
          <w:sz w:val="22"/>
          <w:szCs w:val="22"/>
        </w:rPr>
        <w:t xml:space="preserve"> </w:t>
      </w:r>
      <w:r w:rsidRPr="00C1255F">
        <w:rPr>
          <w:color w:val="000000" w:themeColor="text1"/>
          <w:sz w:val="22"/>
          <w:szCs w:val="22"/>
        </w:rPr>
        <w:t>% vs. 28.8</w:t>
      </w:r>
      <w:r w:rsidR="00CF3D4E" w:rsidRPr="00C1255F">
        <w:rPr>
          <w:color w:val="000000" w:themeColor="text1"/>
          <w:sz w:val="22"/>
          <w:szCs w:val="22"/>
        </w:rPr>
        <w:t xml:space="preserve"> </w:t>
      </w:r>
      <w:r w:rsidRPr="00C1255F">
        <w:rPr>
          <w:color w:val="000000" w:themeColor="text1"/>
          <w:sz w:val="22"/>
          <w:szCs w:val="22"/>
        </w:rPr>
        <w:t>%) suggests that once these resistant strains enter the community, they may become established and circulate more widely than in the controlled hospital environment.</w:t>
      </w:r>
    </w:p>
    <w:p w14:paraId="730C4FBB" w14:textId="77777777" w:rsidR="00E96123" w:rsidRPr="00C1255F" w:rsidRDefault="00E96123" w:rsidP="00761CB8">
      <w:pPr>
        <w:pStyle w:val="ds-markdown-paragraph"/>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t>The complete absence of MBL-producers in the pediatric age group (1-15 years) is noteworthy and may reflect lower cumulative antibiotic exposure, different healthcare-seeking behaviors, or physiological factors that reduce susceptibility to colonization (Bryce et al., 2016). However, the small number of </w:t>
      </w:r>
      <w:r w:rsidRPr="00C1255F">
        <w:rPr>
          <w:rStyle w:val="Emphasis"/>
          <w:rFonts w:eastAsiaTheme="majorEastAsia"/>
          <w:color w:val="000000" w:themeColor="text1"/>
          <w:sz w:val="22"/>
          <w:szCs w:val="22"/>
        </w:rPr>
        <w:t>P. aeruginosa</w:t>
      </w:r>
      <w:r w:rsidRPr="00C1255F">
        <w:rPr>
          <w:color w:val="000000" w:themeColor="text1"/>
          <w:sz w:val="22"/>
          <w:szCs w:val="22"/>
        </w:rPr>
        <w:t> isolates from this age group (n=8) limits definitive conclusions.</w:t>
      </w:r>
    </w:p>
    <w:p w14:paraId="67189DEF" w14:textId="77777777" w:rsidR="009E36C5" w:rsidRPr="00C1255F" w:rsidRDefault="009E36C5" w:rsidP="006E6A2B">
      <w:pPr>
        <w:pStyle w:val="Heading2"/>
        <w:shd w:val="clear" w:color="auto" w:fill="FFFFFF"/>
        <w:spacing w:before="0"/>
        <w:jc w:val="both"/>
        <w:rPr>
          <w:rFonts w:ascii="Times New Roman" w:hAnsi="Times New Roman" w:cs="Times New Roman"/>
          <w:b/>
          <w:color w:val="000000" w:themeColor="text1"/>
          <w:sz w:val="22"/>
          <w:szCs w:val="22"/>
        </w:rPr>
      </w:pPr>
      <w:r w:rsidRPr="00C1255F">
        <w:rPr>
          <w:rFonts w:ascii="Times New Roman" w:hAnsi="Times New Roman" w:cs="Times New Roman"/>
          <w:b/>
          <w:color w:val="000000" w:themeColor="text1"/>
          <w:sz w:val="22"/>
          <w:szCs w:val="22"/>
        </w:rPr>
        <w:t>CONCLUSION</w:t>
      </w:r>
    </w:p>
    <w:p w14:paraId="366FDA54" w14:textId="56F04761" w:rsidR="009E36C5" w:rsidRPr="00C1255F" w:rsidRDefault="009E36C5" w:rsidP="006E6A2B">
      <w:pPr>
        <w:pStyle w:val="ds-markdown-paragraph"/>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t>This study reveals alarming community dissemination of MBL-producing </w:t>
      </w:r>
      <w:r w:rsidRPr="00C1255F">
        <w:rPr>
          <w:rStyle w:val="Emphasis"/>
          <w:rFonts w:eastAsiaTheme="majorEastAsia"/>
          <w:color w:val="000000" w:themeColor="text1"/>
          <w:sz w:val="22"/>
          <w:szCs w:val="22"/>
        </w:rPr>
        <w:t>Pseudomonas aeruginosa</w:t>
      </w:r>
      <w:r w:rsidRPr="00C1255F">
        <w:rPr>
          <w:color w:val="000000" w:themeColor="text1"/>
          <w:sz w:val="22"/>
          <w:szCs w:val="22"/>
        </w:rPr>
        <w:t> in Southeast Nigeria, with outpatients demonstrating higher prevalence (14.23</w:t>
      </w:r>
      <w:r w:rsidR="00E42BA3" w:rsidRPr="00C1255F">
        <w:rPr>
          <w:color w:val="000000" w:themeColor="text1"/>
          <w:sz w:val="22"/>
          <w:szCs w:val="22"/>
        </w:rPr>
        <w:t xml:space="preserve"> </w:t>
      </w:r>
      <w:r w:rsidRPr="00C1255F">
        <w:rPr>
          <w:color w:val="000000" w:themeColor="text1"/>
          <w:sz w:val="22"/>
          <w:szCs w:val="22"/>
        </w:rPr>
        <w:t>%) and broader resistance profiles than inpatients. Female gender (17.65</w:t>
      </w:r>
      <w:r w:rsidR="00E42BA3" w:rsidRPr="00C1255F">
        <w:rPr>
          <w:color w:val="000000" w:themeColor="text1"/>
          <w:sz w:val="22"/>
          <w:szCs w:val="22"/>
        </w:rPr>
        <w:t xml:space="preserve"> </w:t>
      </w:r>
      <w:r w:rsidRPr="00C1255F">
        <w:rPr>
          <w:color w:val="000000" w:themeColor="text1"/>
          <w:sz w:val="22"/>
          <w:szCs w:val="22"/>
        </w:rPr>
        <w:t>%; p=0.003) and age ≥</w:t>
      </w:r>
      <w:r w:rsidR="00E42BA3" w:rsidRPr="00C1255F">
        <w:rPr>
          <w:color w:val="000000" w:themeColor="text1"/>
          <w:sz w:val="22"/>
          <w:szCs w:val="22"/>
        </w:rPr>
        <w:t xml:space="preserve"> </w:t>
      </w:r>
      <w:r w:rsidRPr="00C1255F">
        <w:rPr>
          <w:color w:val="000000" w:themeColor="text1"/>
          <w:sz w:val="22"/>
          <w:szCs w:val="22"/>
        </w:rPr>
        <w:t>46 years (23.26</w:t>
      </w:r>
      <w:r w:rsidR="00E42BA3" w:rsidRPr="00C1255F">
        <w:rPr>
          <w:color w:val="000000" w:themeColor="text1"/>
          <w:sz w:val="22"/>
          <w:szCs w:val="22"/>
        </w:rPr>
        <w:t xml:space="preserve"> </w:t>
      </w:r>
      <w:r w:rsidRPr="00C1255F">
        <w:rPr>
          <w:color w:val="000000" w:themeColor="text1"/>
          <w:sz w:val="22"/>
          <w:szCs w:val="22"/>
        </w:rPr>
        <w:t>%; p</w:t>
      </w:r>
      <w:r w:rsidR="00E42BA3" w:rsidRPr="00C1255F">
        <w:rPr>
          <w:color w:val="000000" w:themeColor="text1"/>
          <w:sz w:val="22"/>
          <w:szCs w:val="22"/>
        </w:rPr>
        <w:t xml:space="preserve"> </w:t>
      </w:r>
      <w:r w:rsidRPr="00C1255F">
        <w:rPr>
          <w:color w:val="000000" w:themeColor="text1"/>
          <w:sz w:val="22"/>
          <w:szCs w:val="22"/>
        </w:rPr>
        <w:t>&lt;</w:t>
      </w:r>
      <w:r w:rsidR="00E42BA3" w:rsidRPr="00C1255F">
        <w:rPr>
          <w:color w:val="000000" w:themeColor="text1"/>
          <w:sz w:val="22"/>
          <w:szCs w:val="22"/>
        </w:rPr>
        <w:t xml:space="preserve"> </w:t>
      </w:r>
      <w:r w:rsidRPr="00C1255F">
        <w:rPr>
          <w:color w:val="000000" w:themeColor="text1"/>
          <w:sz w:val="22"/>
          <w:szCs w:val="22"/>
        </w:rPr>
        <w:t>0.001) were significant risk factors for MBL carriage. All MBL-producers exhibited 100</w:t>
      </w:r>
      <w:r w:rsidR="00E42BA3" w:rsidRPr="00C1255F">
        <w:rPr>
          <w:color w:val="000000" w:themeColor="text1"/>
          <w:sz w:val="22"/>
          <w:szCs w:val="22"/>
        </w:rPr>
        <w:t xml:space="preserve"> </w:t>
      </w:r>
      <w:r w:rsidRPr="00C1255F">
        <w:rPr>
          <w:color w:val="000000" w:themeColor="text1"/>
          <w:sz w:val="22"/>
          <w:szCs w:val="22"/>
        </w:rPr>
        <w:t>% carbapenem resistance, critically compromising treatment options, though gentamicin retained high susceptibility (88.24-94.44</w:t>
      </w:r>
      <w:r w:rsidR="00E42BA3" w:rsidRPr="00C1255F">
        <w:rPr>
          <w:color w:val="000000" w:themeColor="text1"/>
          <w:sz w:val="22"/>
          <w:szCs w:val="22"/>
        </w:rPr>
        <w:t xml:space="preserve"> </w:t>
      </w:r>
      <w:r w:rsidRPr="00C1255F">
        <w:rPr>
          <w:color w:val="000000" w:themeColor="text1"/>
          <w:sz w:val="22"/>
          <w:szCs w:val="22"/>
        </w:rPr>
        <w:t>%). Outpatient isolates showed significantly higher resistance to piperacillin-tazobactam (69.44</w:t>
      </w:r>
      <w:r w:rsidR="00E42BA3" w:rsidRPr="00C1255F">
        <w:rPr>
          <w:color w:val="000000" w:themeColor="text1"/>
          <w:sz w:val="22"/>
          <w:szCs w:val="22"/>
        </w:rPr>
        <w:t xml:space="preserve"> </w:t>
      </w:r>
      <w:r w:rsidRPr="00C1255F">
        <w:rPr>
          <w:color w:val="000000" w:themeColor="text1"/>
          <w:sz w:val="22"/>
          <w:szCs w:val="22"/>
        </w:rPr>
        <w:t xml:space="preserve">% </w:t>
      </w:r>
      <w:r w:rsidR="00445BD6" w:rsidRPr="00C1255F">
        <w:rPr>
          <w:color w:val="000000" w:themeColor="text1"/>
          <w:sz w:val="22"/>
          <w:szCs w:val="22"/>
        </w:rPr>
        <w:t xml:space="preserve">versus </w:t>
      </w:r>
      <w:r w:rsidRPr="00C1255F">
        <w:rPr>
          <w:color w:val="000000" w:themeColor="text1"/>
          <w:sz w:val="22"/>
          <w:szCs w:val="22"/>
        </w:rPr>
        <w:t>0</w:t>
      </w:r>
      <w:r w:rsidR="00E42BA3" w:rsidRPr="00C1255F">
        <w:rPr>
          <w:color w:val="000000" w:themeColor="text1"/>
          <w:sz w:val="22"/>
          <w:szCs w:val="22"/>
        </w:rPr>
        <w:t xml:space="preserve"> </w:t>
      </w:r>
      <w:r w:rsidRPr="00C1255F">
        <w:rPr>
          <w:color w:val="000000" w:themeColor="text1"/>
          <w:sz w:val="22"/>
          <w:szCs w:val="22"/>
        </w:rPr>
        <w:t>%; p</w:t>
      </w:r>
      <w:r w:rsidR="00E42BA3" w:rsidRPr="00C1255F">
        <w:rPr>
          <w:color w:val="000000" w:themeColor="text1"/>
          <w:sz w:val="22"/>
          <w:szCs w:val="22"/>
        </w:rPr>
        <w:t xml:space="preserve"> </w:t>
      </w:r>
      <w:r w:rsidRPr="00C1255F">
        <w:rPr>
          <w:color w:val="000000" w:themeColor="text1"/>
          <w:sz w:val="22"/>
          <w:szCs w:val="22"/>
        </w:rPr>
        <w:t>&lt;</w:t>
      </w:r>
      <w:r w:rsidR="00E42BA3" w:rsidRPr="00C1255F">
        <w:rPr>
          <w:color w:val="000000" w:themeColor="text1"/>
          <w:sz w:val="22"/>
          <w:szCs w:val="22"/>
        </w:rPr>
        <w:t xml:space="preserve"> </w:t>
      </w:r>
      <w:r w:rsidRPr="00C1255F">
        <w:rPr>
          <w:color w:val="000000" w:themeColor="text1"/>
          <w:sz w:val="22"/>
          <w:szCs w:val="22"/>
        </w:rPr>
        <w:t>0.001) and ciprofloxacin (72.22</w:t>
      </w:r>
      <w:r w:rsidR="00E42BA3" w:rsidRPr="00C1255F">
        <w:rPr>
          <w:color w:val="000000" w:themeColor="text1"/>
          <w:sz w:val="22"/>
          <w:szCs w:val="22"/>
        </w:rPr>
        <w:t xml:space="preserve"> </w:t>
      </w:r>
      <w:r w:rsidRPr="00C1255F">
        <w:rPr>
          <w:color w:val="000000" w:themeColor="text1"/>
          <w:sz w:val="22"/>
          <w:szCs w:val="22"/>
        </w:rPr>
        <w:t>% v</w:t>
      </w:r>
      <w:r w:rsidR="00445BD6" w:rsidRPr="00C1255F">
        <w:rPr>
          <w:color w:val="000000" w:themeColor="text1"/>
          <w:sz w:val="22"/>
          <w:szCs w:val="22"/>
        </w:rPr>
        <w:t>er</w:t>
      </w:r>
      <w:r w:rsidRPr="00C1255F">
        <w:rPr>
          <w:color w:val="000000" w:themeColor="text1"/>
          <w:sz w:val="22"/>
          <w:szCs w:val="22"/>
        </w:rPr>
        <w:t>s</w:t>
      </w:r>
      <w:r w:rsidR="00445BD6" w:rsidRPr="00C1255F">
        <w:rPr>
          <w:color w:val="000000" w:themeColor="text1"/>
          <w:sz w:val="22"/>
          <w:szCs w:val="22"/>
        </w:rPr>
        <w:t>us</w:t>
      </w:r>
      <w:r w:rsidRPr="00C1255F">
        <w:rPr>
          <w:color w:val="000000" w:themeColor="text1"/>
          <w:sz w:val="22"/>
          <w:szCs w:val="22"/>
        </w:rPr>
        <w:t xml:space="preserve"> 23.53</w:t>
      </w:r>
      <w:r w:rsidR="00E42BA3" w:rsidRPr="00C1255F">
        <w:rPr>
          <w:color w:val="000000" w:themeColor="text1"/>
          <w:sz w:val="22"/>
          <w:szCs w:val="22"/>
        </w:rPr>
        <w:t xml:space="preserve"> </w:t>
      </w:r>
      <w:r w:rsidRPr="00C1255F">
        <w:rPr>
          <w:color w:val="000000" w:themeColor="text1"/>
          <w:sz w:val="22"/>
          <w:szCs w:val="22"/>
        </w:rPr>
        <w:t>%; p</w:t>
      </w:r>
      <w:r w:rsidR="00E42BA3" w:rsidRPr="00C1255F">
        <w:rPr>
          <w:color w:val="000000" w:themeColor="text1"/>
          <w:sz w:val="22"/>
          <w:szCs w:val="22"/>
        </w:rPr>
        <w:t xml:space="preserve"> </w:t>
      </w:r>
      <w:r w:rsidRPr="00C1255F">
        <w:rPr>
          <w:color w:val="000000" w:themeColor="text1"/>
          <w:sz w:val="22"/>
          <w:szCs w:val="22"/>
        </w:rPr>
        <w:t>&lt;</w:t>
      </w:r>
      <w:r w:rsidR="00E42BA3" w:rsidRPr="00C1255F">
        <w:rPr>
          <w:color w:val="000000" w:themeColor="text1"/>
          <w:sz w:val="22"/>
          <w:szCs w:val="22"/>
        </w:rPr>
        <w:t xml:space="preserve"> </w:t>
      </w:r>
      <w:r w:rsidRPr="00C1255F">
        <w:rPr>
          <w:color w:val="000000" w:themeColor="text1"/>
          <w:sz w:val="22"/>
          <w:szCs w:val="22"/>
        </w:rPr>
        <w:t>0.01) compared to inpatient isolates. MAR indices (0.47-0.83) confirmed origin from high-risk sources. These findings necessitate urgent community-based antimicrobial stewardship programs, enhanced surveillance beyond hospital settings, and gender- and age-targeted interventions to curb the silent spread of MBL-producing organisms in Nigerian communities.</w:t>
      </w:r>
    </w:p>
    <w:p w14:paraId="4500DB3A" w14:textId="77777777" w:rsidR="00481E50" w:rsidRPr="00C1255F" w:rsidRDefault="00481E50" w:rsidP="00481E50">
      <w:pPr>
        <w:pStyle w:val="Heading3"/>
        <w:shd w:val="clear" w:color="auto" w:fill="FFFFFF"/>
        <w:spacing w:before="0"/>
        <w:jc w:val="both"/>
        <w:rPr>
          <w:rFonts w:ascii="Times New Roman" w:hAnsi="Times New Roman" w:cs="Times New Roman"/>
          <w:b/>
          <w:color w:val="000000" w:themeColor="text1"/>
          <w:sz w:val="22"/>
          <w:szCs w:val="22"/>
        </w:rPr>
      </w:pPr>
      <w:r w:rsidRPr="00C1255F">
        <w:rPr>
          <w:rFonts w:ascii="Times New Roman" w:hAnsi="Times New Roman" w:cs="Times New Roman"/>
          <w:b/>
          <w:color w:val="000000" w:themeColor="text1"/>
          <w:sz w:val="22"/>
          <w:szCs w:val="22"/>
        </w:rPr>
        <w:t>Limitations</w:t>
      </w:r>
    </w:p>
    <w:p w14:paraId="4CE707A0" w14:textId="77777777" w:rsidR="00481E50" w:rsidRPr="00C1255F" w:rsidRDefault="00481E50" w:rsidP="00481E50">
      <w:pPr>
        <w:pStyle w:val="ds-markdown-paragraph"/>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t>This study has several limitations. First, it was conducted at a single tertiary hospital, limiting broader relevance to other regions. Second, molecular characterization of MBL genes was not included in this comparative analysis. Third, detailed antibiotic exposure history was not systematically collected from all patients. Fourth, the cross-sectional design precludes assessment of temporal trends. Fifth, the relatively small number of non-urine samples limits subgroup analyses by specimen type. Sixth, environmental and household transmission studies were not conducted to trace community sources of MBL-producing organisms.</w:t>
      </w:r>
    </w:p>
    <w:p w14:paraId="119CBCBA" w14:textId="77777777" w:rsidR="00481E50" w:rsidRPr="00C1255F" w:rsidRDefault="00481E50" w:rsidP="006E6A2B">
      <w:pPr>
        <w:pStyle w:val="ds-markdown-paragraph"/>
        <w:shd w:val="clear" w:color="auto" w:fill="FFFFFF"/>
        <w:spacing w:before="0" w:beforeAutospacing="0" w:after="0" w:afterAutospacing="0"/>
        <w:jc w:val="both"/>
        <w:rPr>
          <w:color w:val="000000" w:themeColor="text1"/>
          <w:sz w:val="22"/>
          <w:szCs w:val="22"/>
        </w:rPr>
      </w:pPr>
    </w:p>
    <w:p w14:paraId="7C178FB2" w14:textId="77777777" w:rsidR="00E96123" w:rsidRPr="00C1255F" w:rsidRDefault="00E96123" w:rsidP="00296EF6">
      <w:pPr>
        <w:spacing w:after="0"/>
        <w:jc w:val="both"/>
        <w:rPr>
          <w:rFonts w:ascii="Times New Roman" w:hAnsi="Times New Roman" w:cs="Times New Roman"/>
          <w:color w:val="000000" w:themeColor="text1"/>
          <w:sz w:val="18"/>
          <w:szCs w:val="18"/>
        </w:rPr>
      </w:pPr>
    </w:p>
    <w:p w14:paraId="64E1C3F5" w14:textId="77777777" w:rsidR="000A4AA1" w:rsidRPr="00C1255F" w:rsidRDefault="000A4AA1" w:rsidP="000A4AA1">
      <w:pPr>
        <w:pStyle w:val="Heading2"/>
        <w:shd w:val="clear" w:color="auto" w:fill="FFFFFF"/>
        <w:spacing w:before="0"/>
        <w:jc w:val="both"/>
        <w:rPr>
          <w:rFonts w:ascii="Times New Roman" w:hAnsi="Times New Roman" w:cs="Times New Roman"/>
          <w:b/>
          <w:color w:val="000000" w:themeColor="text1"/>
          <w:sz w:val="22"/>
          <w:szCs w:val="22"/>
          <w:shd w:val="clear" w:color="auto" w:fill="FFFFFF"/>
        </w:rPr>
      </w:pPr>
      <w:r w:rsidRPr="00C1255F">
        <w:rPr>
          <w:rFonts w:ascii="Times New Roman" w:hAnsi="Times New Roman" w:cs="Times New Roman"/>
          <w:b/>
          <w:color w:val="000000" w:themeColor="text1"/>
          <w:sz w:val="22"/>
          <w:szCs w:val="22"/>
          <w:shd w:val="clear" w:color="auto" w:fill="FFFFFF"/>
        </w:rPr>
        <w:lastRenderedPageBreak/>
        <w:t>Disclaimer (Artificial Intelligence)</w:t>
      </w:r>
    </w:p>
    <w:p w14:paraId="44278404" w14:textId="77777777" w:rsidR="000A4AA1" w:rsidRPr="00C1255F" w:rsidRDefault="000A4AA1" w:rsidP="000A4AA1">
      <w:pPr>
        <w:pStyle w:val="Heading2"/>
        <w:shd w:val="clear" w:color="auto" w:fill="FFFFFF"/>
        <w:spacing w:before="0"/>
        <w:jc w:val="both"/>
        <w:rPr>
          <w:rFonts w:ascii="Times New Roman" w:hAnsi="Times New Roman" w:cs="Times New Roman"/>
          <w:color w:val="000000" w:themeColor="text1"/>
          <w:sz w:val="22"/>
          <w:szCs w:val="22"/>
          <w:shd w:val="clear" w:color="auto" w:fill="FFFFFF"/>
        </w:rPr>
      </w:pPr>
      <w:r w:rsidRPr="00C1255F">
        <w:rPr>
          <w:rFonts w:ascii="Times New Roman" w:hAnsi="Times New Roman" w:cs="Times New Roman"/>
          <w:color w:val="000000" w:themeColor="text1"/>
          <w:sz w:val="22"/>
          <w:szCs w:val="22"/>
          <w:shd w:val="clear" w:color="auto" w:fill="FFFFFF"/>
        </w:rPr>
        <w:t>Author(s)  hereby  declare  that  NO  generative  AI  technologies  such  as  Large  Language  Models  (</w:t>
      </w:r>
      <w:proofErr w:type="spellStart"/>
      <w:r w:rsidRPr="00C1255F">
        <w:rPr>
          <w:rFonts w:ascii="Times New Roman" w:hAnsi="Times New Roman" w:cs="Times New Roman"/>
          <w:color w:val="000000" w:themeColor="text1"/>
          <w:sz w:val="22"/>
          <w:szCs w:val="22"/>
          <w:shd w:val="clear" w:color="auto" w:fill="FFFFFF"/>
        </w:rPr>
        <w:t>ChatGPT</w:t>
      </w:r>
      <w:proofErr w:type="spellEnd"/>
      <w:r w:rsidRPr="00C1255F">
        <w:rPr>
          <w:rFonts w:ascii="Times New Roman" w:hAnsi="Times New Roman" w:cs="Times New Roman"/>
          <w:color w:val="000000" w:themeColor="text1"/>
          <w:sz w:val="22"/>
          <w:szCs w:val="22"/>
          <w:shd w:val="clear" w:color="auto" w:fill="FFFFFF"/>
        </w:rPr>
        <w:t xml:space="preserve">, COPILOT, </w:t>
      </w:r>
      <w:proofErr w:type="spellStart"/>
      <w:r w:rsidRPr="00C1255F">
        <w:rPr>
          <w:rFonts w:ascii="Times New Roman" w:hAnsi="Times New Roman" w:cs="Times New Roman"/>
          <w:color w:val="000000" w:themeColor="text1"/>
          <w:sz w:val="22"/>
          <w:szCs w:val="22"/>
          <w:shd w:val="clear" w:color="auto" w:fill="FFFFFF"/>
        </w:rPr>
        <w:t>etc</w:t>
      </w:r>
      <w:proofErr w:type="spellEnd"/>
      <w:r w:rsidRPr="00C1255F">
        <w:rPr>
          <w:rFonts w:ascii="Times New Roman" w:hAnsi="Times New Roman" w:cs="Times New Roman"/>
          <w:color w:val="000000" w:themeColor="text1"/>
          <w:sz w:val="22"/>
          <w:szCs w:val="22"/>
          <w:shd w:val="clear" w:color="auto" w:fill="FFFFFF"/>
        </w:rPr>
        <w:t>) and text-to-image generators have been used during writing or editing of this manuscript</w:t>
      </w:r>
    </w:p>
    <w:p w14:paraId="59596F03" w14:textId="77777777" w:rsidR="006560BA" w:rsidRPr="00C1255F" w:rsidRDefault="006560BA" w:rsidP="006560BA">
      <w:pPr>
        <w:jc w:val="both"/>
        <w:outlineLvl w:val="0"/>
        <w:rPr>
          <w:rFonts w:ascii="Times New Roman" w:hAnsi="Times New Roman" w:cs="Times New Roman"/>
          <w:color w:val="000000" w:themeColor="text1"/>
        </w:rPr>
      </w:pPr>
      <w:r w:rsidRPr="00C1255F">
        <w:rPr>
          <w:rFonts w:ascii="Times New Roman" w:hAnsi="Times New Roman" w:cs="Times New Roman"/>
          <w:b/>
          <w:bCs/>
          <w:color w:val="000000" w:themeColor="text1"/>
        </w:rPr>
        <w:t>COMPETING INTERESTS DISCLAIMER:</w:t>
      </w:r>
    </w:p>
    <w:p w14:paraId="5704B2BC" w14:textId="77777777" w:rsidR="006560BA" w:rsidRPr="00C1255F" w:rsidRDefault="006560BA" w:rsidP="006560BA">
      <w:pPr>
        <w:rPr>
          <w:rFonts w:ascii="Times New Roman" w:hAnsi="Times New Roman" w:cs="Times New Roman"/>
          <w:color w:val="000000" w:themeColor="text1"/>
        </w:rPr>
      </w:pPr>
      <w:r w:rsidRPr="00C1255F">
        <w:rPr>
          <w:rFonts w:ascii="Times New Roman" w:hAnsi="Times New Roman" w:cs="Times New Roman"/>
          <w:color w:val="000000" w:themeColor="text1"/>
        </w:rPr>
        <w:t>Authors have declared that they have no known competing financial interests OR non-financial interests OR personal relationships that could have appeared to influence the work reported in this paper.</w:t>
      </w:r>
    </w:p>
    <w:p w14:paraId="45EFC2F9" w14:textId="77777777" w:rsidR="00481E50" w:rsidRPr="00C1255F" w:rsidRDefault="00481E50" w:rsidP="000A4AA1">
      <w:pPr>
        <w:rPr>
          <w:rFonts w:ascii="Times New Roman" w:hAnsi="Times New Roman" w:cs="Times New Roman"/>
          <w:color w:val="000000" w:themeColor="text1"/>
        </w:rPr>
      </w:pPr>
    </w:p>
    <w:p w14:paraId="2EF08EEF" w14:textId="77777777" w:rsidR="002D12B2" w:rsidRPr="00C1255F" w:rsidRDefault="002D12B2" w:rsidP="00296EF6">
      <w:pPr>
        <w:spacing w:after="0"/>
        <w:jc w:val="both"/>
        <w:rPr>
          <w:rFonts w:ascii="Times New Roman" w:hAnsi="Times New Roman" w:cs="Times New Roman"/>
          <w:color w:val="000000" w:themeColor="text1"/>
          <w:sz w:val="18"/>
          <w:szCs w:val="18"/>
        </w:rPr>
      </w:pPr>
    </w:p>
    <w:p w14:paraId="5DA8369F" w14:textId="77777777" w:rsidR="002D12B2" w:rsidRPr="00C1255F" w:rsidRDefault="002D12B2" w:rsidP="00296EF6">
      <w:pPr>
        <w:spacing w:after="0"/>
        <w:jc w:val="both"/>
        <w:rPr>
          <w:rFonts w:ascii="Times New Roman" w:hAnsi="Times New Roman" w:cs="Times New Roman"/>
          <w:color w:val="000000" w:themeColor="text1"/>
          <w:sz w:val="18"/>
          <w:szCs w:val="18"/>
        </w:rPr>
      </w:pPr>
    </w:p>
    <w:p w14:paraId="19445CC3" w14:textId="77777777" w:rsidR="002D12B2" w:rsidRPr="00C1255F" w:rsidRDefault="002D12B2" w:rsidP="00610874">
      <w:pPr>
        <w:pStyle w:val="Heading2"/>
        <w:shd w:val="clear" w:color="auto" w:fill="FFFFFF"/>
        <w:spacing w:before="0"/>
        <w:jc w:val="both"/>
        <w:rPr>
          <w:rFonts w:ascii="Times New Roman" w:hAnsi="Times New Roman" w:cs="Times New Roman"/>
          <w:b/>
          <w:color w:val="000000" w:themeColor="text1"/>
          <w:sz w:val="22"/>
          <w:szCs w:val="22"/>
        </w:rPr>
      </w:pPr>
      <w:r w:rsidRPr="00C1255F">
        <w:rPr>
          <w:rFonts w:ascii="Times New Roman" w:hAnsi="Times New Roman" w:cs="Times New Roman"/>
          <w:b/>
          <w:color w:val="000000" w:themeColor="text1"/>
          <w:sz w:val="22"/>
          <w:szCs w:val="22"/>
        </w:rPr>
        <w:t>REFERENCES</w:t>
      </w:r>
    </w:p>
    <w:p w14:paraId="1F4780D1" w14:textId="77777777" w:rsidR="001F31B1" w:rsidRPr="00C1255F" w:rsidRDefault="001F31B1" w:rsidP="00A1162F">
      <w:pPr>
        <w:pStyle w:val="ds-markdown-paragraph"/>
        <w:numPr>
          <w:ilvl w:val="0"/>
          <w:numId w:val="3"/>
        </w:numPr>
        <w:shd w:val="clear" w:color="auto" w:fill="FFFFFF"/>
        <w:spacing w:before="0" w:beforeAutospacing="0" w:after="0" w:afterAutospacing="0"/>
        <w:jc w:val="both"/>
        <w:rPr>
          <w:color w:val="000000" w:themeColor="text1"/>
          <w:sz w:val="22"/>
          <w:szCs w:val="22"/>
        </w:rPr>
      </w:pPr>
      <w:proofErr w:type="spellStart"/>
      <w:r w:rsidRPr="00C1255F">
        <w:rPr>
          <w:color w:val="000000" w:themeColor="text1"/>
          <w:sz w:val="22"/>
          <w:szCs w:val="22"/>
        </w:rPr>
        <w:t>Abdeta</w:t>
      </w:r>
      <w:proofErr w:type="spellEnd"/>
      <w:r w:rsidRPr="00C1255F">
        <w:rPr>
          <w:color w:val="000000" w:themeColor="text1"/>
          <w:sz w:val="22"/>
          <w:szCs w:val="22"/>
        </w:rPr>
        <w:t xml:space="preserve">, A., Negeri, A. A., Beyene, D., Adamu, E., </w:t>
      </w:r>
      <w:proofErr w:type="spellStart"/>
      <w:r w:rsidRPr="00C1255F">
        <w:rPr>
          <w:color w:val="000000" w:themeColor="text1"/>
          <w:sz w:val="22"/>
          <w:szCs w:val="22"/>
        </w:rPr>
        <w:t>Fekede</w:t>
      </w:r>
      <w:proofErr w:type="spellEnd"/>
      <w:r w:rsidRPr="00C1255F">
        <w:rPr>
          <w:color w:val="000000" w:themeColor="text1"/>
          <w:sz w:val="22"/>
          <w:szCs w:val="22"/>
        </w:rPr>
        <w:t xml:space="preserve">, E., </w:t>
      </w:r>
      <w:proofErr w:type="spellStart"/>
      <w:r w:rsidRPr="00C1255F">
        <w:rPr>
          <w:color w:val="000000" w:themeColor="text1"/>
          <w:sz w:val="22"/>
          <w:szCs w:val="22"/>
        </w:rPr>
        <w:t>Fentaw</w:t>
      </w:r>
      <w:proofErr w:type="spellEnd"/>
      <w:r w:rsidRPr="00C1255F">
        <w:rPr>
          <w:color w:val="000000" w:themeColor="text1"/>
          <w:sz w:val="22"/>
          <w:szCs w:val="22"/>
        </w:rPr>
        <w:t xml:space="preserve">, S., Tesfaye, M. and </w:t>
      </w:r>
      <w:proofErr w:type="spellStart"/>
      <w:r w:rsidRPr="00C1255F">
        <w:rPr>
          <w:color w:val="000000" w:themeColor="text1"/>
          <w:sz w:val="22"/>
          <w:szCs w:val="22"/>
        </w:rPr>
        <w:t>Wakoya</w:t>
      </w:r>
      <w:proofErr w:type="spellEnd"/>
      <w:r w:rsidRPr="00C1255F">
        <w:rPr>
          <w:color w:val="000000" w:themeColor="text1"/>
          <w:sz w:val="22"/>
          <w:szCs w:val="22"/>
        </w:rPr>
        <w:t>, G. K. (2023). Prevalence and Trends of Carbapenem-Resistant </w:t>
      </w:r>
      <w:r w:rsidRPr="00C1255F">
        <w:rPr>
          <w:rStyle w:val="Emphasis"/>
          <w:rFonts w:eastAsiaTheme="majorEastAsia"/>
          <w:color w:val="000000" w:themeColor="text1"/>
          <w:sz w:val="22"/>
          <w:szCs w:val="22"/>
        </w:rPr>
        <w:t>Pseudomonas aeruginosa</w:t>
      </w:r>
      <w:r w:rsidRPr="00C1255F">
        <w:rPr>
          <w:color w:val="000000" w:themeColor="text1"/>
          <w:sz w:val="22"/>
          <w:szCs w:val="22"/>
        </w:rPr>
        <w:t> and Acinetobacter Species isolated from clinical specimens at the Ethiopian Public Health Institute, Addis Ababa, Ethiopia: A Retrospective Analysis. </w:t>
      </w:r>
      <w:r w:rsidRPr="00C1255F">
        <w:rPr>
          <w:rStyle w:val="Emphasis"/>
          <w:rFonts w:eastAsiaTheme="majorEastAsia"/>
          <w:color w:val="000000" w:themeColor="text1"/>
          <w:sz w:val="22"/>
          <w:szCs w:val="22"/>
        </w:rPr>
        <w:t>Infection and Drug Resistance</w:t>
      </w:r>
      <w:r w:rsidRPr="00C1255F">
        <w:rPr>
          <w:color w:val="000000" w:themeColor="text1"/>
          <w:sz w:val="22"/>
          <w:szCs w:val="22"/>
        </w:rPr>
        <w:t>, 16:1381-1390.</w:t>
      </w:r>
    </w:p>
    <w:p w14:paraId="15258C73" w14:textId="77777777" w:rsidR="001F31B1" w:rsidRPr="00C1255F" w:rsidRDefault="001F31B1" w:rsidP="00A1162F">
      <w:pPr>
        <w:pStyle w:val="ds-markdown-paragraph"/>
        <w:numPr>
          <w:ilvl w:val="0"/>
          <w:numId w:val="3"/>
        </w:numPr>
        <w:shd w:val="clear" w:color="auto" w:fill="FFFFFF"/>
        <w:spacing w:before="0" w:beforeAutospacing="0" w:after="0" w:afterAutospacing="0"/>
        <w:jc w:val="both"/>
        <w:rPr>
          <w:color w:val="000000" w:themeColor="text1"/>
          <w:sz w:val="22"/>
          <w:szCs w:val="22"/>
        </w:rPr>
      </w:pPr>
      <w:proofErr w:type="spellStart"/>
      <w:r w:rsidRPr="00C1255F">
        <w:rPr>
          <w:color w:val="000000" w:themeColor="text1"/>
          <w:sz w:val="22"/>
          <w:szCs w:val="22"/>
        </w:rPr>
        <w:t>Ayukekbong</w:t>
      </w:r>
      <w:proofErr w:type="spellEnd"/>
      <w:r w:rsidRPr="00C1255F">
        <w:rPr>
          <w:color w:val="000000" w:themeColor="text1"/>
          <w:sz w:val="22"/>
          <w:szCs w:val="22"/>
        </w:rPr>
        <w:t xml:space="preserve">, J. A., Ntemgwa, M. and </w:t>
      </w:r>
      <w:proofErr w:type="spellStart"/>
      <w:r w:rsidRPr="00C1255F">
        <w:rPr>
          <w:color w:val="000000" w:themeColor="text1"/>
          <w:sz w:val="22"/>
          <w:szCs w:val="22"/>
        </w:rPr>
        <w:t>Atabe</w:t>
      </w:r>
      <w:proofErr w:type="spellEnd"/>
      <w:r w:rsidRPr="00C1255F">
        <w:rPr>
          <w:color w:val="000000" w:themeColor="text1"/>
          <w:sz w:val="22"/>
          <w:szCs w:val="22"/>
        </w:rPr>
        <w:t>, A. N. (2017). The threat of antimicrobial resistance in developing countries: causes and control strategies. </w:t>
      </w:r>
      <w:r w:rsidRPr="00C1255F">
        <w:rPr>
          <w:rStyle w:val="Emphasis"/>
          <w:rFonts w:eastAsiaTheme="majorEastAsia"/>
          <w:color w:val="000000" w:themeColor="text1"/>
          <w:sz w:val="22"/>
          <w:szCs w:val="22"/>
        </w:rPr>
        <w:t>Antimicrobial Resistance and Infection Control</w:t>
      </w:r>
      <w:r w:rsidRPr="00C1255F">
        <w:rPr>
          <w:color w:val="000000" w:themeColor="text1"/>
          <w:sz w:val="22"/>
          <w:szCs w:val="22"/>
        </w:rPr>
        <w:t>, 6:47.</w:t>
      </w:r>
    </w:p>
    <w:p w14:paraId="5C89C5EF" w14:textId="77777777" w:rsidR="001F31B1" w:rsidRPr="00C1255F" w:rsidRDefault="001F31B1" w:rsidP="00A1162F">
      <w:pPr>
        <w:pStyle w:val="ds-markdown-paragraph"/>
        <w:numPr>
          <w:ilvl w:val="0"/>
          <w:numId w:val="3"/>
        </w:numPr>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t>Bonomo, R. A. (2017). Beta-lactamases: A Focus on Current Challenges. </w:t>
      </w:r>
      <w:r w:rsidRPr="00C1255F">
        <w:rPr>
          <w:rStyle w:val="Emphasis"/>
          <w:rFonts w:eastAsiaTheme="majorEastAsia"/>
          <w:color w:val="000000" w:themeColor="text1"/>
          <w:sz w:val="22"/>
          <w:szCs w:val="22"/>
        </w:rPr>
        <w:t>Cold Spring Harbor Perspectives in Medicine</w:t>
      </w:r>
      <w:r w:rsidRPr="00C1255F">
        <w:rPr>
          <w:color w:val="000000" w:themeColor="text1"/>
          <w:sz w:val="22"/>
          <w:szCs w:val="22"/>
        </w:rPr>
        <w:t>, 7:25239.</w:t>
      </w:r>
    </w:p>
    <w:p w14:paraId="2C7B3778" w14:textId="77777777" w:rsidR="001F31B1" w:rsidRPr="00C1255F" w:rsidRDefault="001F31B1" w:rsidP="00A1162F">
      <w:pPr>
        <w:pStyle w:val="ds-markdown-paragraph"/>
        <w:numPr>
          <w:ilvl w:val="0"/>
          <w:numId w:val="3"/>
        </w:numPr>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t xml:space="preserve">Bryce, A., Hay, A. D., Lane, I. F., Thornton, H. V., Wootton, M. and Costelloe, C. (2016). Global prevalence of antibiotic resistance in </w:t>
      </w:r>
      <w:proofErr w:type="spellStart"/>
      <w:r w:rsidRPr="00C1255F">
        <w:rPr>
          <w:color w:val="000000" w:themeColor="text1"/>
          <w:sz w:val="22"/>
          <w:szCs w:val="22"/>
        </w:rPr>
        <w:t>paediatric</w:t>
      </w:r>
      <w:proofErr w:type="spellEnd"/>
      <w:r w:rsidRPr="00C1255F">
        <w:rPr>
          <w:color w:val="000000" w:themeColor="text1"/>
          <w:sz w:val="22"/>
          <w:szCs w:val="22"/>
        </w:rPr>
        <w:t xml:space="preserve"> urinary tract infections caused by </w:t>
      </w:r>
      <w:r w:rsidRPr="00C1255F">
        <w:rPr>
          <w:rStyle w:val="Emphasis"/>
          <w:rFonts w:eastAsiaTheme="majorEastAsia"/>
          <w:color w:val="000000" w:themeColor="text1"/>
          <w:sz w:val="22"/>
          <w:szCs w:val="22"/>
        </w:rPr>
        <w:t>Escherichia coli</w:t>
      </w:r>
      <w:r w:rsidRPr="00C1255F">
        <w:rPr>
          <w:color w:val="000000" w:themeColor="text1"/>
          <w:sz w:val="22"/>
          <w:szCs w:val="22"/>
        </w:rPr>
        <w:t> and association with routine use of antibiotics in primary care: systematic review and meta-analysis. </w:t>
      </w:r>
      <w:r w:rsidRPr="00C1255F">
        <w:rPr>
          <w:rStyle w:val="Emphasis"/>
          <w:rFonts w:eastAsiaTheme="majorEastAsia"/>
          <w:color w:val="000000" w:themeColor="text1"/>
          <w:sz w:val="22"/>
          <w:szCs w:val="22"/>
        </w:rPr>
        <w:t>BMJ</w:t>
      </w:r>
      <w:r w:rsidRPr="00C1255F">
        <w:rPr>
          <w:color w:val="000000" w:themeColor="text1"/>
          <w:sz w:val="22"/>
          <w:szCs w:val="22"/>
        </w:rPr>
        <w:t>, 352:i939.</w:t>
      </w:r>
    </w:p>
    <w:p w14:paraId="0E0BC1AD" w14:textId="77777777" w:rsidR="001F31B1" w:rsidRPr="00C1255F" w:rsidRDefault="001F31B1" w:rsidP="00A1162F">
      <w:pPr>
        <w:pStyle w:val="ds-markdown-paragraph"/>
        <w:numPr>
          <w:ilvl w:val="0"/>
          <w:numId w:val="3"/>
        </w:numPr>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t>Chand, K., Lath, A., Yadav, A., Sharma, M., Singh, N. P., Kumar, S., Yadav, S., Rathi, B. and Verma, A. K. (2024). Phenotypic and genotypic detection of Beta-lactamase producing </w:t>
      </w:r>
      <w:r w:rsidRPr="00C1255F">
        <w:rPr>
          <w:rStyle w:val="Emphasis"/>
          <w:rFonts w:eastAsiaTheme="majorEastAsia"/>
          <w:color w:val="000000" w:themeColor="text1"/>
          <w:sz w:val="22"/>
          <w:szCs w:val="22"/>
        </w:rPr>
        <w:t>Pseudomonas aeruginosa</w:t>
      </w:r>
      <w:r w:rsidRPr="00C1255F">
        <w:rPr>
          <w:color w:val="000000" w:themeColor="text1"/>
          <w:sz w:val="22"/>
          <w:szCs w:val="22"/>
        </w:rPr>
        <w:t> isolated from Haryana, India. </w:t>
      </w:r>
      <w:r w:rsidRPr="00C1255F">
        <w:rPr>
          <w:rStyle w:val="Emphasis"/>
          <w:rFonts w:eastAsiaTheme="majorEastAsia"/>
          <w:color w:val="000000" w:themeColor="text1"/>
          <w:sz w:val="22"/>
          <w:szCs w:val="22"/>
        </w:rPr>
        <w:t>Journal of Applied Biology and Biotechnology</w:t>
      </w:r>
      <w:r w:rsidRPr="00C1255F">
        <w:rPr>
          <w:color w:val="000000" w:themeColor="text1"/>
          <w:sz w:val="22"/>
          <w:szCs w:val="22"/>
        </w:rPr>
        <w:t>, 12:107-114.</w:t>
      </w:r>
    </w:p>
    <w:p w14:paraId="7411BD78" w14:textId="77777777" w:rsidR="001F31B1" w:rsidRPr="00C1255F" w:rsidRDefault="001F31B1" w:rsidP="00A1162F">
      <w:pPr>
        <w:pStyle w:val="ds-markdown-paragraph"/>
        <w:numPr>
          <w:ilvl w:val="0"/>
          <w:numId w:val="3"/>
        </w:numPr>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t xml:space="preserve">Chang, H. H., Cohen, T., Grad, Y. H., </w:t>
      </w:r>
      <w:proofErr w:type="spellStart"/>
      <w:r w:rsidRPr="00C1255F">
        <w:rPr>
          <w:color w:val="000000" w:themeColor="text1"/>
          <w:sz w:val="22"/>
          <w:szCs w:val="22"/>
        </w:rPr>
        <w:t>Hanage</w:t>
      </w:r>
      <w:proofErr w:type="spellEnd"/>
      <w:r w:rsidRPr="00C1255F">
        <w:rPr>
          <w:color w:val="000000" w:themeColor="text1"/>
          <w:sz w:val="22"/>
          <w:szCs w:val="22"/>
        </w:rPr>
        <w:t xml:space="preserve">, W. P., O'Brien, T. F. and </w:t>
      </w:r>
      <w:proofErr w:type="spellStart"/>
      <w:r w:rsidRPr="00C1255F">
        <w:rPr>
          <w:color w:val="000000" w:themeColor="text1"/>
          <w:sz w:val="22"/>
          <w:szCs w:val="22"/>
        </w:rPr>
        <w:t>Lipsitch</w:t>
      </w:r>
      <w:proofErr w:type="spellEnd"/>
      <w:r w:rsidRPr="00C1255F">
        <w:rPr>
          <w:color w:val="000000" w:themeColor="text1"/>
          <w:sz w:val="22"/>
          <w:szCs w:val="22"/>
        </w:rPr>
        <w:t>, M. (2015). Origin and proliferation of multiple-drug resistance in bacterial pathogens. </w:t>
      </w:r>
      <w:r w:rsidRPr="00C1255F">
        <w:rPr>
          <w:rStyle w:val="Emphasis"/>
          <w:rFonts w:eastAsiaTheme="majorEastAsia"/>
          <w:color w:val="000000" w:themeColor="text1"/>
          <w:sz w:val="22"/>
          <w:szCs w:val="22"/>
        </w:rPr>
        <w:t>Microbiology and Molecular Biology Reviews</w:t>
      </w:r>
      <w:r w:rsidRPr="00C1255F">
        <w:rPr>
          <w:color w:val="000000" w:themeColor="text1"/>
          <w:sz w:val="22"/>
          <w:szCs w:val="22"/>
        </w:rPr>
        <w:t>, 79(1):101-116.</w:t>
      </w:r>
    </w:p>
    <w:p w14:paraId="679EAA90" w14:textId="77777777" w:rsidR="001F31B1" w:rsidRPr="00C1255F" w:rsidRDefault="001F31B1" w:rsidP="00A1162F">
      <w:pPr>
        <w:pStyle w:val="ds-markdown-paragraph"/>
        <w:numPr>
          <w:ilvl w:val="0"/>
          <w:numId w:val="3"/>
        </w:numPr>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t>Cheesbrough, M. (2006). </w:t>
      </w:r>
      <w:r w:rsidRPr="00C1255F">
        <w:rPr>
          <w:rStyle w:val="Emphasis"/>
          <w:rFonts w:eastAsiaTheme="majorEastAsia"/>
          <w:color w:val="000000" w:themeColor="text1"/>
          <w:sz w:val="22"/>
          <w:szCs w:val="22"/>
        </w:rPr>
        <w:t>District Laboratory Practice in Tropical Countries, Volume 2</w:t>
      </w:r>
      <w:r w:rsidRPr="00C1255F">
        <w:rPr>
          <w:color w:val="000000" w:themeColor="text1"/>
          <w:sz w:val="22"/>
          <w:szCs w:val="22"/>
        </w:rPr>
        <w:t>. Cambridge University Press.</w:t>
      </w:r>
    </w:p>
    <w:p w14:paraId="4D024DD3" w14:textId="77777777" w:rsidR="001F31B1" w:rsidRPr="00C1255F" w:rsidRDefault="001F31B1" w:rsidP="00A1162F">
      <w:pPr>
        <w:pStyle w:val="ds-markdown-paragraph"/>
        <w:numPr>
          <w:ilvl w:val="0"/>
          <w:numId w:val="3"/>
        </w:numPr>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t>Clinical and Laboratory Standards Institute (CLSI). (2022). </w:t>
      </w:r>
      <w:r w:rsidRPr="00C1255F">
        <w:rPr>
          <w:rStyle w:val="Emphasis"/>
          <w:rFonts w:eastAsiaTheme="majorEastAsia"/>
          <w:color w:val="000000" w:themeColor="text1"/>
          <w:sz w:val="22"/>
          <w:szCs w:val="22"/>
        </w:rPr>
        <w:t>Performance Standards for Antimicrobial Susceptibility Testing</w:t>
      </w:r>
      <w:r w:rsidRPr="00C1255F">
        <w:rPr>
          <w:color w:val="000000" w:themeColor="text1"/>
          <w:sz w:val="22"/>
          <w:szCs w:val="22"/>
        </w:rPr>
        <w:t> (32nd Edition). CLSI supplement M100.</w:t>
      </w:r>
    </w:p>
    <w:p w14:paraId="6C7066A0" w14:textId="77777777" w:rsidR="001F31B1" w:rsidRPr="00C1255F" w:rsidRDefault="001F31B1" w:rsidP="00A1162F">
      <w:pPr>
        <w:pStyle w:val="ds-markdown-paragraph"/>
        <w:numPr>
          <w:ilvl w:val="0"/>
          <w:numId w:val="3"/>
        </w:numPr>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t>Corona, A., De Santis, V., Agarossi, A., Prete, A., Cattaneo, D., Tomasini, G., Bonetti, G., Patroni, A. and Latronico, N. (2023). Antibiotic Therapy Strategies for Treating Gram-Negative Severe Infections in the Critically Ill: A Narrative Review. </w:t>
      </w:r>
      <w:r w:rsidRPr="00C1255F">
        <w:rPr>
          <w:rStyle w:val="Emphasis"/>
          <w:rFonts w:eastAsiaTheme="majorEastAsia"/>
          <w:color w:val="000000" w:themeColor="text1"/>
          <w:sz w:val="22"/>
          <w:szCs w:val="22"/>
        </w:rPr>
        <w:t>Antibiotics</w:t>
      </w:r>
      <w:r w:rsidRPr="00C1255F">
        <w:rPr>
          <w:color w:val="000000" w:themeColor="text1"/>
          <w:sz w:val="22"/>
          <w:szCs w:val="22"/>
        </w:rPr>
        <w:t>, 12:1262.</w:t>
      </w:r>
    </w:p>
    <w:p w14:paraId="2F1DF333" w14:textId="77777777" w:rsidR="001F31B1" w:rsidRPr="00C1255F" w:rsidRDefault="001F31B1" w:rsidP="00A1162F">
      <w:pPr>
        <w:pStyle w:val="ds-markdown-paragraph"/>
        <w:numPr>
          <w:ilvl w:val="0"/>
          <w:numId w:val="3"/>
        </w:numPr>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t xml:space="preserve">Edward, E. A., El </w:t>
      </w:r>
      <w:proofErr w:type="spellStart"/>
      <w:r w:rsidRPr="00C1255F">
        <w:rPr>
          <w:color w:val="000000" w:themeColor="text1"/>
          <w:sz w:val="22"/>
          <w:szCs w:val="22"/>
        </w:rPr>
        <w:t>Shehawy</w:t>
      </w:r>
      <w:proofErr w:type="spellEnd"/>
      <w:r w:rsidRPr="00C1255F">
        <w:rPr>
          <w:color w:val="000000" w:themeColor="text1"/>
          <w:sz w:val="22"/>
          <w:szCs w:val="22"/>
        </w:rPr>
        <w:t xml:space="preserve">, M. R., </w:t>
      </w:r>
      <w:proofErr w:type="spellStart"/>
      <w:r w:rsidRPr="00C1255F">
        <w:rPr>
          <w:color w:val="000000" w:themeColor="text1"/>
          <w:sz w:val="22"/>
          <w:szCs w:val="22"/>
        </w:rPr>
        <w:t>Abouelfetouh</w:t>
      </w:r>
      <w:proofErr w:type="spellEnd"/>
      <w:r w:rsidRPr="00C1255F">
        <w:rPr>
          <w:color w:val="000000" w:themeColor="text1"/>
          <w:sz w:val="22"/>
          <w:szCs w:val="22"/>
        </w:rPr>
        <w:t xml:space="preserve">, A. and </w:t>
      </w:r>
      <w:proofErr w:type="spellStart"/>
      <w:r w:rsidRPr="00C1255F">
        <w:rPr>
          <w:color w:val="000000" w:themeColor="text1"/>
          <w:sz w:val="22"/>
          <w:szCs w:val="22"/>
        </w:rPr>
        <w:t>Aboulmagd</w:t>
      </w:r>
      <w:proofErr w:type="spellEnd"/>
      <w:r w:rsidRPr="00C1255F">
        <w:rPr>
          <w:color w:val="000000" w:themeColor="text1"/>
          <w:sz w:val="22"/>
          <w:szCs w:val="22"/>
        </w:rPr>
        <w:t xml:space="preserve">, E. (2024). Phenotypic and molecular characterization of extended spectrum and </w:t>
      </w:r>
      <w:proofErr w:type="spellStart"/>
      <w:r w:rsidRPr="00C1255F">
        <w:rPr>
          <w:color w:val="000000" w:themeColor="text1"/>
          <w:sz w:val="22"/>
          <w:szCs w:val="22"/>
        </w:rPr>
        <w:t>metallo</w:t>
      </w:r>
      <w:proofErr w:type="spellEnd"/>
      <w:r w:rsidRPr="00C1255F">
        <w:rPr>
          <w:color w:val="000000" w:themeColor="text1"/>
          <w:sz w:val="22"/>
          <w:szCs w:val="22"/>
        </w:rPr>
        <w:noBreakHyphen/>
        <w:t>beta lactamase producing </w:t>
      </w:r>
      <w:r w:rsidRPr="00C1255F">
        <w:rPr>
          <w:rStyle w:val="Emphasis"/>
          <w:rFonts w:eastAsiaTheme="majorEastAsia"/>
          <w:color w:val="000000" w:themeColor="text1"/>
          <w:sz w:val="22"/>
          <w:szCs w:val="22"/>
        </w:rPr>
        <w:t>Pseudomonas aeruginosa</w:t>
      </w:r>
      <w:r w:rsidRPr="00C1255F">
        <w:rPr>
          <w:color w:val="000000" w:themeColor="text1"/>
          <w:sz w:val="22"/>
          <w:szCs w:val="22"/>
        </w:rPr>
        <w:t> clinical isolates from Egypt. </w:t>
      </w:r>
      <w:r w:rsidRPr="00C1255F">
        <w:rPr>
          <w:rStyle w:val="Emphasis"/>
          <w:rFonts w:eastAsiaTheme="majorEastAsia"/>
          <w:color w:val="000000" w:themeColor="text1"/>
          <w:sz w:val="22"/>
          <w:szCs w:val="22"/>
        </w:rPr>
        <w:t>Infection</w:t>
      </w:r>
      <w:r w:rsidRPr="00C1255F">
        <w:rPr>
          <w:color w:val="000000" w:themeColor="text1"/>
          <w:sz w:val="22"/>
          <w:szCs w:val="22"/>
        </w:rPr>
        <w:t>, 52:2399-2414.</w:t>
      </w:r>
    </w:p>
    <w:p w14:paraId="2B07B4BC" w14:textId="77777777" w:rsidR="001F31B1" w:rsidRPr="00C1255F" w:rsidRDefault="001F31B1" w:rsidP="00A1162F">
      <w:pPr>
        <w:pStyle w:val="ds-markdown-paragraph"/>
        <w:numPr>
          <w:ilvl w:val="0"/>
          <w:numId w:val="3"/>
        </w:numPr>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t>Foxman, B. (2010). The epidemiology of urinary tract infection. </w:t>
      </w:r>
      <w:r w:rsidRPr="00C1255F">
        <w:rPr>
          <w:rStyle w:val="Emphasis"/>
          <w:rFonts w:eastAsiaTheme="majorEastAsia"/>
          <w:color w:val="000000" w:themeColor="text1"/>
          <w:sz w:val="22"/>
          <w:szCs w:val="22"/>
        </w:rPr>
        <w:t>Nature Reviews Urology</w:t>
      </w:r>
      <w:r w:rsidRPr="00C1255F">
        <w:rPr>
          <w:color w:val="000000" w:themeColor="text1"/>
          <w:sz w:val="22"/>
          <w:szCs w:val="22"/>
        </w:rPr>
        <w:t>, 7:653-660.</w:t>
      </w:r>
    </w:p>
    <w:p w14:paraId="61AD5587" w14:textId="77777777" w:rsidR="001F31B1" w:rsidRPr="00C1255F" w:rsidRDefault="001F31B1" w:rsidP="00A1162F">
      <w:pPr>
        <w:pStyle w:val="ds-markdown-paragraph"/>
        <w:numPr>
          <w:ilvl w:val="0"/>
          <w:numId w:val="3"/>
        </w:numPr>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t>Garg, A., Garg, J., Kumar, S., Bhattacharya, A., Agarwal, S. and Upadhyay, G. C. (2019). Molecular epidemiology and therapeutic options of carbapenem-resistant Gram-negative bacteria. </w:t>
      </w:r>
      <w:r w:rsidRPr="00C1255F">
        <w:rPr>
          <w:rStyle w:val="Emphasis"/>
          <w:rFonts w:eastAsiaTheme="majorEastAsia"/>
          <w:color w:val="000000" w:themeColor="text1"/>
          <w:sz w:val="22"/>
          <w:szCs w:val="22"/>
        </w:rPr>
        <w:t>Indian Journal of Medical Research</w:t>
      </w:r>
      <w:r w:rsidRPr="00C1255F">
        <w:rPr>
          <w:color w:val="000000" w:themeColor="text1"/>
          <w:sz w:val="22"/>
          <w:szCs w:val="22"/>
        </w:rPr>
        <w:t>, 149(3):285-289.</w:t>
      </w:r>
    </w:p>
    <w:p w14:paraId="51B715F3" w14:textId="77777777" w:rsidR="001F31B1" w:rsidRPr="00C1255F" w:rsidRDefault="001F31B1" w:rsidP="00A1162F">
      <w:pPr>
        <w:pStyle w:val="ds-markdown-paragraph"/>
        <w:numPr>
          <w:ilvl w:val="0"/>
          <w:numId w:val="3"/>
        </w:numPr>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lastRenderedPageBreak/>
        <w:t>Gavazzi, G. and Krause, K. H. (2002). Ageing and infection. </w:t>
      </w:r>
      <w:r w:rsidRPr="00C1255F">
        <w:rPr>
          <w:rStyle w:val="Emphasis"/>
          <w:rFonts w:eastAsiaTheme="majorEastAsia"/>
          <w:color w:val="000000" w:themeColor="text1"/>
          <w:sz w:val="22"/>
          <w:szCs w:val="22"/>
        </w:rPr>
        <w:t>Lancet Infectious Diseases</w:t>
      </w:r>
      <w:r w:rsidRPr="00C1255F">
        <w:rPr>
          <w:color w:val="000000" w:themeColor="text1"/>
          <w:sz w:val="22"/>
          <w:szCs w:val="22"/>
        </w:rPr>
        <w:t>, 2:659-666.</w:t>
      </w:r>
    </w:p>
    <w:p w14:paraId="77D1F96B" w14:textId="77777777" w:rsidR="001F31B1" w:rsidRPr="00C1255F" w:rsidRDefault="001F31B1" w:rsidP="00A1162F">
      <w:pPr>
        <w:pStyle w:val="ds-markdown-paragraph"/>
        <w:numPr>
          <w:ilvl w:val="0"/>
          <w:numId w:val="3"/>
        </w:numPr>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t>Gupta, K., Hooton, T. M., Naber, K. G., Wullt, B., Colgan, R., Miller, L. G., Moran, G. J., Nicolle, L. E., Raz, R., Schaeffer, A. J. and Soper, D. E. (2011). International clinical practice guidelines for the treatment of acute uncomplicated cystitis and pyelonephritis in women: A 2010 update by the Infectious Diseases Society of America and the European Society for Microbiology and Infectious Diseases. </w:t>
      </w:r>
      <w:r w:rsidRPr="00C1255F">
        <w:rPr>
          <w:rStyle w:val="Emphasis"/>
          <w:rFonts w:eastAsiaTheme="majorEastAsia"/>
          <w:color w:val="000000" w:themeColor="text1"/>
          <w:sz w:val="22"/>
          <w:szCs w:val="22"/>
        </w:rPr>
        <w:t>Clinical Infectious Diseases</w:t>
      </w:r>
      <w:r w:rsidRPr="00C1255F">
        <w:rPr>
          <w:color w:val="000000" w:themeColor="text1"/>
          <w:sz w:val="22"/>
          <w:szCs w:val="22"/>
        </w:rPr>
        <w:t>, 52:e103-e120.</w:t>
      </w:r>
    </w:p>
    <w:p w14:paraId="4D5A7E86" w14:textId="77777777" w:rsidR="001F31B1" w:rsidRPr="00C1255F" w:rsidRDefault="001F31B1" w:rsidP="00A1162F">
      <w:pPr>
        <w:pStyle w:val="ds-markdown-paragraph"/>
        <w:numPr>
          <w:ilvl w:val="0"/>
          <w:numId w:val="3"/>
        </w:numPr>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t xml:space="preserve">Heinz, E., Ejaz, H., Bartholdson Scott, J., Wang, N., </w:t>
      </w:r>
      <w:proofErr w:type="spellStart"/>
      <w:r w:rsidRPr="00C1255F">
        <w:rPr>
          <w:color w:val="000000" w:themeColor="text1"/>
          <w:sz w:val="22"/>
          <w:szCs w:val="22"/>
        </w:rPr>
        <w:t>Gujaran</w:t>
      </w:r>
      <w:proofErr w:type="spellEnd"/>
      <w:r w:rsidRPr="00C1255F">
        <w:rPr>
          <w:color w:val="000000" w:themeColor="text1"/>
          <w:sz w:val="22"/>
          <w:szCs w:val="22"/>
        </w:rPr>
        <w:t xml:space="preserve">, S., Pickard, D., </w:t>
      </w:r>
      <w:proofErr w:type="spellStart"/>
      <w:r w:rsidRPr="00C1255F">
        <w:rPr>
          <w:color w:val="000000" w:themeColor="text1"/>
          <w:sz w:val="22"/>
          <w:szCs w:val="22"/>
        </w:rPr>
        <w:t>Wilksch</w:t>
      </w:r>
      <w:proofErr w:type="spellEnd"/>
      <w:r w:rsidRPr="00C1255F">
        <w:rPr>
          <w:color w:val="000000" w:themeColor="text1"/>
          <w:sz w:val="22"/>
          <w:szCs w:val="22"/>
        </w:rPr>
        <w:t xml:space="preserve">, J., Cao, H., Haq, I. U., Dougan, G. and </w:t>
      </w:r>
      <w:proofErr w:type="spellStart"/>
      <w:r w:rsidRPr="00C1255F">
        <w:rPr>
          <w:color w:val="000000" w:themeColor="text1"/>
          <w:sz w:val="22"/>
          <w:szCs w:val="22"/>
        </w:rPr>
        <w:t>Strugnell</w:t>
      </w:r>
      <w:proofErr w:type="spellEnd"/>
      <w:r w:rsidRPr="00C1255F">
        <w:rPr>
          <w:color w:val="000000" w:themeColor="text1"/>
          <w:sz w:val="22"/>
          <w:szCs w:val="22"/>
        </w:rPr>
        <w:t xml:space="preserve">, R. A. (2019). Resistance mechanisms and population structure of highly drug resistant Klebsiella in Pakistan during the introduction of the </w:t>
      </w:r>
      <w:proofErr w:type="spellStart"/>
      <w:r w:rsidRPr="00C1255F">
        <w:rPr>
          <w:color w:val="000000" w:themeColor="text1"/>
          <w:sz w:val="22"/>
          <w:szCs w:val="22"/>
        </w:rPr>
        <w:t>carbapenemase</w:t>
      </w:r>
      <w:proofErr w:type="spellEnd"/>
      <w:r w:rsidRPr="00C1255F">
        <w:rPr>
          <w:color w:val="000000" w:themeColor="text1"/>
          <w:sz w:val="22"/>
          <w:szCs w:val="22"/>
        </w:rPr>
        <w:t xml:space="preserve"> NDM-1. </w:t>
      </w:r>
      <w:r w:rsidRPr="00C1255F">
        <w:rPr>
          <w:rStyle w:val="Emphasis"/>
          <w:rFonts w:eastAsiaTheme="majorEastAsia"/>
          <w:color w:val="000000" w:themeColor="text1"/>
          <w:sz w:val="22"/>
          <w:szCs w:val="22"/>
        </w:rPr>
        <w:t>Scientific Reports</w:t>
      </w:r>
      <w:r w:rsidRPr="00C1255F">
        <w:rPr>
          <w:color w:val="000000" w:themeColor="text1"/>
          <w:sz w:val="22"/>
          <w:szCs w:val="22"/>
        </w:rPr>
        <w:t>, 9:2392.</w:t>
      </w:r>
    </w:p>
    <w:p w14:paraId="23B4AFE0" w14:textId="77777777" w:rsidR="001F31B1" w:rsidRPr="00C1255F" w:rsidRDefault="001F31B1" w:rsidP="00A1162F">
      <w:pPr>
        <w:pStyle w:val="ds-markdown-paragraph"/>
        <w:numPr>
          <w:ilvl w:val="0"/>
          <w:numId w:val="3"/>
        </w:numPr>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t>Hillier, S., Roberts, Z., Dunstan, F., Butler, C., Howard, A. and Palmer, S. (2007). Prior antibiotics and risk of antibiotic-resistant community-acquired urinary tract infection: a case-control study. </w:t>
      </w:r>
      <w:r w:rsidRPr="00C1255F">
        <w:rPr>
          <w:rStyle w:val="Emphasis"/>
          <w:rFonts w:eastAsiaTheme="majorEastAsia"/>
          <w:color w:val="000000" w:themeColor="text1"/>
          <w:sz w:val="22"/>
          <w:szCs w:val="22"/>
        </w:rPr>
        <w:t>Journal of Antimicrobial Chemotherapy</w:t>
      </w:r>
      <w:r w:rsidRPr="00C1255F">
        <w:rPr>
          <w:color w:val="000000" w:themeColor="text1"/>
          <w:sz w:val="22"/>
          <w:szCs w:val="22"/>
        </w:rPr>
        <w:t>, 60:92-99.</w:t>
      </w:r>
    </w:p>
    <w:p w14:paraId="65CBEC01" w14:textId="77777777" w:rsidR="001F31B1" w:rsidRPr="00C1255F" w:rsidRDefault="001F31B1" w:rsidP="00A1162F">
      <w:pPr>
        <w:pStyle w:val="ds-markdown-paragraph"/>
        <w:numPr>
          <w:ilvl w:val="0"/>
          <w:numId w:val="3"/>
        </w:numPr>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t>Hooton, T. M. (2012). Clinical practice. Uncomplicated urinary tract infection. </w:t>
      </w:r>
      <w:r w:rsidRPr="00C1255F">
        <w:rPr>
          <w:rStyle w:val="Emphasis"/>
          <w:rFonts w:eastAsiaTheme="majorEastAsia"/>
          <w:color w:val="000000" w:themeColor="text1"/>
          <w:sz w:val="22"/>
          <w:szCs w:val="22"/>
        </w:rPr>
        <w:t>New England Journal of Medicine</w:t>
      </w:r>
      <w:r w:rsidRPr="00C1255F">
        <w:rPr>
          <w:color w:val="000000" w:themeColor="text1"/>
          <w:sz w:val="22"/>
          <w:szCs w:val="22"/>
        </w:rPr>
        <w:t>, 366:1028-1037.</w:t>
      </w:r>
    </w:p>
    <w:p w14:paraId="5B29D514" w14:textId="77777777" w:rsidR="001F31B1" w:rsidRPr="00C1255F" w:rsidRDefault="001F31B1" w:rsidP="00147DDE">
      <w:pPr>
        <w:pStyle w:val="ds-markdown-paragraph"/>
        <w:numPr>
          <w:ilvl w:val="0"/>
          <w:numId w:val="3"/>
        </w:numPr>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t xml:space="preserve">Ilang, D. C., Peter, I. U., and Iroha, I. R. (2023). Antibiotic resistance profile of clinical importance biofilm forming extended spectrum beta-lactamase and </w:t>
      </w:r>
      <w:proofErr w:type="spellStart"/>
      <w:r w:rsidRPr="00C1255F">
        <w:rPr>
          <w:color w:val="000000" w:themeColor="text1"/>
          <w:sz w:val="22"/>
          <w:szCs w:val="22"/>
        </w:rPr>
        <w:t>carbapenemase</w:t>
      </w:r>
      <w:proofErr w:type="spellEnd"/>
      <w:r w:rsidRPr="00C1255F">
        <w:rPr>
          <w:color w:val="000000" w:themeColor="text1"/>
          <w:sz w:val="22"/>
          <w:szCs w:val="22"/>
        </w:rPr>
        <w:t xml:space="preserve"> phenotype in Gram-negative bacteria isolates. </w:t>
      </w:r>
      <w:r w:rsidRPr="00C1255F">
        <w:rPr>
          <w:rStyle w:val="Emphasis"/>
          <w:rFonts w:eastAsiaTheme="majorEastAsia"/>
          <w:color w:val="000000" w:themeColor="text1"/>
          <w:sz w:val="22"/>
          <w:szCs w:val="22"/>
        </w:rPr>
        <w:t>International Journal of Pharmacognosy and Life Science</w:t>
      </w:r>
      <w:r w:rsidRPr="00C1255F">
        <w:rPr>
          <w:color w:val="000000" w:themeColor="text1"/>
          <w:sz w:val="22"/>
          <w:szCs w:val="22"/>
        </w:rPr>
        <w:t>, 4(2), 120-127.</w:t>
      </w:r>
    </w:p>
    <w:p w14:paraId="6EE03DA0" w14:textId="77777777" w:rsidR="001F31B1" w:rsidRPr="00C1255F" w:rsidRDefault="001F31B1" w:rsidP="00A1162F">
      <w:pPr>
        <w:pStyle w:val="ds-markdown-paragraph"/>
        <w:numPr>
          <w:ilvl w:val="0"/>
          <w:numId w:val="3"/>
        </w:numPr>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t xml:space="preserve">Iroha, I. R., Orji, J. O., </w:t>
      </w:r>
      <w:proofErr w:type="spellStart"/>
      <w:r w:rsidRPr="00C1255F">
        <w:rPr>
          <w:color w:val="000000" w:themeColor="text1"/>
          <w:sz w:val="22"/>
          <w:szCs w:val="22"/>
        </w:rPr>
        <w:t>Onwa</w:t>
      </w:r>
      <w:proofErr w:type="spellEnd"/>
      <w:r w:rsidRPr="00C1255F">
        <w:rPr>
          <w:color w:val="000000" w:themeColor="text1"/>
          <w:sz w:val="22"/>
          <w:szCs w:val="22"/>
        </w:rPr>
        <w:t xml:space="preserve">, N. C., </w:t>
      </w:r>
      <w:proofErr w:type="spellStart"/>
      <w:r w:rsidRPr="00C1255F">
        <w:rPr>
          <w:color w:val="000000" w:themeColor="text1"/>
          <w:sz w:val="22"/>
          <w:szCs w:val="22"/>
        </w:rPr>
        <w:t>Nwuzo</w:t>
      </w:r>
      <w:proofErr w:type="spellEnd"/>
      <w:r w:rsidRPr="00C1255F">
        <w:rPr>
          <w:color w:val="000000" w:themeColor="text1"/>
          <w:sz w:val="22"/>
          <w:szCs w:val="22"/>
        </w:rPr>
        <w:t xml:space="preserve">, A. C., Okonkwo, E. C., Ibiam, E. O., </w:t>
      </w:r>
      <w:proofErr w:type="spellStart"/>
      <w:r w:rsidRPr="00C1255F">
        <w:rPr>
          <w:color w:val="000000" w:themeColor="text1"/>
          <w:sz w:val="22"/>
          <w:szCs w:val="22"/>
        </w:rPr>
        <w:t>Nwachi</w:t>
      </w:r>
      <w:proofErr w:type="spellEnd"/>
      <w:r w:rsidRPr="00C1255F">
        <w:rPr>
          <w:color w:val="000000" w:themeColor="text1"/>
          <w:sz w:val="22"/>
          <w:szCs w:val="22"/>
        </w:rPr>
        <w:t xml:space="preserve">, A. C., </w:t>
      </w:r>
      <w:proofErr w:type="spellStart"/>
      <w:r w:rsidRPr="00C1255F">
        <w:rPr>
          <w:color w:val="000000" w:themeColor="text1"/>
          <w:sz w:val="22"/>
          <w:szCs w:val="22"/>
        </w:rPr>
        <w:t>Afuikwa</w:t>
      </w:r>
      <w:proofErr w:type="spellEnd"/>
      <w:r w:rsidRPr="00C1255F">
        <w:rPr>
          <w:color w:val="000000" w:themeColor="text1"/>
          <w:sz w:val="22"/>
          <w:szCs w:val="22"/>
        </w:rPr>
        <w:t xml:space="preserve">, F. N., Agah, V. M., </w:t>
      </w:r>
      <w:proofErr w:type="spellStart"/>
      <w:r w:rsidRPr="00C1255F">
        <w:rPr>
          <w:color w:val="000000" w:themeColor="text1"/>
          <w:sz w:val="22"/>
          <w:szCs w:val="22"/>
        </w:rPr>
        <w:t>Ejikeugwu</w:t>
      </w:r>
      <w:proofErr w:type="spellEnd"/>
      <w:r w:rsidRPr="00C1255F">
        <w:rPr>
          <w:color w:val="000000" w:themeColor="text1"/>
          <w:sz w:val="22"/>
          <w:szCs w:val="22"/>
        </w:rPr>
        <w:t xml:space="preserve">, E. P. C., </w:t>
      </w:r>
      <w:proofErr w:type="spellStart"/>
      <w:r w:rsidRPr="00C1255F">
        <w:rPr>
          <w:color w:val="000000" w:themeColor="text1"/>
          <w:sz w:val="22"/>
          <w:szCs w:val="22"/>
        </w:rPr>
        <w:t>Agumah</w:t>
      </w:r>
      <w:proofErr w:type="spellEnd"/>
      <w:r w:rsidRPr="00C1255F">
        <w:rPr>
          <w:color w:val="000000" w:themeColor="text1"/>
          <w:sz w:val="22"/>
          <w:szCs w:val="22"/>
        </w:rPr>
        <w:t xml:space="preserve">, N. B., Moses, I. B., Ugbo, E., Ukpai, E. G., </w:t>
      </w:r>
      <w:proofErr w:type="spellStart"/>
      <w:r w:rsidRPr="00C1255F">
        <w:rPr>
          <w:color w:val="000000" w:themeColor="text1"/>
          <w:sz w:val="22"/>
          <w:szCs w:val="22"/>
        </w:rPr>
        <w:t>Nwakaeze</w:t>
      </w:r>
      <w:proofErr w:type="spellEnd"/>
      <w:r w:rsidRPr="00C1255F">
        <w:rPr>
          <w:color w:val="000000" w:themeColor="text1"/>
          <w:sz w:val="22"/>
          <w:szCs w:val="22"/>
        </w:rPr>
        <w:t xml:space="preserve">, E. A., Oke, B., Ogbu, L. and </w:t>
      </w:r>
      <w:proofErr w:type="spellStart"/>
      <w:r w:rsidRPr="00C1255F">
        <w:rPr>
          <w:color w:val="000000" w:themeColor="text1"/>
          <w:sz w:val="22"/>
          <w:szCs w:val="22"/>
        </w:rPr>
        <w:t>Nwunna</w:t>
      </w:r>
      <w:proofErr w:type="spellEnd"/>
      <w:r w:rsidRPr="00C1255F">
        <w:rPr>
          <w:color w:val="000000" w:themeColor="text1"/>
          <w:sz w:val="22"/>
          <w:szCs w:val="22"/>
        </w:rPr>
        <w:t>, E. (2019). </w:t>
      </w:r>
      <w:r w:rsidRPr="00C1255F">
        <w:rPr>
          <w:rStyle w:val="Emphasis"/>
          <w:rFonts w:eastAsiaTheme="majorEastAsia"/>
          <w:color w:val="000000" w:themeColor="text1"/>
          <w:sz w:val="22"/>
          <w:szCs w:val="22"/>
        </w:rPr>
        <w:t>Microbiology Practical Handbook</w:t>
      </w:r>
      <w:r w:rsidRPr="00C1255F">
        <w:rPr>
          <w:color w:val="000000" w:themeColor="text1"/>
          <w:sz w:val="22"/>
          <w:szCs w:val="22"/>
        </w:rPr>
        <w:t xml:space="preserve"> (1st ed.). </w:t>
      </w:r>
      <w:proofErr w:type="spellStart"/>
      <w:r w:rsidRPr="00C1255F">
        <w:rPr>
          <w:color w:val="000000" w:themeColor="text1"/>
          <w:sz w:val="22"/>
          <w:szCs w:val="22"/>
        </w:rPr>
        <w:t>Charlieteximage</w:t>
      </w:r>
      <w:proofErr w:type="spellEnd"/>
      <w:r w:rsidRPr="00C1255F">
        <w:rPr>
          <w:color w:val="000000" w:themeColor="text1"/>
          <w:sz w:val="22"/>
          <w:szCs w:val="22"/>
        </w:rPr>
        <w:t xml:space="preserve"> Africa.</w:t>
      </w:r>
    </w:p>
    <w:p w14:paraId="2BA90967" w14:textId="77777777" w:rsidR="001F31B1" w:rsidRPr="00C1255F" w:rsidRDefault="001F31B1" w:rsidP="00A1162F">
      <w:pPr>
        <w:pStyle w:val="ds-markdown-paragraph"/>
        <w:numPr>
          <w:ilvl w:val="0"/>
          <w:numId w:val="3"/>
        </w:numPr>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t xml:space="preserve">Jean, S. S., </w:t>
      </w:r>
      <w:proofErr w:type="spellStart"/>
      <w:r w:rsidRPr="00C1255F">
        <w:rPr>
          <w:color w:val="000000" w:themeColor="text1"/>
          <w:sz w:val="22"/>
          <w:szCs w:val="22"/>
        </w:rPr>
        <w:t>Harnod</w:t>
      </w:r>
      <w:proofErr w:type="spellEnd"/>
      <w:r w:rsidRPr="00C1255F">
        <w:rPr>
          <w:color w:val="000000" w:themeColor="text1"/>
          <w:sz w:val="22"/>
          <w:szCs w:val="22"/>
        </w:rPr>
        <w:t>, D. and Hsueh, P. R. (2022). Global Threat of Carbapenem-Resistant Gram-Negative Bacteria. </w:t>
      </w:r>
      <w:r w:rsidRPr="00C1255F">
        <w:rPr>
          <w:rStyle w:val="Emphasis"/>
          <w:rFonts w:eastAsiaTheme="majorEastAsia"/>
          <w:color w:val="000000" w:themeColor="text1"/>
          <w:sz w:val="22"/>
          <w:szCs w:val="22"/>
        </w:rPr>
        <w:t>Frontiers in Cellular and Infection Microbiology</w:t>
      </w:r>
      <w:r w:rsidRPr="00C1255F">
        <w:rPr>
          <w:color w:val="000000" w:themeColor="text1"/>
          <w:sz w:val="22"/>
          <w:szCs w:val="22"/>
        </w:rPr>
        <w:t>, 12:823684.</w:t>
      </w:r>
    </w:p>
    <w:p w14:paraId="0EDA8C03" w14:textId="77777777" w:rsidR="001F31B1" w:rsidRPr="00C1255F" w:rsidRDefault="001F31B1" w:rsidP="00A1162F">
      <w:pPr>
        <w:pStyle w:val="ds-markdown-paragraph"/>
        <w:numPr>
          <w:ilvl w:val="0"/>
          <w:numId w:val="3"/>
        </w:numPr>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t xml:space="preserve">Jesumirhewe, C., Springer, B., </w:t>
      </w:r>
      <w:proofErr w:type="spellStart"/>
      <w:r w:rsidRPr="00C1255F">
        <w:rPr>
          <w:color w:val="000000" w:themeColor="text1"/>
          <w:sz w:val="22"/>
          <w:szCs w:val="22"/>
        </w:rPr>
        <w:t>Lepuschitz</w:t>
      </w:r>
      <w:proofErr w:type="spellEnd"/>
      <w:r w:rsidRPr="00C1255F">
        <w:rPr>
          <w:color w:val="000000" w:themeColor="text1"/>
          <w:sz w:val="22"/>
          <w:szCs w:val="22"/>
        </w:rPr>
        <w:t xml:space="preserve">, S., </w:t>
      </w:r>
      <w:proofErr w:type="spellStart"/>
      <w:r w:rsidRPr="00C1255F">
        <w:rPr>
          <w:color w:val="000000" w:themeColor="text1"/>
          <w:sz w:val="22"/>
          <w:szCs w:val="22"/>
        </w:rPr>
        <w:t>Allerberger</w:t>
      </w:r>
      <w:proofErr w:type="spellEnd"/>
      <w:r w:rsidRPr="00C1255F">
        <w:rPr>
          <w:color w:val="000000" w:themeColor="text1"/>
          <w:sz w:val="22"/>
          <w:szCs w:val="22"/>
        </w:rPr>
        <w:t xml:space="preserve">, F. and Ruppitsch, W. (2017). </w:t>
      </w:r>
      <w:proofErr w:type="spellStart"/>
      <w:r w:rsidRPr="00C1255F">
        <w:rPr>
          <w:color w:val="000000" w:themeColor="text1"/>
          <w:sz w:val="22"/>
          <w:szCs w:val="22"/>
        </w:rPr>
        <w:t>Carbapenemase</w:t>
      </w:r>
      <w:proofErr w:type="spellEnd"/>
      <w:r w:rsidRPr="00C1255F">
        <w:rPr>
          <w:color w:val="000000" w:themeColor="text1"/>
          <w:sz w:val="22"/>
          <w:szCs w:val="22"/>
        </w:rPr>
        <w:t xml:space="preserve"> producing Enterobacteriaceae isolates from Edo state, Nigeria. </w:t>
      </w:r>
      <w:r w:rsidRPr="00C1255F">
        <w:rPr>
          <w:rStyle w:val="Emphasis"/>
          <w:rFonts w:eastAsiaTheme="majorEastAsia"/>
          <w:color w:val="000000" w:themeColor="text1"/>
          <w:sz w:val="22"/>
          <w:szCs w:val="22"/>
        </w:rPr>
        <w:t>Antimicrobial Agents and Chemotherapy</w:t>
      </w:r>
      <w:r w:rsidRPr="00C1255F">
        <w:rPr>
          <w:color w:val="000000" w:themeColor="text1"/>
          <w:sz w:val="22"/>
          <w:szCs w:val="22"/>
        </w:rPr>
        <w:t>, 61:e01812-17.</w:t>
      </w:r>
    </w:p>
    <w:p w14:paraId="713A0F87" w14:textId="77777777" w:rsidR="001F31B1" w:rsidRPr="00C1255F" w:rsidRDefault="001F31B1" w:rsidP="00147DDE">
      <w:pPr>
        <w:pStyle w:val="ds-markdown-paragraph"/>
        <w:numPr>
          <w:ilvl w:val="0"/>
          <w:numId w:val="3"/>
        </w:numPr>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t xml:space="preserve">John-Onwe, B. N., </w:t>
      </w:r>
      <w:proofErr w:type="spellStart"/>
      <w:r w:rsidRPr="00C1255F">
        <w:rPr>
          <w:color w:val="000000" w:themeColor="text1"/>
          <w:sz w:val="22"/>
          <w:szCs w:val="22"/>
        </w:rPr>
        <w:t>Ibiam</w:t>
      </w:r>
      <w:proofErr w:type="spellEnd"/>
      <w:r w:rsidRPr="00C1255F">
        <w:rPr>
          <w:color w:val="000000" w:themeColor="text1"/>
          <w:sz w:val="22"/>
          <w:szCs w:val="22"/>
        </w:rPr>
        <w:t xml:space="preserve">, F. A., </w:t>
      </w:r>
      <w:proofErr w:type="spellStart"/>
      <w:r w:rsidRPr="00C1255F">
        <w:rPr>
          <w:color w:val="000000" w:themeColor="text1"/>
          <w:sz w:val="22"/>
          <w:szCs w:val="22"/>
        </w:rPr>
        <w:t>Udenweze</w:t>
      </w:r>
      <w:proofErr w:type="spellEnd"/>
      <w:r w:rsidRPr="00C1255F">
        <w:rPr>
          <w:color w:val="000000" w:themeColor="text1"/>
          <w:sz w:val="22"/>
          <w:szCs w:val="22"/>
        </w:rPr>
        <w:t xml:space="preserve">, E. C., Iroha, C. S., </w:t>
      </w:r>
      <w:proofErr w:type="spellStart"/>
      <w:r w:rsidRPr="00C1255F">
        <w:rPr>
          <w:color w:val="000000" w:themeColor="text1"/>
          <w:sz w:val="22"/>
          <w:szCs w:val="22"/>
        </w:rPr>
        <w:t>Edemekong</w:t>
      </w:r>
      <w:proofErr w:type="spellEnd"/>
      <w:r w:rsidRPr="00C1255F">
        <w:rPr>
          <w:color w:val="000000" w:themeColor="text1"/>
          <w:sz w:val="22"/>
          <w:szCs w:val="22"/>
        </w:rPr>
        <w:t>, C. I., Peter, I. U., and Iroha, I. R. (2023). Co-expression of clinical isolates of XDR </w:t>
      </w:r>
      <w:r w:rsidRPr="00C1255F">
        <w:rPr>
          <w:rStyle w:val="Emphasis"/>
          <w:rFonts w:eastAsiaTheme="majorEastAsia"/>
          <w:color w:val="000000" w:themeColor="text1"/>
          <w:sz w:val="22"/>
          <w:szCs w:val="22"/>
        </w:rPr>
        <w:t>Pseudomonas aeruginosa</w:t>
      </w:r>
      <w:r w:rsidRPr="00C1255F">
        <w:rPr>
          <w:color w:val="000000" w:themeColor="text1"/>
          <w:sz w:val="22"/>
          <w:szCs w:val="22"/>
        </w:rPr>
        <w:t xml:space="preserve"> harboring FOX and MOX </w:t>
      </w:r>
      <w:proofErr w:type="spellStart"/>
      <w:r w:rsidRPr="00C1255F">
        <w:rPr>
          <w:color w:val="000000" w:themeColor="text1"/>
          <w:sz w:val="22"/>
          <w:szCs w:val="22"/>
        </w:rPr>
        <w:t>ampicillinase</w:t>
      </w:r>
      <w:proofErr w:type="spellEnd"/>
      <w:r w:rsidRPr="00C1255F">
        <w:rPr>
          <w:color w:val="000000" w:themeColor="text1"/>
          <w:sz w:val="22"/>
          <w:szCs w:val="22"/>
        </w:rPr>
        <w:t xml:space="preserve"> gene. </w:t>
      </w:r>
      <w:r w:rsidRPr="00C1255F">
        <w:rPr>
          <w:rStyle w:val="Emphasis"/>
          <w:rFonts w:eastAsiaTheme="majorEastAsia"/>
          <w:color w:val="000000" w:themeColor="text1"/>
          <w:sz w:val="22"/>
          <w:szCs w:val="22"/>
        </w:rPr>
        <w:t>International Journal of Medical Research and Pharma Research</w:t>
      </w:r>
      <w:r w:rsidRPr="00C1255F">
        <w:rPr>
          <w:color w:val="000000" w:themeColor="text1"/>
          <w:sz w:val="22"/>
          <w:szCs w:val="22"/>
        </w:rPr>
        <w:t>, 3, 4-19.</w:t>
      </w:r>
    </w:p>
    <w:p w14:paraId="5B728FF9" w14:textId="77777777" w:rsidR="001F31B1" w:rsidRPr="00C1255F" w:rsidRDefault="001F31B1" w:rsidP="00A1162F">
      <w:pPr>
        <w:pStyle w:val="ds-markdown-paragraph"/>
        <w:numPr>
          <w:ilvl w:val="0"/>
          <w:numId w:val="3"/>
        </w:numPr>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t xml:space="preserve">Kazmierczak, K. M., Rabine, S., Hackel, M., McLaughlin, R. E., Biedenbach, D. J., Bouchillon, S. K., Sahm, D. F. and Bradford, P. A. (2016). Multiyear, multinational survey of the incidence and global distribution of </w:t>
      </w:r>
      <w:proofErr w:type="spellStart"/>
      <w:r w:rsidRPr="00C1255F">
        <w:rPr>
          <w:color w:val="000000" w:themeColor="text1"/>
          <w:sz w:val="22"/>
          <w:szCs w:val="22"/>
        </w:rPr>
        <w:t>metallo</w:t>
      </w:r>
      <w:proofErr w:type="spellEnd"/>
      <w:r w:rsidRPr="00C1255F">
        <w:rPr>
          <w:color w:val="000000" w:themeColor="text1"/>
          <w:sz w:val="22"/>
          <w:szCs w:val="22"/>
        </w:rPr>
        <w:t>-β-lactamase-producing Enterobacteriaceae and </w:t>
      </w:r>
      <w:r w:rsidRPr="00C1255F">
        <w:rPr>
          <w:rStyle w:val="Emphasis"/>
          <w:rFonts w:eastAsiaTheme="majorEastAsia"/>
          <w:color w:val="000000" w:themeColor="text1"/>
          <w:sz w:val="22"/>
          <w:szCs w:val="22"/>
        </w:rPr>
        <w:t>Pseudomonas aeruginosa</w:t>
      </w:r>
      <w:r w:rsidRPr="00C1255F">
        <w:rPr>
          <w:color w:val="000000" w:themeColor="text1"/>
          <w:sz w:val="22"/>
          <w:szCs w:val="22"/>
        </w:rPr>
        <w:t>. </w:t>
      </w:r>
      <w:r w:rsidRPr="00C1255F">
        <w:rPr>
          <w:rStyle w:val="Emphasis"/>
          <w:rFonts w:eastAsiaTheme="majorEastAsia"/>
          <w:color w:val="000000" w:themeColor="text1"/>
          <w:sz w:val="22"/>
          <w:szCs w:val="22"/>
        </w:rPr>
        <w:t>Antimicrobial Agents and Chemotherapy</w:t>
      </w:r>
      <w:r w:rsidRPr="00C1255F">
        <w:rPr>
          <w:color w:val="000000" w:themeColor="text1"/>
          <w:sz w:val="22"/>
          <w:szCs w:val="22"/>
        </w:rPr>
        <w:t>, 60(2):1067-1078.</w:t>
      </w:r>
    </w:p>
    <w:p w14:paraId="550A2CE1" w14:textId="77777777" w:rsidR="001F31B1" w:rsidRPr="00C1255F" w:rsidRDefault="001F31B1" w:rsidP="00A1162F">
      <w:pPr>
        <w:pStyle w:val="ds-markdown-paragraph"/>
        <w:numPr>
          <w:ilvl w:val="0"/>
          <w:numId w:val="3"/>
        </w:numPr>
        <w:shd w:val="clear" w:color="auto" w:fill="FFFFFF"/>
        <w:spacing w:before="0" w:beforeAutospacing="0" w:after="0" w:afterAutospacing="0"/>
        <w:jc w:val="both"/>
        <w:rPr>
          <w:color w:val="000000" w:themeColor="text1"/>
          <w:sz w:val="22"/>
          <w:szCs w:val="22"/>
        </w:rPr>
      </w:pPr>
      <w:proofErr w:type="spellStart"/>
      <w:r w:rsidRPr="00C1255F">
        <w:rPr>
          <w:color w:val="000000" w:themeColor="text1"/>
          <w:sz w:val="22"/>
          <w:szCs w:val="22"/>
        </w:rPr>
        <w:t>Krumperman</w:t>
      </w:r>
      <w:proofErr w:type="spellEnd"/>
      <w:r w:rsidRPr="00C1255F">
        <w:rPr>
          <w:color w:val="000000" w:themeColor="text1"/>
          <w:sz w:val="22"/>
          <w:szCs w:val="22"/>
        </w:rPr>
        <w:t>, P. H. (1983). Multiple antibiotic resistance indexing of </w:t>
      </w:r>
      <w:r w:rsidRPr="00C1255F">
        <w:rPr>
          <w:rStyle w:val="Emphasis"/>
          <w:rFonts w:eastAsiaTheme="majorEastAsia"/>
          <w:color w:val="000000" w:themeColor="text1"/>
          <w:sz w:val="22"/>
          <w:szCs w:val="22"/>
        </w:rPr>
        <w:t>Escherichia coli</w:t>
      </w:r>
      <w:r w:rsidRPr="00C1255F">
        <w:rPr>
          <w:color w:val="000000" w:themeColor="text1"/>
          <w:sz w:val="22"/>
          <w:szCs w:val="22"/>
        </w:rPr>
        <w:t> to identify high-risk sources of fecal contamination of foods. </w:t>
      </w:r>
      <w:r w:rsidRPr="00C1255F">
        <w:rPr>
          <w:rStyle w:val="Emphasis"/>
          <w:rFonts w:eastAsiaTheme="majorEastAsia"/>
          <w:color w:val="000000" w:themeColor="text1"/>
          <w:sz w:val="22"/>
          <w:szCs w:val="22"/>
        </w:rPr>
        <w:t>Applied and Environmental Microbiology</w:t>
      </w:r>
      <w:r w:rsidRPr="00C1255F">
        <w:rPr>
          <w:color w:val="000000" w:themeColor="text1"/>
          <w:sz w:val="22"/>
          <w:szCs w:val="22"/>
        </w:rPr>
        <w:t>, 46:165-170.</w:t>
      </w:r>
    </w:p>
    <w:p w14:paraId="0268A363" w14:textId="77777777" w:rsidR="001F31B1" w:rsidRPr="00C1255F" w:rsidRDefault="001F31B1" w:rsidP="00A1162F">
      <w:pPr>
        <w:pStyle w:val="ds-markdown-paragraph"/>
        <w:numPr>
          <w:ilvl w:val="0"/>
          <w:numId w:val="3"/>
        </w:numPr>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t>Kumar, S. H., De, A. S., Baveja, S. M. and Gore, M. A. (2012). Prevalence and Risk Factors of Metallo β-Lactamase Producing </w:t>
      </w:r>
      <w:r w:rsidRPr="00C1255F">
        <w:rPr>
          <w:rStyle w:val="Emphasis"/>
          <w:rFonts w:eastAsiaTheme="majorEastAsia"/>
          <w:color w:val="000000" w:themeColor="text1"/>
          <w:sz w:val="22"/>
          <w:szCs w:val="22"/>
        </w:rPr>
        <w:t>Pseudomonas aeruginosa</w:t>
      </w:r>
      <w:r w:rsidRPr="00C1255F">
        <w:rPr>
          <w:color w:val="000000" w:themeColor="text1"/>
          <w:sz w:val="22"/>
          <w:szCs w:val="22"/>
        </w:rPr>
        <w:t> and Acinetobacter Species in Burns and Surgical Wards in a Tertiary Care Hospital. </w:t>
      </w:r>
      <w:r w:rsidRPr="00C1255F">
        <w:rPr>
          <w:rStyle w:val="Emphasis"/>
          <w:rFonts w:eastAsiaTheme="majorEastAsia"/>
          <w:color w:val="000000" w:themeColor="text1"/>
          <w:sz w:val="22"/>
          <w:szCs w:val="22"/>
        </w:rPr>
        <w:t>Journal of Laboratory Physicians</w:t>
      </w:r>
      <w:r w:rsidRPr="00C1255F">
        <w:rPr>
          <w:color w:val="000000" w:themeColor="text1"/>
          <w:sz w:val="22"/>
          <w:szCs w:val="22"/>
        </w:rPr>
        <w:t>, 4:39-42.</w:t>
      </w:r>
    </w:p>
    <w:p w14:paraId="0350B2CF" w14:textId="77777777" w:rsidR="001F31B1" w:rsidRPr="00C1255F" w:rsidRDefault="001F31B1" w:rsidP="00A1162F">
      <w:pPr>
        <w:pStyle w:val="ds-markdown-paragraph"/>
        <w:numPr>
          <w:ilvl w:val="0"/>
          <w:numId w:val="3"/>
        </w:numPr>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t xml:space="preserve">Kumarasamy, K. K., Toleman, M. A., Walsh, T. R., </w:t>
      </w:r>
      <w:proofErr w:type="spellStart"/>
      <w:r w:rsidRPr="00C1255F">
        <w:rPr>
          <w:color w:val="000000" w:themeColor="text1"/>
          <w:sz w:val="22"/>
          <w:szCs w:val="22"/>
        </w:rPr>
        <w:t>Bagaria</w:t>
      </w:r>
      <w:proofErr w:type="spellEnd"/>
      <w:r w:rsidRPr="00C1255F">
        <w:rPr>
          <w:color w:val="000000" w:themeColor="text1"/>
          <w:sz w:val="22"/>
          <w:szCs w:val="22"/>
        </w:rPr>
        <w:t xml:space="preserve">, J., Butt, F., Balakrishnan, R., Chaudhary, U., </w:t>
      </w:r>
      <w:proofErr w:type="spellStart"/>
      <w:r w:rsidRPr="00C1255F">
        <w:rPr>
          <w:color w:val="000000" w:themeColor="text1"/>
          <w:sz w:val="22"/>
          <w:szCs w:val="22"/>
        </w:rPr>
        <w:t>Doumith</w:t>
      </w:r>
      <w:proofErr w:type="spellEnd"/>
      <w:r w:rsidRPr="00C1255F">
        <w:rPr>
          <w:color w:val="000000" w:themeColor="text1"/>
          <w:sz w:val="22"/>
          <w:szCs w:val="22"/>
        </w:rPr>
        <w:t>, M., Giske, C. G., Irfan, S., Krishnan, P., Kumar, A. V., Maharjan, S., Mushtaq, S., Noorie, T., Paterson, D. L., Pearson, A., Perry, C., Pike, R., Rao, B., Ray, U., Sarma, J. B., Sharma, M., Sheridan, E., Thirunarayan, M. A., Turton, J., Upadhyay, S., Warner, M., Welfare, W., Livermore, D. M. and Woodford, N. (2010). Emergence of a new antibiotic resistance mechanism in India, Pakistan, and the UK: A molecular, biological, and epidemiological study. </w:t>
      </w:r>
      <w:r w:rsidRPr="00C1255F">
        <w:rPr>
          <w:rStyle w:val="Emphasis"/>
          <w:rFonts w:eastAsiaTheme="majorEastAsia"/>
          <w:color w:val="000000" w:themeColor="text1"/>
          <w:sz w:val="22"/>
          <w:szCs w:val="22"/>
        </w:rPr>
        <w:t>Lancet Infectious Diseases</w:t>
      </w:r>
      <w:r w:rsidRPr="00C1255F">
        <w:rPr>
          <w:color w:val="000000" w:themeColor="text1"/>
          <w:sz w:val="22"/>
          <w:szCs w:val="22"/>
        </w:rPr>
        <w:t>, 10(9):597-602.</w:t>
      </w:r>
    </w:p>
    <w:p w14:paraId="49E85843" w14:textId="77777777" w:rsidR="001F31B1" w:rsidRPr="00C1255F" w:rsidRDefault="001F31B1" w:rsidP="00A1162F">
      <w:pPr>
        <w:pStyle w:val="ds-markdown-paragraph"/>
        <w:numPr>
          <w:ilvl w:val="0"/>
          <w:numId w:val="3"/>
        </w:numPr>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lastRenderedPageBreak/>
        <w:t>Li, L., Xu, L., Zhu, R., Chen, K., Liu, Z. and Zhou, W. (2020). Effect of prior receipt of antibiotics on the pathogen distribution: a retrospective observational cohort study on 27,792 patients. </w:t>
      </w:r>
      <w:r w:rsidRPr="00C1255F">
        <w:rPr>
          <w:rStyle w:val="Emphasis"/>
          <w:rFonts w:eastAsiaTheme="majorEastAsia"/>
          <w:color w:val="000000" w:themeColor="text1"/>
          <w:sz w:val="22"/>
          <w:szCs w:val="22"/>
        </w:rPr>
        <w:t>BMC Infectious Diseases</w:t>
      </w:r>
      <w:r w:rsidRPr="00C1255F">
        <w:rPr>
          <w:color w:val="000000" w:themeColor="text1"/>
          <w:sz w:val="22"/>
          <w:szCs w:val="22"/>
        </w:rPr>
        <w:t>, 20:347-357.</w:t>
      </w:r>
    </w:p>
    <w:p w14:paraId="718EE17E" w14:textId="77777777" w:rsidR="001F31B1" w:rsidRPr="00C1255F" w:rsidRDefault="001F31B1" w:rsidP="00A1162F">
      <w:pPr>
        <w:pStyle w:val="ds-markdown-paragraph"/>
        <w:numPr>
          <w:ilvl w:val="0"/>
          <w:numId w:val="3"/>
        </w:numPr>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t>Logan, L. K. and Weinstein, R. A. (2017). The Epidemiology of Carbapenem-Resistant Enterobacteriaceae: the Impact and Evolution of a Global Menace. </w:t>
      </w:r>
      <w:r w:rsidRPr="00C1255F">
        <w:rPr>
          <w:rStyle w:val="Emphasis"/>
          <w:rFonts w:eastAsiaTheme="majorEastAsia"/>
          <w:color w:val="000000" w:themeColor="text1"/>
          <w:sz w:val="22"/>
          <w:szCs w:val="22"/>
        </w:rPr>
        <w:t>Journal of Infectious Diseases</w:t>
      </w:r>
      <w:r w:rsidRPr="00C1255F">
        <w:rPr>
          <w:color w:val="000000" w:themeColor="text1"/>
          <w:sz w:val="22"/>
          <w:szCs w:val="22"/>
        </w:rPr>
        <w:t>, 215:S28-S36.</w:t>
      </w:r>
    </w:p>
    <w:p w14:paraId="116D8B33" w14:textId="77777777" w:rsidR="001F31B1" w:rsidRPr="00C1255F" w:rsidRDefault="001F31B1" w:rsidP="00A1162F">
      <w:pPr>
        <w:pStyle w:val="ds-markdown-paragraph"/>
        <w:numPr>
          <w:ilvl w:val="0"/>
          <w:numId w:val="3"/>
        </w:numPr>
        <w:shd w:val="clear" w:color="auto" w:fill="FFFFFF"/>
        <w:spacing w:before="0" w:beforeAutospacing="0" w:after="0" w:afterAutospacing="0"/>
        <w:jc w:val="both"/>
        <w:rPr>
          <w:color w:val="000000" w:themeColor="text1"/>
          <w:sz w:val="22"/>
          <w:szCs w:val="22"/>
        </w:rPr>
      </w:pPr>
      <w:proofErr w:type="spellStart"/>
      <w:r w:rsidRPr="00C1255F">
        <w:rPr>
          <w:color w:val="000000" w:themeColor="text1"/>
          <w:sz w:val="22"/>
          <w:szCs w:val="22"/>
        </w:rPr>
        <w:t>Maduakor</w:t>
      </w:r>
      <w:proofErr w:type="spellEnd"/>
      <w:r w:rsidRPr="00C1255F">
        <w:rPr>
          <w:color w:val="000000" w:themeColor="text1"/>
          <w:sz w:val="22"/>
          <w:szCs w:val="22"/>
        </w:rPr>
        <w:t xml:space="preserve">, U. C., Umeh, K. C., Eberechukwu, C. L., </w:t>
      </w:r>
      <w:proofErr w:type="spellStart"/>
      <w:r w:rsidRPr="00C1255F">
        <w:rPr>
          <w:color w:val="000000" w:themeColor="text1"/>
          <w:sz w:val="22"/>
          <w:szCs w:val="22"/>
        </w:rPr>
        <w:t>Emenuga</w:t>
      </w:r>
      <w:proofErr w:type="spellEnd"/>
      <w:r w:rsidRPr="00C1255F">
        <w:rPr>
          <w:color w:val="000000" w:themeColor="text1"/>
          <w:sz w:val="22"/>
          <w:szCs w:val="22"/>
        </w:rPr>
        <w:t>, V. N., Mba, G. C. and Ogu, C. O. (2024). Occurrence and Antibiotic Resistance Profiles of Metallo Beta Lactamase Producing </w:t>
      </w:r>
      <w:r w:rsidRPr="00C1255F">
        <w:rPr>
          <w:rStyle w:val="Emphasis"/>
          <w:rFonts w:eastAsiaTheme="majorEastAsia"/>
          <w:color w:val="000000" w:themeColor="text1"/>
          <w:sz w:val="22"/>
          <w:szCs w:val="22"/>
        </w:rPr>
        <w:t>Pseudomonas aeruginosa</w:t>
      </w:r>
      <w:r w:rsidRPr="00C1255F">
        <w:rPr>
          <w:color w:val="000000" w:themeColor="text1"/>
          <w:sz w:val="22"/>
          <w:szCs w:val="22"/>
        </w:rPr>
        <w:t> Among Clinical Isolates in Enugu Metropolis, Nigeria. </w:t>
      </w:r>
      <w:r w:rsidRPr="00C1255F">
        <w:rPr>
          <w:rStyle w:val="Emphasis"/>
          <w:rFonts w:eastAsiaTheme="majorEastAsia"/>
          <w:color w:val="000000" w:themeColor="text1"/>
          <w:sz w:val="22"/>
          <w:szCs w:val="22"/>
        </w:rPr>
        <w:t>International Journal of Tropical Disease and Health</w:t>
      </w:r>
      <w:r w:rsidRPr="00C1255F">
        <w:rPr>
          <w:color w:val="000000" w:themeColor="text1"/>
          <w:sz w:val="22"/>
          <w:szCs w:val="22"/>
        </w:rPr>
        <w:t>, 45:10-18.</w:t>
      </w:r>
    </w:p>
    <w:p w14:paraId="3281D0B6" w14:textId="77777777" w:rsidR="001F31B1" w:rsidRPr="00C1255F" w:rsidRDefault="001F31B1" w:rsidP="001F31B1">
      <w:pPr>
        <w:pStyle w:val="ListParagraph"/>
        <w:numPr>
          <w:ilvl w:val="0"/>
          <w:numId w:val="3"/>
        </w:numPr>
        <w:jc w:val="both"/>
        <w:rPr>
          <w:rFonts w:ascii="Times New Roman" w:hAnsi="Times New Roman" w:cs="Times New Roman"/>
          <w:color w:val="000000" w:themeColor="text1"/>
          <w:lang w:val="en-GB"/>
        </w:rPr>
      </w:pPr>
      <w:r w:rsidRPr="00C1255F">
        <w:rPr>
          <w:rFonts w:ascii="Times New Roman" w:hAnsi="Times New Roman" w:cs="Times New Roman"/>
          <w:color w:val="000000" w:themeColor="text1"/>
          <w:lang w:val="en-GB"/>
        </w:rPr>
        <w:t xml:space="preserve">Merlo, C. A., Boyle, M. P., Diener-West, M., Marshall, B. C., Goss, C. H., &amp; </w:t>
      </w:r>
      <w:proofErr w:type="spellStart"/>
      <w:r w:rsidRPr="00C1255F">
        <w:rPr>
          <w:rFonts w:ascii="Times New Roman" w:hAnsi="Times New Roman" w:cs="Times New Roman"/>
          <w:color w:val="000000" w:themeColor="text1"/>
          <w:lang w:val="en-GB"/>
        </w:rPr>
        <w:t>Lechtzin</w:t>
      </w:r>
      <w:proofErr w:type="spellEnd"/>
      <w:r w:rsidRPr="00C1255F">
        <w:rPr>
          <w:rFonts w:ascii="Times New Roman" w:hAnsi="Times New Roman" w:cs="Times New Roman"/>
          <w:color w:val="000000" w:themeColor="text1"/>
          <w:lang w:val="en-GB"/>
        </w:rPr>
        <w:t xml:space="preserve">, N. (2007). Incidence and risk factors for multiple antibiotic-resistant </w:t>
      </w:r>
      <w:r w:rsidRPr="00C1255F">
        <w:rPr>
          <w:rFonts w:ascii="Times New Roman" w:hAnsi="Times New Roman" w:cs="Times New Roman"/>
          <w:i/>
          <w:color w:val="000000" w:themeColor="text1"/>
          <w:lang w:val="en-GB"/>
        </w:rPr>
        <w:t>Pseudomonas aeruginosa</w:t>
      </w:r>
      <w:r w:rsidRPr="00C1255F">
        <w:rPr>
          <w:rFonts w:ascii="Times New Roman" w:hAnsi="Times New Roman" w:cs="Times New Roman"/>
          <w:color w:val="000000" w:themeColor="text1"/>
          <w:lang w:val="en-GB"/>
        </w:rPr>
        <w:t xml:space="preserve"> in cystic fibrosis. </w:t>
      </w:r>
      <w:r w:rsidRPr="00C1255F">
        <w:rPr>
          <w:rFonts w:ascii="Times New Roman" w:hAnsi="Times New Roman" w:cs="Times New Roman"/>
          <w:i/>
          <w:color w:val="000000" w:themeColor="text1"/>
          <w:lang w:val="en-GB"/>
        </w:rPr>
        <w:t>Chest</w:t>
      </w:r>
      <w:r w:rsidRPr="00C1255F">
        <w:rPr>
          <w:rFonts w:ascii="Times New Roman" w:hAnsi="Times New Roman" w:cs="Times New Roman"/>
          <w:color w:val="000000" w:themeColor="text1"/>
          <w:lang w:val="en-GB"/>
        </w:rPr>
        <w:t>, 132(2), 562-568.</w:t>
      </w:r>
    </w:p>
    <w:p w14:paraId="39309DE6" w14:textId="77777777" w:rsidR="001F31B1" w:rsidRPr="00C1255F" w:rsidRDefault="001F31B1" w:rsidP="00A1162F">
      <w:pPr>
        <w:pStyle w:val="ds-markdown-paragraph"/>
        <w:numPr>
          <w:ilvl w:val="0"/>
          <w:numId w:val="3"/>
        </w:numPr>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t>Murray, C. J. L., Ikuta, K. S., Sharara, F., Swetschinski, L., Aguilar, G. R., Gray, A., Han, C., Bisignano, C., Rao, P. and Wool, E. (2022). Global burden of bacterial antimicrobial resistance in 2019: A systematic analysis. </w:t>
      </w:r>
      <w:r w:rsidRPr="00C1255F">
        <w:rPr>
          <w:rStyle w:val="Emphasis"/>
          <w:rFonts w:eastAsiaTheme="majorEastAsia"/>
          <w:color w:val="000000" w:themeColor="text1"/>
          <w:sz w:val="22"/>
          <w:szCs w:val="22"/>
        </w:rPr>
        <w:t>Lancet</w:t>
      </w:r>
      <w:r w:rsidRPr="00C1255F">
        <w:rPr>
          <w:color w:val="000000" w:themeColor="text1"/>
          <w:sz w:val="22"/>
          <w:szCs w:val="22"/>
        </w:rPr>
        <w:t>, 399:629-655.</w:t>
      </w:r>
    </w:p>
    <w:p w14:paraId="19265AD9" w14:textId="77777777" w:rsidR="001F31B1" w:rsidRPr="00C1255F" w:rsidRDefault="001F31B1" w:rsidP="002243D8">
      <w:pPr>
        <w:pStyle w:val="ds-markdown-paragraph"/>
        <w:numPr>
          <w:ilvl w:val="0"/>
          <w:numId w:val="3"/>
        </w:numPr>
        <w:shd w:val="clear" w:color="auto" w:fill="FFFFFF"/>
        <w:spacing w:after="0" w:afterAutospacing="0"/>
        <w:jc w:val="both"/>
        <w:rPr>
          <w:color w:val="000000" w:themeColor="text1"/>
          <w:sz w:val="22"/>
          <w:szCs w:val="22"/>
        </w:rPr>
      </w:pPr>
      <w:proofErr w:type="spellStart"/>
      <w:r w:rsidRPr="00C1255F">
        <w:rPr>
          <w:rStyle w:val="Strong"/>
          <w:b w:val="0"/>
          <w:color w:val="000000" w:themeColor="text1"/>
          <w:sz w:val="22"/>
          <w:szCs w:val="22"/>
          <w:shd w:val="clear" w:color="auto" w:fill="FFFFFF"/>
        </w:rPr>
        <w:t>Nomeh</w:t>
      </w:r>
      <w:proofErr w:type="spellEnd"/>
      <w:r w:rsidRPr="00C1255F">
        <w:rPr>
          <w:rStyle w:val="Strong"/>
          <w:b w:val="0"/>
          <w:color w:val="000000" w:themeColor="text1"/>
          <w:sz w:val="22"/>
          <w:szCs w:val="22"/>
          <w:shd w:val="clear" w:color="auto" w:fill="FFFFFF"/>
        </w:rPr>
        <w:t xml:space="preserve">, O.L., </w:t>
      </w:r>
      <w:proofErr w:type="spellStart"/>
      <w:r w:rsidRPr="00C1255F">
        <w:rPr>
          <w:rStyle w:val="Strong"/>
          <w:b w:val="0"/>
          <w:color w:val="000000" w:themeColor="text1"/>
          <w:sz w:val="22"/>
          <w:szCs w:val="22"/>
          <w:shd w:val="clear" w:color="auto" w:fill="FFFFFF"/>
        </w:rPr>
        <w:t>Edemekong</w:t>
      </w:r>
      <w:proofErr w:type="spellEnd"/>
      <w:r w:rsidRPr="00C1255F">
        <w:rPr>
          <w:rStyle w:val="Strong"/>
          <w:b w:val="0"/>
          <w:color w:val="000000" w:themeColor="text1"/>
          <w:sz w:val="22"/>
          <w:szCs w:val="22"/>
          <w:shd w:val="clear" w:color="auto" w:fill="FFFFFF"/>
        </w:rPr>
        <w:t>, C.I., Ogba, R.C., Kelechi-Mathew, O.O. and Peter, I.U. (2025).</w:t>
      </w:r>
      <w:r w:rsidRPr="00C1255F">
        <w:rPr>
          <w:color w:val="000000" w:themeColor="text1"/>
          <w:sz w:val="22"/>
          <w:szCs w:val="22"/>
          <w:shd w:val="clear" w:color="auto" w:fill="FFFFFF"/>
        </w:rPr>
        <w:t> 'Prevalence and Antibiotic Resistance Profiles of </w:t>
      </w:r>
      <w:r w:rsidRPr="00C1255F">
        <w:rPr>
          <w:rStyle w:val="Emphasis"/>
          <w:rFonts w:eastAsiaTheme="majorEastAsia"/>
          <w:color w:val="000000" w:themeColor="text1"/>
          <w:sz w:val="22"/>
          <w:szCs w:val="22"/>
          <w:shd w:val="clear" w:color="auto" w:fill="FFFFFF"/>
        </w:rPr>
        <w:t>Escherichia coli</w:t>
      </w:r>
      <w:r w:rsidRPr="00C1255F">
        <w:rPr>
          <w:color w:val="000000" w:themeColor="text1"/>
          <w:sz w:val="22"/>
          <w:szCs w:val="22"/>
          <w:shd w:val="clear" w:color="auto" w:fill="FFFFFF"/>
        </w:rPr>
        <w:t> and </w:t>
      </w:r>
      <w:r w:rsidRPr="00C1255F">
        <w:rPr>
          <w:rStyle w:val="Emphasis"/>
          <w:rFonts w:eastAsiaTheme="majorEastAsia"/>
          <w:color w:val="000000" w:themeColor="text1"/>
          <w:sz w:val="22"/>
          <w:szCs w:val="22"/>
          <w:shd w:val="clear" w:color="auto" w:fill="FFFFFF"/>
        </w:rPr>
        <w:t>Staphylococcus aureus</w:t>
      </w:r>
      <w:r w:rsidRPr="00C1255F">
        <w:rPr>
          <w:color w:val="000000" w:themeColor="text1"/>
          <w:sz w:val="22"/>
          <w:szCs w:val="22"/>
          <w:shd w:val="clear" w:color="auto" w:fill="FFFFFF"/>
        </w:rPr>
        <w:t xml:space="preserve"> in Leafy Vegetables from Open Markets in </w:t>
      </w:r>
      <w:proofErr w:type="spellStart"/>
      <w:r w:rsidRPr="00C1255F">
        <w:rPr>
          <w:color w:val="000000" w:themeColor="text1"/>
          <w:sz w:val="22"/>
          <w:szCs w:val="22"/>
          <w:shd w:val="clear" w:color="auto" w:fill="FFFFFF"/>
        </w:rPr>
        <w:t>Abakaliki</w:t>
      </w:r>
      <w:proofErr w:type="spellEnd"/>
      <w:r w:rsidRPr="00C1255F">
        <w:rPr>
          <w:color w:val="000000" w:themeColor="text1"/>
          <w:sz w:val="22"/>
          <w:szCs w:val="22"/>
          <w:shd w:val="clear" w:color="auto" w:fill="FFFFFF"/>
        </w:rPr>
        <w:t>, Nigeria: Implications for Food Safety and Public Health', </w:t>
      </w:r>
      <w:r w:rsidRPr="00C1255F">
        <w:rPr>
          <w:rStyle w:val="Emphasis"/>
          <w:rFonts w:eastAsiaTheme="majorEastAsia"/>
          <w:color w:val="000000" w:themeColor="text1"/>
          <w:sz w:val="22"/>
          <w:szCs w:val="22"/>
          <w:shd w:val="clear" w:color="auto" w:fill="FFFFFF"/>
        </w:rPr>
        <w:t>JOSTIR</w:t>
      </w:r>
      <w:r w:rsidRPr="00C1255F">
        <w:rPr>
          <w:color w:val="000000" w:themeColor="text1"/>
          <w:sz w:val="22"/>
          <w:szCs w:val="22"/>
          <w:shd w:val="clear" w:color="auto" w:fill="FFFFFF"/>
        </w:rPr>
        <w:t xml:space="preserve">, 14, pp. 13–24. </w:t>
      </w:r>
      <w:proofErr w:type="spellStart"/>
      <w:r w:rsidRPr="00C1255F">
        <w:rPr>
          <w:color w:val="000000" w:themeColor="text1"/>
          <w:sz w:val="22"/>
          <w:szCs w:val="22"/>
          <w:shd w:val="clear" w:color="auto" w:fill="FFFFFF"/>
        </w:rPr>
        <w:t>doi</w:t>
      </w:r>
      <w:proofErr w:type="spellEnd"/>
      <w:r w:rsidRPr="00C1255F">
        <w:rPr>
          <w:color w:val="000000" w:themeColor="text1"/>
          <w:sz w:val="22"/>
          <w:szCs w:val="22"/>
          <w:shd w:val="clear" w:color="auto" w:fill="FFFFFF"/>
        </w:rPr>
        <w:t>: 10.51459/jostir.2025.1.Special-Issue.071</w:t>
      </w:r>
    </w:p>
    <w:p w14:paraId="6F77E596" w14:textId="77777777" w:rsidR="001F31B1" w:rsidRPr="00C1255F" w:rsidRDefault="001F31B1" w:rsidP="00A1162F">
      <w:pPr>
        <w:pStyle w:val="ds-markdown-paragraph"/>
        <w:numPr>
          <w:ilvl w:val="0"/>
          <w:numId w:val="3"/>
        </w:numPr>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t xml:space="preserve">Ogba, R. C., </w:t>
      </w:r>
      <w:proofErr w:type="spellStart"/>
      <w:r w:rsidRPr="00C1255F">
        <w:rPr>
          <w:color w:val="000000" w:themeColor="text1"/>
          <w:sz w:val="22"/>
          <w:szCs w:val="22"/>
        </w:rPr>
        <w:t>Akpu</w:t>
      </w:r>
      <w:proofErr w:type="spellEnd"/>
      <w:r w:rsidRPr="00C1255F">
        <w:rPr>
          <w:color w:val="000000" w:themeColor="text1"/>
          <w:sz w:val="22"/>
          <w:szCs w:val="22"/>
        </w:rPr>
        <w:t xml:space="preserve">, P. O., </w:t>
      </w:r>
      <w:proofErr w:type="spellStart"/>
      <w:r w:rsidRPr="00C1255F">
        <w:rPr>
          <w:color w:val="000000" w:themeColor="text1"/>
          <w:sz w:val="22"/>
          <w:szCs w:val="22"/>
        </w:rPr>
        <w:t>Nwuzo</w:t>
      </w:r>
      <w:proofErr w:type="spellEnd"/>
      <w:r w:rsidRPr="00C1255F">
        <w:rPr>
          <w:color w:val="000000" w:themeColor="text1"/>
          <w:sz w:val="22"/>
          <w:szCs w:val="22"/>
        </w:rPr>
        <w:t xml:space="preserve">, A. C., Peter, I. U., </w:t>
      </w:r>
      <w:proofErr w:type="spellStart"/>
      <w:r w:rsidRPr="00C1255F">
        <w:rPr>
          <w:color w:val="000000" w:themeColor="text1"/>
          <w:sz w:val="22"/>
          <w:szCs w:val="22"/>
        </w:rPr>
        <w:t>Nomeh</w:t>
      </w:r>
      <w:proofErr w:type="spellEnd"/>
      <w:r w:rsidRPr="00C1255F">
        <w:rPr>
          <w:color w:val="000000" w:themeColor="text1"/>
          <w:sz w:val="22"/>
          <w:szCs w:val="22"/>
        </w:rPr>
        <w:t>, L. O. and Iroha, I. R. (2022a). Antibiotic Susceptibility Profile of Clinical Isolate of Carbapenem Resistant </w:t>
      </w:r>
      <w:r w:rsidRPr="00C1255F">
        <w:rPr>
          <w:rStyle w:val="Emphasis"/>
          <w:rFonts w:eastAsiaTheme="majorEastAsia"/>
          <w:color w:val="000000" w:themeColor="text1"/>
          <w:sz w:val="22"/>
          <w:szCs w:val="22"/>
        </w:rPr>
        <w:t>Pseudomonas aeruginosa</w:t>
      </w:r>
      <w:r w:rsidRPr="00C1255F">
        <w:rPr>
          <w:color w:val="000000" w:themeColor="text1"/>
          <w:sz w:val="22"/>
          <w:szCs w:val="22"/>
        </w:rPr>
        <w:t>. </w:t>
      </w:r>
      <w:r w:rsidRPr="00C1255F">
        <w:rPr>
          <w:rStyle w:val="Emphasis"/>
          <w:rFonts w:eastAsiaTheme="majorEastAsia"/>
          <w:color w:val="000000" w:themeColor="text1"/>
          <w:sz w:val="22"/>
          <w:szCs w:val="22"/>
        </w:rPr>
        <w:t>South Asian Journal of Research in Microbiology</w:t>
      </w:r>
      <w:r w:rsidRPr="00C1255F">
        <w:rPr>
          <w:color w:val="000000" w:themeColor="text1"/>
          <w:sz w:val="22"/>
          <w:szCs w:val="22"/>
        </w:rPr>
        <w:t>, 14:14-23.</w:t>
      </w:r>
    </w:p>
    <w:p w14:paraId="65AF9284" w14:textId="77777777" w:rsidR="001F31B1" w:rsidRPr="00C1255F" w:rsidRDefault="001F31B1" w:rsidP="00A1162F">
      <w:pPr>
        <w:pStyle w:val="ds-markdown-paragraph"/>
        <w:numPr>
          <w:ilvl w:val="0"/>
          <w:numId w:val="3"/>
        </w:numPr>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t xml:space="preserve">Ogba, R. C., </w:t>
      </w:r>
      <w:proofErr w:type="spellStart"/>
      <w:r w:rsidRPr="00C1255F">
        <w:rPr>
          <w:color w:val="000000" w:themeColor="text1"/>
          <w:sz w:val="22"/>
          <w:szCs w:val="22"/>
        </w:rPr>
        <w:t>Nomeh</w:t>
      </w:r>
      <w:proofErr w:type="spellEnd"/>
      <w:r w:rsidRPr="00C1255F">
        <w:rPr>
          <w:color w:val="000000" w:themeColor="text1"/>
          <w:sz w:val="22"/>
          <w:szCs w:val="22"/>
        </w:rPr>
        <w:t xml:space="preserve">, O. L., </w:t>
      </w:r>
      <w:proofErr w:type="spellStart"/>
      <w:r w:rsidRPr="00C1255F">
        <w:rPr>
          <w:color w:val="000000" w:themeColor="text1"/>
          <w:sz w:val="22"/>
          <w:szCs w:val="22"/>
        </w:rPr>
        <w:t>Edemekong</w:t>
      </w:r>
      <w:proofErr w:type="spellEnd"/>
      <w:r w:rsidRPr="00C1255F">
        <w:rPr>
          <w:color w:val="000000" w:themeColor="text1"/>
          <w:sz w:val="22"/>
          <w:szCs w:val="22"/>
        </w:rPr>
        <w:t xml:space="preserve">, C. I., </w:t>
      </w:r>
      <w:proofErr w:type="spellStart"/>
      <w:r w:rsidRPr="00C1255F">
        <w:rPr>
          <w:color w:val="000000" w:themeColor="text1"/>
          <w:sz w:val="22"/>
          <w:szCs w:val="22"/>
        </w:rPr>
        <w:t>Nwuzo</w:t>
      </w:r>
      <w:proofErr w:type="spellEnd"/>
      <w:r w:rsidRPr="00C1255F">
        <w:rPr>
          <w:color w:val="000000" w:themeColor="text1"/>
          <w:sz w:val="22"/>
          <w:szCs w:val="22"/>
        </w:rPr>
        <w:t xml:space="preserve">, A. C., </w:t>
      </w:r>
      <w:proofErr w:type="spellStart"/>
      <w:r w:rsidRPr="00C1255F">
        <w:rPr>
          <w:color w:val="000000" w:themeColor="text1"/>
          <w:sz w:val="22"/>
          <w:szCs w:val="22"/>
        </w:rPr>
        <w:t>Akpu</w:t>
      </w:r>
      <w:proofErr w:type="spellEnd"/>
      <w:r w:rsidRPr="00C1255F">
        <w:rPr>
          <w:color w:val="000000" w:themeColor="text1"/>
          <w:sz w:val="22"/>
          <w:szCs w:val="22"/>
        </w:rPr>
        <w:t xml:space="preserve">, P. O., Peter, I. U. and Iroha, I. R. (2022b). Molecular Characterization of </w:t>
      </w:r>
      <w:proofErr w:type="spellStart"/>
      <w:r w:rsidRPr="00C1255F">
        <w:rPr>
          <w:color w:val="000000" w:themeColor="text1"/>
          <w:sz w:val="22"/>
          <w:szCs w:val="22"/>
        </w:rPr>
        <w:t>Carbapenemase</w:t>
      </w:r>
      <w:proofErr w:type="spellEnd"/>
      <w:r w:rsidRPr="00C1255F">
        <w:rPr>
          <w:color w:val="000000" w:themeColor="text1"/>
          <w:sz w:val="22"/>
          <w:szCs w:val="22"/>
        </w:rPr>
        <w:t xml:space="preserve"> Encoding Genes in </w:t>
      </w:r>
      <w:r w:rsidRPr="00C1255F">
        <w:rPr>
          <w:rStyle w:val="Emphasis"/>
          <w:rFonts w:eastAsiaTheme="majorEastAsia"/>
          <w:color w:val="000000" w:themeColor="text1"/>
          <w:sz w:val="22"/>
          <w:szCs w:val="22"/>
        </w:rPr>
        <w:t>Pseudomonas aeruginosa</w:t>
      </w:r>
      <w:r w:rsidRPr="00C1255F">
        <w:rPr>
          <w:color w:val="000000" w:themeColor="text1"/>
          <w:sz w:val="22"/>
          <w:szCs w:val="22"/>
        </w:rPr>
        <w:t> from Tertiary Healthcare in South Eastern Nigeria. </w:t>
      </w:r>
      <w:r w:rsidRPr="00C1255F">
        <w:rPr>
          <w:rStyle w:val="Emphasis"/>
          <w:rFonts w:eastAsiaTheme="majorEastAsia"/>
          <w:color w:val="000000" w:themeColor="text1"/>
          <w:sz w:val="22"/>
          <w:szCs w:val="22"/>
        </w:rPr>
        <w:t>Asian Journal of Biology, Genetic and Molecular Biology</w:t>
      </w:r>
      <w:r w:rsidRPr="00C1255F">
        <w:rPr>
          <w:color w:val="000000" w:themeColor="text1"/>
          <w:sz w:val="22"/>
          <w:szCs w:val="22"/>
        </w:rPr>
        <w:t>, 12:161-168.</w:t>
      </w:r>
    </w:p>
    <w:p w14:paraId="1B94C8DE" w14:textId="77777777" w:rsidR="001F31B1" w:rsidRPr="00C1255F" w:rsidRDefault="001F31B1" w:rsidP="00A1162F">
      <w:pPr>
        <w:pStyle w:val="ds-markdown-paragraph"/>
        <w:numPr>
          <w:ilvl w:val="0"/>
          <w:numId w:val="3"/>
        </w:numPr>
        <w:shd w:val="clear" w:color="auto" w:fill="FFFFFF"/>
        <w:spacing w:before="0" w:beforeAutospacing="0" w:after="0" w:afterAutospacing="0"/>
        <w:jc w:val="both"/>
        <w:rPr>
          <w:color w:val="000000" w:themeColor="text1"/>
          <w:sz w:val="22"/>
          <w:szCs w:val="22"/>
        </w:rPr>
      </w:pPr>
      <w:proofErr w:type="spellStart"/>
      <w:r w:rsidRPr="00C1255F">
        <w:rPr>
          <w:color w:val="000000" w:themeColor="text1"/>
          <w:sz w:val="22"/>
          <w:szCs w:val="22"/>
        </w:rPr>
        <w:t>Oke</w:t>
      </w:r>
      <w:proofErr w:type="spellEnd"/>
      <w:r w:rsidRPr="00C1255F">
        <w:rPr>
          <w:color w:val="000000" w:themeColor="text1"/>
          <w:sz w:val="22"/>
          <w:szCs w:val="22"/>
        </w:rPr>
        <w:t xml:space="preserve">, B., Peter, I. U., Chinenye, C. O. L., </w:t>
      </w:r>
      <w:proofErr w:type="spellStart"/>
      <w:r w:rsidRPr="00C1255F">
        <w:rPr>
          <w:color w:val="000000" w:themeColor="text1"/>
          <w:sz w:val="22"/>
          <w:szCs w:val="22"/>
        </w:rPr>
        <w:t>Okpaga</w:t>
      </w:r>
      <w:proofErr w:type="spellEnd"/>
      <w:r w:rsidRPr="00C1255F">
        <w:rPr>
          <w:color w:val="000000" w:themeColor="text1"/>
          <w:sz w:val="22"/>
          <w:szCs w:val="22"/>
        </w:rPr>
        <w:t>, A. O., Chukwuemeka, N. M., John-</w:t>
      </w:r>
      <w:proofErr w:type="spellStart"/>
      <w:r w:rsidRPr="00C1255F">
        <w:rPr>
          <w:color w:val="000000" w:themeColor="text1"/>
          <w:sz w:val="22"/>
          <w:szCs w:val="22"/>
        </w:rPr>
        <w:t>onwe</w:t>
      </w:r>
      <w:proofErr w:type="spellEnd"/>
      <w:r w:rsidRPr="00C1255F">
        <w:rPr>
          <w:color w:val="000000" w:themeColor="text1"/>
          <w:sz w:val="22"/>
          <w:szCs w:val="22"/>
        </w:rPr>
        <w:t>, B. N., Mbam, N. F. and Iroha, I. R. (2024). Distribution and Antibiotic Resistance Profile of Enterobacteriaceae Isolates from Well Water in the Rural Communities of Ezza South Local Government Area of Ebonyi State. </w:t>
      </w:r>
      <w:r w:rsidRPr="00C1255F">
        <w:rPr>
          <w:rStyle w:val="Emphasis"/>
          <w:rFonts w:eastAsiaTheme="majorEastAsia"/>
          <w:color w:val="000000" w:themeColor="text1"/>
          <w:sz w:val="22"/>
          <w:szCs w:val="22"/>
        </w:rPr>
        <w:t>International Journal of Pathogen Research</w:t>
      </w:r>
      <w:r w:rsidRPr="00C1255F">
        <w:rPr>
          <w:color w:val="000000" w:themeColor="text1"/>
          <w:sz w:val="22"/>
          <w:szCs w:val="22"/>
        </w:rPr>
        <w:t>, 13(4):22-34.</w:t>
      </w:r>
    </w:p>
    <w:p w14:paraId="35EAAA3E" w14:textId="77777777" w:rsidR="001F31B1" w:rsidRPr="00C1255F" w:rsidRDefault="001F31B1" w:rsidP="00A1162F">
      <w:pPr>
        <w:pStyle w:val="ds-markdown-paragraph"/>
        <w:numPr>
          <w:ilvl w:val="0"/>
          <w:numId w:val="3"/>
        </w:numPr>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t xml:space="preserve">Okeke, I. N., </w:t>
      </w:r>
      <w:proofErr w:type="spellStart"/>
      <w:r w:rsidRPr="00C1255F">
        <w:rPr>
          <w:color w:val="000000" w:themeColor="text1"/>
          <w:sz w:val="22"/>
          <w:szCs w:val="22"/>
        </w:rPr>
        <w:t>Lamikanra</w:t>
      </w:r>
      <w:proofErr w:type="spellEnd"/>
      <w:r w:rsidRPr="00C1255F">
        <w:rPr>
          <w:color w:val="000000" w:themeColor="text1"/>
          <w:sz w:val="22"/>
          <w:szCs w:val="22"/>
        </w:rPr>
        <w:t>, A. and Edelman, R. (1999). Socioeconomic and behavioral factors leading to acquired bacterial resistance to antibiotics in developing countries. </w:t>
      </w:r>
      <w:r w:rsidRPr="00C1255F">
        <w:rPr>
          <w:rStyle w:val="Emphasis"/>
          <w:rFonts w:eastAsiaTheme="majorEastAsia"/>
          <w:color w:val="000000" w:themeColor="text1"/>
          <w:sz w:val="22"/>
          <w:szCs w:val="22"/>
        </w:rPr>
        <w:t>Emerging Infectious Diseases</w:t>
      </w:r>
      <w:r w:rsidRPr="00C1255F">
        <w:rPr>
          <w:color w:val="000000" w:themeColor="text1"/>
          <w:sz w:val="22"/>
          <w:szCs w:val="22"/>
        </w:rPr>
        <w:t>, 5(1):18-27.</w:t>
      </w:r>
    </w:p>
    <w:p w14:paraId="0691CBD7" w14:textId="77777777" w:rsidR="001F31B1" w:rsidRPr="00C1255F" w:rsidRDefault="001F31B1" w:rsidP="00A1162F">
      <w:pPr>
        <w:pStyle w:val="ds-markdown-paragraph"/>
        <w:numPr>
          <w:ilvl w:val="0"/>
          <w:numId w:val="3"/>
        </w:numPr>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t xml:space="preserve">Olalekan, A., Bader, B. K., </w:t>
      </w:r>
      <w:proofErr w:type="spellStart"/>
      <w:r w:rsidRPr="00C1255F">
        <w:rPr>
          <w:color w:val="000000" w:themeColor="text1"/>
          <w:sz w:val="22"/>
          <w:szCs w:val="22"/>
        </w:rPr>
        <w:t>Iwalokun</w:t>
      </w:r>
      <w:proofErr w:type="spellEnd"/>
      <w:r w:rsidRPr="00C1255F">
        <w:rPr>
          <w:color w:val="000000" w:themeColor="text1"/>
          <w:sz w:val="22"/>
          <w:szCs w:val="22"/>
        </w:rPr>
        <w:t xml:space="preserve">, B., Wolf, S., Lalremruata, A., Dike, A., Mannie-Udoh, M., Presti, L. L., Liese, J., </w:t>
      </w:r>
      <w:proofErr w:type="spellStart"/>
      <w:r w:rsidRPr="00C1255F">
        <w:rPr>
          <w:color w:val="000000" w:themeColor="text1"/>
          <w:sz w:val="22"/>
          <w:szCs w:val="22"/>
        </w:rPr>
        <w:t>Guther</w:t>
      </w:r>
      <w:proofErr w:type="spellEnd"/>
      <w:r w:rsidRPr="00C1255F">
        <w:rPr>
          <w:color w:val="000000" w:themeColor="text1"/>
          <w:sz w:val="22"/>
          <w:szCs w:val="22"/>
        </w:rPr>
        <w:t xml:space="preserve">, J., </w:t>
      </w:r>
      <w:proofErr w:type="spellStart"/>
      <w:r w:rsidRPr="00C1255F">
        <w:rPr>
          <w:color w:val="000000" w:themeColor="text1"/>
          <w:sz w:val="22"/>
          <w:szCs w:val="22"/>
        </w:rPr>
        <w:t>D'alvise</w:t>
      </w:r>
      <w:proofErr w:type="spellEnd"/>
      <w:r w:rsidRPr="00C1255F">
        <w:rPr>
          <w:color w:val="000000" w:themeColor="text1"/>
          <w:sz w:val="22"/>
          <w:szCs w:val="22"/>
        </w:rPr>
        <w:t xml:space="preserve">, P. and Peter, S. (2023). High incidence of </w:t>
      </w:r>
      <w:proofErr w:type="spellStart"/>
      <w:r w:rsidRPr="00C1255F">
        <w:rPr>
          <w:color w:val="000000" w:themeColor="text1"/>
          <w:sz w:val="22"/>
          <w:szCs w:val="22"/>
        </w:rPr>
        <w:t>carbapenemase</w:t>
      </w:r>
      <w:proofErr w:type="spellEnd"/>
      <w:r w:rsidRPr="00C1255F">
        <w:rPr>
          <w:color w:val="000000" w:themeColor="text1"/>
          <w:sz w:val="22"/>
          <w:szCs w:val="22"/>
        </w:rPr>
        <w:t>-producing </w:t>
      </w:r>
      <w:r w:rsidRPr="00C1255F">
        <w:rPr>
          <w:rStyle w:val="Emphasis"/>
          <w:rFonts w:eastAsiaTheme="majorEastAsia"/>
          <w:color w:val="000000" w:themeColor="text1"/>
          <w:sz w:val="22"/>
          <w:szCs w:val="22"/>
        </w:rPr>
        <w:t>Pseudomonas aeruginosa</w:t>
      </w:r>
      <w:r w:rsidRPr="00C1255F">
        <w:rPr>
          <w:color w:val="000000" w:themeColor="text1"/>
          <w:sz w:val="22"/>
          <w:szCs w:val="22"/>
        </w:rPr>
        <w:t> clinical isolates from Lagos, Nigeria. </w:t>
      </w:r>
      <w:r w:rsidRPr="00C1255F">
        <w:rPr>
          <w:rStyle w:val="Emphasis"/>
          <w:rFonts w:eastAsiaTheme="majorEastAsia"/>
          <w:color w:val="000000" w:themeColor="text1"/>
          <w:sz w:val="22"/>
          <w:szCs w:val="22"/>
        </w:rPr>
        <w:t>JAC-Antimicrobial Resistance</w:t>
      </w:r>
      <w:r w:rsidRPr="00C1255F">
        <w:rPr>
          <w:color w:val="000000" w:themeColor="text1"/>
          <w:sz w:val="22"/>
          <w:szCs w:val="22"/>
        </w:rPr>
        <w:t>, 5(2):dlad038.</w:t>
      </w:r>
    </w:p>
    <w:p w14:paraId="2245BD3E" w14:textId="77777777" w:rsidR="001F31B1" w:rsidRPr="00C1255F" w:rsidRDefault="001F31B1" w:rsidP="00A1162F">
      <w:pPr>
        <w:pStyle w:val="ds-markdown-paragraph"/>
        <w:numPr>
          <w:ilvl w:val="0"/>
          <w:numId w:val="3"/>
        </w:numPr>
        <w:shd w:val="clear" w:color="auto" w:fill="FFFFFF"/>
        <w:spacing w:before="0" w:beforeAutospacing="0" w:after="0" w:afterAutospacing="0"/>
        <w:jc w:val="both"/>
        <w:rPr>
          <w:color w:val="000000" w:themeColor="text1"/>
          <w:sz w:val="22"/>
          <w:szCs w:val="22"/>
        </w:rPr>
      </w:pPr>
      <w:proofErr w:type="spellStart"/>
      <w:r w:rsidRPr="00C1255F">
        <w:rPr>
          <w:color w:val="000000" w:themeColor="text1"/>
          <w:sz w:val="22"/>
          <w:szCs w:val="22"/>
        </w:rPr>
        <w:t>Onwuezobe</w:t>
      </w:r>
      <w:proofErr w:type="spellEnd"/>
      <w:r w:rsidRPr="00C1255F">
        <w:rPr>
          <w:color w:val="000000" w:themeColor="text1"/>
          <w:sz w:val="22"/>
          <w:szCs w:val="22"/>
        </w:rPr>
        <w:t xml:space="preserve">, I. A., Unwana, E. A. and </w:t>
      </w:r>
      <w:proofErr w:type="spellStart"/>
      <w:r w:rsidRPr="00C1255F">
        <w:rPr>
          <w:color w:val="000000" w:themeColor="text1"/>
          <w:sz w:val="22"/>
          <w:szCs w:val="22"/>
        </w:rPr>
        <w:t>Ekuma</w:t>
      </w:r>
      <w:proofErr w:type="spellEnd"/>
      <w:r w:rsidRPr="00C1255F">
        <w:rPr>
          <w:color w:val="000000" w:themeColor="text1"/>
          <w:sz w:val="22"/>
          <w:szCs w:val="22"/>
        </w:rPr>
        <w:t xml:space="preserve">, E. A. (2023). Occurrence and Associated Risk Factors of Metallo-Β-Lactamase Producing Agents of Infection among Patients in </w:t>
      </w:r>
      <w:proofErr w:type="spellStart"/>
      <w:r w:rsidRPr="00C1255F">
        <w:rPr>
          <w:color w:val="000000" w:themeColor="text1"/>
          <w:sz w:val="22"/>
          <w:szCs w:val="22"/>
        </w:rPr>
        <w:t>Uyo</w:t>
      </w:r>
      <w:proofErr w:type="spellEnd"/>
      <w:r w:rsidRPr="00C1255F">
        <w:rPr>
          <w:color w:val="000000" w:themeColor="text1"/>
          <w:sz w:val="22"/>
          <w:szCs w:val="22"/>
        </w:rPr>
        <w:t>, Southern Nigeria. </w:t>
      </w:r>
      <w:r w:rsidRPr="00C1255F">
        <w:rPr>
          <w:rStyle w:val="Emphasis"/>
          <w:rFonts w:eastAsiaTheme="majorEastAsia"/>
          <w:color w:val="000000" w:themeColor="text1"/>
          <w:sz w:val="22"/>
          <w:szCs w:val="22"/>
        </w:rPr>
        <w:t>Microbiology and Infectious Diseases</w:t>
      </w:r>
      <w:r w:rsidRPr="00C1255F">
        <w:rPr>
          <w:color w:val="000000" w:themeColor="text1"/>
          <w:sz w:val="22"/>
          <w:szCs w:val="22"/>
        </w:rPr>
        <w:t>, 7:1-6.</w:t>
      </w:r>
    </w:p>
    <w:p w14:paraId="6879A799" w14:textId="77777777" w:rsidR="001F31B1" w:rsidRPr="00C1255F" w:rsidRDefault="001F31B1" w:rsidP="00A1162F">
      <w:pPr>
        <w:pStyle w:val="ds-markdown-paragraph"/>
        <w:numPr>
          <w:ilvl w:val="0"/>
          <w:numId w:val="3"/>
        </w:numPr>
        <w:shd w:val="clear" w:color="auto" w:fill="FFFFFF"/>
        <w:spacing w:before="0" w:beforeAutospacing="0" w:after="0" w:afterAutospacing="0"/>
        <w:jc w:val="both"/>
        <w:rPr>
          <w:color w:val="000000" w:themeColor="text1"/>
          <w:sz w:val="22"/>
          <w:szCs w:val="22"/>
        </w:rPr>
      </w:pPr>
      <w:proofErr w:type="spellStart"/>
      <w:r w:rsidRPr="00C1255F">
        <w:rPr>
          <w:color w:val="000000" w:themeColor="text1"/>
          <w:sz w:val="22"/>
          <w:szCs w:val="22"/>
        </w:rPr>
        <w:t>Pasteran</w:t>
      </w:r>
      <w:proofErr w:type="spellEnd"/>
      <w:r w:rsidRPr="00C1255F">
        <w:rPr>
          <w:color w:val="000000" w:themeColor="text1"/>
          <w:sz w:val="22"/>
          <w:szCs w:val="22"/>
        </w:rPr>
        <w:t xml:space="preserve">, F., Faccone, D., Petroni, A., Rapoport, M., Galas, M. and Vazquez, M. (2015). Novel variant (blaVIM-11) of the metallo-beta-lactamase </w:t>
      </w:r>
      <w:proofErr w:type="spellStart"/>
      <w:r w:rsidRPr="00C1255F">
        <w:rPr>
          <w:color w:val="000000" w:themeColor="text1"/>
          <w:sz w:val="22"/>
          <w:szCs w:val="22"/>
        </w:rPr>
        <w:t>blaVIM</w:t>
      </w:r>
      <w:proofErr w:type="spellEnd"/>
      <w:r w:rsidRPr="00C1255F">
        <w:rPr>
          <w:color w:val="000000" w:themeColor="text1"/>
          <w:sz w:val="22"/>
          <w:szCs w:val="22"/>
        </w:rPr>
        <w:t xml:space="preserve"> family in a GES-1 extended-spectrum-beta-lactamase-producing </w:t>
      </w:r>
      <w:r w:rsidRPr="00C1255F">
        <w:rPr>
          <w:rStyle w:val="Emphasis"/>
          <w:rFonts w:eastAsiaTheme="majorEastAsia"/>
          <w:color w:val="000000" w:themeColor="text1"/>
          <w:sz w:val="22"/>
          <w:szCs w:val="22"/>
        </w:rPr>
        <w:t>Pseudomonas aeruginosa</w:t>
      </w:r>
      <w:r w:rsidRPr="00C1255F">
        <w:rPr>
          <w:color w:val="000000" w:themeColor="text1"/>
          <w:sz w:val="22"/>
          <w:szCs w:val="22"/>
        </w:rPr>
        <w:t> clinical isolate in Argentina. </w:t>
      </w:r>
      <w:r w:rsidRPr="00C1255F">
        <w:rPr>
          <w:rStyle w:val="Emphasis"/>
          <w:rFonts w:eastAsiaTheme="majorEastAsia"/>
          <w:color w:val="000000" w:themeColor="text1"/>
          <w:sz w:val="22"/>
          <w:szCs w:val="22"/>
        </w:rPr>
        <w:t>Journal of Antimicrobial Agents and Chemotherapy</w:t>
      </w:r>
      <w:r w:rsidRPr="00C1255F">
        <w:rPr>
          <w:color w:val="000000" w:themeColor="text1"/>
          <w:sz w:val="22"/>
          <w:szCs w:val="22"/>
        </w:rPr>
        <w:t>, 49:474-475.</w:t>
      </w:r>
    </w:p>
    <w:p w14:paraId="1E1F7BA4" w14:textId="77777777" w:rsidR="001F31B1" w:rsidRPr="00C1255F" w:rsidRDefault="001F31B1" w:rsidP="004A3F7C">
      <w:pPr>
        <w:pStyle w:val="ListParagraph"/>
        <w:numPr>
          <w:ilvl w:val="0"/>
          <w:numId w:val="3"/>
        </w:numPr>
        <w:shd w:val="clear" w:color="auto" w:fill="FFFFFF"/>
        <w:spacing w:before="240" w:after="240" w:line="240" w:lineRule="auto"/>
        <w:jc w:val="both"/>
        <w:rPr>
          <w:rFonts w:ascii="Times New Roman" w:eastAsia="Times New Roman" w:hAnsi="Times New Roman" w:cs="Times New Roman"/>
          <w:color w:val="000000" w:themeColor="text1"/>
        </w:rPr>
      </w:pPr>
      <w:r w:rsidRPr="00C1255F">
        <w:rPr>
          <w:rFonts w:ascii="Times New Roman" w:eastAsia="Times New Roman" w:hAnsi="Times New Roman" w:cs="Times New Roman"/>
          <w:color w:val="000000" w:themeColor="text1"/>
        </w:rPr>
        <w:t xml:space="preserve">Peter, I. U., Obike, O. C., Ngwu, J. N., </w:t>
      </w:r>
      <w:proofErr w:type="spellStart"/>
      <w:r w:rsidRPr="00C1255F">
        <w:rPr>
          <w:rFonts w:ascii="Times New Roman" w:eastAsia="Times New Roman" w:hAnsi="Times New Roman" w:cs="Times New Roman"/>
          <w:color w:val="000000" w:themeColor="text1"/>
        </w:rPr>
        <w:t>Emeruwa</w:t>
      </w:r>
      <w:proofErr w:type="spellEnd"/>
      <w:r w:rsidRPr="00C1255F">
        <w:rPr>
          <w:rFonts w:ascii="Times New Roman" w:eastAsia="Times New Roman" w:hAnsi="Times New Roman" w:cs="Times New Roman"/>
          <w:color w:val="000000" w:themeColor="text1"/>
        </w:rPr>
        <w:t xml:space="preserve">, A. P., Okolo, I. O., &amp; Mohammed, I. D. (2025). Prevalence of biofilm-forming and </w:t>
      </w:r>
      <w:proofErr w:type="spellStart"/>
      <w:r w:rsidRPr="00C1255F">
        <w:rPr>
          <w:rFonts w:ascii="Times New Roman" w:eastAsia="Times New Roman" w:hAnsi="Times New Roman" w:cs="Times New Roman"/>
          <w:color w:val="000000" w:themeColor="text1"/>
        </w:rPr>
        <w:t>carbapenemase</w:t>
      </w:r>
      <w:proofErr w:type="spellEnd"/>
      <w:r w:rsidRPr="00C1255F">
        <w:rPr>
          <w:rFonts w:ascii="Times New Roman" w:eastAsia="Times New Roman" w:hAnsi="Times New Roman" w:cs="Times New Roman"/>
          <w:color w:val="000000" w:themeColor="text1"/>
        </w:rPr>
        <w:t>-producing Gram-negative bacilli colonizing indwelling urinary catheters of patients. </w:t>
      </w:r>
      <w:r w:rsidRPr="00C1255F">
        <w:rPr>
          <w:rFonts w:ascii="Times New Roman" w:eastAsia="Times New Roman" w:hAnsi="Times New Roman" w:cs="Times New Roman"/>
          <w:i/>
          <w:iCs/>
          <w:color w:val="000000" w:themeColor="text1"/>
        </w:rPr>
        <w:t xml:space="preserve">UMYU </w:t>
      </w:r>
      <w:proofErr w:type="spellStart"/>
      <w:r w:rsidRPr="00C1255F">
        <w:rPr>
          <w:rFonts w:ascii="Times New Roman" w:eastAsia="Times New Roman" w:hAnsi="Times New Roman" w:cs="Times New Roman"/>
          <w:i/>
          <w:iCs/>
          <w:color w:val="000000" w:themeColor="text1"/>
        </w:rPr>
        <w:t>Scientifica</w:t>
      </w:r>
      <w:proofErr w:type="spellEnd"/>
      <w:r w:rsidRPr="00C1255F">
        <w:rPr>
          <w:rFonts w:ascii="Times New Roman" w:eastAsia="Times New Roman" w:hAnsi="Times New Roman" w:cs="Times New Roman"/>
          <w:color w:val="000000" w:themeColor="text1"/>
        </w:rPr>
        <w:t>, 4(2), 270–284.</w:t>
      </w:r>
    </w:p>
    <w:p w14:paraId="38D6FB00" w14:textId="77777777" w:rsidR="001F31B1" w:rsidRPr="00C1255F" w:rsidRDefault="001F31B1" w:rsidP="00A1162F">
      <w:pPr>
        <w:pStyle w:val="ds-markdown-paragraph"/>
        <w:numPr>
          <w:ilvl w:val="0"/>
          <w:numId w:val="3"/>
        </w:numPr>
        <w:shd w:val="clear" w:color="auto" w:fill="FFFFFF"/>
        <w:spacing w:before="0" w:beforeAutospacing="0" w:after="0" w:afterAutospacing="0"/>
        <w:jc w:val="both"/>
        <w:rPr>
          <w:color w:val="000000" w:themeColor="text1"/>
          <w:sz w:val="22"/>
          <w:szCs w:val="22"/>
        </w:rPr>
      </w:pPr>
      <w:proofErr w:type="spellStart"/>
      <w:r w:rsidRPr="00C1255F">
        <w:rPr>
          <w:color w:val="000000" w:themeColor="text1"/>
          <w:sz w:val="22"/>
          <w:szCs w:val="22"/>
        </w:rPr>
        <w:lastRenderedPageBreak/>
        <w:t>Rolain</w:t>
      </w:r>
      <w:proofErr w:type="spellEnd"/>
      <w:r w:rsidRPr="00C1255F">
        <w:rPr>
          <w:color w:val="000000" w:themeColor="text1"/>
          <w:sz w:val="22"/>
          <w:szCs w:val="22"/>
        </w:rPr>
        <w:t xml:space="preserve">, M., Parola, P. and </w:t>
      </w:r>
      <w:proofErr w:type="spellStart"/>
      <w:r w:rsidRPr="00C1255F">
        <w:rPr>
          <w:color w:val="000000" w:themeColor="text1"/>
          <w:sz w:val="22"/>
          <w:szCs w:val="22"/>
        </w:rPr>
        <w:t>Cornaglia</w:t>
      </w:r>
      <w:proofErr w:type="spellEnd"/>
      <w:r w:rsidRPr="00C1255F">
        <w:rPr>
          <w:color w:val="000000" w:themeColor="text1"/>
          <w:sz w:val="22"/>
          <w:szCs w:val="22"/>
        </w:rPr>
        <w:t>, G. (2010). New Delhi metallo-beta-lactamase (NDM-1): towards a new pandemia? </w:t>
      </w:r>
      <w:r w:rsidRPr="00C1255F">
        <w:rPr>
          <w:rStyle w:val="Emphasis"/>
          <w:rFonts w:eastAsiaTheme="majorEastAsia"/>
          <w:color w:val="000000" w:themeColor="text1"/>
          <w:sz w:val="22"/>
          <w:szCs w:val="22"/>
        </w:rPr>
        <w:t>Clinical Microbiology and Infection</w:t>
      </w:r>
      <w:r w:rsidRPr="00C1255F">
        <w:rPr>
          <w:color w:val="000000" w:themeColor="text1"/>
          <w:sz w:val="22"/>
          <w:szCs w:val="22"/>
        </w:rPr>
        <w:t>, 16(12):1699-1701.</w:t>
      </w:r>
    </w:p>
    <w:p w14:paraId="2A680039" w14:textId="77777777" w:rsidR="001F31B1" w:rsidRPr="00C1255F" w:rsidRDefault="001F31B1" w:rsidP="00A1162F">
      <w:pPr>
        <w:pStyle w:val="ds-markdown-paragraph"/>
        <w:numPr>
          <w:ilvl w:val="0"/>
          <w:numId w:val="3"/>
        </w:numPr>
        <w:shd w:val="clear" w:color="auto" w:fill="FFFFFF"/>
        <w:spacing w:before="0" w:beforeAutospacing="0" w:after="0" w:afterAutospacing="0"/>
        <w:jc w:val="both"/>
        <w:rPr>
          <w:color w:val="000000" w:themeColor="text1"/>
          <w:sz w:val="22"/>
          <w:szCs w:val="22"/>
        </w:rPr>
      </w:pPr>
      <w:proofErr w:type="spellStart"/>
      <w:r w:rsidRPr="00C1255F">
        <w:rPr>
          <w:color w:val="000000" w:themeColor="text1"/>
          <w:sz w:val="22"/>
          <w:szCs w:val="22"/>
        </w:rPr>
        <w:t>Safarirad</w:t>
      </w:r>
      <w:proofErr w:type="spellEnd"/>
      <w:r w:rsidRPr="00C1255F">
        <w:rPr>
          <w:color w:val="000000" w:themeColor="text1"/>
          <w:sz w:val="22"/>
          <w:szCs w:val="22"/>
        </w:rPr>
        <w:t xml:space="preserve">, S., </w:t>
      </w:r>
      <w:proofErr w:type="spellStart"/>
      <w:r w:rsidRPr="00C1255F">
        <w:rPr>
          <w:color w:val="000000" w:themeColor="text1"/>
          <w:sz w:val="22"/>
          <w:szCs w:val="22"/>
        </w:rPr>
        <w:t>Arzanlou</w:t>
      </w:r>
      <w:proofErr w:type="spellEnd"/>
      <w:r w:rsidRPr="00C1255F">
        <w:rPr>
          <w:color w:val="000000" w:themeColor="text1"/>
          <w:sz w:val="22"/>
          <w:szCs w:val="22"/>
        </w:rPr>
        <w:t xml:space="preserve">, M., </w:t>
      </w:r>
      <w:proofErr w:type="spellStart"/>
      <w:r w:rsidRPr="00C1255F">
        <w:rPr>
          <w:color w:val="000000" w:themeColor="text1"/>
          <w:sz w:val="22"/>
          <w:szCs w:val="22"/>
        </w:rPr>
        <w:t>Mohammadshahi</w:t>
      </w:r>
      <w:proofErr w:type="spellEnd"/>
      <w:r w:rsidRPr="00C1255F">
        <w:rPr>
          <w:color w:val="000000" w:themeColor="text1"/>
          <w:sz w:val="22"/>
          <w:szCs w:val="22"/>
        </w:rPr>
        <w:t xml:space="preserve">, J., Vaez, H. and </w:t>
      </w:r>
      <w:proofErr w:type="spellStart"/>
      <w:r w:rsidRPr="00C1255F">
        <w:rPr>
          <w:color w:val="000000" w:themeColor="text1"/>
          <w:sz w:val="22"/>
          <w:szCs w:val="22"/>
        </w:rPr>
        <w:t>Sahabkar</w:t>
      </w:r>
      <w:proofErr w:type="spellEnd"/>
      <w:r w:rsidRPr="00C1255F">
        <w:rPr>
          <w:color w:val="000000" w:themeColor="text1"/>
          <w:sz w:val="22"/>
          <w:szCs w:val="22"/>
        </w:rPr>
        <w:t xml:space="preserve">, K. (2021). Prevalence and characteristics of </w:t>
      </w:r>
      <w:proofErr w:type="spellStart"/>
      <w:r w:rsidRPr="00C1255F">
        <w:rPr>
          <w:color w:val="000000" w:themeColor="text1"/>
          <w:sz w:val="22"/>
          <w:szCs w:val="22"/>
        </w:rPr>
        <w:t>Metallobeta</w:t>
      </w:r>
      <w:proofErr w:type="spellEnd"/>
      <w:r w:rsidRPr="00C1255F">
        <w:rPr>
          <w:color w:val="000000" w:themeColor="text1"/>
          <w:sz w:val="22"/>
          <w:szCs w:val="22"/>
        </w:rPr>
        <w:t>-lactamase-positive and High-risk clone ST 235 </w:t>
      </w:r>
      <w:r w:rsidRPr="00C1255F">
        <w:rPr>
          <w:rStyle w:val="Emphasis"/>
          <w:rFonts w:eastAsiaTheme="majorEastAsia"/>
          <w:color w:val="000000" w:themeColor="text1"/>
          <w:sz w:val="22"/>
          <w:szCs w:val="22"/>
        </w:rPr>
        <w:t>Pseudomonas aeruginosa</w:t>
      </w:r>
      <w:r w:rsidRPr="00C1255F">
        <w:rPr>
          <w:color w:val="000000" w:themeColor="text1"/>
          <w:sz w:val="22"/>
          <w:szCs w:val="22"/>
        </w:rPr>
        <w:t> at Ardabil Hospitals. </w:t>
      </w:r>
      <w:proofErr w:type="spellStart"/>
      <w:r w:rsidRPr="00C1255F">
        <w:rPr>
          <w:rStyle w:val="Emphasis"/>
          <w:rFonts w:eastAsiaTheme="majorEastAsia"/>
          <w:color w:val="000000" w:themeColor="text1"/>
          <w:sz w:val="22"/>
          <w:szCs w:val="22"/>
        </w:rPr>
        <w:t>Jundishapur</w:t>
      </w:r>
      <w:proofErr w:type="spellEnd"/>
      <w:r w:rsidRPr="00C1255F">
        <w:rPr>
          <w:rStyle w:val="Emphasis"/>
          <w:rFonts w:eastAsiaTheme="majorEastAsia"/>
          <w:color w:val="000000" w:themeColor="text1"/>
          <w:sz w:val="22"/>
          <w:szCs w:val="22"/>
        </w:rPr>
        <w:t xml:space="preserve"> Journal of Microbiology</w:t>
      </w:r>
      <w:r w:rsidRPr="00C1255F">
        <w:rPr>
          <w:color w:val="000000" w:themeColor="text1"/>
          <w:sz w:val="22"/>
          <w:szCs w:val="22"/>
        </w:rPr>
        <w:t>, 14:e115819.</w:t>
      </w:r>
    </w:p>
    <w:p w14:paraId="72DD60A6" w14:textId="77777777" w:rsidR="001F31B1" w:rsidRPr="00C1255F" w:rsidRDefault="001F31B1" w:rsidP="001F31B1">
      <w:pPr>
        <w:pStyle w:val="ListParagraph"/>
        <w:numPr>
          <w:ilvl w:val="0"/>
          <w:numId w:val="3"/>
        </w:numPr>
        <w:jc w:val="both"/>
        <w:rPr>
          <w:rFonts w:ascii="Times New Roman" w:hAnsi="Times New Roman" w:cs="Times New Roman"/>
          <w:color w:val="000000" w:themeColor="text1"/>
          <w:lang w:val="en-GB"/>
        </w:rPr>
      </w:pPr>
      <w:proofErr w:type="spellStart"/>
      <w:r w:rsidRPr="00C1255F">
        <w:rPr>
          <w:rFonts w:ascii="Times New Roman" w:hAnsi="Times New Roman" w:cs="Times New Roman"/>
          <w:color w:val="000000" w:themeColor="text1"/>
          <w:lang w:val="en-GB"/>
        </w:rPr>
        <w:t>Sonmezer</w:t>
      </w:r>
      <w:proofErr w:type="spellEnd"/>
      <w:r w:rsidRPr="00C1255F">
        <w:rPr>
          <w:rFonts w:ascii="Times New Roman" w:hAnsi="Times New Roman" w:cs="Times New Roman"/>
          <w:color w:val="000000" w:themeColor="text1"/>
          <w:lang w:val="en-GB"/>
        </w:rPr>
        <w:t xml:space="preserve">, M. C., </w:t>
      </w:r>
      <w:proofErr w:type="spellStart"/>
      <w:r w:rsidRPr="00C1255F">
        <w:rPr>
          <w:rFonts w:ascii="Times New Roman" w:hAnsi="Times New Roman" w:cs="Times New Roman"/>
          <w:color w:val="000000" w:themeColor="text1"/>
          <w:lang w:val="en-GB"/>
        </w:rPr>
        <w:t>Ertem</w:t>
      </w:r>
      <w:proofErr w:type="spellEnd"/>
      <w:r w:rsidRPr="00C1255F">
        <w:rPr>
          <w:rFonts w:ascii="Times New Roman" w:hAnsi="Times New Roman" w:cs="Times New Roman"/>
          <w:color w:val="000000" w:themeColor="text1"/>
          <w:lang w:val="en-GB"/>
        </w:rPr>
        <w:t xml:space="preserve">, G., </w:t>
      </w:r>
      <w:proofErr w:type="spellStart"/>
      <w:r w:rsidRPr="00C1255F">
        <w:rPr>
          <w:rFonts w:ascii="Times New Roman" w:hAnsi="Times New Roman" w:cs="Times New Roman"/>
          <w:color w:val="000000" w:themeColor="text1"/>
          <w:lang w:val="en-GB"/>
        </w:rPr>
        <w:t>Erdinc</w:t>
      </w:r>
      <w:proofErr w:type="spellEnd"/>
      <w:r w:rsidRPr="00C1255F">
        <w:rPr>
          <w:rFonts w:ascii="Times New Roman" w:hAnsi="Times New Roman" w:cs="Times New Roman"/>
          <w:color w:val="000000" w:themeColor="text1"/>
          <w:lang w:val="en-GB"/>
        </w:rPr>
        <w:t xml:space="preserve">, F. S., Kaya </w:t>
      </w:r>
      <w:proofErr w:type="spellStart"/>
      <w:r w:rsidRPr="00C1255F">
        <w:rPr>
          <w:rFonts w:ascii="Times New Roman" w:hAnsi="Times New Roman" w:cs="Times New Roman"/>
          <w:color w:val="000000" w:themeColor="text1"/>
          <w:lang w:val="en-GB"/>
        </w:rPr>
        <w:t>Kilic</w:t>
      </w:r>
      <w:proofErr w:type="spellEnd"/>
      <w:r w:rsidRPr="00C1255F">
        <w:rPr>
          <w:rFonts w:ascii="Times New Roman" w:hAnsi="Times New Roman" w:cs="Times New Roman"/>
          <w:color w:val="000000" w:themeColor="text1"/>
          <w:lang w:val="en-GB"/>
        </w:rPr>
        <w:t xml:space="preserve">, E., </w:t>
      </w:r>
      <w:proofErr w:type="spellStart"/>
      <w:r w:rsidRPr="00C1255F">
        <w:rPr>
          <w:rFonts w:ascii="Times New Roman" w:hAnsi="Times New Roman" w:cs="Times New Roman"/>
          <w:color w:val="000000" w:themeColor="text1"/>
          <w:lang w:val="en-GB"/>
        </w:rPr>
        <w:t>Tulek</w:t>
      </w:r>
      <w:proofErr w:type="spellEnd"/>
      <w:r w:rsidRPr="00C1255F">
        <w:rPr>
          <w:rFonts w:ascii="Times New Roman" w:hAnsi="Times New Roman" w:cs="Times New Roman"/>
          <w:color w:val="000000" w:themeColor="text1"/>
          <w:lang w:val="en-GB"/>
        </w:rPr>
        <w:t xml:space="preserve">, N., </w:t>
      </w:r>
      <w:proofErr w:type="spellStart"/>
      <w:r w:rsidRPr="00C1255F">
        <w:rPr>
          <w:rFonts w:ascii="Times New Roman" w:hAnsi="Times New Roman" w:cs="Times New Roman"/>
          <w:color w:val="000000" w:themeColor="text1"/>
          <w:lang w:val="en-GB"/>
        </w:rPr>
        <w:t>Adiloglu</w:t>
      </w:r>
      <w:proofErr w:type="spellEnd"/>
      <w:r w:rsidRPr="00C1255F">
        <w:rPr>
          <w:rFonts w:ascii="Times New Roman" w:hAnsi="Times New Roman" w:cs="Times New Roman"/>
          <w:color w:val="000000" w:themeColor="text1"/>
          <w:lang w:val="en-GB"/>
        </w:rPr>
        <w:t xml:space="preserve">, A., &amp; </w:t>
      </w:r>
      <w:proofErr w:type="spellStart"/>
      <w:r w:rsidRPr="00C1255F">
        <w:rPr>
          <w:rFonts w:ascii="Times New Roman" w:hAnsi="Times New Roman" w:cs="Times New Roman"/>
          <w:color w:val="000000" w:themeColor="text1"/>
          <w:lang w:val="en-GB"/>
        </w:rPr>
        <w:t>Hatipoglu</w:t>
      </w:r>
      <w:proofErr w:type="spellEnd"/>
      <w:r w:rsidRPr="00C1255F">
        <w:rPr>
          <w:rFonts w:ascii="Times New Roman" w:hAnsi="Times New Roman" w:cs="Times New Roman"/>
          <w:color w:val="000000" w:themeColor="text1"/>
          <w:lang w:val="en-GB"/>
        </w:rPr>
        <w:t xml:space="preserve">, C. (2016). Evaluation of risk factors for antibiotic resistance in patients with nosocomial infections caused by </w:t>
      </w:r>
      <w:r w:rsidRPr="00C1255F">
        <w:rPr>
          <w:rFonts w:ascii="Times New Roman" w:hAnsi="Times New Roman" w:cs="Times New Roman"/>
          <w:i/>
          <w:color w:val="000000" w:themeColor="text1"/>
          <w:lang w:val="en-GB"/>
        </w:rPr>
        <w:t>Pseudomonas aeruginosa</w:t>
      </w:r>
      <w:r w:rsidRPr="00C1255F">
        <w:rPr>
          <w:rFonts w:ascii="Times New Roman" w:hAnsi="Times New Roman" w:cs="Times New Roman"/>
          <w:color w:val="000000" w:themeColor="text1"/>
          <w:lang w:val="en-GB"/>
        </w:rPr>
        <w:t xml:space="preserve">. </w:t>
      </w:r>
      <w:r w:rsidRPr="00C1255F">
        <w:rPr>
          <w:rFonts w:ascii="Times New Roman" w:hAnsi="Times New Roman" w:cs="Times New Roman"/>
          <w:i/>
          <w:color w:val="000000" w:themeColor="text1"/>
          <w:lang w:val="en-GB"/>
        </w:rPr>
        <w:t>Canadian Journal of Infectious Diseases and Medical Microbiology</w:t>
      </w:r>
      <w:r w:rsidRPr="00C1255F">
        <w:rPr>
          <w:rFonts w:ascii="Times New Roman" w:hAnsi="Times New Roman" w:cs="Times New Roman"/>
          <w:color w:val="000000" w:themeColor="text1"/>
          <w:lang w:val="en-GB"/>
        </w:rPr>
        <w:t>, 2016(1), 1321487.</w:t>
      </w:r>
    </w:p>
    <w:p w14:paraId="31D1A742" w14:textId="77777777" w:rsidR="001F31B1" w:rsidRPr="00C1255F" w:rsidRDefault="001F31B1" w:rsidP="00A1162F">
      <w:pPr>
        <w:pStyle w:val="ds-markdown-paragraph"/>
        <w:numPr>
          <w:ilvl w:val="0"/>
          <w:numId w:val="3"/>
        </w:numPr>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t xml:space="preserve">Tada, T., Shimada, K., Satou, K., Hirano, T., Pokhrel, B. M. and </w:t>
      </w:r>
      <w:proofErr w:type="spellStart"/>
      <w:r w:rsidRPr="00C1255F">
        <w:rPr>
          <w:color w:val="000000" w:themeColor="text1"/>
          <w:sz w:val="22"/>
          <w:szCs w:val="22"/>
        </w:rPr>
        <w:t>Sherchand</w:t>
      </w:r>
      <w:proofErr w:type="spellEnd"/>
      <w:r w:rsidRPr="00C1255F">
        <w:rPr>
          <w:color w:val="000000" w:themeColor="text1"/>
          <w:sz w:val="22"/>
          <w:szCs w:val="22"/>
        </w:rPr>
        <w:t>, J. B. (2017). </w:t>
      </w:r>
      <w:r w:rsidRPr="00C1255F">
        <w:rPr>
          <w:rStyle w:val="Emphasis"/>
          <w:rFonts w:eastAsiaTheme="majorEastAsia"/>
          <w:color w:val="000000" w:themeColor="text1"/>
          <w:sz w:val="22"/>
          <w:szCs w:val="22"/>
        </w:rPr>
        <w:t>Pseudomonas aeruginosa</w:t>
      </w:r>
      <w:r w:rsidRPr="00C1255F">
        <w:rPr>
          <w:color w:val="000000" w:themeColor="text1"/>
          <w:sz w:val="22"/>
          <w:szCs w:val="22"/>
        </w:rPr>
        <w:t> Clinical Isolates in Nepal Coproducing Metallo-beta-lactamases and 16S rRNA methyltransferases. </w:t>
      </w:r>
      <w:r w:rsidRPr="00C1255F">
        <w:rPr>
          <w:rStyle w:val="Emphasis"/>
          <w:rFonts w:eastAsiaTheme="majorEastAsia"/>
          <w:color w:val="000000" w:themeColor="text1"/>
          <w:sz w:val="22"/>
          <w:szCs w:val="22"/>
        </w:rPr>
        <w:t>Journal of Antimicrobial Agents and Chemotherapy</w:t>
      </w:r>
      <w:r w:rsidRPr="00C1255F">
        <w:rPr>
          <w:color w:val="000000" w:themeColor="text1"/>
          <w:sz w:val="22"/>
          <w:szCs w:val="22"/>
        </w:rPr>
        <w:t>, 61:694-17.</w:t>
      </w:r>
    </w:p>
    <w:p w14:paraId="530A58A1" w14:textId="77777777" w:rsidR="001F31B1" w:rsidRPr="00C1255F" w:rsidRDefault="001F31B1" w:rsidP="00A1162F">
      <w:pPr>
        <w:pStyle w:val="ds-markdown-paragraph"/>
        <w:numPr>
          <w:ilvl w:val="0"/>
          <w:numId w:val="3"/>
        </w:numPr>
        <w:shd w:val="clear" w:color="auto" w:fill="FFFFFF"/>
        <w:spacing w:before="0" w:beforeAutospacing="0" w:after="0" w:afterAutospacing="0"/>
        <w:jc w:val="both"/>
        <w:rPr>
          <w:color w:val="000000" w:themeColor="text1"/>
          <w:sz w:val="22"/>
          <w:szCs w:val="22"/>
        </w:rPr>
      </w:pPr>
      <w:proofErr w:type="spellStart"/>
      <w:r w:rsidRPr="00C1255F">
        <w:rPr>
          <w:color w:val="000000" w:themeColor="text1"/>
          <w:sz w:val="22"/>
          <w:szCs w:val="22"/>
        </w:rPr>
        <w:t>Tamma</w:t>
      </w:r>
      <w:proofErr w:type="spellEnd"/>
      <w:r w:rsidRPr="00C1255F">
        <w:rPr>
          <w:color w:val="000000" w:themeColor="text1"/>
          <w:sz w:val="22"/>
          <w:szCs w:val="22"/>
        </w:rPr>
        <w:t>, P. D., Aitken, S. L., Bonomo, R. A., Mathers, A. J., van Duin, D. and Clancy, C. J. (2023). Infectious Diseases Society of America 2023 Guidance on the Treatment of Antimicrobial Resistant Gram-Negative Infections. </w:t>
      </w:r>
      <w:r w:rsidRPr="00C1255F">
        <w:rPr>
          <w:rStyle w:val="Emphasis"/>
          <w:rFonts w:eastAsiaTheme="majorEastAsia"/>
          <w:color w:val="000000" w:themeColor="text1"/>
          <w:sz w:val="22"/>
          <w:szCs w:val="22"/>
        </w:rPr>
        <w:t>Clinical Infectious Diseases</w:t>
      </w:r>
      <w:r w:rsidRPr="00C1255F">
        <w:rPr>
          <w:color w:val="000000" w:themeColor="text1"/>
          <w:sz w:val="22"/>
          <w:szCs w:val="22"/>
        </w:rPr>
        <w:t>, 4:28-45.</w:t>
      </w:r>
    </w:p>
    <w:p w14:paraId="4EF70788" w14:textId="77777777" w:rsidR="001F31B1" w:rsidRPr="00C1255F" w:rsidRDefault="001F31B1" w:rsidP="00A1162F">
      <w:pPr>
        <w:pStyle w:val="ds-markdown-paragraph"/>
        <w:numPr>
          <w:ilvl w:val="0"/>
          <w:numId w:val="3"/>
        </w:numPr>
        <w:shd w:val="clear" w:color="auto" w:fill="FFFFFF"/>
        <w:spacing w:before="0" w:beforeAutospacing="0" w:after="0" w:afterAutospacing="0"/>
        <w:jc w:val="both"/>
        <w:rPr>
          <w:color w:val="000000" w:themeColor="text1"/>
          <w:sz w:val="22"/>
          <w:szCs w:val="22"/>
        </w:rPr>
      </w:pPr>
      <w:proofErr w:type="spellStart"/>
      <w:r w:rsidRPr="00C1255F">
        <w:rPr>
          <w:color w:val="000000" w:themeColor="text1"/>
        </w:rPr>
        <w:t>Uzoeto</w:t>
      </w:r>
      <w:proofErr w:type="spellEnd"/>
      <w:r w:rsidRPr="00C1255F">
        <w:rPr>
          <w:color w:val="000000" w:themeColor="text1"/>
        </w:rPr>
        <w:t xml:space="preserve">, H., </w:t>
      </w:r>
      <w:proofErr w:type="spellStart"/>
      <w:r w:rsidRPr="00C1255F">
        <w:rPr>
          <w:color w:val="000000" w:themeColor="text1"/>
        </w:rPr>
        <w:t>Edemekong</w:t>
      </w:r>
      <w:proofErr w:type="spellEnd"/>
      <w:r w:rsidRPr="00C1255F">
        <w:rPr>
          <w:color w:val="000000" w:themeColor="text1"/>
        </w:rPr>
        <w:t>, C. I., Ogbonna, I. P., &amp; Peter, I. U. (2025). Antimicrobial resistance profiles of biofilm-forming </w:t>
      </w:r>
      <w:r w:rsidRPr="00C1255F">
        <w:rPr>
          <w:i/>
          <w:iCs/>
          <w:color w:val="000000" w:themeColor="text1"/>
        </w:rPr>
        <w:t>E. coli</w:t>
      </w:r>
      <w:r w:rsidRPr="00C1255F">
        <w:rPr>
          <w:color w:val="000000" w:themeColor="text1"/>
        </w:rPr>
        <w:t>, </w:t>
      </w:r>
      <w:r w:rsidRPr="00C1255F">
        <w:rPr>
          <w:i/>
          <w:iCs/>
          <w:color w:val="000000" w:themeColor="text1"/>
        </w:rPr>
        <w:t>Pseudomonas aeruginosa</w:t>
      </w:r>
      <w:r w:rsidRPr="00C1255F">
        <w:rPr>
          <w:color w:val="000000" w:themeColor="text1"/>
        </w:rPr>
        <w:t>, and </w:t>
      </w:r>
      <w:r w:rsidRPr="00C1255F">
        <w:rPr>
          <w:i/>
          <w:iCs/>
          <w:color w:val="000000" w:themeColor="text1"/>
        </w:rPr>
        <w:t>Klebsiella pneumoniae</w:t>
      </w:r>
      <w:r w:rsidRPr="00C1255F">
        <w:rPr>
          <w:color w:val="000000" w:themeColor="text1"/>
        </w:rPr>
        <w:t> isolates from chronic wound infection. In </w:t>
      </w:r>
      <w:r w:rsidRPr="00C1255F">
        <w:rPr>
          <w:i/>
          <w:iCs/>
          <w:color w:val="000000" w:themeColor="text1"/>
        </w:rPr>
        <w:t>Proceedings of the 4th International Electronic Conference on Antibiotics</w:t>
      </w:r>
      <w:r w:rsidRPr="00C1255F">
        <w:rPr>
          <w:color w:val="000000" w:themeColor="text1"/>
        </w:rPr>
        <w:t>. Basel, Switzerland: MDPI</w:t>
      </w:r>
    </w:p>
    <w:p w14:paraId="75E8CD96" w14:textId="77777777" w:rsidR="001F31B1" w:rsidRPr="00C1255F" w:rsidRDefault="001F31B1" w:rsidP="00A1162F">
      <w:pPr>
        <w:pStyle w:val="ds-markdown-paragraph"/>
        <w:numPr>
          <w:ilvl w:val="0"/>
          <w:numId w:val="3"/>
        </w:numPr>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t xml:space="preserve">Walsh, T., Toleman, M., </w:t>
      </w:r>
      <w:proofErr w:type="spellStart"/>
      <w:r w:rsidRPr="00C1255F">
        <w:rPr>
          <w:color w:val="000000" w:themeColor="text1"/>
          <w:sz w:val="22"/>
          <w:szCs w:val="22"/>
        </w:rPr>
        <w:t>Poirel</w:t>
      </w:r>
      <w:proofErr w:type="spellEnd"/>
      <w:r w:rsidRPr="00C1255F">
        <w:rPr>
          <w:color w:val="000000" w:themeColor="text1"/>
          <w:sz w:val="22"/>
          <w:szCs w:val="22"/>
        </w:rPr>
        <w:t>, L. and Nordmann, P. (2005). Metallo-β-Lactamases: the Quiet before the Storm? </w:t>
      </w:r>
      <w:r w:rsidRPr="00C1255F">
        <w:rPr>
          <w:rStyle w:val="Emphasis"/>
          <w:rFonts w:eastAsiaTheme="majorEastAsia"/>
          <w:color w:val="000000" w:themeColor="text1"/>
          <w:sz w:val="22"/>
          <w:szCs w:val="22"/>
        </w:rPr>
        <w:t>Clinical Microbiology Reviews</w:t>
      </w:r>
      <w:r w:rsidRPr="00C1255F">
        <w:rPr>
          <w:color w:val="000000" w:themeColor="text1"/>
          <w:sz w:val="22"/>
          <w:szCs w:val="22"/>
        </w:rPr>
        <w:t>, 18(2):306-325.</w:t>
      </w:r>
    </w:p>
    <w:p w14:paraId="7F23E3E2" w14:textId="77777777" w:rsidR="001F31B1" w:rsidRPr="00C1255F" w:rsidRDefault="001F31B1" w:rsidP="00A1162F">
      <w:pPr>
        <w:pStyle w:val="ds-markdown-paragraph"/>
        <w:numPr>
          <w:ilvl w:val="0"/>
          <w:numId w:val="3"/>
        </w:numPr>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t>World Gazetteer. (2017). Map of Enugu Metropolis.</w:t>
      </w:r>
    </w:p>
    <w:p w14:paraId="1EEA40A0" w14:textId="77777777" w:rsidR="001F31B1" w:rsidRPr="00C1255F" w:rsidRDefault="001F31B1" w:rsidP="00A1162F">
      <w:pPr>
        <w:pStyle w:val="ds-markdown-paragraph"/>
        <w:numPr>
          <w:ilvl w:val="0"/>
          <w:numId w:val="3"/>
        </w:numPr>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t>World Medical Association. (2024). World Medical Association Declaration of Helsinki: ethical principles for medical research involving human participants. </w:t>
      </w:r>
      <w:r w:rsidRPr="00C1255F">
        <w:rPr>
          <w:rStyle w:val="Emphasis"/>
          <w:rFonts w:eastAsiaTheme="majorEastAsia"/>
          <w:color w:val="000000" w:themeColor="text1"/>
          <w:sz w:val="22"/>
          <w:szCs w:val="22"/>
        </w:rPr>
        <w:t>Journal of the American Medical Association</w:t>
      </w:r>
      <w:r w:rsidRPr="00C1255F">
        <w:rPr>
          <w:color w:val="000000" w:themeColor="text1"/>
          <w:sz w:val="22"/>
          <w:szCs w:val="22"/>
        </w:rPr>
        <w:t>. Advance online publication. </w:t>
      </w:r>
      <w:hyperlink r:id="rId7" w:tgtFrame="_blank" w:history="1">
        <w:r w:rsidRPr="00C1255F">
          <w:rPr>
            <w:rStyle w:val="Hyperlink"/>
            <w:color w:val="000000" w:themeColor="text1"/>
            <w:sz w:val="22"/>
            <w:szCs w:val="22"/>
          </w:rPr>
          <w:t>https://doi.org/10.1001/jama.2024.21972</w:t>
        </w:r>
      </w:hyperlink>
    </w:p>
    <w:p w14:paraId="1BBE06C7" w14:textId="77777777" w:rsidR="001F31B1" w:rsidRPr="00C1255F" w:rsidRDefault="001F31B1" w:rsidP="00A1162F">
      <w:pPr>
        <w:pStyle w:val="ds-markdown-paragraph"/>
        <w:numPr>
          <w:ilvl w:val="0"/>
          <w:numId w:val="3"/>
        </w:numPr>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t xml:space="preserve">Yoon, E. J. and Jeong, S. H. (2021). Mobile </w:t>
      </w:r>
      <w:proofErr w:type="spellStart"/>
      <w:r w:rsidRPr="00C1255F">
        <w:rPr>
          <w:color w:val="000000" w:themeColor="text1"/>
          <w:sz w:val="22"/>
          <w:szCs w:val="22"/>
        </w:rPr>
        <w:t>Carbapenemase</w:t>
      </w:r>
      <w:proofErr w:type="spellEnd"/>
      <w:r w:rsidRPr="00C1255F">
        <w:rPr>
          <w:color w:val="000000" w:themeColor="text1"/>
          <w:sz w:val="22"/>
          <w:szCs w:val="22"/>
        </w:rPr>
        <w:t xml:space="preserve"> Genes in </w:t>
      </w:r>
      <w:r w:rsidRPr="00C1255F">
        <w:rPr>
          <w:rStyle w:val="Emphasis"/>
          <w:rFonts w:eastAsiaTheme="majorEastAsia"/>
          <w:color w:val="000000" w:themeColor="text1"/>
          <w:sz w:val="22"/>
          <w:szCs w:val="22"/>
        </w:rPr>
        <w:t>Pseudomonas aeruginosa</w:t>
      </w:r>
      <w:r w:rsidRPr="00C1255F">
        <w:rPr>
          <w:color w:val="000000" w:themeColor="text1"/>
          <w:sz w:val="22"/>
          <w:szCs w:val="22"/>
        </w:rPr>
        <w:t>. </w:t>
      </w:r>
      <w:r w:rsidRPr="00C1255F">
        <w:rPr>
          <w:rStyle w:val="Emphasis"/>
          <w:rFonts w:eastAsiaTheme="majorEastAsia"/>
          <w:color w:val="000000" w:themeColor="text1"/>
          <w:sz w:val="22"/>
          <w:szCs w:val="22"/>
        </w:rPr>
        <w:t>Frontiers in Microbiology</w:t>
      </w:r>
      <w:r w:rsidRPr="00C1255F">
        <w:rPr>
          <w:color w:val="000000" w:themeColor="text1"/>
          <w:sz w:val="22"/>
          <w:szCs w:val="22"/>
        </w:rPr>
        <w:t>, 12:614058.</w:t>
      </w:r>
    </w:p>
    <w:p w14:paraId="6416D329" w14:textId="77777777" w:rsidR="001F31B1" w:rsidRPr="00C1255F" w:rsidRDefault="001F31B1" w:rsidP="00A1162F">
      <w:pPr>
        <w:pStyle w:val="ds-markdown-paragraph"/>
        <w:numPr>
          <w:ilvl w:val="0"/>
          <w:numId w:val="3"/>
        </w:numPr>
        <w:shd w:val="clear" w:color="auto" w:fill="FFFFFF"/>
        <w:spacing w:before="0" w:beforeAutospacing="0" w:after="0" w:afterAutospacing="0"/>
        <w:jc w:val="both"/>
        <w:rPr>
          <w:color w:val="000000" w:themeColor="text1"/>
          <w:sz w:val="22"/>
          <w:szCs w:val="22"/>
        </w:rPr>
      </w:pPr>
      <w:r w:rsidRPr="00C1255F">
        <w:rPr>
          <w:color w:val="000000" w:themeColor="text1"/>
          <w:sz w:val="22"/>
          <w:szCs w:val="22"/>
        </w:rPr>
        <w:t xml:space="preserve">Zubair, K. O. and </w:t>
      </w:r>
      <w:proofErr w:type="spellStart"/>
      <w:r w:rsidRPr="00C1255F">
        <w:rPr>
          <w:color w:val="000000" w:themeColor="text1"/>
          <w:sz w:val="22"/>
          <w:szCs w:val="22"/>
        </w:rPr>
        <w:t>Iregbu</w:t>
      </w:r>
      <w:proofErr w:type="spellEnd"/>
      <w:r w:rsidRPr="00C1255F">
        <w:rPr>
          <w:color w:val="000000" w:themeColor="text1"/>
          <w:sz w:val="22"/>
          <w:szCs w:val="22"/>
        </w:rPr>
        <w:t>, K. C. (2018). Resistance pattern and Detection of Metallo-beta-lactamase Genes in Clinical Isolates of </w:t>
      </w:r>
      <w:r w:rsidRPr="00C1255F">
        <w:rPr>
          <w:rStyle w:val="Emphasis"/>
          <w:rFonts w:eastAsiaTheme="majorEastAsia"/>
          <w:color w:val="000000" w:themeColor="text1"/>
          <w:sz w:val="22"/>
          <w:szCs w:val="22"/>
        </w:rPr>
        <w:t>Pseudomonas aeruginosa</w:t>
      </w:r>
      <w:r w:rsidRPr="00C1255F">
        <w:rPr>
          <w:color w:val="000000" w:themeColor="text1"/>
          <w:sz w:val="22"/>
          <w:szCs w:val="22"/>
        </w:rPr>
        <w:t> in a Central Nigeria Tertiary Hospital. </w:t>
      </w:r>
      <w:r w:rsidRPr="00C1255F">
        <w:rPr>
          <w:rStyle w:val="Emphasis"/>
          <w:rFonts w:eastAsiaTheme="majorEastAsia"/>
          <w:color w:val="000000" w:themeColor="text1"/>
          <w:sz w:val="22"/>
          <w:szCs w:val="22"/>
        </w:rPr>
        <w:t>Nigerian Journal of Clinical Practice</w:t>
      </w:r>
      <w:r w:rsidRPr="00C1255F">
        <w:rPr>
          <w:color w:val="000000" w:themeColor="text1"/>
          <w:sz w:val="22"/>
          <w:szCs w:val="22"/>
        </w:rPr>
        <w:t>, 21:176-182.</w:t>
      </w:r>
    </w:p>
    <w:p w14:paraId="25734ADC" w14:textId="77777777" w:rsidR="002D12B2" w:rsidRPr="00C1255F" w:rsidRDefault="002D12B2" w:rsidP="00296EF6">
      <w:pPr>
        <w:spacing w:after="0"/>
        <w:jc w:val="both"/>
        <w:rPr>
          <w:rFonts w:ascii="Times New Roman" w:hAnsi="Times New Roman" w:cs="Times New Roman"/>
          <w:color w:val="000000" w:themeColor="text1"/>
          <w:sz w:val="18"/>
          <w:szCs w:val="18"/>
        </w:rPr>
      </w:pPr>
    </w:p>
    <w:sectPr w:rsidR="002D12B2" w:rsidRPr="00C1255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30D0A" w14:textId="77777777" w:rsidR="00DA1025" w:rsidRDefault="00DA1025" w:rsidP="00D90282">
      <w:pPr>
        <w:spacing w:after="0" w:line="240" w:lineRule="auto"/>
      </w:pPr>
      <w:r>
        <w:separator/>
      </w:r>
    </w:p>
  </w:endnote>
  <w:endnote w:type="continuationSeparator" w:id="0">
    <w:p w14:paraId="58FEE059" w14:textId="77777777" w:rsidR="00DA1025" w:rsidRDefault="00DA1025" w:rsidP="00D90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3EDAF" w14:textId="77777777" w:rsidR="00D90282" w:rsidRDefault="00D902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F9875" w14:textId="77777777" w:rsidR="00D90282" w:rsidRDefault="00D902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C9363" w14:textId="77777777" w:rsidR="00D90282" w:rsidRDefault="00D90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C9786" w14:textId="77777777" w:rsidR="00DA1025" w:rsidRDefault="00DA1025" w:rsidP="00D90282">
      <w:pPr>
        <w:spacing w:after="0" w:line="240" w:lineRule="auto"/>
      </w:pPr>
      <w:r>
        <w:separator/>
      </w:r>
    </w:p>
  </w:footnote>
  <w:footnote w:type="continuationSeparator" w:id="0">
    <w:p w14:paraId="60836CD2" w14:textId="77777777" w:rsidR="00DA1025" w:rsidRDefault="00DA1025" w:rsidP="00D90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A0E40" w14:textId="3989527E" w:rsidR="00D90282" w:rsidRDefault="00DA1025">
    <w:pPr>
      <w:pStyle w:val="Header"/>
    </w:pPr>
    <w:r>
      <w:rPr>
        <w:noProof/>
      </w:rPr>
      <w:pict w14:anchorId="00C8FC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82507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DE96A" w14:textId="54ECD0AA" w:rsidR="00D90282" w:rsidRDefault="00DA1025">
    <w:pPr>
      <w:pStyle w:val="Header"/>
    </w:pPr>
    <w:r>
      <w:rPr>
        <w:noProof/>
      </w:rPr>
      <w:pict w14:anchorId="4EB6C6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82508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BD8D2" w14:textId="100FA224" w:rsidR="00D90282" w:rsidRDefault="00DA1025">
    <w:pPr>
      <w:pStyle w:val="Header"/>
    </w:pPr>
    <w:r>
      <w:rPr>
        <w:noProof/>
      </w:rPr>
      <w:pict w14:anchorId="5A51D2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82507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95F52"/>
    <w:multiLevelType w:val="hybridMultilevel"/>
    <w:tmpl w:val="507AD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C5743"/>
    <w:multiLevelType w:val="multilevel"/>
    <w:tmpl w:val="DD0EE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C41C85"/>
    <w:multiLevelType w:val="multilevel"/>
    <w:tmpl w:val="B896C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B759BB"/>
    <w:multiLevelType w:val="hybridMultilevel"/>
    <w:tmpl w:val="2F88E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738"/>
    <w:rsid w:val="000009CD"/>
    <w:rsid w:val="0003316F"/>
    <w:rsid w:val="000348E4"/>
    <w:rsid w:val="00090A26"/>
    <w:rsid w:val="00092DFF"/>
    <w:rsid w:val="000A0847"/>
    <w:rsid w:val="000A4AA1"/>
    <w:rsid w:val="000A7337"/>
    <w:rsid w:val="000B0B2F"/>
    <w:rsid w:val="000B723F"/>
    <w:rsid w:val="000D653D"/>
    <w:rsid w:val="000F6A86"/>
    <w:rsid w:val="00116C9B"/>
    <w:rsid w:val="00147DDE"/>
    <w:rsid w:val="00154C14"/>
    <w:rsid w:val="00186AF6"/>
    <w:rsid w:val="001A59E7"/>
    <w:rsid w:val="001B0E89"/>
    <w:rsid w:val="001C2CB4"/>
    <w:rsid w:val="001F31B1"/>
    <w:rsid w:val="00205197"/>
    <w:rsid w:val="002156C1"/>
    <w:rsid w:val="002158B9"/>
    <w:rsid w:val="00216D4C"/>
    <w:rsid w:val="002243D8"/>
    <w:rsid w:val="00225673"/>
    <w:rsid w:val="00237EA8"/>
    <w:rsid w:val="00247426"/>
    <w:rsid w:val="00262C9F"/>
    <w:rsid w:val="00296EF6"/>
    <w:rsid w:val="002A0A7E"/>
    <w:rsid w:val="002A2B1B"/>
    <w:rsid w:val="002B5ECE"/>
    <w:rsid w:val="002B5EE4"/>
    <w:rsid w:val="002C0B24"/>
    <w:rsid w:val="002C461A"/>
    <w:rsid w:val="002D12B2"/>
    <w:rsid w:val="002E31D5"/>
    <w:rsid w:val="00300F1E"/>
    <w:rsid w:val="00303A47"/>
    <w:rsid w:val="00320A22"/>
    <w:rsid w:val="00337A18"/>
    <w:rsid w:val="00344193"/>
    <w:rsid w:val="00357F65"/>
    <w:rsid w:val="003809D5"/>
    <w:rsid w:val="003B3093"/>
    <w:rsid w:val="003C2334"/>
    <w:rsid w:val="003C6ADD"/>
    <w:rsid w:val="003F6CA3"/>
    <w:rsid w:val="003F70DD"/>
    <w:rsid w:val="00401822"/>
    <w:rsid w:val="00427B98"/>
    <w:rsid w:val="00433477"/>
    <w:rsid w:val="00441F56"/>
    <w:rsid w:val="00445BD6"/>
    <w:rsid w:val="00453266"/>
    <w:rsid w:val="00462F42"/>
    <w:rsid w:val="00481E50"/>
    <w:rsid w:val="004A3F7C"/>
    <w:rsid w:val="004C4EAB"/>
    <w:rsid w:val="004E018A"/>
    <w:rsid w:val="004E4340"/>
    <w:rsid w:val="005071E1"/>
    <w:rsid w:val="00542DFF"/>
    <w:rsid w:val="00543C62"/>
    <w:rsid w:val="0054701B"/>
    <w:rsid w:val="0054749A"/>
    <w:rsid w:val="005701A2"/>
    <w:rsid w:val="00590665"/>
    <w:rsid w:val="00591993"/>
    <w:rsid w:val="0059723B"/>
    <w:rsid w:val="005A3891"/>
    <w:rsid w:val="005D1E7F"/>
    <w:rsid w:val="00610874"/>
    <w:rsid w:val="006273E9"/>
    <w:rsid w:val="00630F54"/>
    <w:rsid w:val="006364C3"/>
    <w:rsid w:val="006560BA"/>
    <w:rsid w:val="00666BC3"/>
    <w:rsid w:val="00681A05"/>
    <w:rsid w:val="00692E97"/>
    <w:rsid w:val="006B49F5"/>
    <w:rsid w:val="006C36D6"/>
    <w:rsid w:val="006D28AD"/>
    <w:rsid w:val="006E6A2B"/>
    <w:rsid w:val="006F597D"/>
    <w:rsid w:val="0073541C"/>
    <w:rsid w:val="007528A9"/>
    <w:rsid w:val="00755BAA"/>
    <w:rsid w:val="00761CB8"/>
    <w:rsid w:val="007625E7"/>
    <w:rsid w:val="00794DAB"/>
    <w:rsid w:val="007B00B9"/>
    <w:rsid w:val="007B0662"/>
    <w:rsid w:val="007B127B"/>
    <w:rsid w:val="007C6BE8"/>
    <w:rsid w:val="007F1FF4"/>
    <w:rsid w:val="00804CD4"/>
    <w:rsid w:val="00827C35"/>
    <w:rsid w:val="0083151B"/>
    <w:rsid w:val="00835738"/>
    <w:rsid w:val="00847A07"/>
    <w:rsid w:val="0085236F"/>
    <w:rsid w:val="00862585"/>
    <w:rsid w:val="008917A6"/>
    <w:rsid w:val="008A5E75"/>
    <w:rsid w:val="008B1204"/>
    <w:rsid w:val="008E23EE"/>
    <w:rsid w:val="008E6FFA"/>
    <w:rsid w:val="00914A2C"/>
    <w:rsid w:val="00917964"/>
    <w:rsid w:val="009461A5"/>
    <w:rsid w:val="009559F8"/>
    <w:rsid w:val="009561C6"/>
    <w:rsid w:val="009634D7"/>
    <w:rsid w:val="00983C67"/>
    <w:rsid w:val="00984023"/>
    <w:rsid w:val="0099625D"/>
    <w:rsid w:val="009B627E"/>
    <w:rsid w:val="009D1F98"/>
    <w:rsid w:val="009E3030"/>
    <w:rsid w:val="009E36C5"/>
    <w:rsid w:val="009F6CDF"/>
    <w:rsid w:val="00A1162F"/>
    <w:rsid w:val="00A228CC"/>
    <w:rsid w:val="00A30721"/>
    <w:rsid w:val="00A7088B"/>
    <w:rsid w:val="00A72C91"/>
    <w:rsid w:val="00A82693"/>
    <w:rsid w:val="00AB32E0"/>
    <w:rsid w:val="00AD0C20"/>
    <w:rsid w:val="00AD7726"/>
    <w:rsid w:val="00AE4C86"/>
    <w:rsid w:val="00B30BB7"/>
    <w:rsid w:val="00BC0939"/>
    <w:rsid w:val="00BD6BE1"/>
    <w:rsid w:val="00BF0257"/>
    <w:rsid w:val="00C1255F"/>
    <w:rsid w:val="00C15482"/>
    <w:rsid w:val="00C520A3"/>
    <w:rsid w:val="00C66788"/>
    <w:rsid w:val="00C815CC"/>
    <w:rsid w:val="00C911B1"/>
    <w:rsid w:val="00CC0E3B"/>
    <w:rsid w:val="00CE038C"/>
    <w:rsid w:val="00CF3D4E"/>
    <w:rsid w:val="00D0289D"/>
    <w:rsid w:val="00D04BAF"/>
    <w:rsid w:val="00D04E5F"/>
    <w:rsid w:val="00D079E9"/>
    <w:rsid w:val="00D21260"/>
    <w:rsid w:val="00D2385F"/>
    <w:rsid w:val="00D35DE7"/>
    <w:rsid w:val="00D44DB5"/>
    <w:rsid w:val="00D453EE"/>
    <w:rsid w:val="00D84A80"/>
    <w:rsid w:val="00D90282"/>
    <w:rsid w:val="00D971B6"/>
    <w:rsid w:val="00DA1025"/>
    <w:rsid w:val="00DC0037"/>
    <w:rsid w:val="00DD7DB4"/>
    <w:rsid w:val="00DE2EEA"/>
    <w:rsid w:val="00DE49C0"/>
    <w:rsid w:val="00E05039"/>
    <w:rsid w:val="00E10576"/>
    <w:rsid w:val="00E42BA3"/>
    <w:rsid w:val="00E73D9B"/>
    <w:rsid w:val="00E91C54"/>
    <w:rsid w:val="00E96123"/>
    <w:rsid w:val="00EC41FC"/>
    <w:rsid w:val="00EC58B4"/>
    <w:rsid w:val="00EC5F80"/>
    <w:rsid w:val="00EE1333"/>
    <w:rsid w:val="00F034BC"/>
    <w:rsid w:val="00F13452"/>
    <w:rsid w:val="00F213DB"/>
    <w:rsid w:val="00F33C9C"/>
    <w:rsid w:val="00F37596"/>
    <w:rsid w:val="00F4563D"/>
    <w:rsid w:val="00F47844"/>
    <w:rsid w:val="00F66C7B"/>
    <w:rsid w:val="00F86856"/>
    <w:rsid w:val="00FA5635"/>
    <w:rsid w:val="00FA7F91"/>
    <w:rsid w:val="00FB1DBA"/>
    <w:rsid w:val="00FC4B5E"/>
    <w:rsid w:val="00FC7E77"/>
    <w:rsid w:val="00FE2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D7F38E"/>
  <w15:chartTrackingRefBased/>
  <w15:docId w15:val="{93C2EB08-5DB7-4A41-ACBD-29ED1BB7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708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7625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C4B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88B"/>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A7088B"/>
    <w:rPr>
      <w:i/>
      <w:iCs/>
    </w:rPr>
  </w:style>
  <w:style w:type="character" w:customStyle="1" w:styleId="Heading2Char">
    <w:name w:val="Heading 2 Char"/>
    <w:basedOn w:val="DefaultParagraphFont"/>
    <w:link w:val="Heading2"/>
    <w:uiPriority w:val="9"/>
    <w:rsid w:val="007625E7"/>
    <w:rPr>
      <w:rFonts w:asciiTheme="majorHAnsi" w:eastAsiaTheme="majorEastAsia" w:hAnsiTheme="majorHAnsi" w:cstheme="majorBidi"/>
      <w:color w:val="2E74B5" w:themeColor="accent1" w:themeShade="BF"/>
      <w:sz w:val="26"/>
      <w:szCs w:val="26"/>
    </w:rPr>
  </w:style>
  <w:style w:type="paragraph" w:customStyle="1" w:styleId="ds-markdown-paragraph">
    <w:name w:val="ds-markdown-paragraph"/>
    <w:basedOn w:val="Normal"/>
    <w:rsid w:val="007625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625E7"/>
    <w:rPr>
      <w:b/>
      <w:bCs/>
    </w:rPr>
  </w:style>
  <w:style w:type="character" w:customStyle="1" w:styleId="Heading3Char">
    <w:name w:val="Heading 3 Char"/>
    <w:basedOn w:val="DefaultParagraphFont"/>
    <w:link w:val="Heading3"/>
    <w:uiPriority w:val="9"/>
    <w:semiHidden/>
    <w:rsid w:val="00FC4B5E"/>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2D12B2"/>
    <w:rPr>
      <w:color w:val="0000FF"/>
      <w:u w:val="single"/>
    </w:rPr>
  </w:style>
  <w:style w:type="paragraph" w:styleId="NoSpacing">
    <w:name w:val="No Spacing"/>
    <w:link w:val="NoSpacingChar"/>
    <w:uiPriority w:val="1"/>
    <w:qFormat/>
    <w:rsid w:val="00DC0037"/>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DC0037"/>
    <w:rPr>
      <w:rFonts w:ascii="Calibri" w:eastAsia="Times New Roman" w:hAnsi="Calibri" w:cs="Times New Roman"/>
    </w:rPr>
  </w:style>
  <w:style w:type="paragraph" w:styleId="ListParagraph">
    <w:name w:val="List Paragraph"/>
    <w:basedOn w:val="Normal"/>
    <w:uiPriority w:val="1"/>
    <w:qFormat/>
    <w:rsid w:val="004A3F7C"/>
    <w:pPr>
      <w:ind w:left="720"/>
      <w:contextualSpacing/>
    </w:pPr>
  </w:style>
  <w:style w:type="character" w:customStyle="1" w:styleId="UnresolvedMention1">
    <w:name w:val="Unresolved Mention1"/>
    <w:basedOn w:val="DefaultParagraphFont"/>
    <w:uiPriority w:val="99"/>
    <w:semiHidden/>
    <w:unhideWhenUsed/>
    <w:rsid w:val="006364C3"/>
    <w:rPr>
      <w:color w:val="605E5C"/>
      <w:shd w:val="clear" w:color="auto" w:fill="E1DFDD"/>
    </w:rPr>
  </w:style>
  <w:style w:type="paragraph" w:styleId="Header">
    <w:name w:val="header"/>
    <w:basedOn w:val="Normal"/>
    <w:link w:val="HeaderChar"/>
    <w:uiPriority w:val="99"/>
    <w:unhideWhenUsed/>
    <w:rsid w:val="00D90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282"/>
  </w:style>
  <w:style w:type="paragraph" w:styleId="Footer">
    <w:name w:val="footer"/>
    <w:basedOn w:val="Normal"/>
    <w:link w:val="FooterChar"/>
    <w:uiPriority w:val="99"/>
    <w:unhideWhenUsed/>
    <w:rsid w:val="00D90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373617">
      <w:bodyDiv w:val="1"/>
      <w:marLeft w:val="0"/>
      <w:marRight w:val="0"/>
      <w:marTop w:val="0"/>
      <w:marBottom w:val="0"/>
      <w:divBdr>
        <w:top w:val="none" w:sz="0" w:space="0" w:color="auto"/>
        <w:left w:val="none" w:sz="0" w:space="0" w:color="auto"/>
        <w:bottom w:val="none" w:sz="0" w:space="0" w:color="auto"/>
        <w:right w:val="none" w:sz="0" w:space="0" w:color="auto"/>
      </w:divBdr>
    </w:div>
    <w:div w:id="180365967">
      <w:bodyDiv w:val="1"/>
      <w:marLeft w:val="0"/>
      <w:marRight w:val="0"/>
      <w:marTop w:val="0"/>
      <w:marBottom w:val="0"/>
      <w:divBdr>
        <w:top w:val="none" w:sz="0" w:space="0" w:color="auto"/>
        <w:left w:val="none" w:sz="0" w:space="0" w:color="auto"/>
        <w:bottom w:val="none" w:sz="0" w:space="0" w:color="auto"/>
        <w:right w:val="none" w:sz="0" w:space="0" w:color="auto"/>
      </w:divBdr>
    </w:div>
    <w:div w:id="221527720">
      <w:bodyDiv w:val="1"/>
      <w:marLeft w:val="0"/>
      <w:marRight w:val="0"/>
      <w:marTop w:val="0"/>
      <w:marBottom w:val="0"/>
      <w:divBdr>
        <w:top w:val="none" w:sz="0" w:space="0" w:color="auto"/>
        <w:left w:val="none" w:sz="0" w:space="0" w:color="auto"/>
        <w:bottom w:val="none" w:sz="0" w:space="0" w:color="auto"/>
        <w:right w:val="none" w:sz="0" w:space="0" w:color="auto"/>
      </w:divBdr>
    </w:div>
    <w:div w:id="569269270">
      <w:bodyDiv w:val="1"/>
      <w:marLeft w:val="0"/>
      <w:marRight w:val="0"/>
      <w:marTop w:val="0"/>
      <w:marBottom w:val="0"/>
      <w:divBdr>
        <w:top w:val="none" w:sz="0" w:space="0" w:color="auto"/>
        <w:left w:val="none" w:sz="0" w:space="0" w:color="auto"/>
        <w:bottom w:val="none" w:sz="0" w:space="0" w:color="auto"/>
        <w:right w:val="none" w:sz="0" w:space="0" w:color="auto"/>
      </w:divBdr>
    </w:div>
    <w:div w:id="684132201">
      <w:bodyDiv w:val="1"/>
      <w:marLeft w:val="0"/>
      <w:marRight w:val="0"/>
      <w:marTop w:val="0"/>
      <w:marBottom w:val="0"/>
      <w:divBdr>
        <w:top w:val="none" w:sz="0" w:space="0" w:color="auto"/>
        <w:left w:val="none" w:sz="0" w:space="0" w:color="auto"/>
        <w:bottom w:val="none" w:sz="0" w:space="0" w:color="auto"/>
        <w:right w:val="none" w:sz="0" w:space="0" w:color="auto"/>
      </w:divBdr>
    </w:div>
    <w:div w:id="899679957">
      <w:bodyDiv w:val="1"/>
      <w:marLeft w:val="0"/>
      <w:marRight w:val="0"/>
      <w:marTop w:val="0"/>
      <w:marBottom w:val="0"/>
      <w:divBdr>
        <w:top w:val="none" w:sz="0" w:space="0" w:color="auto"/>
        <w:left w:val="none" w:sz="0" w:space="0" w:color="auto"/>
        <w:bottom w:val="none" w:sz="0" w:space="0" w:color="auto"/>
        <w:right w:val="none" w:sz="0" w:space="0" w:color="auto"/>
      </w:divBdr>
    </w:div>
    <w:div w:id="983972431">
      <w:bodyDiv w:val="1"/>
      <w:marLeft w:val="0"/>
      <w:marRight w:val="0"/>
      <w:marTop w:val="0"/>
      <w:marBottom w:val="0"/>
      <w:divBdr>
        <w:top w:val="none" w:sz="0" w:space="0" w:color="auto"/>
        <w:left w:val="none" w:sz="0" w:space="0" w:color="auto"/>
        <w:bottom w:val="none" w:sz="0" w:space="0" w:color="auto"/>
        <w:right w:val="none" w:sz="0" w:space="0" w:color="auto"/>
      </w:divBdr>
    </w:div>
    <w:div w:id="990674895">
      <w:bodyDiv w:val="1"/>
      <w:marLeft w:val="0"/>
      <w:marRight w:val="0"/>
      <w:marTop w:val="0"/>
      <w:marBottom w:val="0"/>
      <w:divBdr>
        <w:top w:val="none" w:sz="0" w:space="0" w:color="auto"/>
        <w:left w:val="none" w:sz="0" w:space="0" w:color="auto"/>
        <w:bottom w:val="none" w:sz="0" w:space="0" w:color="auto"/>
        <w:right w:val="none" w:sz="0" w:space="0" w:color="auto"/>
      </w:divBdr>
    </w:div>
    <w:div w:id="1043091788">
      <w:bodyDiv w:val="1"/>
      <w:marLeft w:val="0"/>
      <w:marRight w:val="0"/>
      <w:marTop w:val="0"/>
      <w:marBottom w:val="0"/>
      <w:divBdr>
        <w:top w:val="none" w:sz="0" w:space="0" w:color="auto"/>
        <w:left w:val="none" w:sz="0" w:space="0" w:color="auto"/>
        <w:bottom w:val="none" w:sz="0" w:space="0" w:color="auto"/>
        <w:right w:val="none" w:sz="0" w:space="0" w:color="auto"/>
      </w:divBdr>
    </w:div>
    <w:div w:id="1140004501">
      <w:bodyDiv w:val="1"/>
      <w:marLeft w:val="0"/>
      <w:marRight w:val="0"/>
      <w:marTop w:val="0"/>
      <w:marBottom w:val="0"/>
      <w:divBdr>
        <w:top w:val="none" w:sz="0" w:space="0" w:color="auto"/>
        <w:left w:val="none" w:sz="0" w:space="0" w:color="auto"/>
        <w:bottom w:val="none" w:sz="0" w:space="0" w:color="auto"/>
        <w:right w:val="none" w:sz="0" w:space="0" w:color="auto"/>
      </w:divBdr>
    </w:div>
    <w:div w:id="1170635952">
      <w:bodyDiv w:val="1"/>
      <w:marLeft w:val="0"/>
      <w:marRight w:val="0"/>
      <w:marTop w:val="0"/>
      <w:marBottom w:val="0"/>
      <w:divBdr>
        <w:top w:val="none" w:sz="0" w:space="0" w:color="auto"/>
        <w:left w:val="none" w:sz="0" w:space="0" w:color="auto"/>
        <w:bottom w:val="none" w:sz="0" w:space="0" w:color="auto"/>
        <w:right w:val="none" w:sz="0" w:space="0" w:color="auto"/>
      </w:divBdr>
    </w:div>
    <w:div w:id="1195000740">
      <w:bodyDiv w:val="1"/>
      <w:marLeft w:val="0"/>
      <w:marRight w:val="0"/>
      <w:marTop w:val="0"/>
      <w:marBottom w:val="0"/>
      <w:divBdr>
        <w:top w:val="none" w:sz="0" w:space="0" w:color="auto"/>
        <w:left w:val="none" w:sz="0" w:space="0" w:color="auto"/>
        <w:bottom w:val="none" w:sz="0" w:space="0" w:color="auto"/>
        <w:right w:val="none" w:sz="0" w:space="0" w:color="auto"/>
      </w:divBdr>
    </w:div>
    <w:div w:id="1292177214">
      <w:bodyDiv w:val="1"/>
      <w:marLeft w:val="0"/>
      <w:marRight w:val="0"/>
      <w:marTop w:val="0"/>
      <w:marBottom w:val="0"/>
      <w:divBdr>
        <w:top w:val="none" w:sz="0" w:space="0" w:color="auto"/>
        <w:left w:val="none" w:sz="0" w:space="0" w:color="auto"/>
        <w:bottom w:val="none" w:sz="0" w:space="0" w:color="auto"/>
        <w:right w:val="none" w:sz="0" w:space="0" w:color="auto"/>
      </w:divBdr>
    </w:div>
    <w:div w:id="1479762941">
      <w:bodyDiv w:val="1"/>
      <w:marLeft w:val="0"/>
      <w:marRight w:val="0"/>
      <w:marTop w:val="0"/>
      <w:marBottom w:val="0"/>
      <w:divBdr>
        <w:top w:val="none" w:sz="0" w:space="0" w:color="auto"/>
        <w:left w:val="none" w:sz="0" w:space="0" w:color="auto"/>
        <w:bottom w:val="none" w:sz="0" w:space="0" w:color="auto"/>
        <w:right w:val="none" w:sz="0" w:space="0" w:color="auto"/>
      </w:divBdr>
    </w:div>
    <w:div w:id="1510480934">
      <w:bodyDiv w:val="1"/>
      <w:marLeft w:val="0"/>
      <w:marRight w:val="0"/>
      <w:marTop w:val="0"/>
      <w:marBottom w:val="0"/>
      <w:divBdr>
        <w:top w:val="none" w:sz="0" w:space="0" w:color="auto"/>
        <w:left w:val="none" w:sz="0" w:space="0" w:color="auto"/>
        <w:bottom w:val="none" w:sz="0" w:space="0" w:color="auto"/>
        <w:right w:val="none" w:sz="0" w:space="0" w:color="auto"/>
      </w:divBdr>
    </w:div>
    <w:div w:id="1643077858">
      <w:bodyDiv w:val="1"/>
      <w:marLeft w:val="0"/>
      <w:marRight w:val="0"/>
      <w:marTop w:val="0"/>
      <w:marBottom w:val="0"/>
      <w:divBdr>
        <w:top w:val="none" w:sz="0" w:space="0" w:color="auto"/>
        <w:left w:val="none" w:sz="0" w:space="0" w:color="auto"/>
        <w:bottom w:val="none" w:sz="0" w:space="0" w:color="auto"/>
        <w:right w:val="none" w:sz="0" w:space="0" w:color="auto"/>
      </w:divBdr>
    </w:div>
    <w:div w:id="1656832629">
      <w:bodyDiv w:val="1"/>
      <w:marLeft w:val="0"/>
      <w:marRight w:val="0"/>
      <w:marTop w:val="0"/>
      <w:marBottom w:val="0"/>
      <w:divBdr>
        <w:top w:val="none" w:sz="0" w:space="0" w:color="auto"/>
        <w:left w:val="none" w:sz="0" w:space="0" w:color="auto"/>
        <w:bottom w:val="none" w:sz="0" w:space="0" w:color="auto"/>
        <w:right w:val="none" w:sz="0" w:space="0" w:color="auto"/>
      </w:divBdr>
    </w:div>
    <w:div w:id="1745755368">
      <w:bodyDiv w:val="1"/>
      <w:marLeft w:val="0"/>
      <w:marRight w:val="0"/>
      <w:marTop w:val="0"/>
      <w:marBottom w:val="0"/>
      <w:divBdr>
        <w:top w:val="none" w:sz="0" w:space="0" w:color="auto"/>
        <w:left w:val="none" w:sz="0" w:space="0" w:color="auto"/>
        <w:bottom w:val="none" w:sz="0" w:space="0" w:color="auto"/>
        <w:right w:val="none" w:sz="0" w:space="0" w:color="auto"/>
      </w:divBdr>
    </w:div>
    <w:div w:id="1793399502">
      <w:bodyDiv w:val="1"/>
      <w:marLeft w:val="0"/>
      <w:marRight w:val="0"/>
      <w:marTop w:val="0"/>
      <w:marBottom w:val="0"/>
      <w:divBdr>
        <w:top w:val="none" w:sz="0" w:space="0" w:color="auto"/>
        <w:left w:val="none" w:sz="0" w:space="0" w:color="auto"/>
        <w:bottom w:val="none" w:sz="0" w:space="0" w:color="auto"/>
        <w:right w:val="none" w:sz="0" w:space="0" w:color="auto"/>
      </w:divBdr>
    </w:div>
    <w:div w:id="1827360323">
      <w:bodyDiv w:val="1"/>
      <w:marLeft w:val="0"/>
      <w:marRight w:val="0"/>
      <w:marTop w:val="0"/>
      <w:marBottom w:val="0"/>
      <w:divBdr>
        <w:top w:val="none" w:sz="0" w:space="0" w:color="auto"/>
        <w:left w:val="none" w:sz="0" w:space="0" w:color="auto"/>
        <w:bottom w:val="none" w:sz="0" w:space="0" w:color="auto"/>
        <w:right w:val="none" w:sz="0" w:space="0" w:color="auto"/>
      </w:divBdr>
    </w:div>
    <w:div w:id="1880165958">
      <w:bodyDiv w:val="1"/>
      <w:marLeft w:val="0"/>
      <w:marRight w:val="0"/>
      <w:marTop w:val="0"/>
      <w:marBottom w:val="0"/>
      <w:divBdr>
        <w:top w:val="none" w:sz="0" w:space="0" w:color="auto"/>
        <w:left w:val="none" w:sz="0" w:space="0" w:color="auto"/>
        <w:bottom w:val="none" w:sz="0" w:space="0" w:color="auto"/>
        <w:right w:val="none" w:sz="0" w:space="0" w:color="auto"/>
      </w:divBdr>
    </w:div>
    <w:div w:id="1989551681">
      <w:bodyDiv w:val="1"/>
      <w:marLeft w:val="0"/>
      <w:marRight w:val="0"/>
      <w:marTop w:val="0"/>
      <w:marBottom w:val="0"/>
      <w:divBdr>
        <w:top w:val="none" w:sz="0" w:space="0" w:color="auto"/>
        <w:left w:val="none" w:sz="0" w:space="0" w:color="auto"/>
        <w:bottom w:val="none" w:sz="0" w:space="0" w:color="auto"/>
        <w:right w:val="none" w:sz="0" w:space="0" w:color="auto"/>
      </w:divBdr>
    </w:div>
    <w:div w:id="2029789535">
      <w:bodyDiv w:val="1"/>
      <w:marLeft w:val="0"/>
      <w:marRight w:val="0"/>
      <w:marTop w:val="0"/>
      <w:marBottom w:val="0"/>
      <w:divBdr>
        <w:top w:val="none" w:sz="0" w:space="0" w:color="auto"/>
        <w:left w:val="none" w:sz="0" w:space="0" w:color="auto"/>
        <w:bottom w:val="none" w:sz="0" w:space="0" w:color="auto"/>
        <w:right w:val="none" w:sz="0" w:space="0" w:color="auto"/>
      </w:divBdr>
    </w:div>
    <w:div w:id="2072117291">
      <w:bodyDiv w:val="1"/>
      <w:marLeft w:val="0"/>
      <w:marRight w:val="0"/>
      <w:marTop w:val="0"/>
      <w:marBottom w:val="0"/>
      <w:divBdr>
        <w:top w:val="none" w:sz="0" w:space="0" w:color="auto"/>
        <w:left w:val="none" w:sz="0" w:space="0" w:color="auto"/>
        <w:bottom w:val="none" w:sz="0" w:space="0" w:color="auto"/>
        <w:right w:val="none" w:sz="0" w:space="0" w:color="auto"/>
      </w:divBdr>
    </w:div>
    <w:div w:id="207716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01/jama.2024.2197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11</Pages>
  <Words>5303</Words>
  <Characters>30230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1022</cp:lastModifiedBy>
  <cp:revision>73</cp:revision>
  <dcterms:created xsi:type="dcterms:W3CDTF">2026-03-17T06:33:00Z</dcterms:created>
  <dcterms:modified xsi:type="dcterms:W3CDTF">2026-04-08T06:38:00Z</dcterms:modified>
</cp:coreProperties>
</file>