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1"/>
        <w:spacing w:after="200" w:line="36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Original Research Article</w:t>
      </w:r>
    </w:p>
    <w:p w:rsidR="00000000" w:rsidDel="00000000" w:rsidP="00000000" w:rsidRDefault="00000000" w:rsidRPr="00000000" w14:paraId="00000003">
      <w:pPr>
        <w:pStyle w:val="Heading1"/>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Factors influencing Knowledge, Attitudes and Practice of Basic Life Support among Healthcare Professionals in a Nigerian Tertiary Hospital: A Secondary Analysis </w:t>
      </w:r>
    </w:p>
    <w:p w:rsidR="00000000" w:rsidDel="00000000" w:rsidP="00000000" w:rsidRDefault="00000000" w:rsidRPr="00000000" w14:paraId="00000004">
      <w:pPr>
        <w:spacing w:after="200" w:line="360" w:lineRule="auto"/>
        <w:rPr>
          <w:rFonts w:ascii="Times New Roman" w:cs="Times New Roman" w:eastAsia="Times New Roman" w:hAnsi="Times New Roman"/>
          <w:sz w:val="24"/>
          <w:szCs w:val="24"/>
        </w:rPr>
      </w:pPr>
      <w:bookmarkStart w:colFirst="0" w:colLast="0" w:name="_heading=h.na92qhmm5tmz" w:id="0"/>
      <w:bookmarkEnd w:id="0"/>
      <w:r w:rsidDel="00000000" w:rsidR="00000000" w:rsidRPr="00000000">
        <w:rPr>
          <w:rtl w:val="0"/>
        </w:rPr>
      </w:r>
    </w:p>
    <w:p w:rsidR="00000000" w:rsidDel="00000000" w:rsidP="00000000" w:rsidRDefault="00000000" w:rsidRPr="00000000" w14:paraId="00000005">
      <w:pPr>
        <w:pStyle w:val="Heading2"/>
        <w:spacing w:after="200" w:line="360" w:lineRule="auto"/>
        <w:rPr/>
      </w:pPr>
      <w:bookmarkStart w:colFirst="0" w:colLast="0" w:name="_heading=h.rm0dcpuejjmo" w:id="1"/>
      <w:bookmarkEnd w:id="1"/>
      <w:r w:rsidDel="00000000" w:rsidR="00000000" w:rsidRPr="00000000">
        <w:rPr>
          <w:rFonts w:ascii="Times New Roman" w:cs="Times New Roman" w:eastAsia="Times New Roman" w:hAnsi="Times New Roman"/>
          <w:b w:val="1"/>
          <w:bCs w:val="1"/>
          <w:sz w:val="24"/>
          <w:szCs w:val="24"/>
          <w:rtl w:val="0"/>
        </w:rPr>
        <w:t xml:space="preserve">ABSTRACT </w:t>
      </w:r>
      <w:r w:rsidDel="00000000" w:rsidR="00000000" w:rsidRPr="00000000">
        <w:rPr>
          <w:rtl w:val="0"/>
        </w:rPr>
      </w:r>
    </w:p>
    <w:p w:rsidR="00000000" w:rsidDel="00000000" w:rsidP="00000000" w:rsidRDefault="00000000" w:rsidRPr="00000000" w14:paraId="0000000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r w:rsidDel="00000000" w:rsidR="00000000" w:rsidRPr="00000000">
        <w:rPr>
          <w:rFonts w:ascii="Times New Roman" w:cs="Times New Roman" w:eastAsia="Times New Roman" w:hAnsi="Times New Roman"/>
          <w:sz w:val="24"/>
          <w:szCs w:val="24"/>
          <w:rtl w:val="0"/>
        </w:rPr>
        <w:t xml:space="preserve">Immediate initiation of Basic Life Support is critical for survival following cardiac arrest. However, gaps in knowledge, attitudes, and practice persist among healthcare professionals, particularly in resource-constrained settings. This study examined factors influencing Basic Life Support knowledge, attitudes, and self-reported practice among frontline healthcare providers in a Nigerian tertiary hospital.</w:t>
      </w:r>
    </w:p>
    <w:p w:rsidR="00000000" w:rsidDel="00000000" w:rsidP="00000000" w:rsidRDefault="00000000" w:rsidRPr="00000000" w14:paraId="00000007">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Methods: </w:t>
      </w:r>
      <w:r w:rsidDel="00000000" w:rsidR="00000000" w:rsidRPr="00000000">
        <w:rPr>
          <w:rFonts w:ascii="Times New Roman" w:cs="Times New Roman" w:eastAsia="Times New Roman" w:hAnsi="Times New Roman"/>
          <w:sz w:val="24"/>
          <w:szCs w:val="24"/>
          <w:rtl w:val="0"/>
        </w:rPr>
        <w:t xml:space="preserve">This was a secondary analysis of data from a cross-sectional survey conducted among licensed doctors, nurses, physiotherapists, dentists, and radiographers at a Nigerian tertiary hospital. The original study used a structured, self-administered questionnaire aligned with the 2024 American Heart Association Basic Life Support guidelines to assess knowledge (score range 0–15), attitudes (nine-item scale), and self-reported practice. For this analysis, non-parametric tests and binary logistic regression were used to identify predictors of adequate knowledge, positive attitudes, confidence in performing cardiopulmonary resuscitation, and preparedness for pediatric Basic Life Support. Qualitative content analysis was applied to open-ended responses on barriers to mouth-to-mouth ventilation.</w:t>
      </w:r>
    </w:p>
    <w:p w:rsidR="00000000" w:rsidDel="00000000" w:rsidP="00000000" w:rsidRDefault="00000000" w:rsidRPr="00000000" w14:paraId="00000008">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 </w:t>
      </w:r>
      <w:r w:rsidDel="00000000" w:rsidR="00000000" w:rsidRPr="00000000">
        <w:rPr>
          <w:rFonts w:ascii="Times New Roman" w:cs="Times New Roman" w:eastAsia="Times New Roman" w:hAnsi="Times New Roman"/>
          <w:sz w:val="24"/>
          <w:szCs w:val="24"/>
          <w:rtl w:val="0"/>
        </w:rPr>
        <w:t xml:space="preserve">In the multivariable analyses of 281 healthcare professionals, professional cadre, clinical experience, age, and training engagement independently predicted Basic Life Support outcomes. Adequate knowledge was significantly associated with being a nurse or radiographer, having more than 15 years of clinical experience, and regular engagement in refresher training. Positive attitudes were independently associated with younger age and prior training exposure, while self-reported confidence and preparedness for pediatric resuscitation were influenced primarily by professional role, sex, and prior training rather than knowledge level, revealing a persistent knowledge–practice gap. Qualitative analysis identified fear of infection as the dominant barrier to mouth-to-mouth ventilation.</w:t>
      </w:r>
      <w:r w:rsidDel="00000000" w:rsidR="00000000" w:rsidRPr="00000000">
        <w:rPr>
          <w:rtl w:val="0"/>
        </w:rPr>
      </w:r>
    </w:p>
    <w:p w:rsidR="00000000" w:rsidDel="00000000" w:rsidP="00000000" w:rsidRDefault="00000000" w:rsidRPr="00000000" w14:paraId="00000009">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Despite high training exposure, substantial gaps in Basic Life Support knowledge and preparedness persist. Professional role, experience, age, and training exposure influence preparedness outcomes. Strengthening structured refresher training, pediatric-focused education, and institutional resuscitation protocols is essential to improve real-world resuscitation readiness in resource-limited settings.</w:t>
      </w:r>
    </w:p>
    <w:p w:rsidR="00000000" w:rsidDel="00000000" w:rsidP="00000000" w:rsidRDefault="00000000" w:rsidRPr="00000000" w14:paraId="0000000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Basic life support (BLS); Healthcare Professionals (HCPs); Cardiopulmonary Resuscitation (CPR); Knowledge, Attitude and Practice (KAP); Resuscitation.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0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20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20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pStyle w:val="Heading2"/>
        <w:spacing w:after="200" w:line="360" w:lineRule="auto"/>
        <w:rPr>
          <w:rFonts w:ascii="Times New Roman" w:cs="Times New Roman" w:eastAsia="Times New Roman" w:hAnsi="Times New Roman"/>
          <w:b w:val="1"/>
          <w:bCs w:val="1"/>
          <w:sz w:val="24"/>
          <w:szCs w:val="24"/>
        </w:rPr>
      </w:pPr>
      <w:bookmarkStart w:colFirst="0" w:colLast="0" w:name="_heading=h.dgbgus40xq7x" w:id="2"/>
      <w:bookmarkEnd w:id="2"/>
      <w:r w:rsidDel="00000000" w:rsidR="00000000" w:rsidRPr="00000000">
        <w:rPr>
          <w:rFonts w:ascii="Times New Roman" w:cs="Times New Roman" w:eastAsia="Times New Roman" w:hAnsi="Times New Roman"/>
          <w:b w:val="1"/>
          <w:bCs w:val="1"/>
          <w:sz w:val="24"/>
          <w:szCs w:val="24"/>
          <w:rtl w:val="0"/>
        </w:rPr>
        <w:t xml:space="preserve">INTRODUCTION </w:t>
      </w:r>
    </w:p>
    <w:p w:rsidR="00000000" w:rsidDel="00000000" w:rsidP="00000000" w:rsidRDefault="00000000" w:rsidRPr="00000000" w14:paraId="0000001C">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Cardiac arrest remains a leading cause of in-hospital mortality, and survival depends on the immediate initiation of Basic Life Support (BLS) (Andersen et al., 2019; Penketh et al., 2022). BLS entails early recognition of cardiopulmonary arrest, provision of excellent cardiopulmonary resuscitation (CPR), and timely application of emergency response automated external defibrillators (AEDs) where available (American Heart Association, 2020). Prompt commencement of BLS for inpatients and outpatients has been said to multiply survival rates, ensuring the sustenance of lives in emergency situations pending the arrival of a more sophisticated medical intervention (Chowdhury et al., 2021).</w:t>
      </w:r>
    </w:p>
    <w:p w:rsidR="00000000" w:rsidDel="00000000" w:rsidP="00000000" w:rsidRDefault="00000000" w:rsidRPr="00000000" w14:paraId="0000001D">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healthcare settings, the expectation is that professionals present at the point of an arrest possess the knowledge, skills, and confidence to initiate BLS immediately. However, studies across Africa and other low- and middle-income countries (LMICs) have documented inadequate levels of BLS knowledge and practice among healthcare professionals despite generally positive attitudes towards BLS (Mohammed et al., 2020; Kalu et al., 2023; Asferie et al., 2024).</w:t>
      </w:r>
    </w:p>
    <w:p w:rsidR="00000000" w:rsidDel="00000000" w:rsidP="00000000" w:rsidRDefault="00000000" w:rsidRPr="00000000" w14:paraId="0000001E">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most BLS research has targeted only doctors and nurses, it is worthy of note that allied healthcare professionals such as dentists, physiotherapists, and radiographers also encounter potentially life-threatening emergencies that require immediate BLS intervention; however, studies among these professionals also report gaps in BLS training, knowledge, and preparedness (Mbada et al., 2013; Irfan et al., 2019; Aljarrah et al., 2025).</w:t>
      </w:r>
    </w:p>
    <w:p w:rsidR="00000000" w:rsidDel="00000000" w:rsidP="00000000" w:rsidRDefault="00000000" w:rsidRPr="00000000" w14:paraId="0000001F">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Insufficient or absent BLS training, infrequent refresher courses, limited hands-on practice opportunities, and poor access to equipment have been recognized as major contributors to inadequate BLS preparedness among healthcare workers in sub-Saharan Africa (Asferie et al., 202; Kalu et al., 2018; Ariyo et al., 2025). Similar findings have been reported in Nepal, India, and Pakistan, suggesting a widespread challenge in LMIC healthcare systems (Poudel et al., 2019; Hasnain et al., 2023; Mamgain et al., 2025). Understanding these factors that influence healthcare professionals’ BLS knowledge, attitudes, and practice is essential to inform targeted training and policy interventions that could improve immediate response to cardiopulmonary emergencies and ultimately patient outcomes. </w:t>
      </w:r>
    </w:p>
    <w:p w:rsidR="00000000" w:rsidDel="00000000" w:rsidP="00000000" w:rsidRDefault="00000000" w:rsidRPr="00000000" w14:paraId="00000020">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previous studies have described BLS knowledge, attitudes, and practices (KAP), only a few have rigorously examined the determinants of these outcomes. A recent study among healthcare professionals at the Federal Medical Centre, Owo, Nigeria (Babalola et al., 2025), documented significant gaps in BLS preparedness. Building on this baseline evidence, the present secondary analysis aimed to determine the predictors of adequate knowledge, positive attitudes, and good practice of Basic Life Support (BLS)  among healthcare professionals at the Federal Medical Centre, Owo, Nigeria. Specifically, the study sought to identify and evaluate the sociodemographic, professional, and training-related factors potentially influencing healthcare professionals’ knowledge, attitudes, and self-reported practice of Basic Life Support (BLS). The findings are intended to inform targeted training strategies and strengthen emergency response capacity in resource-constrained African healthcare settings.</w:t>
      </w:r>
    </w:p>
    <w:p w:rsidR="00000000" w:rsidDel="00000000" w:rsidP="00000000" w:rsidRDefault="00000000" w:rsidRPr="00000000" w14:paraId="00000021">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Style w:val="Heading2"/>
        <w:spacing w:after="200" w:line="360" w:lineRule="auto"/>
        <w:rPr>
          <w:rFonts w:ascii="Times New Roman" w:cs="Times New Roman" w:eastAsia="Times New Roman" w:hAnsi="Times New Roman"/>
          <w:b w:val="1"/>
          <w:bCs w:val="1"/>
          <w:sz w:val="24"/>
          <w:szCs w:val="24"/>
        </w:rPr>
      </w:pPr>
      <w:bookmarkStart w:colFirst="0" w:colLast="0" w:name="_heading=h.cuzir6wev0ah" w:id="3"/>
      <w:bookmarkEnd w:id="3"/>
      <w:r w:rsidDel="00000000" w:rsidR="00000000" w:rsidRPr="00000000">
        <w:rPr>
          <w:rFonts w:ascii="Times New Roman" w:cs="Times New Roman" w:eastAsia="Times New Roman" w:hAnsi="Times New Roman"/>
          <w:b w:val="1"/>
          <w:bCs w:val="1"/>
          <w:sz w:val="24"/>
          <w:szCs w:val="24"/>
          <w:rtl w:val="0"/>
        </w:rPr>
        <w:t xml:space="preserve">MATERIAL AND METHODS </w:t>
      </w:r>
    </w:p>
    <w:p w:rsidR="00000000" w:rsidDel="00000000" w:rsidP="00000000" w:rsidRDefault="00000000" w:rsidRPr="00000000" w14:paraId="00000023">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Study Design and Setting </w:t>
      </w:r>
    </w:p>
    <w:p w:rsidR="00000000" w:rsidDel="00000000" w:rsidP="00000000" w:rsidRDefault="00000000" w:rsidRPr="00000000" w14:paraId="0000002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analytical cross-sectional study was conducted as a secondary analysis of data obtained from a previously completed survey among consenting frontline clinical staff at the Federal Medical Centre, Owo, Ondo State, Nigeria (Babalola et al., 2025). No new data were collected for the present analysis.</w:t>
      </w:r>
    </w:p>
    <w:p w:rsidR="00000000" w:rsidDel="00000000" w:rsidP="00000000" w:rsidRDefault="00000000" w:rsidRPr="00000000" w14:paraId="00000025">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Study Population and Sampling </w:t>
      </w:r>
    </w:p>
    <w:p w:rsidR="00000000" w:rsidDel="00000000" w:rsidP="00000000" w:rsidRDefault="00000000" w:rsidRPr="00000000" w14:paraId="0000002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study included licensed frontline healthcare professionals (doctors, nurses, physiotherapists, dentists, and radiographers) who were employed in clinical roles at the study site and provided written informed consent. The sampling frame comprised all eligible frontline clinical staff at the hospital at the time of the primary survey. A proportionate stratified random sampling technique was used in the original study to ensure representation across professional cadres. Full details of the sampling strategy and sample size determination have been described previously (Babalola et al., 2025). The current secondary analysis utilized data from all respondents with complete information for the variables of interest (N = 281).</w:t>
      </w:r>
    </w:p>
    <w:p w:rsidR="00000000" w:rsidDel="00000000" w:rsidP="00000000" w:rsidRDefault="00000000" w:rsidRPr="00000000" w14:paraId="00000027">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Collection Instrument</w:t>
      </w:r>
    </w:p>
    <w:p w:rsidR="00000000" w:rsidDel="00000000" w:rsidP="00000000" w:rsidRDefault="00000000" w:rsidRPr="00000000" w14:paraId="00000028">
      <w:pPr>
        <w:spacing w:after="200"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In the primary study (Babalola et al., 2025), data were collected using a structured, self-administered questionnaire developed in line with the 2024 American Heart Association (AHA) BLS Guidelines, (American Heart Association, 2024) with selected items adapted from previously validated instruments. (Mbada et al., 2013; Poudel et al., 2019; Mamgain et al., 2025). The instrument comprised five sections assessing socio-demographic characteristics, prior BLS training, knowledge (15 MCQs; score 0–15, categorized as adequate ≥12 or inadequate &lt;12), attitudes (nine Yes/No items; ≥5 indicating positive attitude), and self-reported practice and preparedness (American Heart Association, 2024) . Data were collected over four weeks using paper-based and online questionnaires administered within clinical units. Responses were completed privately, returned electronically or in hard copy, anonymized, securely stored, and reported in aggregate form. This current study utilized the anonymized dataset generated from this original data collection process.</w:t>
      </w:r>
      <w:r w:rsidDel="00000000" w:rsidR="00000000" w:rsidRPr="00000000">
        <w:rPr>
          <w:rtl w:val="0"/>
        </w:rPr>
      </w:r>
    </w:p>
    <w:p w:rsidR="00000000" w:rsidDel="00000000" w:rsidP="00000000" w:rsidRDefault="00000000" w:rsidRPr="00000000" w14:paraId="00000029">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Statistical Analysis</w:t>
      </w:r>
    </w:p>
    <w:p w:rsidR="00000000" w:rsidDel="00000000" w:rsidP="00000000" w:rsidRDefault="00000000" w:rsidRPr="00000000" w14:paraId="0000002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from the primary cross-sectional survey were re-analyzed using IBM SPSS Statistics Version 27 (IBM Corp., Armonk, NY, USA). The present analysis focused on identifying predictors of BLS knowledge, attitudes, and self-reported practice outcomes.</w:t>
      </w:r>
    </w:p>
    <w:p w:rsidR="00000000" w:rsidDel="00000000" w:rsidP="00000000" w:rsidRDefault="00000000" w:rsidRPr="00000000" w14:paraId="0000002B">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Bivariate associations between sociodemographic, professional, and training-related variables and study outcomes were examined using Chi-square or Fisher’s exact tests for categorical variables and Mann–Whitney U or Kruskal–Wallis tests for group comparisons, as appropriate. Holm-adjusted post-hoc tests were applied following significant multi-group comparisons, and effect sizes were calculated.</w:t>
      </w:r>
    </w:p>
    <w:p w:rsidR="00000000" w:rsidDel="00000000" w:rsidP="00000000" w:rsidRDefault="00000000" w:rsidRPr="00000000" w14:paraId="0000002C">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binary logistic regression models were developed for each key outcome, with variables included in the models based on their statistical significance in the bivariate analysis. The model predicting adequate knowledge included age group, sex, profession, years of clinical experience, training exposure, and incorporation of BLS refreshers as covariates. Among previously trained respondents, an exploratory subgroup model additionally included recency of last BLS training and training provider. The attitude model was adjusted for age group, sex, profession, years of experience, and training exposure. Models predicting self-reported confidence in performing CPR and preparedness for pediatric BLS were each adjusted for age group, sex, profession, years of clinical experience, training exposure, and knowledge level. Model diagnostics were assessed to ensure adequacy of fit. Adjusted odds ratios with 95% confidence intervals were reported.</w:t>
      </w:r>
    </w:p>
    <w:p w:rsidR="00000000" w:rsidDel="00000000" w:rsidP="00000000" w:rsidRDefault="00000000" w:rsidRPr="00000000" w14:paraId="0000002D">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Open-ended responses on perceived barriers to mouth-to-mouth ventilation, which were not analyzed in the original publication, were examined using qualitative content analysis to identify recurrent themes. All statistical tests were two-tailed, with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0.05 considered statistically significant.</w:t>
      </w:r>
    </w:p>
    <w:p w:rsidR="00000000" w:rsidDel="00000000" w:rsidP="00000000" w:rsidRDefault="00000000" w:rsidRPr="00000000" w14:paraId="0000002E">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Style w:val="Heading2"/>
        <w:spacing w:after="200" w:line="360" w:lineRule="auto"/>
        <w:rPr/>
      </w:pPr>
      <w:bookmarkStart w:colFirst="0" w:colLast="0" w:name="_heading=h.8kov2pvfqrmf" w:id="4"/>
      <w:bookmarkEnd w:id="4"/>
      <w:r w:rsidDel="00000000" w:rsidR="00000000" w:rsidRPr="00000000">
        <w:rPr>
          <w:rFonts w:ascii="Times New Roman" w:cs="Times New Roman" w:eastAsia="Times New Roman" w:hAnsi="Times New Roman"/>
          <w:b w:val="1"/>
          <w:bCs w:val="1"/>
          <w:sz w:val="24"/>
          <w:szCs w:val="24"/>
          <w:rtl w:val="0"/>
        </w:rPr>
        <w:t xml:space="preserve">RESULTS</w:t>
      </w:r>
      <w:r w:rsidDel="00000000" w:rsidR="00000000" w:rsidRPr="00000000">
        <w:rPr>
          <w:rtl w:val="0"/>
        </w:rPr>
        <w:t xml:space="preserve"> </w:t>
      </w:r>
    </w:p>
    <w:p w:rsidR="00000000" w:rsidDel="00000000" w:rsidP="00000000" w:rsidRDefault="00000000" w:rsidRPr="00000000" w14:paraId="00000030">
      <w:pPr>
        <w:spacing w:after="200"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Of the 281 respondents, 50 (17.8%) demonstrated adequate BLS knowledge (score ≥12). The median knowledge score was 9 (IQR 8–11). Overall, 202 (71.9%) expressed a positive attitude toward BLS. Regarding self-reported practice, 190 (67.6%) had previously initiated CPR, 182 (64.8%) reported confidence performing it independently, and 161 (57.3%) reported preparedness for pediatric BLS. Fewer than half (n = 137, 48.8%) incorporated refresher training into ongoing learning (Table 1).</w:t>
      </w:r>
      <w:r w:rsidDel="00000000" w:rsidR="00000000" w:rsidRPr="00000000">
        <w:rPr>
          <w:rtl w:val="0"/>
        </w:rPr>
      </w:r>
    </w:p>
    <w:p w:rsidR="00000000" w:rsidDel="00000000" w:rsidP="00000000" w:rsidRDefault="00000000" w:rsidRPr="00000000" w14:paraId="00000031">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Distribution of Knowledge, Attitude, and Practice of Basic Life Support among Respondents (N = 281)</w:t>
      </w:r>
      <w:r w:rsidDel="00000000" w:rsidR="00000000" w:rsidRPr="00000000">
        <w:rPr>
          <w:rtl w:val="0"/>
        </w:rPr>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15"/>
        <w:gridCol w:w="1455"/>
        <w:gridCol w:w="1560"/>
        <w:tblGridChange w:id="0">
          <w:tblGrid>
            <w:gridCol w:w="6015"/>
            <w:gridCol w:w="1455"/>
            <w:gridCol w:w="1560"/>
          </w:tblGrid>
        </w:tblGridChange>
      </w:tblGrid>
      <w:tr>
        <w:trPr>
          <w:cantSplit w:val="0"/>
          <w:trHeight w:val="61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32">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33">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34">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95% CI</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5">
            <w:pPr>
              <w:spacing w:after="200" w:line="36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Adequate BLS knowledge (score ≥12)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(17.8)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 22.7</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8">
            <w:pPr>
              <w:spacing w:after="200" w:line="360" w:lineRule="auto"/>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Positive attitude toward BLS</w:t>
            </w:r>
            <w:r w:rsidDel="00000000" w:rsidR="00000000" w:rsidRPr="00000000">
              <w:rPr>
                <w:rFonts w:ascii="Times New Roman" w:cs="Times New Roman" w:eastAsia="Times New Roman" w:hAnsi="Times New Roman"/>
                <w:sz w:val="24"/>
                <w:szCs w:val="24"/>
                <w:vertAlign w:val="superscript"/>
                <w:rtl w:val="0"/>
              </w:rPr>
              <w:t xml:space="preserve">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 (71.9)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66.4 – 76.8</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B">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 initiated CPR in a clinical setting</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 (67.6)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 – 72.8</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E">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 performing CPR without supervision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 (64.8)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 – 70.1</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1">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Adequately prepared for pediatric BLS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(57.3)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 – 62.9</w:t>
            </w:r>
          </w:p>
        </w:tc>
      </w:tr>
      <w:tr>
        <w:trPr>
          <w:cantSplit w:val="0"/>
          <w:trHeight w:val="91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Incorporates BLS refreshers into ongoing learning</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(48.8)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 – 54.6</w:t>
            </w:r>
          </w:p>
        </w:tc>
      </w:tr>
    </w:tbl>
    <w:p w:rsidR="00000000" w:rsidDel="00000000" w:rsidP="00000000" w:rsidRDefault="00000000" w:rsidRPr="00000000" w14:paraId="00000047">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Attitude scale reliability: Cronbach’s 𝝰 = .671.</w:t>
      </w:r>
    </w:p>
    <w:p w:rsidR="00000000" w:rsidDel="00000000" w:rsidP="00000000" w:rsidRDefault="00000000" w:rsidRPr="00000000" w14:paraId="00000048">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scores differed across professional groups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.02), with radiographers scoring higher than doctors in post-hoc pairwise comparisons with Holm-adjusted p-values, with a small effect size (Supplementary Table S1). No significant differences in knowledge were observed by sex or prior training exposure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&gt; .05) (Table 2).</w:t>
      </w:r>
    </w:p>
    <w:p w:rsidR="00000000" w:rsidDel="00000000" w:rsidP="00000000" w:rsidRDefault="00000000" w:rsidRPr="00000000" w14:paraId="0000004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Bivariate Analysis of Knowledge Scores by Respondent Characteristics</w:t>
      </w:r>
      <w:r w:rsidDel="00000000" w:rsidR="00000000" w:rsidRPr="00000000">
        <w:rPr>
          <w:rtl w:val="0"/>
        </w:rPr>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5"/>
        <w:gridCol w:w="2250"/>
        <w:gridCol w:w="1320"/>
        <w:gridCol w:w="1320"/>
        <w:gridCol w:w="750"/>
        <w:gridCol w:w="840"/>
        <w:gridCol w:w="1035"/>
        <w:tblGridChange w:id="0">
          <w:tblGrid>
            <w:gridCol w:w="1515"/>
            <w:gridCol w:w="2250"/>
            <w:gridCol w:w="1320"/>
            <w:gridCol w:w="1320"/>
            <w:gridCol w:w="750"/>
            <w:gridCol w:w="840"/>
            <w:gridCol w:w="1035"/>
          </w:tblGrid>
        </w:tblGridChange>
      </w:tblGrid>
      <w:tr>
        <w:trPr>
          <w:cantSplit w:val="0"/>
          <w:trHeight w:val="85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B">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C">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D">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E">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4F">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50">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51">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p-value</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2">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(39.9)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145.46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8964.00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9">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 (60.1)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138.04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0">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exposure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Trained</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(79.7)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143.06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5923.50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7">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Untrained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(20.3)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132.92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E">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6F">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70">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71">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Rank</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72">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73">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df</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74">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p-value</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5">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group</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(13.9)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142.05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C">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(41.6)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3">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(21.0)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127.31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8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8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8B">
            <w:pPr>
              <w:spacing w:after="200" w:line="360" w:lineRule="auto"/>
              <w:jc w:val="center"/>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≥45</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8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(23.5)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8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137.02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8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8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9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1">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(33.1)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127.16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8">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(54.4)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148.85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9F">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Physiotherapist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Dentist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(3.2)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A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AD">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A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Radiographer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A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(3.6)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B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B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B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B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(16.0)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B">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(36.7)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148.67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2">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(13.9)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9">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(11.0)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D0">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D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&gt;15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D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(22.4)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D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135.25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D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D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D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7">
            <w:pPr>
              <w:spacing w:after="200" w:line="360" w:lineRule="auto"/>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Last BLS training</w:t>
            </w:r>
            <w:r w:rsidDel="00000000" w:rsidR="00000000" w:rsidRPr="00000000">
              <w:rPr>
                <w:rFonts w:ascii="Times New Roman" w:cs="Times New Roman" w:eastAsia="Times New Roman" w:hAnsi="Times New Roman"/>
                <w:sz w:val="24"/>
                <w:szCs w:val="24"/>
                <w:vertAlign w:val="superscript"/>
                <w:rtl w:val="0"/>
              </w:rPr>
              <w:t xml:space="preserve">b</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(17.4)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E">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years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 (44.2)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E5">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E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&gt;3 years</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E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(38.4)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E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109.08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E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E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E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C">
            <w:pPr>
              <w:spacing w:after="200" w:line="360" w:lineRule="auto"/>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BLS trainer</w:t>
            </w:r>
            <w:r w:rsidDel="00000000" w:rsidR="00000000" w:rsidRPr="00000000">
              <w:rPr>
                <w:rFonts w:ascii="Times New Roman" w:cs="Times New Roman" w:eastAsia="Times New Roman" w:hAnsi="Times New Roman"/>
                <w:sz w:val="24"/>
                <w:szCs w:val="24"/>
                <w:vertAlign w:val="superscript"/>
                <w:rtl w:val="0"/>
              </w:rPr>
              <w:t xml:space="preserve">b</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Hospital-based</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(26.3)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102.96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3">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organization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(43.8)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F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F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Medical/Nursing school</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F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(29.9)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F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F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0F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01">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Fonts w:ascii="Times New Roman" w:cs="Times New Roman" w:eastAsia="Times New Roman" w:hAnsi="Times New Roman"/>
          <w:sz w:val="24"/>
          <w:szCs w:val="24"/>
          <w:rtl w:val="0"/>
        </w:rPr>
        <w:t xml:space="preserve"> Only participants with formal training (n = 224); * Significant at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.05</w:t>
      </w:r>
    </w:p>
    <w:p w:rsidR="00000000" w:rsidDel="00000000" w:rsidP="00000000" w:rsidRDefault="00000000" w:rsidRPr="00000000" w14:paraId="00000102">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multivariable analysis (Table 3), professional role, age group, clinical experience, and engagement in refresher training independently predicted adequate knowledge. Compared with doctors, nurses (AOR 2.92; 95% CI 1.21–7.06;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.02) and radiographers (AOR 7.03; 95% CI 1.39–35.56;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.02) had higher odds of adequate knowledge. Respondents with more than 15 years of clinical experience were more likely to demonstrate adequate knowledge (AOR 7.35; 95% CI 1.45–37.37;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.02). Regular engagement in refresher training was also associated with higher odds (AOR 2.96; 95% CI 1.45–6.08;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.003). Respondents aged 35–44 years had lower odds of adequate knowledge compared with those aged 18–24 years (AOR 0.09; 95% CI 0.02–0.57;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0.01).</w:t>
      </w:r>
    </w:p>
    <w:p w:rsidR="00000000" w:rsidDel="00000000" w:rsidP="00000000" w:rsidRDefault="00000000" w:rsidRPr="00000000" w14:paraId="00000105">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subgroup of previously trained respondents (n = 224), profession and age remained significant predictors, while recency and training provider were not associated with knowledge (Table 3).</w:t>
      </w:r>
    </w:p>
    <w:p w:rsidR="00000000" w:rsidDel="00000000" w:rsidP="00000000" w:rsidRDefault="00000000" w:rsidRPr="00000000" w14:paraId="0000010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Multivariable Logistic Regression Models Predicting Adequate Knowledge of BLS among Respondents</w:t>
      </w:r>
      <w:r w:rsidDel="00000000" w:rsidR="00000000" w:rsidRPr="00000000">
        <w:rPr>
          <w:rtl w:val="0"/>
        </w:rPr>
      </w:r>
    </w:p>
    <w:tbl>
      <w:tblPr>
        <w:tblStyle w:val="Table3"/>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0"/>
        <w:gridCol w:w="1530"/>
        <w:gridCol w:w="930"/>
        <w:gridCol w:w="780"/>
        <w:gridCol w:w="705"/>
        <w:gridCol w:w="960"/>
        <w:gridCol w:w="1170"/>
        <w:tblGridChange w:id="0">
          <w:tblGrid>
            <w:gridCol w:w="2850"/>
            <w:gridCol w:w="1530"/>
            <w:gridCol w:w="930"/>
            <w:gridCol w:w="780"/>
            <w:gridCol w:w="705"/>
            <w:gridCol w:w="960"/>
            <w:gridCol w:w="1170"/>
          </w:tblGrid>
        </w:tblGridChange>
      </w:tblGrid>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7">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Predictor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8">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9">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A">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Wald χ²</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B">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C">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AOR (Exp 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0D">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95 % CI for AOR</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0E">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(Main Model, N = 281)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0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5">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35-44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.02-.57</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C">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 Nurse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1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1.21-7.06</w:t>
            </w:r>
          </w:p>
        </w:tc>
      </w:tr>
      <w:tr>
        <w:trPr>
          <w:cantSplit w:val="0"/>
          <w:trHeight w:val="10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3">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 Radiographer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1.39-35.56</w:t>
            </w:r>
          </w:p>
        </w:tc>
      </w:tr>
      <w:tr>
        <w:trPr>
          <w:cantSplit w:val="0"/>
          <w:trHeight w:val="10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Clinical Experience: &gt; 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2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3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1.45-37.37</w:t>
            </w:r>
          </w:p>
        </w:tc>
      </w:tr>
      <w:tr>
        <w:trPr>
          <w:cantSplit w:val="0"/>
          <w:trHeight w:val="138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1">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Incorporates BLS refreshers into learning: Yes vs No</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1.45-6.08</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8">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fit: χ² = 33.50 (df = 14,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.002)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9">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Nagelkerke R² = .19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A">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H&amp;L: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.59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3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0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3F">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(Trained subset, n = 224)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0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35-44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.01-.51</w:t>
            </w:r>
          </w:p>
        </w:tc>
      </w:tr>
      <w:tr>
        <w:trPr>
          <w:cantSplit w:val="0"/>
          <w:trHeight w:val="10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4D">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 Radiographer vs Doctor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4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4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4.44-401.67</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4">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fit: χ² = 35.88 (df = 17,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.005)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5">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Nagelkerke R² = .25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6">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H&amp;L: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.52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5B">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groups: Age = 18-24 years; Profession = Doctor; Years of experience &lt;1 year; Incorporates BLS refreshers = No. AOR = Adjusted Odds Ratio; CI = Confidence Interval; H&amp;L = Hosmer-Lemeshow; * Significant at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.05;</w:t>
      </w:r>
      <w:r w:rsidDel="00000000" w:rsidR="00000000" w:rsidRPr="00000000">
        <w:rPr>
          <w:rFonts w:ascii="Times New Roman" w:cs="Times New Roman" w:eastAsia="Times New Roman" w:hAnsi="Times New Roman"/>
          <w:i w:val="1"/>
          <w:iCs w:val="1"/>
          <w:sz w:val="24"/>
          <w:szCs w:val="24"/>
          <w:rtl w:val="0"/>
        </w:rPr>
        <w:t xml:space="preserve"> Only significant predictors are shown; Full regression outputs are available in Supplementary Tables S2 &amp; S3.</w:t>
      </w:r>
      <w:r w:rsidDel="00000000" w:rsidR="00000000" w:rsidRPr="00000000">
        <w:rPr>
          <w:rtl w:val="0"/>
        </w:rPr>
      </w:r>
    </w:p>
    <w:p w:rsidR="00000000" w:rsidDel="00000000" w:rsidP="00000000" w:rsidRDefault="00000000" w:rsidRPr="00000000" w14:paraId="0000015C">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aged 25–34 years were more likely to report a positive attitude than those aged 18–24 years (AOR 2.73; 95% CI 1.01–7.39;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.048) (Table 4). Respondents without prior training had significantly lower odds of a positive attitude than those who had been trained (AOR 0.29; 95% CI 0.15–0.56;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Female respondents had significantly lower odds of reporting confidence performing CPR independently (AOR 0.47; 95% CI 0.26–0.84;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.01). Radiographers were less likely than doctors to report confidence (AOR 0.16; 95% CI 0.03–0.86;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.03). Preparedness for pediatric BLS was lower among radiographers (AOR 0.08; 95% CI 0.01–0.73;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.03) and among untrained respondents (AOR 0.40; 95% CI 0.20–0.78; </w:t>
      </w:r>
      <w:r w:rsidDel="00000000" w:rsidR="00000000" w:rsidRPr="00000000">
        <w:rPr>
          <w:rFonts w:ascii="Times New Roman" w:cs="Times New Roman" w:eastAsia="Times New Roman" w:hAnsi="Times New Roman"/>
          <w:i w:val="1"/>
          <w:i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.007). Knowledge level was not independently associated with confidence or preparedness in adjusted models.</w:t>
      </w:r>
    </w:p>
    <w:p w:rsidR="00000000" w:rsidDel="00000000" w:rsidP="00000000" w:rsidRDefault="00000000" w:rsidRPr="00000000" w14:paraId="0000015E">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Multivariable Logistic Regression Models Predicting Attitude, and Self-Reported Practice Outcomes Related to BLS</w:t>
      </w:r>
      <w:r w:rsidDel="00000000" w:rsidR="00000000" w:rsidRPr="00000000">
        <w:rPr>
          <w:rtl w:val="0"/>
        </w:rPr>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85"/>
        <w:gridCol w:w="1485"/>
        <w:gridCol w:w="885"/>
        <w:gridCol w:w="765"/>
        <w:gridCol w:w="810"/>
        <w:gridCol w:w="855"/>
        <w:gridCol w:w="1110"/>
        <w:tblGridChange w:id="0">
          <w:tblGrid>
            <w:gridCol w:w="2985"/>
            <w:gridCol w:w="1485"/>
            <w:gridCol w:w="885"/>
            <w:gridCol w:w="765"/>
            <w:gridCol w:w="810"/>
            <w:gridCol w:w="855"/>
            <w:gridCol w:w="1110"/>
          </w:tblGrid>
        </w:tblGridChange>
      </w:tblGrid>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5F">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Predictor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0">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1">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2">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Wald χ²</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3">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4">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AOR (Exp 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5">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95 % CI for AOR</w:t>
            </w:r>
          </w:p>
        </w:tc>
      </w:tr>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6">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Predictors of Positive Attitude toward BLS</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7">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8">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9">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A">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B">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6C">
            <w:pPr>
              <w:spacing w:after="20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6D">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25-34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6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6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7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7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7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7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1.01-7.39</w:t>
            </w:r>
          </w:p>
        </w:tc>
      </w:tr>
      <w:tr>
        <w:trPr>
          <w:cantSplit w:val="0"/>
          <w:trHeight w:val="138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exposure: Untrained vs Trained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&lt;.001*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.15-.56</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B">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fit: χ² = 20.34 (df = 13,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.09)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C">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Nagelkerke R² = .10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D">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H&amp;L: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.48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7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20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2">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Predictors of Confidence in Performing CPR Independently</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3">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4">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5">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6">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7">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8">
            <w:pPr>
              <w:spacing w:after="20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9">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Female vs Male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C">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8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.26-.84</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0">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 Radiographer vs Doctor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3">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4">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5">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.03-.86</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7">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Fit: χ² = 39.80 (df = 14,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&lt; .001)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8">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Nagelkerke R² = .18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9">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H&amp;L: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.67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A">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B">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C">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D">
            <w:pPr>
              <w:spacing w:after="20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E">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Predictors of Preparedness for pediatric BLS</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9F">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0">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1">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2">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3">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4">
            <w:pPr>
              <w:spacing w:after="200"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A5">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 Radiographer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A6">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A7">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A8">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A9">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A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A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.01-.73</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C">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exposure: Untrained vs Trained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D">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E">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AF">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0">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1">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2">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.20-.78</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3">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Fit: χ² = 46.58 (df = 14,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&lt; .001)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4">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Nagelkerke R² = .21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5">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H&amp;L: </w:t>
            </w:r>
            <w:r w:rsidDel="00000000" w:rsidR="00000000" w:rsidRPr="00000000">
              <w:rPr>
                <w:rFonts w:ascii="Times New Roman" w:cs="Times New Roman" w:eastAsia="Times New Roman" w:hAnsi="Times New Roman"/>
                <w:b w:val="1"/>
                <w:bCs w:val="1"/>
                <w:i w:val="1"/>
                <w:iCs w:val="1"/>
                <w:sz w:val="24"/>
                <w:szCs w:val="24"/>
                <w:rtl w:val="0"/>
              </w:rPr>
              <w:t xml:space="preserve">p </w:t>
            </w:r>
            <w:r w:rsidDel="00000000" w:rsidR="00000000" w:rsidRPr="00000000">
              <w:rPr>
                <w:rFonts w:ascii="Times New Roman" w:cs="Times New Roman" w:eastAsia="Times New Roman" w:hAnsi="Times New Roman"/>
                <w:b w:val="1"/>
                <w:bCs w:val="1"/>
                <w:sz w:val="24"/>
                <w:szCs w:val="24"/>
                <w:rtl w:val="0"/>
              </w:rPr>
              <w:t xml:space="preserve">= .39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6">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7">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8">
            <w:pPr>
              <w:spacing w:after="20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1B9">
            <w:pPr>
              <w:spacing w:after="20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groups: Age = 18-24 years; Training exposure = Trained; Sex = Male; Profession = Doctor. AOR = Adjusted Odds Ratio; CI = Confidence Interval; H&amp;L = Hosmer-Lemeshow; * Significant at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.05; </w:t>
      </w:r>
      <w:r w:rsidDel="00000000" w:rsidR="00000000" w:rsidRPr="00000000">
        <w:rPr>
          <w:rFonts w:ascii="Times New Roman" w:cs="Times New Roman" w:eastAsia="Times New Roman" w:hAnsi="Times New Roman"/>
          <w:i w:val="1"/>
          <w:iCs w:val="1"/>
          <w:sz w:val="24"/>
          <w:szCs w:val="24"/>
          <w:rtl w:val="0"/>
        </w:rPr>
        <w:t xml:space="preserve">Only significant predictors are shown; Full regression outputs are available in Supplementary Table S4-S6.</w:t>
      </w:r>
      <w:r w:rsidDel="00000000" w:rsidR="00000000" w:rsidRPr="00000000">
        <w:rPr>
          <w:rtl w:val="0"/>
        </w:rPr>
      </w:r>
    </w:p>
    <w:p w:rsidR="00000000" w:rsidDel="00000000" w:rsidP="00000000" w:rsidRDefault="00000000" w:rsidRPr="00000000" w14:paraId="000001BB">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30 respondents who provided open-ended responses, fear of infection and self-protection was the most frequently reported factor influencing responses to mouth-to-mouth ventilation (n=15, 50%), with some respondents citing concerns such as “to avoid contacting diseases,” “to prevent infection" and “because of the unknown status of the patient." Other themes included commitment to patient survival (n=5, 17%), preference for barrier devices (n=5, 17%), discomfort or low confidence (n=3, 10%), and context-specific considerations such as pediatric cases (n=2, 7%) (Figure 1).</w:t>
      </w:r>
    </w:p>
    <w:p w:rsidR="00000000" w:rsidDel="00000000" w:rsidP="00000000" w:rsidRDefault="00000000" w:rsidRPr="00000000" w14:paraId="000001BC">
      <w:pPr>
        <w:spacing w:after="20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D">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1. </w:t>
      </w:r>
    </w:p>
    <w:p w:rsidR="00000000" w:rsidDel="00000000" w:rsidP="00000000" w:rsidRDefault="00000000" w:rsidRPr="00000000" w14:paraId="000001BE">
      <w:pPr>
        <w:spacing w:after="200"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Reported factors influencing healthcare professionals’ responses to mouth-to-mouth ventilation during CPR (n = 30)</w:t>
      </w:r>
    </w:p>
    <w:p w:rsidR="00000000" w:rsidDel="00000000" w:rsidP="00000000" w:rsidRDefault="00000000" w:rsidRPr="00000000" w14:paraId="000001BF">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pStyle w:val="Heading2"/>
        <w:spacing w:after="200" w:line="360" w:lineRule="auto"/>
        <w:rPr/>
      </w:pPr>
      <w:bookmarkStart w:colFirst="0" w:colLast="0" w:name="_heading=h.d6mbbh3vilb" w:id="5"/>
      <w:bookmarkEnd w:id="5"/>
      <w:r w:rsidDel="00000000" w:rsidR="00000000" w:rsidRPr="00000000">
        <w:rPr>
          <w:rFonts w:ascii="Times New Roman" w:cs="Times New Roman" w:eastAsia="Times New Roman" w:hAnsi="Times New Roman"/>
          <w:b w:val="1"/>
          <w:bCs w:val="1"/>
          <w:sz w:val="24"/>
          <w:szCs w:val="24"/>
          <w:rtl w:val="0"/>
        </w:rPr>
        <w:t xml:space="preserve">DISCUSSION</w:t>
      </w:r>
      <w:r w:rsidDel="00000000" w:rsidR="00000000" w:rsidRPr="00000000">
        <w:rPr>
          <w:rtl w:val="0"/>
        </w:rPr>
        <w:t xml:space="preserve"> </w:t>
      </w:r>
    </w:p>
    <w:p w:rsidR="00000000" w:rsidDel="00000000" w:rsidP="00000000" w:rsidRDefault="00000000" w:rsidRPr="00000000" w14:paraId="000001C2">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study aimed to identify factors influencing knowledge, attitudes, and self-reported practice of Basic Life Support among healthcare professionals in a Nigerian tertiary hospital using data from a previously published survey (Babalola et al., 2025). The findings from the primary study revealed that although most respondents had received prior BLS training and demonstrated generally positive attitudes toward resuscitation, only a minority possessed adequate knowledge, and notable deficiencies in self-reported preparedness were identified, echoing the widespread challenges documented in other LMICs (Nambiar et al., 2016; Kalu et al., 2022; Hasnain et al., 2023). These deficiencies likely reflect limitations in knowledge retention and limited engagement in refresher training activities, as both theoretical knowledge and psychomotor BLS skills are known to decline within months after training without periodic reinforcement (Hasnain et al., 2023). Our multivariable analyses further indicate that preparedness is shaped by a combination of professional role, clinical experience, training exposure, and individual engagement with continuing BLS learning.</w:t>
      </w:r>
      <w:r w:rsidDel="00000000" w:rsidR="00000000" w:rsidRPr="00000000">
        <w:rPr>
          <w:rtl w:val="0"/>
        </w:rPr>
      </w:r>
    </w:p>
    <w:p w:rsidR="00000000" w:rsidDel="00000000" w:rsidP="00000000" w:rsidRDefault="00000000" w:rsidRPr="00000000" w14:paraId="000001C3">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finding from the multivariable analysis was the importance of training engagement. In the model including all respondents, incorporation of BLS refreshers into ongoing learning was independently associated with higher odds of adequate knowledge. This variable likely functioned as a marker of sustained engagement with BLS learning, distinguishing respondents with continuing exposure from those with no prior training.</w:t>
      </w:r>
    </w:p>
    <w:p w:rsidR="00000000" w:rsidDel="00000000" w:rsidP="00000000" w:rsidRDefault="00000000" w:rsidRPr="00000000" w14:paraId="000001C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interpretation is supported by the subgroup analysis restricted to previously trained respondents, in which incorporation of refreshers was no longer a significant predictor of knowledge. This suggests that while initial formal training is critical for achieving adequate knowledge, the self-reported refresher measure used in this study may not have been sufficiently granular to capture differences in training intensity or quality within the trained subgroup. Similarly, Hasnain et al. (2023) found no significant differences in knowledge based on the number of training sessions attended, although knowledge was associated with the time elapsed since last training and professional specialty, indicating that training recency may play a more important role in knowledge retention than cumulative training.</w:t>
      </w:r>
    </w:p>
    <w:p w:rsidR="00000000" w:rsidDel="00000000" w:rsidP="00000000" w:rsidRDefault="00000000" w:rsidRPr="00000000" w14:paraId="000001C5">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varied significantly across professional groups, with nurses and radiographers demonstrating higher odds of adequate knowledge compared with doctors. This pattern was more pronounced in the trained-only subgroup, where radiographers exhibited markedly higher odds of adequate knowledge. However, these findings should be interpreted cautiously. The self-administered and unmonitored nature of data collection may have introduced social desirability bias or collaborative completion of questionnaires, particularly in smaller professional subgroups. In addition, the small size of the radiographer subgroup means that a few highly knowledgeable respondents could have disproportionately influenced the estimated odds ratios. Alternatively, these differences may reflect higher motivation to engage with BLS learning rather than profession-wide differences. Furthermore, clinical experience emerged as a strong predictor of knowledge, and the higher average years of experience among nurses may partly explain their superior performance.</w:t>
      </w:r>
    </w:p>
    <w:p w:rsidR="00000000" w:rsidDel="00000000" w:rsidP="00000000" w:rsidRDefault="00000000" w:rsidRPr="00000000" w14:paraId="000001C6">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with our findings, previous studies also reported significant variations in BLS knowledge across professional groups (Nambiar et al., 2016; Kumar et al., 2024). In contrast, Akinbodewa et al. (2022) found no significant difference in knowledge between doctors and nurses in a teaching hospital in Southwest Nigeria. This divergence may be attributable to differences in training exposure and opportunities for skills reinforcement, which can diminish profession-specific differences when such opportunities are limited.</w:t>
      </w:r>
    </w:p>
    <w:p w:rsidR="00000000" w:rsidDel="00000000" w:rsidP="00000000" w:rsidRDefault="00000000" w:rsidRPr="00000000" w14:paraId="000001C7">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group and years of clinical experience showed distinct associations with BLS knowledge. In the full model, respondents aged 35–44 years had lower odds of adequate knowledge compared with those aged 18–24 years, whereas those with over 15 years of experience had higher odds of adequate knowledge compared with those with less than one year of experience. These effects remained independent after mutual adjustment, suggesting that chronological age and accumulated clinical exposure capture different dimensions of professional development.</w:t>
      </w:r>
    </w:p>
    <w:p w:rsidR="00000000" w:rsidDel="00000000" w:rsidP="00000000" w:rsidRDefault="00000000" w:rsidRPr="00000000" w14:paraId="000001C8">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subgroup of previously trained respondents, the association with years of experience was no longer significant, while the lower odds of adequate knowledge among those aged 35–44 years persisted. This indicates that differences in knowledge across age groups may not be fully explained by duration of clinical experience alone. Evidence suggests that structured BLS revalidation and mandatory retraining cycles remain inconsistently implemented in many Nigerian tertiary hospitals, which may contribute to knowledge decay over time in the absence of systematic retraining (Kalu et al., 2023).</w:t>
      </w:r>
    </w:p>
    <w:p w:rsidR="00000000" w:rsidDel="00000000" w:rsidP="00000000" w:rsidRDefault="00000000" w:rsidRPr="00000000" w14:paraId="000001C9">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However, in contrast to our findings, studies from Pakistan and North-Western Nigeria reported no significant association between age, years of clinical experience, and BLS knowledge (Hasnain et al., 2023; Saidu et al., 2024). This divergence suggests that the influence of age and clinical experience on BLS knowledge may vary across settings and training contexts.</w:t>
      </w:r>
      <w:r w:rsidDel="00000000" w:rsidR="00000000" w:rsidRPr="00000000">
        <w:rPr>
          <w:rtl w:val="0"/>
        </w:rPr>
      </w:r>
    </w:p>
    <w:p w:rsidR="00000000" w:rsidDel="00000000" w:rsidP="00000000" w:rsidRDefault="00000000" w:rsidRPr="00000000" w14:paraId="000001CA">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aged 25–34 years were more likely to exhibit positive attitudes toward BLS compared with those aged 18–24 years. Prior BLS training was strongly associated with positive attitudes, with untrained respondents having significantly lower odds of a positive attitude. This suggests that BLS training is associated not only with knowledge acquisition but also with greater willingness to intervene, higher perceived readiness, and a stronger sense of professional responsibility in resuscitation situations, as reflected in self-assessed confidence, perceived knowledge, and duty-to-act items. This finding aligns with previous studies identifying BLS training as a key predictor of positive attitudes toward resuscitation (Abolfotouh et al., 2017; Mersha et al., 2020; Hasnain et al., 2023).</w:t>
      </w:r>
    </w:p>
    <w:p w:rsidR="00000000" w:rsidDel="00000000" w:rsidP="00000000" w:rsidRDefault="00000000" w:rsidRPr="00000000" w14:paraId="000001CB">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Sustaining positive attitudes likely requires institutional reinforcement through regular refresher training, simulation-based practice, and supportive workplace policies that address attitudinal barriers. In this study, fear of infection and the perceived need for protective equipment before initiating CPR were dominant concerns underlying reluctance to perform mouth-to-mouth ventilation. This aligns with global evidence and may be amplified in LMIC settings with high burdens of communicable diseases (Abolfotouh et al., 2017; Anto-Ocrah et al., 2020; Mamgain et al., 2025). Addressing these concerns may require institutional emphasis on infection-control reassurance, ensuring availability of barrier devices and bag-valve masks, and incorporating compression-only CPR options into context-appropriate BLS curricula.</w:t>
      </w:r>
    </w:p>
    <w:p w:rsidR="00000000" w:rsidDel="00000000" w:rsidP="00000000" w:rsidRDefault="00000000" w:rsidRPr="00000000" w14:paraId="000001CC">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Other reported barriers, including nervousness, uncertainty about how to react, and perceptions of inadequate knowledge, were also identified as impediments to positive attitudes. This is consistent with previous studies (Abolfotouh et al., 2017; Gyawali et al., 2024) and underscores the importance of BLS training approaches that address both technical competencies and psychosocial factors.</w:t>
      </w:r>
      <w:r w:rsidDel="00000000" w:rsidR="00000000" w:rsidRPr="00000000">
        <w:rPr>
          <w:rtl w:val="0"/>
        </w:rPr>
      </w:r>
    </w:p>
    <w:p w:rsidR="00000000" w:rsidDel="00000000" w:rsidP="00000000" w:rsidRDefault="00000000" w:rsidRPr="00000000" w14:paraId="000001CD">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revealed a notable knowledge–practice gap. Radiographers, despite having the highest odds of adequate BLS knowledge, reported significantly lower confidence in performing CPR and lower preparedness for pediatric BLS compared with doctors. This apparent paradox suggests that strong theoretical knowledge does not necessarily translate into perceived self-efficacy in resuscitation situations. This pattern may reflect limited opportunities for hands-on resuscitation experience or reduced exposure to real-time clinical emergencies as previously reported among dentists and physiotherapists (Mbada et al., 2013; Irfan et al., 2019). In contrast, doctors demonstrated higher confidence despite lower tested knowledge, possibly reflecting more frequent involvement in emergency responses and designated leadership role expectations during resuscitation events.</w:t>
      </w:r>
    </w:p>
    <w:p w:rsidR="00000000" w:rsidDel="00000000" w:rsidP="00000000" w:rsidRDefault="00000000" w:rsidRPr="00000000" w14:paraId="000001CE">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gender disparity was also observed, with female respondents reporting lower confidence in performing CPR. This difference may relate to perceived physical capability or socially constructed role expectations during emergencies rather than true differences in competence.</w:t>
      </w:r>
    </w:p>
    <w:p w:rsidR="00000000" w:rsidDel="00000000" w:rsidP="00000000" w:rsidRDefault="00000000" w:rsidRPr="00000000" w14:paraId="000001CF">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Preparedness for pediatric BLS was strongly influenced by prior BLS training, with untrained respondents significantly less likely to report preparedness. Given that pediatric cardiac arrests are high-stress, low-frequency events with distinct protocols, this finding underscores the importance of structured and repeated pediatric BLS training for all healthcare professionals.</w:t>
      </w:r>
    </w:p>
    <w:p w:rsidR="00000000" w:rsidDel="00000000" w:rsidP="00000000" w:rsidRDefault="00000000" w:rsidRPr="00000000" w14:paraId="000001D0">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have particular relevance for resource-constrained healthcare settings, where limitations in training infrastructure, inconsistent access to resuscitation equipment, high patient loads, and competing service demands can undermine sustained BLS competence. In such settings, reliance on one-off certification without structured revalidation may contribute to rapid knowledge decay and reduced preparedness, despite nominal training coverage. Addressing BLS gaps in low-resource environments therefore requires system-level solutions that are feasible, low-cost, and embedded within routine clinical practice rather than solely dependent on periodic external training.</w:t>
      </w:r>
    </w:p>
    <w:p w:rsidR="00000000" w:rsidDel="00000000" w:rsidP="00000000" w:rsidRDefault="00000000" w:rsidRPr="00000000" w14:paraId="000001D1">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should be interpreted in light of several limitations. As a secondary analysis of a cross-sectional dataset, causal relationships between training exposure, professional characteristics, and BLS outcomes cannot be inferred. The analysis was restricted to variables collected in the primary study, limiting exploration of potentially relevant contextual factors such as institutional resuscitation protocols or frequency of real-life cardiac arrest exposure. Internal consistency for practice items was modest, suggesting possible measurement constraints, and small subgroup sizes (e.g., radiographers) resulted in wide confidence intervals, warranting cautious interpretation of some effect estimates. Self-reported practice and preparedness may also be subject to recall and social desirability bias. Finally, the single-centre design may limit generalizability. Nevertheless, this analytical approach provides deeper insight into determinants of BLS outcomes beyond the original descriptive analysis. Future research might employ direct skills testing or longitudinal designs to assess how targeted interventions impact actual CPR performance and patient outcomes.</w:t>
      </w:r>
    </w:p>
    <w:p w:rsidR="00000000" w:rsidDel="00000000" w:rsidP="00000000" w:rsidRDefault="00000000" w:rsidRPr="00000000" w14:paraId="000001D2">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pStyle w:val="Heading2"/>
        <w:spacing w:after="200" w:line="360" w:lineRule="auto"/>
        <w:rPr>
          <w:rFonts w:ascii="Times New Roman" w:cs="Times New Roman" w:eastAsia="Times New Roman" w:hAnsi="Times New Roman"/>
          <w:b w:val="1"/>
          <w:bCs w:val="1"/>
          <w:sz w:val="24"/>
          <w:szCs w:val="24"/>
        </w:rPr>
      </w:pPr>
      <w:bookmarkStart w:colFirst="0" w:colLast="0" w:name="_heading=h.g2yf11ll5826" w:id="6"/>
      <w:bookmarkEnd w:id="6"/>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1D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relatively high exposure to BLS training, adequate knowledge and self-reported preparedness for resuscitation remained suboptimal among healthcare professionals in this tertiary hospital, even though attitudes toward BLS were generally positive. Knowledge, attitudes, and practice were influenced by professional role, clinical experience, age, and engagement with training, suggesting that prior training alone may be insufficient to ensure sustained competence. The observed knowledge–practice gap underscores the disconnect between theoretical understanding and readiness to act during real resuscitation events.</w:t>
      </w:r>
    </w:p>
    <w:p w:rsidR="00000000" w:rsidDel="00000000" w:rsidP="00000000" w:rsidRDefault="00000000" w:rsidRPr="00000000" w14:paraId="000001D5">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these gaps, healthcare institutions should move beyond one-time training and adopt structured refresher programmes, periodic competency revalidation, simulation-based practice, and consistent reinforcement of resuscitation protocols. Strengthening these systems is particularly critical in resource-constrained settings, where maximizing the effectiveness of the existing workforce may substantially improve in-hospital emergency response and patient survival.</w:t>
      </w:r>
    </w:p>
    <w:p w:rsidR="00000000" w:rsidDel="00000000" w:rsidP="00000000" w:rsidRDefault="00000000" w:rsidRPr="00000000" w14:paraId="000001D6">
      <w:pPr>
        <w:spacing w:before="240" w:line="33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before="12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Competing Interests </w:t>
      </w:r>
    </w:p>
    <w:p w:rsidR="00000000" w:rsidDel="00000000" w:rsidP="00000000" w:rsidRDefault="00000000" w:rsidRPr="00000000" w14:paraId="000001D9">
      <w:pPr>
        <w:spacing w:after="120"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have  declared no competing interest.</w:t>
      </w:r>
    </w:p>
    <w:p w:rsidR="00000000" w:rsidDel="00000000" w:rsidP="00000000" w:rsidRDefault="00000000" w:rsidRPr="00000000" w14:paraId="000001DA">
      <w:pPr>
        <w:spacing w:after="120"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after="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20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Ethical Approval and Consent</w:t>
        <w:br w:type="textWrapping"/>
      </w:r>
      <w:r w:rsidDel="00000000" w:rsidR="00000000" w:rsidRPr="00000000">
        <w:rPr>
          <w:rFonts w:ascii="Times New Roman" w:cs="Times New Roman" w:eastAsia="Times New Roman" w:hAnsi="Times New Roman"/>
          <w:sz w:val="24"/>
          <w:szCs w:val="24"/>
          <w:rtl w:val="0"/>
        </w:rPr>
        <w:t xml:space="preserve">Ethical approval for the primary study (Babalola et al., 2025) was obtained from the Health Research Ethics Committee of the Federal Medical Centre, Owo (FMCOWO/HREC/2025/68; approved 7 March 2025) and this secondary analysis was conducted under the same approval. Written informed consent was secured from all Respondents prior to data collection in the primary study.</w:t>
      </w:r>
      <w:r w:rsidDel="00000000" w:rsidR="00000000" w:rsidRPr="00000000">
        <w:rPr>
          <w:rtl w:val="0"/>
        </w:rPr>
      </w:r>
    </w:p>
    <w:p w:rsidR="00000000" w:rsidDel="00000000" w:rsidP="00000000" w:rsidRDefault="00000000" w:rsidRPr="00000000" w14:paraId="000001DD">
      <w:pPr>
        <w:spacing w:after="120" w:before="12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E">
      <w:pPr>
        <w:rPr>
          <w:sz w:val="20"/>
          <w:szCs w:val="20"/>
        </w:rPr>
      </w:pPr>
      <w:bookmarkStart w:colFirst="0" w:colLast="0" w:name="_heading=h.5jn6d9wgbim4" w:id="7"/>
      <w:bookmarkEnd w:id="7"/>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bookmarkStart w:colFirst="0" w:colLast="0" w:name="_heading=h.52b77mjfazzt" w:id="8"/>
      <w:bookmarkEnd w:id="8"/>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Disclaimer (Artificial intelligence)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E2">
      <w:pPr>
        <w:spacing w:after="120" w:before="120" w:line="240" w:lineRule="auto"/>
        <w:rPr>
          <w:rFonts w:ascii="Times New Roman" w:cs="Times New Roman" w:eastAsia="Times New Roman" w:hAnsi="Times New Roman"/>
          <w:b w:val="1"/>
          <w:bCs w:val="1"/>
          <w:sz w:val="24"/>
          <w:szCs w:val="24"/>
        </w:rPr>
      </w:pPr>
      <w:bookmarkStart w:colFirst="0" w:colLast="0" w:name="_heading=h.u6qhoicbktzo" w:id="9"/>
      <w:bookmarkEnd w:id="9"/>
      <w:r w:rsidDel="00000000" w:rsidR="00000000" w:rsidRPr="00000000">
        <w:rPr>
          <w:rtl w:val="0"/>
        </w:rPr>
      </w:r>
    </w:p>
    <w:p w:rsidR="00000000" w:rsidDel="00000000" w:rsidP="00000000" w:rsidRDefault="00000000" w:rsidRPr="00000000" w14:paraId="000001E3">
      <w:pPr>
        <w:pStyle w:val="Heading2"/>
        <w:spacing w:before="240" w:line="335" w:lineRule="auto"/>
        <w:rPr/>
      </w:pPr>
      <w:bookmarkStart w:colFirst="0" w:colLast="0" w:name="_heading=h.gmj6li2ncy8p" w:id="10"/>
      <w:bookmarkEnd w:id="10"/>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tl w:val="0"/>
        </w:rPr>
        <w:t xml:space="preserve"> </w:t>
      </w:r>
    </w:p>
    <w:p w:rsidR="00000000" w:rsidDel="00000000" w:rsidP="00000000" w:rsidRDefault="00000000" w:rsidRPr="00000000" w14:paraId="000001E4">
      <w:pPr>
        <w:numPr>
          <w:ilvl w:val="0"/>
          <w:numId w:val="1"/>
        </w:numPr>
        <w:spacing w:after="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Andersen, L.W., Holmberg, M.J., Berg, K.M., Donnino, M.W. and Granfeldt, A. (2019). In-hospital cardiac arrest: a review. Journal of the American Medical Association, 321(12), 1200–1210. https://doi.org/10.1001/jama.2019.1696</w:t>
        <w:br w:type="textWrapping"/>
      </w:r>
    </w:p>
    <w:p w:rsidR="00000000" w:rsidDel="00000000" w:rsidP="00000000" w:rsidRDefault="00000000" w:rsidRPr="00000000" w14:paraId="000001E5">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Penketh, J. and Nolan, J.P. (2022). In-hospital cardiac arrest: the state of the art. Critical Care, 26, 376. https://doi.org/10.1186/s13054-022-04247-y</w:t>
        <w:br w:type="textWrapping"/>
      </w:r>
    </w:p>
    <w:p w:rsidR="00000000" w:rsidDel="00000000" w:rsidP="00000000" w:rsidRDefault="00000000" w:rsidRPr="00000000" w14:paraId="000001E6">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Heart Association (2020). Highlights of the 2020 American Heart Association Guidelines for CPR and ECC. Dallas, TX: American Heart Association.</w:t>
        <w:br w:type="textWrapping"/>
      </w:r>
    </w:p>
    <w:p w:rsidR="00000000" w:rsidDel="00000000" w:rsidP="00000000" w:rsidRDefault="00000000" w:rsidRPr="00000000" w14:paraId="000001E7">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Chowdhury, T., Kowey, P. and Smith, S. (2021). The impact of early basic life support on survival after cardiac arrest: a systematic review. Resuscitation, 158, 50–57. https://doi.org/10.1016/j.resuscitation.2020.11.018</w:t>
        <w:br w:type="textWrapping"/>
      </w:r>
    </w:p>
    <w:p w:rsidR="00000000" w:rsidDel="00000000" w:rsidP="00000000" w:rsidRDefault="00000000" w:rsidRPr="00000000" w14:paraId="000001E8">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Z., Arafa, A., Saleh, Y., Dardir, M., Taha, A., Shaban, H., et al. (2020). Knowledge of and attitudes towards cardiopulmonary resuscitation among junior doctors and medical students in Upper Egypt: cross-sectional study. International Journal of Emergency Medicine, 13(1), 19. https://doi.org/10.1186/s12245-020-00290-1</w:t>
        <w:br w:type="textWrapping"/>
      </w:r>
    </w:p>
    <w:p w:rsidR="00000000" w:rsidDel="00000000" w:rsidP="00000000" w:rsidRDefault="00000000" w:rsidRPr="00000000" w14:paraId="000001E9">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Kalu, Q., Edentekhe, T., Omoronyia, O., Nakanda, B., Eshiemomoh, R. and Archibong, A. (2023). Basic Life Support skills training among healthcare workers in Nigeria: a state-wide evaluation in the Niger-Delta region. Orient Journal of Medicine, 35(1–2), 29–36. https://doi.org/10.5281/zenodo.7236954</w:t>
        <w:br w:type="textWrapping"/>
      </w:r>
    </w:p>
    <w:p w:rsidR="00000000" w:rsidDel="00000000" w:rsidP="00000000" w:rsidRDefault="00000000" w:rsidRPr="00000000" w14:paraId="000001EA">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Asferie, W.N., Kefale, D., Kassaw, A., Ayele, A.S., Nibret, G., Tesfahun, Y., et al. (2024). Health professionals’ knowledge and practice on basic life support and its predicting factors in Ethiopia: systematic review and meta-analysis. PLoS ONE, 19(4), e0297430.</w:t>
        <w:br w:type="textWrapping"/>
      </w:r>
    </w:p>
    <w:p w:rsidR="00000000" w:rsidDel="00000000" w:rsidP="00000000" w:rsidRDefault="00000000" w:rsidRPr="00000000" w14:paraId="000001EB">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Mbada</w:t>
      </w:r>
      <w:r w:rsidDel="00000000" w:rsidR="00000000" w:rsidRPr="00000000">
        <w:rPr>
          <w:rFonts w:ascii="Times New Roman" w:cs="Times New Roman" w:eastAsia="Times New Roman" w:hAnsi="Times New Roman"/>
          <w:sz w:val="24"/>
          <w:szCs w:val="24"/>
          <w:rtl w:val="0"/>
        </w:rPr>
        <w:t xml:space="preserve">, C.E., Bada, O.H., Adedoyin, R.A., Awotidebe, T.O. and Okonji, A.M. (2013). Knowledge, attitude and practice of cardiopulmonary resuscitation among Nigerian physiotherapists. Journal of Respiratory and Cardiovascular Physical Therapy, 2(2), 52–62.</w:t>
        <w:br w:type="textWrapping"/>
      </w:r>
    </w:p>
    <w:p w:rsidR="00000000" w:rsidDel="00000000" w:rsidP="00000000" w:rsidRDefault="00000000" w:rsidRPr="00000000" w14:paraId="000001EC">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B., Zahid, I., Khan, M.S., Khan, O.A., Zaidi, S., Awan, S., et al. (2019). Current state of knowledge of basic life support in health professionals of the largest city in Pakistan: a cross-sectional study. BMC Health Services Research, 19, 865. https://doi.org/10.1186/s12913-019-4648-9</w:t>
        <w:br w:type="textWrapping"/>
      </w:r>
    </w:p>
    <w:p w:rsidR="00000000" w:rsidDel="00000000" w:rsidP="00000000" w:rsidRDefault="00000000" w:rsidRPr="00000000" w14:paraId="000001ED">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Aljarrah, T., Alewaidat, H., Oglat, A., Eltahir, M., Almakhadmeh, A., Alawaqla, M., et al. (2025). Heartbeat of care: exploring radiographers’ insights into CPR knowledge and attitudes in Jordan. Advances in Medical Education and Practice, 16, 265–278.</w:t>
        <w:br w:type="textWrapping"/>
      </w:r>
    </w:p>
    <w:p w:rsidR="00000000" w:rsidDel="00000000" w:rsidP="00000000" w:rsidRDefault="00000000" w:rsidRPr="00000000" w14:paraId="000001EE">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Kalu, Q.N., Oku, O.O. and Ilori, I.A. (2018). Establishing cardiopulmonary resuscitation services in sub-Saharan Africa: a survey of suggestions made by healthcare workers in Cross River State, Nigeria. Open Access Macedonian Journal of Medical Sciences, 6(5), 944.</w:t>
        <w:br w:type="textWrapping"/>
      </w:r>
    </w:p>
    <w:p w:rsidR="00000000" w:rsidDel="00000000" w:rsidP="00000000" w:rsidRDefault="00000000" w:rsidRPr="00000000" w14:paraId="000001EF">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Ariyo, P., Lee, S.W., Latif, A., Egbuta, C., Pandian, V., Desalu, I., et al. (2025). In-hospital rapid response systems in sub-Saharan Africa. In: Textbook of Rapid Response Systems: Concept and Implementation (pp. 473–480). Cham: Springer Nature Switzerland.</w:t>
        <w:br w:type="textWrapping"/>
      </w:r>
    </w:p>
    <w:p w:rsidR="00000000" w:rsidDel="00000000" w:rsidP="00000000" w:rsidRDefault="00000000" w:rsidRPr="00000000" w14:paraId="000001F0">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Poudel, M., Bhandari, R., Giri, R., Chaudhary, S., Uprety, S. and Baral, D.D. (2019). Knowledge and attitude towards basic life support among healthcare professionals working in emergency of BPKIHS. Journal of BP Koirala Institute of Health Sciences, 2(1), 18–24.</w:t>
        <w:br w:type="textWrapping"/>
      </w:r>
    </w:p>
    <w:p w:rsidR="00000000" w:rsidDel="00000000" w:rsidP="00000000" w:rsidRDefault="00000000" w:rsidRPr="00000000" w14:paraId="000001F1">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Mamgain, S., Singh, N. and Negi, A. (2025). Assessment of basic life support knowledge and attitude among medical and dental interns in India. Indian Journal of Public Health Research and Development, 16(2), 105–112.</w:t>
        <w:br w:type="textWrapping"/>
      </w:r>
    </w:p>
    <w:p w:rsidR="00000000" w:rsidDel="00000000" w:rsidP="00000000" w:rsidRDefault="00000000" w:rsidRPr="00000000" w14:paraId="000001F2">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Hasnain, S., Hussan, J., Khan, L., et al. (2023). Factors affecting knowledge and attitude of healthcare workers towards basic life support in Khyber Teaching Hospital, Peshawar, Pakistan: a cross-sectional analysis. BMJ Open, 13(9), e073369. https://doi.org/10.1136/bmjopen-2023-073369</w:t>
        <w:br w:type="textWrapping"/>
      </w:r>
    </w:p>
    <w:p w:rsidR="00000000" w:rsidDel="00000000" w:rsidP="00000000" w:rsidRDefault="00000000" w:rsidRPr="00000000" w14:paraId="000001F3">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O.N., Adegoke, O.A., Orisajo, T.P., Onadiji, J.J., Bolarinde, S.O. and Adepoju, H. O. (2025). Knowledge, attitudes, and practice of basic life support among healthcare professionals in a Nigerian tertiary hospital. Journal of Disease and Global Health, 18(2), 294–308.</w:t>
        <w:br w:type="textWrapping"/>
      </w:r>
    </w:p>
    <w:p w:rsidR="00000000" w:rsidDel="00000000" w:rsidP="00000000" w:rsidRDefault="00000000" w:rsidRPr="00000000" w14:paraId="000001F4">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Heart Association (2024). Starting bystander CPR within 10 minutes of cardiac arrest may improve survival. Available at: https://www.heart.org/en/news/2024/11/11/starting-bystander-cpr-within-10-minutes-of-cardiac-arrest-may-improve-survival (Accessed: 31 May 2025).</w:t>
        <w:br w:type="textWrapping"/>
      </w:r>
    </w:p>
    <w:p w:rsidR="00000000" w:rsidDel="00000000" w:rsidP="00000000" w:rsidRDefault="00000000" w:rsidRPr="00000000" w14:paraId="000001F5">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Nambiar, M., Nedungalaparambil, N.M. and Aslesh, O.P. (2016). Is current training in basic and advanced cardiac life support effective? A study of BLS and ACLS knowledge amongst healthcare professionals of North Kerala. World Journal of Emergency Medicine, 7(4), 263–268.</w:t>
        <w:br w:type="textWrapping"/>
      </w:r>
    </w:p>
    <w:p w:rsidR="00000000" w:rsidDel="00000000" w:rsidP="00000000" w:rsidRDefault="00000000" w:rsidRPr="00000000" w14:paraId="000001F6">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Kalu, M.E., Umeokonkwo, C.D., Okoli, C.E., et al. (2022). Knowledge and practice of basic life support among healthcare workers in Nigeria. Pan African Medical Journal, 42, 91. https://doi.org/10.11604/pamj.2022.42.91.34596</w:t>
        <w:br w:type="textWrapping"/>
      </w:r>
    </w:p>
    <w:p w:rsidR="00000000" w:rsidDel="00000000" w:rsidP="00000000" w:rsidRDefault="00000000" w:rsidRPr="00000000" w14:paraId="000001F7">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and Singh, M. (2024). Assessment of basic life support knowledge among allied health professionals: a cross-sectional study in India. Age, 3, 1.</w:t>
        <w:br w:type="textWrapping"/>
      </w:r>
    </w:p>
    <w:p w:rsidR="00000000" w:rsidDel="00000000" w:rsidP="00000000" w:rsidRDefault="00000000" w:rsidRPr="00000000" w14:paraId="000001F8">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Akinbodewa, A.A., Gbala, M.O., Ige, O., Akinkunmi, F.O. and Odanye, A. (2022). Knowledge of basic life support among doctors and nurses attending a refresher course in a teaching hospital in Southwest Nigeria. Nigerian Medical Journal, 63(4), 304–311. https://doi.org/10.4103/nmj.NMJ_64_22</w:t>
        <w:br w:type="textWrapping"/>
      </w:r>
    </w:p>
    <w:p w:rsidR="00000000" w:rsidDel="00000000" w:rsidP="00000000" w:rsidRDefault="00000000" w:rsidRPr="00000000" w14:paraId="000001F9">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Saidu, A. (2024). Factors associated with basic life support knowledge among resource-limited hospital nurses: a cross-sectional study in North-Western Nigeria. South Asian Research Journal of Nursing and Health Care, 6(5), 138–145.</w:t>
        <w:br w:type="textWrapping"/>
      </w:r>
    </w:p>
    <w:p w:rsidR="00000000" w:rsidDel="00000000" w:rsidP="00000000" w:rsidRDefault="00000000" w:rsidRPr="00000000" w14:paraId="000001FA">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Abolfotouh, M.A., Alnasser, M.A., Berhanu, A.N., Al-Turaif, D.A. and Alfayez, A.I. (2017). Impact of basic life-support training on the attitudes of healthcare workers toward cardiopulmonary resuscitation and defibrillation. BMC Health Services Research, 17(1), 674. https://doi.org/10.1186/s12913-017-2700-x</w:t>
        <w:br w:type="textWrapping"/>
      </w:r>
    </w:p>
    <w:p w:rsidR="00000000" w:rsidDel="00000000" w:rsidP="00000000" w:rsidRDefault="00000000" w:rsidRPr="00000000" w14:paraId="000001FB">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Mersha, A.T., Gebre Egzi, A.H.K., Tawuye, H.Y. and Endalew, N.S. (2020). Factors associated with knowledge and attitude towards adult cardiopulmonary resuscitation among healthcare professionals in Ethiopia: an institutional-based cross-sectional study. BMJ Open, 10(9), e037416. https://doi.org/10.1136/bmjopen-2020-037416</w:t>
        <w:br w:type="textWrapping"/>
      </w:r>
    </w:p>
    <w:p w:rsidR="00000000" w:rsidDel="00000000" w:rsidP="00000000" w:rsidRDefault="00000000" w:rsidRPr="00000000" w14:paraId="000001FC">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Anto-Ocrah, M., Maxwell, N., Cushman, J., Acheampong, E., Kodam, R. S., Homan, C., et al. (2020). Public knowledge and attitudes towards bystander cardiopulmonary resuscitation (CPR) in Ghana, West Africa. </w:t>
      </w:r>
      <w:r w:rsidDel="00000000" w:rsidR="00000000" w:rsidRPr="00000000">
        <w:rPr>
          <w:rFonts w:ascii="Times New Roman" w:cs="Times New Roman" w:eastAsia="Times New Roman" w:hAnsi="Times New Roman"/>
          <w:i w:val="1"/>
          <w:iCs w:val="1"/>
          <w:color w:val="222222"/>
          <w:sz w:val="24"/>
          <w:szCs w:val="24"/>
          <w:rtl w:val="0"/>
        </w:rPr>
        <w:t xml:space="preserve">International Journal of Emergency Medicine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13</w:t>
      </w:r>
      <w:r w:rsidDel="00000000" w:rsidR="00000000" w:rsidRPr="00000000">
        <w:rPr>
          <w:rFonts w:ascii="Times New Roman" w:cs="Times New Roman" w:eastAsia="Times New Roman" w:hAnsi="Times New Roman"/>
          <w:color w:val="222222"/>
          <w:sz w:val="24"/>
          <w:szCs w:val="24"/>
          <w:highlight w:val="white"/>
          <w:rtl w:val="0"/>
        </w:rPr>
        <w:t xml:space="preserve">(1), 29.</w:t>
      </w:r>
    </w:p>
    <w:p w:rsidR="00000000" w:rsidDel="00000000" w:rsidP="00000000" w:rsidRDefault="00000000" w:rsidRPr="00000000" w14:paraId="000001FD">
      <w:pPr>
        <w:numPr>
          <w:ilvl w:val="0"/>
          <w:numId w:val="1"/>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Gyawali, S., Shah, R., &amp; Shah, S. (2024). Knowledge, attitude and practice of basic life support among nursing staffs at a tertiary care hospital: Knowledge, attitude, and practice of BLS among nurses. </w:t>
      </w:r>
      <w:r w:rsidDel="00000000" w:rsidR="00000000" w:rsidRPr="00000000">
        <w:rPr>
          <w:rFonts w:ascii="Times New Roman" w:cs="Times New Roman" w:eastAsia="Times New Roman" w:hAnsi="Times New Roman"/>
          <w:i w:val="1"/>
          <w:iCs w:val="1"/>
          <w:color w:val="222222"/>
          <w:sz w:val="24"/>
          <w:szCs w:val="24"/>
          <w:rtl w:val="0"/>
        </w:rPr>
        <w:t xml:space="preserve">Journal of General Practice and Emergency Medicine of Nepal</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11</w:t>
      </w:r>
      <w:r w:rsidDel="00000000" w:rsidR="00000000" w:rsidRPr="00000000">
        <w:rPr>
          <w:rFonts w:ascii="Times New Roman" w:cs="Times New Roman" w:eastAsia="Times New Roman" w:hAnsi="Times New Roman"/>
          <w:color w:val="222222"/>
          <w:sz w:val="24"/>
          <w:szCs w:val="24"/>
          <w:highlight w:val="white"/>
          <w:rtl w:val="0"/>
        </w:rPr>
        <w:t xml:space="preserve">(17), 72-77.</w:t>
      </w: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Supplementary Tables</w:t>
      </w:r>
    </w:p>
    <w:p w:rsidR="00000000" w:rsidDel="00000000" w:rsidP="00000000" w:rsidRDefault="00000000" w:rsidRPr="00000000" w14:paraId="00000200">
      <w:pPr>
        <w:spacing w:after="20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Supplementary Table S1.</w:t>
      </w:r>
      <w:r w:rsidDel="00000000" w:rsidR="00000000" w:rsidRPr="00000000">
        <w:rPr>
          <w:rFonts w:ascii="Calibri" w:cs="Calibri" w:eastAsia="Calibri" w:hAnsi="Calibri"/>
          <w:rtl w:val="0"/>
        </w:rPr>
        <w:t xml:space="preserve"> Post-Hoc Pairwise Comparisons of Knowledge Scores by Profession (Mann–Whitney Test, Holm-adjusted)</w:t>
      </w:r>
    </w:p>
    <w:tbl>
      <w:tblPr>
        <w:tblStyle w:val="Table5"/>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990"/>
        <w:gridCol w:w="2400"/>
        <w:gridCol w:w="1755"/>
        <w:tblGridChange w:id="0">
          <w:tblGrid>
            <w:gridCol w:w="3870"/>
            <w:gridCol w:w="990"/>
            <w:gridCol w:w="2400"/>
            <w:gridCol w:w="1755"/>
          </w:tblGrid>
        </w:tblGridChange>
      </w:tblGrid>
      <w:tr>
        <w:trPr>
          <w:cantSplit w:val="0"/>
          <w:trHeight w:val="5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01">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Pair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02">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Z</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03">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p </w:t>
            </w:r>
            <w:r w:rsidDel="00000000" w:rsidR="00000000" w:rsidRPr="00000000">
              <w:rPr>
                <w:rFonts w:ascii="Calibri" w:cs="Calibri" w:eastAsia="Calibri" w:hAnsi="Calibri"/>
                <w:b w:val="1"/>
                <w:bCs w:val="1"/>
                <w:rtl w:val="0"/>
              </w:rPr>
              <w:t xml:space="preserve">(Holm-adjusted)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04">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Effect size (r)</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Doctor × Nurse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-2.050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Doctor × Physiotherapist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-.216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.02</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Doctor × Dentist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-1.134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0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Doctor × Radiographer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-2.894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Nurse × Physiotherapist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-.793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Nurse × Dentist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-1.636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Nurse × Radiographer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-1.868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1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.15</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Physiotherapist × Dentist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-.947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.19</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Physiotherapist × Radiographer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-2.082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2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.41</w:t>
            </w:r>
          </w:p>
        </w:tc>
      </w:tr>
      <w:tr>
        <w:trPr>
          <w:cantSplit w:val="0"/>
          <w:trHeight w:val="55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2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Dentist × Radiographer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2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-2.659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2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2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.61</w:t>
            </w:r>
          </w:p>
        </w:tc>
      </w:tr>
    </w:tbl>
    <w:p w:rsidR="00000000" w:rsidDel="00000000" w:rsidP="00000000" w:rsidRDefault="00000000" w:rsidRPr="00000000" w14:paraId="0000022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 Significant at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.05</w:t>
      </w:r>
    </w:p>
    <w:p w:rsidR="00000000" w:rsidDel="00000000" w:rsidP="00000000" w:rsidRDefault="00000000" w:rsidRPr="00000000" w14:paraId="0000022E">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F">
      <w:pPr>
        <w:spacing w:after="20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Supplementary Table S2.</w:t>
      </w:r>
      <w:r w:rsidDel="00000000" w:rsidR="00000000" w:rsidRPr="00000000">
        <w:rPr>
          <w:rFonts w:ascii="Calibri" w:cs="Calibri" w:eastAsia="Calibri" w:hAnsi="Calibri"/>
          <w:rtl w:val="0"/>
        </w:rPr>
        <w:t xml:space="preserve"> Full Logistic Regression Predicting Adequate Knowledge among All Respondents</w:t>
      </w:r>
    </w:p>
    <w:tbl>
      <w:tblPr>
        <w:tblStyle w:val="Table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660"/>
        <w:gridCol w:w="585"/>
        <w:gridCol w:w="855"/>
        <w:gridCol w:w="705"/>
        <w:gridCol w:w="1185"/>
        <w:gridCol w:w="1500"/>
        <w:tblGridChange w:id="0">
          <w:tblGrid>
            <w:gridCol w:w="3405"/>
            <w:gridCol w:w="660"/>
            <w:gridCol w:w="585"/>
            <w:gridCol w:w="855"/>
            <w:gridCol w:w="705"/>
            <w:gridCol w:w="1185"/>
            <w:gridCol w:w="1500"/>
          </w:tblGrid>
        </w:tblGridChange>
      </w:tblGrid>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30">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Predictor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31">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32">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33">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Wald χ²</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34">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35">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AOR (Exp 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36">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95 % CI for AOR</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7">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25-34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.15-1.65</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E">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35-44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3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-2.40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4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4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6.60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4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4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4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.02-.57</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45+ vs 18-24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.06-4.91</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C">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Sex: Male vs Female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4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5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5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5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.44-1.88</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3">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Nurse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5.67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1.21-7.06</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A">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Physiotherapist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5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.25-7.05</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Dentist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.13-14.80</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68">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Radiographer vs Doctor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6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1.95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6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6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5.55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6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6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6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1.39-35.56</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6F">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of Experience: 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.09-9.71</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6">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6-10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.22-13.04</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11-15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1.82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7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8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8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8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6.16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8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.83-45.42</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4">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&gt; 15 vs &lt; 1 year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1.99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5.78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7.35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1.45-37.37</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B">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Training exposure: Trained vs Untrained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8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1.50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.68-3.30</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2">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BLS Refreshers: Yes vs No</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8.79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1.45-6.08</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Constant</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4.60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9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2A0">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Model fit: χ² = 33.50 (df = 14,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.002), Nagelkerke R² = .19, H&amp;L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.592; * Significant at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.05.</w:t>
      </w:r>
    </w:p>
    <w:p w:rsidR="00000000" w:rsidDel="00000000" w:rsidP="00000000" w:rsidRDefault="00000000" w:rsidRPr="00000000" w14:paraId="000002A1">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2A2">
      <w:pPr>
        <w:spacing w:after="20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Supplementary Table S3.</w:t>
      </w:r>
      <w:r w:rsidDel="00000000" w:rsidR="00000000" w:rsidRPr="00000000">
        <w:rPr>
          <w:rFonts w:ascii="Calibri" w:cs="Calibri" w:eastAsia="Calibri" w:hAnsi="Calibri"/>
          <w:rtl w:val="0"/>
        </w:rPr>
        <w:t xml:space="preserve"> Full Logistic Regression Predicting Adequate Knowledge among Trained Respondents</w:t>
      </w:r>
    </w:p>
    <w:tbl>
      <w:tblPr>
        <w:tblStyle w:val="Table7"/>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15"/>
        <w:gridCol w:w="765"/>
        <w:gridCol w:w="1035"/>
        <w:gridCol w:w="810"/>
        <w:gridCol w:w="705"/>
        <w:gridCol w:w="1020"/>
        <w:gridCol w:w="1260"/>
        <w:tblGridChange w:id="0">
          <w:tblGrid>
            <w:gridCol w:w="3315"/>
            <w:gridCol w:w="765"/>
            <w:gridCol w:w="1035"/>
            <w:gridCol w:w="810"/>
            <w:gridCol w:w="705"/>
            <w:gridCol w:w="1020"/>
            <w:gridCol w:w="1260"/>
          </w:tblGrid>
        </w:tblGridChange>
      </w:tblGrid>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3">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Predictor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4">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5">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6">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Wald χ²</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7">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8">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AOR (Exp 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A9">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95 % CI for AOR</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AA">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25-34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A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A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A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A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A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.13-2.32</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35-44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B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.01-.51</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8">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45+ vs 18-24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-2.23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.01-1.64</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BF">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Sex: Male vs Female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C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C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C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C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C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C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.49-3.07</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6">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Nurse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3.81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1.00-8.50</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Physiotherapist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C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2.28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.34-15.11</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4">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Dentist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-18.54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15424.85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D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.00-.00</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DB">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Radiographer vs Doctor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D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D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D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10.61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D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E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42.24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E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4.44-401.67</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2">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of Experience: 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-2.04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1.90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.01-2.37</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6-10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E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.04-4.43</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F0">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11-15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F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F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F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F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F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2F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.26-23.87</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7">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&gt; 15 vs &lt; 1 year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1.87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3.69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.57-23.89</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E">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BLS Refreshers: Yes vs No</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2F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.63-3.30</w:t>
            </w:r>
          </w:p>
        </w:tc>
      </w:tr>
      <w:tr>
        <w:trPr>
          <w:cantSplit w:val="0"/>
          <w:trHeight w:val="13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Last BLS Training: 1-3 years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0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.28-2.28</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C">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Last BLS Training: &gt;3 years vs &lt; 1 year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0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1.77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.14-1.46</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3">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BLS Trainer: External org vs Hospital-based</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1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.25-1.85</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A">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BLS Trainer: Med/Nursing school vs Hospital-based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1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.29-2.79</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Constant</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1.76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328">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Model fit: χ² = 35.88 (df = 17,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.005), Nagelkerke R² = .25, H&amp;L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.516; * Significant at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.05.</w:t>
      </w:r>
    </w:p>
    <w:p w:rsidR="00000000" w:rsidDel="00000000" w:rsidP="00000000" w:rsidRDefault="00000000" w:rsidRPr="00000000" w14:paraId="0000032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2A">
      <w:pPr>
        <w:spacing w:after="20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Supplementary Table S4.</w:t>
      </w:r>
      <w:r w:rsidDel="00000000" w:rsidR="00000000" w:rsidRPr="00000000">
        <w:rPr>
          <w:rFonts w:ascii="Calibri" w:cs="Calibri" w:eastAsia="Calibri" w:hAnsi="Calibri"/>
          <w:rtl w:val="0"/>
        </w:rPr>
        <w:t xml:space="preserve"> Full Logistic Regression Predicting Positive Attitude among Respondents</w:t>
      </w:r>
    </w:p>
    <w:tbl>
      <w:tblPr>
        <w:tblStyle w:val="Table8"/>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45"/>
        <w:gridCol w:w="660"/>
        <w:gridCol w:w="585"/>
        <w:gridCol w:w="855"/>
        <w:gridCol w:w="810"/>
        <w:gridCol w:w="1170"/>
        <w:gridCol w:w="1485"/>
        <w:tblGridChange w:id="0">
          <w:tblGrid>
            <w:gridCol w:w="3345"/>
            <w:gridCol w:w="660"/>
            <w:gridCol w:w="585"/>
            <w:gridCol w:w="855"/>
            <w:gridCol w:w="810"/>
            <w:gridCol w:w="1170"/>
            <w:gridCol w:w="1485"/>
          </w:tblGrid>
        </w:tblGridChange>
      </w:tblGrid>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B">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Predictor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C">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D">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E">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Wald χ²</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2F">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30">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AOR (Exp 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31">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95 % CI for AOR</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2">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25-34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.048*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1.01-7.39</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35-44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1.97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3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.48-8.11</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0">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45+ vs 18-24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1.51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.51-19.67</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7">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Sex: Male vs Female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4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.70-2.21</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4E">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Nurse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4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.63-2.22</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Physiotherapist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.38-5.76</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C">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Dentist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5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.20-4.66</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63">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Radiographer vs Doctor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6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6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6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6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6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2.19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6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.40-11.93</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A">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of Experience: 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6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2.27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.37-14.05</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6-10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2.13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.41-10.91</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8">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11-15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7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.31-6.92</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7F">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&gt; 15 vs &lt; 1 year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.42-6.84</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6">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Training exposure: Untrained vs Trained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13.61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&lt;.001*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.15-.56</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Constant</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8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394">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Model fit: χ² = 20.34 (df = 13,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.087), Nagelkerke R² = .10, H&amp;L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.484; * Significant at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.05.</w:t>
      </w:r>
    </w:p>
    <w:p w:rsidR="00000000" w:rsidDel="00000000" w:rsidP="00000000" w:rsidRDefault="00000000" w:rsidRPr="00000000" w14:paraId="00000395">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396">
      <w:pPr>
        <w:spacing w:after="20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Supplementary Table S5.</w:t>
      </w:r>
      <w:r w:rsidDel="00000000" w:rsidR="00000000" w:rsidRPr="00000000">
        <w:rPr>
          <w:rFonts w:ascii="Calibri" w:cs="Calibri" w:eastAsia="Calibri" w:hAnsi="Calibri"/>
          <w:rtl w:val="0"/>
        </w:rPr>
        <w:t xml:space="preserve"> Full Logistic Regression Predicting Confidence to Perform CPR Independently</w:t>
      </w:r>
    </w:p>
    <w:tbl>
      <w:tblPr>
        <w:tblStyle w:val="Table9"/>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765"/>
        <w:gridCol w:w="585"/>
        <w:gridCol w:w="855"/>
        <w:gridCol w:w="585"/>
        <w:gridCol w:w="1155"/>
        <w:gridCol w:w="1470"/>
        <w:tblGridChange w:id="0">
          <w:tblGrid>
            <w:gridCol w:w="3495"/>
            <w:gridCol w:w="765"/>
            <w:gridCol w:w="585"/>
            <w:gridCol w:w="855"/>
            <w:gridCol w:w="585"/>
            <w:gridCol w:w="1155"/>
            <w:gridCol w:w="1470"/>
          </w:tblGrid>
        </w:tblGridChange>
      </w:tblGrid>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7">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Predictor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8">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9">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A">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Wald χ²</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B">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C">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AOR (Exp 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9D">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95 % CI for AOR</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9E">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25-34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9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-1.133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.935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1.467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.05-2.01</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35-44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-.218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A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.16-4.11</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AC">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45+ vs 18-24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A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A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.719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A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.24-4.02</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3">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Sex: Male vs Female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-.755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6.474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B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.26-.84</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BA">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Nurse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B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.583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B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B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3.357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B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B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.96-3.34</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Physiotherapist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.638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.29-3.49</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8">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Dentist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-1.312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.787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2.781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C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.06-1.26</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CF">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Radiographer vs Doctor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D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-1.862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D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.874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D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4.541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D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D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D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.03-.86</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6">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of Experience: 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.240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.928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.21-7.84</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6-10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D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.846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.21-5.68</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4">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11-15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.844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1.032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2.36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3E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.45-12.31</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EB">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&gt; 15 vs &lt; 1 year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E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.446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E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.735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E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.368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E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1.56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.37-6.60</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2">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Training exposure: Trained vs Untrained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.340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1.206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.35-1.34</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Knowledge Level: Inadequate vs Adequate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.367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3F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.43-1.80</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0">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Constant</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1.033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.419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6.074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407">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Model Fit: χ² = 39.80 (df = 14,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.001), Nagelkerke R² = .18, Hosmer-Lemeshow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.67; * Significant at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.05.</w:t>
      </w:r>
    </w:p>
    <w:p w:rsidR="00000000" w:rsidDel="00000000" w:rsidP="00000000" w:rsidRDefault="00000000" w:rsidRPr="00000000" w14:paraId="00000408">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409">
      <w:pPr>
        <w:spacing w:after="20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Supplementary Table S6.</w:t>
      </w:r>
      <w:r w:rsidDel="00000000" w:rsidR="00000000" w:rsidRPr="00000000">
        <w:rPr>
          <w:rFonts w:ascii="Calibri" w:cs="Calibri" w:eastAsia="Calibri" w:hAnsi="Calibri"/>
          <w:rtl w:val="0"/>
        </w:rPr>
        <w:t xml:space="preserve"> Full Logistic Regression Predicting Preparedness for Pediatric BLS</w:t>
      </w:r>
    </w:p>
    <w:tbl>
      <w:tblPr>
        <w:tblStyle w:val="Table10"/>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60"/>
        <w:gridCol w:w="765"/>
        <w:gridCol w:w="705"/>
        <w:gridCol w:w="840"/>
        <w:gridCol w:w="705"/>
        <w:gridCol w:w="1110"/>
        <w:gridCol w:w="1425"/>
        <w:tblGridChange w:id="0">
          <w:tblGrid>
            <w:gridCol w:w="3360"/>
            <w:gridCol w:w="765"/>
            <w:gridCol w:w="705"/>
            <w:gridCol w:w="840"/>
            <w:gridCol w:w="705"/>
            <w:gridCol w:w="1110"/>
            <w:gridCol w:w="1425"/>
          </w:tblGrid>
        </w:tblGridChange>
      </w:tblGrid>
      <w:tr>
        <w:trPr>
          <w:cantSplit w:val="0"/>
          <w:trHeight w:val="87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A">
            <w:pPr>
              <w:spacing w:after="20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Predictor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B">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C">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D">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Wald χ²</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E">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0F">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AOR (Exp B)</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10">
            <w:pPr>
              <w:spacing w:after="20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95 % CI for AOR</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1">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25-34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-.954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.931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1.049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.06-2.39</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8">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35-44 vs 18-24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-1.407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.818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2.957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1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.05-1.22</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1F">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Age: 45+ vs 18-24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.700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.170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.34-5.27</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6">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Sex: Male vs Female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.350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1.619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2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.83-2.43</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2D">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Nurse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2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.495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2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.302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2.691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.91-2.97</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4">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Physiotherapist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-.186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.609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.093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.25-2.74</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B">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Dentist vs Doctor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-1.479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.971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2.322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3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.03-1.53</w:t>
            </w:r>
          </w:p>
        </w:tc>
      </w:tr>
      <w:tr>
        <w:trPr>
          <w:cantSplit w:val="0"/>
          <w:trHeight w:val="111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42">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Profession: Radiographer vs Doctor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4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-2.573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4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1.155</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4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4.959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4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4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4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.01-.74</w:t>
            </w:r>
          </w:p>
        </w:tc>
      </w:tr>
      <w:tr>
        <w:trPr>
          <w:cantSplit w:val="0"/>
          <w:trHeight w:val="11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9">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of Experience: 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.508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.916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.308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1.66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4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.28-10.01</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0">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6-10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.930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.847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1.206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2.54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.48-13.34</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7">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11-15 vs &lt; 1 year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.804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C">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45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.21-4.79</w:t>
            </w:r>
          </w:p>
        </w:tc>
      </w:tr>
      <w:tr>
        <w:trPr>
          <w:cantSplit w:val="0"/>
          <w:trHeight w:val="8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5E">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Years: &gt; 15 vs &lt; 1 year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5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.699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.023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.88</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3">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1.11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.28-4.38</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5">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Training exposure: Trained vs Untrained</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-.919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.342</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7.213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.007*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A">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B">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.20-.78</w:t>
            </w:r>
          </w:p>
        </w:tc>
      </w:tr>
      <w:tr>
        <w:trPr>
          <w:cantSplit w:val="0"/>
          <w:trHeight w:val="139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C">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Knowledge Level: Inadequate vs Adequate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D">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.383</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E">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.379</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6F">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1.021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0">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.31</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1">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1.47</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2">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.670-3.08</w:t>
            </w:r>
          </w:p>
        </w:tc>
      </w:tr>
      <w:tr>
        <w:trPr>
          <w:cantSplit w:val="0"/>
          <w:trHeight w:val="540"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3">
            <w:pPr>
              <w:spacing w:after="200" w:line="360" w:lineRule="auto"/>
              <w:rPr>
                <w:rFonts w:ascii="Calibri" w:cs="Calibri" w:eastAsia="Calibri" w:hAnsi="Calibri"/>
              </w:rPr>
            </w:pPr>
            <w:r w:rsidDel="00000000" w:rsidR="00000000" w:rsidRPr="00000000">
              <w:rPr>
                <w:rFonts w:ascii="Calibri" w:cs="Calibri" w:eastAsia="Calibri" w:hAnsi="Calibri"/>
                <w:rtl w:val="0"/>
              </w:rPr>
              <w:t xml:space="preserve">Constant</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4">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.304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5">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.394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6">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.596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7">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.44</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8">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1.36</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tcPr>
          <w:p w:rsidR="00000000" w:rsidDel="00000000" w:rsidP="00000000" w:rsidRDefault="00000000" w:rsidRPr="00000000" w14:paraId="00000479">
            <w:pPr>
              <w:spacing w:after="200" w:line="360" w:lineRule="auto"/>
              <w:jc w:val="center"/>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47A">
      <w:pPr>
        <w:spacing w:after="200" w:line="360" w:lineRule="auto"/>
        <w:rPr>
          <w:rFonts w:ascii="Calibri" w:cs="Calibri" w:eastAsia="Calibri" w:hAnsi="Calibri"/>
          <w:b w:val="1"/>
          <w:bCs w:val="1"/>
        </w:rPr>
      </w:pPr>
      <w:r w:rsidDel="00000000" w:rsidR="00000000" w:rsidRPr="00000000">
        <w:rPr>
          <w:rFonts w:ascii="Calibri" w:cs="Calibri" w:eastAsia="Calibri" w:hAnsi="Calibri"/>
          <w:rtl w:val="0"/>
        </w:rPr>
        <w:t xml:space="preserve">Model Fit: χ² = 46.58 (df = 14,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.001), Nagelkerke R² = .205, Hosmer-Lemeshow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 .387. * Significant at </w:t>
      </w:r>
      <w:r w:rsidDel="00000000" w:rsidR="00000000" w:rsidRPr="00000000">
        <w:rPr>
          <w:rFonts w:ascii="Calibri" w:cs="Calibri" w:eastAsia="Calibri" w:hAnsi="Calibri"/>
          <w:i w:val="1"/>
          <w:iCs w:val="1"/>
          <w:rtl w:val="0"/>
        </w:rPr>
        <w:t xml:space="preserve">p </w:t>
      </w:r>
      <w:r w:rsidDel="00000000" w:rsidR="00000000" w:rsidRPr="00000000">
        <w:rPr>
          <w:rFonts w:ascii="Calibri" w:cs="Calibri" w:eastAsia="Calibri" w:hAnsi="Calibri"/>
          <w:rtl w:val="0"/>
        </w:rPr>
        <w:t xml:space="preserve">&lt; .05.</w:t>
      </w:r>
      <w:r w:rsidDel="00000000" w:rsidR="00000000" w:rsidRPr="00000000">
        <w:rPr>
          <w:rtl w:val="0"/>
        </w:rPr>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3"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1"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2"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Style10" w:customStyle="1">
    <w:name w:val="_Style 10"/>
    <w:basedOn w:val="TableNormal0"/>
    <w:tblPr/>
  </w:style>
  <w:style w:type="table" w:styleId="Style11" w:customStyle="1">
    <w:name w:val="_Style 11"/>
    <w:basedOn w:val="TableNormal0"/>
    <w:tblPr/>
  </w:style>
  <w:style w:type="table" w:styleId="Style12" w:customStyle="1">
    <w:name w:val="_Style 12"/>
    <w:basedOn w:val="TableNormal0"/>
    <w:tblPr/>
  </w:style>
  <w:style w:type="table" w:styleId="Style13" w:customStyle="1">
    <w:name w:val="_Style 13"/>
    <w:basedOn w:val="TableNormal0"/>
    <w:tblPr/>
  </w:style>
  <w:style w:type="table" w:styleId="Style14" w:customStyle="1">
    <w:name w:val="_Style 14"/>
    <w:basedOn w:val="TableNormal0"/>
    <w:tblPr/>
  </w:style>
  <w:style w:type="paragraph" w:styleId="Header">
    <w:name w:val="header"/>
    <w:basedOn w:val="Normal"/>
    <w:link w:val="HeaderChar"/>
    <w:rsid w:val="005535A8"/>
    <w:pPr>
      <w:tabs>
        <w:tab w:val="center" w:pos="4680"/>
        <w:tab w:val="right" w:pos="9360"/>
      </w:tabs>
      <w:spacing w:after="0" w:line="240" w:lineRule="auto"/>
    </w:pPr>
  </w:style>
  <w:style w:type="character" w:styleId="HeaderChar" w:customStyle="1">
    <w:name w:val="Header Char"/>
    <w:basedOn w:val="DefaultParagraphFont"/>
    <w:link w:val="Header"/>
    <w:rsid w:val="005535A8"/>
    <w:rPr>
      <w:rFonts w:ascii="Arial" w:cs="Arial" w:eastAsia="Arial" w:hAnsi="Arial"/>
      <w:sz w:val="22"/>
      <w:szCs w:val="22"/>
      <w:lang w:val="en"/>
    </w:rPr>
  </w:style>
  <w:style w:type="paragraph" w:styleId="Footer">
    <w:name w:val="footer"/>
    <w:basedOn w:val="Normal"/>
    <w:link w:val="FooterChar"/>
    <w:rsid w:val="005535A8"/>
    <w:pPr>
      <w:tabs>
        <w:tab w:val="center" w:pos="4680"/>
        <w:tab w:val="right" w:pos="9360"/>
      </w:tabs>
      <w:spacing w:after="0" w:line="240" w:lineRule="auto"/>
    </w:pPr>
  </w:style>
  <w:style w:type="character" w:styleId="FooterChar" w:customStyle="1">
    <w:name w:val="Footer Char"/>
    <w:basedOn w:val="DefaultParagraphFont"/>
    <w:link w:val="Footer"/>
    <w:rsid w:val="005535A8"/>
    <w:rPr>
      <w:rFonts w:ascii="Arial" w:cs="Arial" w:eastAsia="Arial" w:hAnsi="Arial"/>
      <w:sz w:val="22"/>
      <w:szCs w:val="22"/>
      <w:lang w:val="en"/>
    </w:rPr>
  </w:style>
  <w:style w:type="paragraph" w:styleId="NoSpacing">
    <w:name w:val="No Spacing"/>
    <w:uiPriority w:val="1"/>
    <w:qFormat w:val="1"/>
    <w:rsid w:val="00BA013C"/>
    <w:pPr>
      <w:spacing w:after="0" w:line="240" w:lineRule="auto"/>
    </w:pPr>
    <w:rPr>
      <w:rFonts w:asciiTheme="minorHAnsi" w:cstheme="minorBidi" w:eastAsiaTheme="minorHAnsi" w:hAnsiTheme="minorHAnsi"/>
      <w:sz w:val="22"/>
      <w:szCs w:val="22"/>
      <w:lang w:eastAsia="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8cS9ah0ZJskX7JAkzYvR0gdfw==">CgMxLjAyDmgubmE5MnFobW01dG16Mg5oLnJtMGRjcHVlamptbzIOaC5kZ2JndXM0MHhxN3gyDmguY3V6aXI2d2V2MGFoMg5oLjhrb3YycHZmcXJtZjINaC5kNm1iYmgzdmlsYjIOaC5nMnlmMTFsbDU4MjYyDmguNWpuNmQ5d2diaW00Mg5oLjUyYjc3bWpmYXp6dDIOaC51NnFob2ljYmt0em8yDmguZ21qNmxpMm5jeThwOAByITE5dnduenFreVhhYm9SMjdhdXU2VENMR0pFSmcyQV9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AA8D4503B0E5004A1827C1691DE56B89_31</vt:lpwstr>
  </property>
  <property fmtid="{D5CDD505-2E9C-101B-9397-08002B2CF9AE}" pid="3" name="KSOProductBuildVer">
    <vt:lpwstr>3081-11.37.02</vt:lpwstr>
  </property>
</Properties>
</file>