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AAD" w:rsidRPr="00CA4AAD" w:rsidRDefault="00CA4AAD" w:rsidP="00CA4AAD">
      <w:pPr>
        <w:spacing w:before="200" w:after="200"/>
        <w:jc w:val="center"/>
        <w:rPr>
          <w:b/>
          <w:bCs/>
          <w:i/>
          <w:iCs/>
          <w:sz w:val="32"/>
          <w:szCs w:val="32"/>
          <w:u w:val="single"/>
        </w:rPr>
      </w:pPr>
      <w:r w:rsidRPr="00CA4AAD">
        <w:rPr>
          <w:b/>
          <w:bCs/>
          <w:i/>
          <w:iCs/>
          <w:sz w:val="32"/>
          <w:szCs w:val="32"/>
          <w:u w:val="single"/>
        </w:rPr>
        <w:t>Review Article</w:t>
      </w:r>
    </w:p>
    <w:p w:rsidR="00AD6485" w:rsidRDefault="00757BAB">
      <w:pPr>
        <w:spacing w:before="200" w:after="200"/>
        <w:jc w:val="center"/>
      </w:pPr>
      <w:r>
        <w:rPr>
          <w:b/>
          <w:bCs/>
          <w:sz w:val="32"/>
          <w:szCs w:val="32"/>
        </w:rPr>
        <w:t xml:space="preserve">Influence of </w:t>
      </w:r>
      <w:proofErr w:type="spellStart"/>
      <w:r>
        <w:rPr>
          <w:b/>
          <w:bCs/>
          <w:sz w:val="32"/>
          <w:szCs w:val="32"/>
        </w:rPr>
        <w:t>Biofertilisers</w:t>
      </w:r>
      <w:proofErr w:type="spellEnd"/>
      <w:r>
        <w:rPr>
          <w:b/>
          <w:bCs/>
          <w:sz w:val="32"/>
          <w:szCs w:val="32"/>
        </w:rPr>
        <w:t xml:space="preserve"> on Mulberry Productivity: A Review</w:t>
      </w:r>
    </w:p>
    <w:p w:rsidR="00AD6485" w:rsidRDefault="00AD6485">
      <w:pPr>
        <w:spacing w:after="80"/>
      </w:pPr>
    </w:p>
    <w:p w:rsidR="00AD6485" w:rsidRDefault="00757BAB">
      <w:pPr>
        <w:spacing w:before="240" w:after="80"/>
      </w:pPr>
      <w:r>
        <w:rPr>
          <w:b/>
          <w:bCs/>
          <w:caps/>
        </w:rPr>
        <w:t>Abstract</w:t>
      </w:r>
      <w:bookmarkStart w:id="0" w:name="_GoBack"/>
      <w:bookmarkEnd w:id="0"/>
    </w:p>
    <w:p w:rsidR="00AD6485" w:rsidRDefault="00665054">
      <w:pPr>
        <w:spacing w:after="160" w:line="276" w:lineRule="auto"/>
        <w:jc w:val="both"/>
      </w:pPr>
      <w:r w:rsidRPr="00A02837">
        <w:rPr>
          <w:highlight w:val="yellow"/>
        </w:rPr>
        <w:t>Organic sources of nutrients, particularly when integrated with beneficial microbes, have shown potential to improve soil fertility and crop productivity while reducing dependency on synthetic inputs</w:t>
      </w:r>
      <w:r>
        <w:t xml:space="preserve">. </w:t>
      </w:r>
      <w:r w:rsidR="00757BAB">
        <w:t xml:space="preserve">Mulberry </w:t>
      </w:r>
      <w:r w:rsidR="00757BAB" w:rsidRPr="0099267A">
        <w:rPr>
          <w:highlight w:val="yellow"/>
        </w:rPr>
        <w:t>(</w:t>
      </w:r>
      <w:proofErr w:type="spellStart"/>
      <w:r w:rsidR="00757BAB" w:rsidRPr="006C2FD5">
        <w:rPr>
          <w:i/>
          <w:highlight w:val="yellow"/>
        </w:rPr>
        <w:t>Morus</w:t>
      </w:r>
      <w:proofErr w:type="spellEnd"/>
      <w:r w:rsidR="00757BAB" w:rsidRPr="0099267A">
        <w:rPr>
          <w:highlight w:val="yellow"/>
        </w:rPr>
        <w:t xml:space="preserve"> spp.)</w:t>
      </w:r>
      <w:r w:rsidR="00757BAB">
        <w:t xml:space="preserve"> is the exclusive food plant of the domesticated silkworm (</w:t>
      </w:r>
      <w:r w:rsidR="00757BAB" w:rsidRPr="006C2FD5">
        <w:rPr>
          <w:i/>
          <w:highlight w:val="yellow"/>
        </w:rPr>
        <w:t>Bombyx</w:t>
      </w:r>
      <w:r w:rsidR="00757BAB" w:rsidRPr="0099267A">
        <w:rPr>
          <w:highlight w:val="yellow"/>
        </w:rPr>
        <w:t xml:space="preserve"> </w:t>
      </w:r>
      <w:r w:rsidR="00757BAB" w:rsidRPr="006C2FD5">
        <w:rPr>
          <w:i/>
          <w:highlight w:val="yellow"/>
        </w:rPr>
        <w:t>mori</w:t>
      </w:r>
      <w:r w:rsidR="00757BAB" w:rsidRPr="0099267A">
        <w:rPr>
          <w:highlight w:val="yellow"/>
        </w:rPr>
        <w:t xml:space="preserve"> L</w:t>
      </w:r>
      <w:r w:rsidR="00757BAB">
        <w:t xml:space="preserve">.) and constitutes the biological and economic foundation of the global sericulture industry. Intensive cultivation practices dependent on synthetic </w:t>
      </w:r>
      <w:proofErr w:type="spellStart"/>
      <w:r w:rsidR="00757BAB">
        <w:t>fertilisers</w:t>
      </w:r>
      <w:proofErr w:type="spellEnd"/>
      <w:r w:rsidR="00757BAB">
        <w:t xml:space="preserve"> have progressively degraded mulberry garden soils, diminishing leaf yield, nutritive quality, and long-term crop sustainability. </w:t>
      </w:r>
      <w:proofErr w:type="spellStart"/>
      <w:r w:rsidR="00757BAB">
        <w:t>Biofertilisers</w:t>
      </w:r>
      <w:proofErr w:type="spellEnd"/>
      <w:r w:rsidR="00757BAB">
        <w:t xml:space="preserve"> — preparations containing live or dormant beneficial microorganisms — have emerged as eco-friendly, cost-effective alternatives that underpin sustainable mulberry cultivation. This review </w:t>
      </w:r>
      <w:proofErr w:type="spellStart"/>
      <w:r w:rsidR="00757BAB">
        <w:t>synthesises</w:t>
      </w:r>
      <w:proofErr w:type="spellEnd"/>
      <w:r w:rsidR="00757BAB">
        <w:t xml:space="preserve"> research published between 1995 and 2025 on the influence of nitrogen-fixing bacteria (</w:t>
      </w:r>
      <w:proofErr w:type="spellStart"/>
      <w:r w:rsidR="00757BAB">
        <w:t>Azotobacter</w:t>
      </w:r>
      <w:proofErr w:type="spellEnd"/>
      <w:r w:rsidR="00757BAB">
        <w:t xml:space="preserve">, </w:t>
      </w:r>
      <w:proofErr w:type="spellStart"/>
      <w:r w:rsidR="00757BAB">
        <w:t>Azospirillum</w:t>
      </w:r>
      <w:proofErr w:type="spellEnd"/>
      <w:r w:rsidR="00757BAB">
        <w:t xml:space="preserve">, </w:t>
      </w:r>
      <w:proofErr w:type="spellStart"/>
      <w:r w:rsidR="00757BAB">
        <w:t>Beijerinckia</w:t>
      </w:r>
      <w:proofErr w:type="spellEnd"/>
      <w:r w:rsidR="00757BAB">
        <w:t>), phosphate-</w:t>
      </w:r>
      <w:proofErr w:type="spellStart"/>
      <w:r w:rsidR="00757BAB">
        <w:t>solubilising</w:t>
      </w:r>
      <w:proofErr w:type="spellEnd"/>
      <w:r w:rsidR="00757BAB">
        <w:t xml:space="preserve"> microorganisms (PSM), arbuscular mycorrhizal fungi (AMF), cyanobacteria, and other plant growth-promoting rhizobacteria (PGPR) on the growth, leaf yield, and biochemical quality of mulberry. Evidence consistently demonstrates that </w:t>
      </w:r>
      <w:proofErr w:type="spellStart"/>
      <w:r w:rsidR="00757BAB">
        <w:t>biofertiliser</w:t>
      </w:r>
      <w:proofErr w:type="spellEnd"/>
      <w:r w:rsidR="00757BAB">
        <w:t xml:space="preserve"> application improves vegetative growth parameters, enhances macronutrient and micronutrient uptake, raises leaf moisture, protein, sugar, and amino acid contents, and reduces dependence on chemical inputs by up to 50–75%. Downstream benefits to silkworm rearing — including improved larval growth, cocoon weight, shell ratio, filament length, and raw silk quality — have been documented across multiple </w:t>
      </w:r>
      <w:proofErr w:type="spellStart"/>
      <w:r w:rsidR="00757BAB">
        <w:t>agro</w:t>
      </w:r>
      <w:proofErr w:type="spellEnd"/>
      <w:r w:rsidR="00757BAB">
        <w:t xml:space="preserve">-climatic zones. Integrated nutrient management (INM) approaches combining </w:t>
      </w:r>
      <w:proofErr w:type="spellStart"/>
      <w:r w:rsidR="00757BAB">
        <w:t>biofertiliser</w:t>
      </w:r>
      <w:proofErr w:type="spellEnd"/>
      <w:r w:rsidR="00757BAB">
        <w:t xml:space="preserve"> consortia with reduced doses of chemical </w:t>
      </w:r>
      <w:proofErr w:type="spellStart"/>
      <w:r w:rsidR="00757BAB">
        <w:t>fertilisers</w:t>
      </w:r>
      <w:proofErr w:type="spellEnd"/>
      <w:r w:rsidR="00757BAB">
        <w:t xml:space="preserve"> or organic manures consistently outperform either strategy in isolation. Key challenges include inconsistent field performance, limited strain </w:t>
      </w:r>
      <w:proofErr w:type="spellStart"/>
      <w:r w:rsidR="00757BAB">
        <w:t>standardisation</w:t>
      </w:r>
      <w:proofErr w:type="spellEnd"/>
      <w:r w:rsidR="00757BAB">
        <w:t xml:space="preserve">, inadequate shelf-life formulations, and low farmer awareness. Future research priorities include multi-location field trials, development of stable formulations, and elucidation of the molecular mechanisms governing </w:t>
      </w:r>
      <w:proofErr w:type="spellStart"/>
      <w:r w:rsidR="00757BAB">
        <w:t>biofertiliser</w:t>
      </w:r>
      <w:proofErr w:type="spellEnd"/>
      <w:r w:rsidR="00757BAB">
        <w:t>–mulberry interactions. This review provides a comprehensive reference for researchers and practitioners engaged in sustainable sericulture nutrient management.</w:t>
      </w:r>
    </w:p>
    <w:p w:rsidR="00AD6485" w:rsidRDefault="00AD6485">
      <w:pPr>
        <w:spacing w:after="80"/>
      </w:pPr>
    </w:p>
    <w:p w:rsidR="00AD6485" w:rsidRDefault="00757BAB">
      <w:pPr>
        <w:spacing w:after="160" w:line="276" w:lineRule="auto"/>
        <w:jc w:val="both"/>
      </w:pPr>
      <w:r w:rsidRPr="001F704B">
        <w:rPr>
          <w:b/>
          <w:bCs/>
          <w:highlight w:val="yellow"/>
        </w:rPr>
        <w:t xml:space="preserve">Keywords: </w:t>
      </w:r>
      <w:proofErr w:type="spellStart"/>
      <w:r w:rsidR="001F704B" w:rsidRPr="001F704B">
        <w:rPr>
          <w:b/>
          <w:bCs/>
          <w:highlight w:val="yellow"/>
        </w:rPr>
        <w:t>B</w:t>
      </w:r>
      <w:r w:rsidRPr="001F704B">
        <w:rPr>
          <w:highlight w:val="yellow"/>
        </w:rPr>
        <w:t>iofertilisers</w:t>
      </w:r>
      <w:proofErr w:type="spellEnd"/>
      <w:r w:rsidRPr="001F704B">
        <w:rPr>
          <w:highlight w:val="yellow"/>
        </w:rPr>
        <w:t>; plant growth-promoting rhizobacteria; arbuscular mycorrhizal fungi; integrated nutrient management; sustainable agriculture</w:t>
      </w:r>
    </w:p>
    <w:p w:rsidR="00AD6485" w:rsidRDefault="00AD6485">
      <w:pPr>
        <w:spacing w:after="80"/>
      </w:pPr>
    </w:p>
    <w:p w:rsidR="00AD6485" w:rsidRDefault="00757BAB">
      <w:pPr>
        <w:pStyle w:val="Heading1"/>
      </w:pPr>
      <w:r>
        <w:t>1. Introduction</w:t>
      </w:r>
    </w:p>
    <w:p w:rsidR="00AD6485" w:rsidRDefault="002A7A0B">
      <w:pPr>
        <w:spacing w:after="160" w:line="276" w:lineRule="auto"/>
        <w:jc w:val="both"/>
      </w:pPr>
      <w:r w:rsidRPr="00A02837">
        <w:rPr>
          <w:highlight w:val="yellow"/>
        </w:rPr>
        <w:t>The sustainability of crop production is directly related to kind and cost of inputs being pumped into cultivation of such crops as the economic viability of inputs decide the amount of revenue which a farmer can generate</w:t>
      </w:r>
      <w:r w:rsidR="00CB2E87">
        <w:rPr>
          <w:highlight w:val="yellow"/>
        </w:rPr>
        <w:t xml:space="preserve"> (</w:t>
      </w:r>
      <w:r w:rsidR="00CB2E87" w:rsidRPr="00A02837">
        <w:rPr>
          <w:rFonts w:ascii="Arial" w:hAnsi="Arial" w:cs="Arial"/>
          <w:color w:val="000000"/>
          <w:sz w:val="20"/>
          <w:szCs w:val="20"/>
          <w:highlight w:val="yellow"/>
        </w:rPr>
        <w:t>Farooq et al., 202</w:t>
      </w:r>
      <w:r w:rsidR="00B225C4">
        <w:rPr>
          <w:rFonts w:ascii="Arial" w:hAnsi="Arial" w:cs="Arial"/>
          <w:color w:val="000000"/>
          <w:sz w:val="20"/>
          <w:szCs w:val="20"/>
          <w:highlight w:val="yellow"/>
        </w:rPr>
        <w:t>4</w:t>
      </w:r>
      <w:r w:rsidR="00CB2E87">
        <w:rPr>
          <w:highlight w:val="yellow"/>
        </w:rPr>
        <w:t>)</w:t>
      </w:r>
      <w:r w:rsidRPr="00A02837">
        <w:rPr>
          <w:highlight w:val="yellow"/>
        </w:rPr>
        <w:t>.</w:t>
      </w:r>
      <w:r>
        <w:t xml:space="preserve"> </w:t>
      </w:r>
      <w:r w:rsidR="003F4889" w:rsidRPr="00A02837">
        <w:rPr>
          <w:color w:val="222222"/>
          <w:szCs w:val="27"/>
          <w:highlight w:val="yellow"/>
          <w:shd w:val="clear" w:color="auto" w:fill="FFFFFF"/>
        </w:rPr>
        <w:t xml:space="preserve">Concerns regarding the </w:t>
      </w:r>
      <w:r w:rsidR="003F4889" w:rsidRPr="00A02837">
        <w:rPr>
          <w:color w:val="222222"/>
          <w:szCs w:val="27"/>
          <w:highlight w:val="yellow"/>
          <w:shd w:val="clear" w:color="auto" w:fill="FFFFFF"/>
        </w:rPr>
        <w:lastRenderedPageBreak/>
        <w:t>detrimental effects of synthetic fertilizers on soil quality and environmental sustainability have emphasized the necessity of integrating organic fertilization strategies into crop management (</w:t>
      </w:r>
      <w:proofErr w:type="spellStart"/>
      <w:r w:rsidR="003F4889" w:rsidRPr="00A02837">
        <w:rPr>
          <w:rFonts w:ascii="Helvetica" w:hAnsi="Helvetica" w:cs="Helvetica"/>
          <w:color w:val="222222"/>
          <w:sz w:val="22"/>
          <w:highlight w:val="yellow"/>
        </w:rPr>
        <w:t>Ahammed</w:t>
      </w:r>
      <w:proofErr w:type="spellEnd"/>
      <w:r w:rsidR="003F4889" w:rsidRPr="00A02837">
        <w:rPr>
          <w:rFonts w:ascii="Helvetica" w:hAnsi="Helvetica" w:cs="Helvetica"/>
          <w:color w:val="222222"/>
          <w:sz w:val="22"/>
          <w:highlight w:val="yellow"/>
        </w:rPr>
        <w:t xml:space="preserve"> et al., 2025</w:t>
      </w:r>
      <w:r w:rsidR="003F4889" w:rsidRPr="00A02837">
        <w:rPr>
          <w:color w:val="222222"/>
          <w:szCs w:val="27"/>
          <w:highlight w:val="yellow"/>
          <w:shd w:val="clear" w:color="auto" w:fill="FFFFFF"/>
        </w:rPr>
        <w:t>).</w:t>
      </w:r>
      <w:r w:rsidR="003F4889">
        <w:t xml:space="preserve"> </w:t>
      </w:r>
      <w:r w:rsidR="00757BAB">
        <w:t xml:space="preserve">Mulberry </w:t>
      </w:r>
      <w:r w:rsidR="00757BAB" w:rsidRPr="00D558C0">
        <w:rPr>
          <w:highlight w:val="yellow"/>
        </w:rPr>
        <w:t>(</w:t>
      </w:r>
      <w:proofErr w:type="spellStart"/>
      <w:r w:rsidR="00757BAB" w:rsidRPr="001F704B">
        <w:rPr>
          <w:i/>
          <w:highlight w:val="yellow"/>
        </w:rPr>
        <w:t>Morus</w:t>
      </w:r>
      <w:proofErr w:type="spellEnd"/>
      <w:r w:rsidR="00757BAB" w:rsidRPr="00D558C0">
        <w:rPr>
          <w:highlight w:val="yellow"/>
        </w:rPr>
        <w:t xml:space="preserve"> spp.),</w:t>
      </w:r>
      <w:r w:rsidR="00757BAB">
        <w:t xml:space="preserve"> a member of the family </w:t>
      </w:r>
      <w:proofErr w:type="spellStart"/>
      <w:r w:rsidR="00757BAB">
        <w:t>Moraceae</w:t>
      </w:r>
      <w:proofErr w:type="spellEnd"/>
      <w:r w:rsidR="00757BAB">
        <w:t xml:space="preserve">, is one of the most strategically important perennial crops in the world, serving as the primary and, for the domesticated silkworm </w:t>
      </w:r>
      <w:r w:rsidR="00757BAB" w:rsidRPr="00D558C0">
        <w:rPr>
          <w:highlight w:val="yellow"/>
        </w:rPr>
        <w:t>(</w:t>
      </w:r>
      <w:r w:rsidR="00757BAB" w:rsidRPr="001F704B">
        <w:rPr>
          <w:i/>
          <w:highlight w:val="yellow"/>
        </w:rPr>
        <w:t>Bombyx mori</w:t>
      </w:r>
      <w:r w:rsidR="00757BAB">
        <w:t xml:space="preserve"> L.), the exclusive source of larval nutrition. The mulberry silkworm industry — universally known as sericulture — sustains the livelihoods of millions of smallholder farming families across Asia, particularly in India, China, Japan, Brazil, and several nations of South-East Asia</w:t>
      </w:r>
      <w:r w:rsidR="00757BAB" w:rsidRPr="00D558C0">
        <w:rPr>
          <w:highlight w:val="yellow"/>
        </w:rPr>
        <w:t>.</w:t>
      </w:r>
      <w:r w:rsidR="00757BAB">
        <w:t xml:space="preserve"> India is the second-largest raw silk producer globally, with mulberry silk accounting for more than 70% of the country's total silk output.</w:t>
      </w:r>
      <w:r w:rsidR="00D558C0" w:rsidRPr="00D558C0">
        <w:rPr>
          <w:highlight w:val="yellow"/>
        </w:rPr>
        <w:t xml:space="preserve"> </w:t>
      </w:r>
      <w:r w:rsidR="00757BAB">
        <w:t xml:space="preserve">The productivity and quality of mulberry leaves are therefore of paramount economic significance, directly determining the efficiency of silkworm rearing, cocoon yield, silk </w:t>
      </w:r>
      <w:proofErr w:type="spellStart"/>
      <w:r w:rsidR="00757BAB">
        <w:t>fibre</w:t>
      </w:r>
      <w:proofErr w:type="spellEnd"/>
      <w:r w:rsidR="00757BAB">
        <w:t xml:space="preserve"> quality, and, ultimately, the income of sericulture-dependent rural households (</w:t>
      </w:r>
      <w:proofErr w:type="spellStart"/>
      <w:r w:rsidR="00757BAB">
        <w:t>Banuprakash</w:t>
      </w:r>
      <w:proofErr w:type="spellEnd"/>
      <w:r w:rsidR="00757BAB">
        <w:t xml:space="preserve"> </w:t>
      </w:r>
      <w:r w:rsidR="00757BAB" w:rsidRPr="00602DF7">
        <w:rPr>
          <w:highlight w:val="yellow"/>
        </w:rPr>
        <w:t>et al</w:t>
      </w:r>
      <w:r w:rsidR="00757BAB">
        <w:t>., 2024).</w:t>
      </w:r>
      <w:r>
        <w:t xml:space="preserve"> </w:t>
      </w:r>
      <w:r w:rsidRPr="00A02837">
        <w:rPr>
          <w:highlight w:val="yellow"/>
        </w:rPr>
        <w:t>Continuous use of chemical fertilizers also results in the deterioration of soil quality and gradual loss of soil fertility</w:t>
      </w:r>
      <w:r w:rsidR="00897DED">
        <w:rPr>
          <w:highlight w:val="yellow"/>
        </w:rPr>
        <w:t>,</w:t>
      </w:r>
      <w:r w:rsidRPr="00A02837">
        <w:rPr>
          <w:highlight w:val="yellow"/>
        </w:rPr>
        <w:t xml:space="preserve"> which might further lead to the accumulation of heavy metals in plant tissue, affecting the nutritional contents of the yield and edibility. Biofertilizer or the microbial inoculants that contain the culture of dormant or live cells of the effective strains of N-fixing, </w:t>
      </w:r>
      <w:proofErr w:type="spellStart"/>
      <w:r w:rsidRPr="00A02837">
        <w:rPr>
          <w:highlight w:val="yellow"/>
        </w:rPr>
        <w:t>Psolubilizing</w:t>
      </w:r>
      <w:proofErr w:type="spellEnd"/>
      <w:r w:rsidRPr="00A02837">
        <w:rPr>
          <w:highlight w:val="yellow"/>
        </w:rPr>
        <w:t>/mobilizing, K-solubilizing</w:t>
      </w:r>
      <w:r w:rsidR="00CB2E87" w:rsidRPr="00CB2E87">
        <w:rPr>
          <w:highlight w:val="yellow"/>
        </w:rPr>
        <w:t xml:space="preserve"> (</w:t>
      </w:r>
      <w:r w:rsidR="00CB2E87" w:rsidRPr="00A02837">
        <w:rPr>
          <w:rFonts w:ascii="Arial" w:hAnsi="Arial" w:cs="Arial"/>
          <w:color w:val="000000"/>
          <w:sz w:val="20"/>
          <w:szCs w:val="20"/>
          <w:highlight w:val="yellow"/>
        </w:rPr>
        <w:t>Farooq et al., 202</w:t>
      </w:r>
      <w:r w:rsidR="00B225C4">
        <w:rPr>
          <w:rFonts w:ascii="Arial" w:hAnsi="Arial" w:cs="Arial"/>
          <w:color w:val="000000"/>
          <w:sz w:val="20"/>
          <w:szCs w:val="20"/>
          <w:highlight w:val="yellow"/>
        </w:rPr>
        <w:t>4</w:t>
      </w:r>
      <w:r w:rsidR="00665054">
        <w:rPr>
          <w:rFonts w:ascii="Arial" w:hAnsi="Arial" w:cs="Arial"/>
          <w:color w:val="000000"/>
          <w:sz w:val="20"/>
          <w:szCs w:val="20"/>
          <w:highlight w:val="yellow"/>
        </w:rPr>
        <w:t xml:space="preserve">; </w:t>
      </w:r>
      <w:r w:rsidR="00665054" w:rsidRPr="00F017DC">
        <w:rPr>
          <w:rFonts w:ascii="Arial" w:hAnsi="Arial" w:cs="Arial"/>
          <w:color w:val="333333"/>
          <w:sz w:val="22"/>
          <w:szCs w:val="27"/>
          <w:highlight w:val="yellow"/>
        </w:rPr>
        <w:t>Nath</w:t>
      </w:r>
      <w:r w:rsidR="00665054">
        <w:rPr>
          <w:rFonts w:ascii="Arial" w:hAnsi="Arial" w:cs="Arial"/>
          <w:color w:val="333333"/>
          <w:sz w:val="22"/>
          <w:szCs w:val="27"/>
          <w:highlight w:val="yellow"/>
        </w:rPr>
        <w:t xml:space="preserve"> et al., 20225</w:t>
      </w:r>
      <w:r w:rsidR="00CB2E87" w:rsidRPr="00CB2E87">
        <w:rPr>
          <w:highlight w:val="yellow"/>
        </w:rPr>
        <w:t>)</w:t>
      </w:r>
      <w:r w:rsidRPr="00A02837">
        <w:rPr>
          <w:highlight w:val="yellow"/>
        </w:rPr>
        <w:t>.</w:t>
      </w:r>
    </w:p>
    <w:p w:rsidR="00AD6485" w:rsidRDefault="00757BAB">
      <w:pPr>
        <w:spacing w:after="160" w:line="276" w:lineRule="auto"/>
        <w:jc w:val="both"/>
      </w:pPr>
      <w:r>
        <w:t xml:space="preserve">The nutritional quality of mulberry leaves, encompassing moisture content, crude protein, total soluble sugars, crude fat, and essential amino acid composition, directly governs the metabolic performance of the silkworm larva. Any management strategy that improves mulberry leaf nutrition consequently has cascading benefits along the entire sericulture value chain. Conventional sericulture agronomy has relied heavily on inorganic nitrogen, phosphorus, and potassium (NPK) </w:t>
      </w:r>
      <w:proofErr w:type="spellStart"/>
      <w:r>
        <w:t>fertilisers</w:t>
      </w:r>
      <w:proofErr w:type="spellEnd"/>
      <w:r>
        <w:t xml:space="preserve"> to sustain the high leaf biomass output demanded by commercial silk production. However, indiscriminate and prolonged application of chemical </w:t>
      </w:r>
      <w:proofErr w:type="spellStart"/>
      <w:r>
        <w:t>fertilisers</w:t>
      </w:r>
      <w:proofErr w:type="spellEnd"/>
      <w:r>
        <w:t xml:space="preserve"> has resulted in serious secondary </w:t>
      </w:r>
      <w:r w:rsidRPr="00A02837">
        <w:rPr>
          <w:highlight w:val="yellow"/>
        </w:rPr>
        <w:t>consequences</w:t>
      </w:r>
      <w:r w:rsidR="00897DED" w:rsidRPr="00A02837">
        <w:rPr>
          <w:highlight w:val="yellow"/>
        </w:rPr>
        <w:t>,</w:t>
      </w:r>
      <w:r w:rsidRPr="00A02837">
        <w:rPr>
          <w:highlight w:val="yellow"/>
        </w:rPr>
        <w:t xml:space="preserve"> including</w:t>
      </w:r>
      <w:r>
        <w:t xml:space="preserve"> soil acidification, deterioration of soil biological activity, decline in organic carbon content, nutrient imbalances, and accumulation of toxic residues (Chen </w:t>
      </w:r>
      <w:r w:rsidRPr="00602DF7">
        <w:rPr>
          <w:highlight w:val="yellow"/>
        </w:rPr>
        <w:t>et al.,</w:t>
      </w:r>
      <w:r>
        <w:t xml:space="preserve"> 2009). Leaf quality may also be adversely affected through alteration of biochemical constituents, with consequent deleterious effects on silkworm health and cocoon production.</w:t>
      </w:r>
    </w:p>
    <w:p w:rsidR="00AD6485" w:rsidRDefault="00757BAB">
      <w:pPr>
        <w:spacing w:after="160" w:line="276" w:lineRule="auto"/>
        <w:jc w:val="both"/>
      </w:pPr>
      <w:r>
        <w:t xml:space="preserve">Globally, there has been a fundamental re-orientation of agricultural policy and practice towards sustainability, driven by growing awareness of the ecological costs of chemical-intensive farming and mounting pressures of climate change. </w:t>
      </w:r>
      <w:proofErr w:type="spellStart"/>
      <w:r>
        <w:t>Biofertilisers</w:t>
      </w:r>
      <w:proofErr w:type="spellEnd"/>
      <w:r>
        <w:t xml:space="preserve"> — preparations containing living or dormant microorganisms that, upon application, </w:t>
      </w:r>
      <w:proofErr w:type="spellStart"/>
      <w:r>
        <w:t>colonise</w:t>
      </w:r>
      <w:proofErr w:type="spellEnd"/>
      <w:r>
        <w:t xml:space="preserve"> the rhizosphere or internal plant tissues and promote plant growth through biological nitrogen fixation, phosphate and potassium </w:t>
      </w:r>
      <w:proofErr w:type="spellStart"/>
      <w:r>
        <w:t>solubilisation</w:t>
      </w:r>
      <w:proofErr w:type="spellEnd"/>
      <w:r>
        <w:t xml:space="preserve">, phytohormone production, and allied mechanisms — represent a particularly promising avenue for sustainable mulberry cultivation. Unlike chemical </w:t>
      </w:r>
      <w:proofErr w:type="spellStart"/>
      <w:r>
        <w:t>fertilisers</w:t>
      </w:r>
      <w:proofErr w:type="spellEnd"/>
      <w:r>
        <w:t xml:space="preserve">, </w:t>
      </w:r>
      <w:proofErr w:type="spellStart"/>
      <w:r>
        <w:t>biofertilisers</w:t>
      </w:r>
      <w:proofErr w:type="spellEnd"/>
      <w:r>
        <w:t xml:space="preserve"> are renewable, biodegradable, and compatible with organic farming systems. They enrich rather than deplete soil biological capital and, when properly formulated and applied, can reduce chemical </w:t>
      </w:r>
      <w:proofErr w:type="spellStart"/>
      <w:r>
        <w:t>fertiliser</w:t>
      </w:r>
      <w:proofErr w:type="spellEnd"/>
      <w:r>
        <w:t xml:space="preserve"> consumption by 25–50% without compromising yield (Kumar </w:t>
      </w:r>
      <w:r w:rsidRPr="00602DF7">
        <w:rPr>
          <w:highlight w:val="yellow"/>
        </w:rPr>
        <w:t>et al.,</w:t>
      </w:r>
      <w:r>
        <w:t xml:space="preserve"> 2024).</w:t>
      </w:r>
    </w:p>
    <w:p w:rsidR="00AD6485" w:rsidRDefault="00757BAB">
      <w:pPr>
        <w:spacing w:after="160" w:line="276" w:lineRule="auto"/>
        <w:jc w:val="both"/>
      </w:pPr>
      <w:r>
        <w:lastRenderedPageBreak/>
        <w:t xml:space="preserve">Research on </w:t>
      </w:r>
      <w:proofErr w:type="spellStart"/>
      <w:r>
        <w:t>biofertiliser</w:t>
      </w:r>
      <w:proofErr w:type="spellEnd"/>
      <w:r>
        <w:t xml:space="preserve"> application to mulberry has grown substantially since the early 1990s and now encompasses a broad spectrum of microorganism types, application methods, and </w:t>
      </w:r>
      <w:proofErr w:type="spellStart"/>
      <w:r>
        <w:t>agro</w:t>
      </w:r>
      <w:proofErr w:type="spellEnd"/>
      <w:r>
        <w:t xml:space="preserve">-climatic conditions. Nitrogen-fixing bacteria such as </w:t>
      </w:r>
      <w:proofErr w:type="spellStart"/>
      <w:r w:rsidRPr="00A02837">
        <w:rPr>
          <w:i/>
          <w:highlight w:val="yellow"/>
        </w:rPr>
        <w:t>Azotobacter</w:t>
      </w:r>
      <w:proofErr w:type="spellEnd"/>
      <w:r w:rsidR="00897DED" w:rsidRPr="00A02837">
        <w:rPr>
          <w:i/>
          <w:highlight w:val="yellow"/>
        </w:rPr>
        <w:t xml:space="preserve"> </w:t>
      </w:r>
      <w:proofErr w:type="spellStart"/>
      <w:r w:rsidRPr="00A02837">
        <w:rPr>
          <w:i/>
          <w:highlight w:val="yellow"/>
        </w:rPr>
        <w:t>chroococcum</w:t>
      </w:r>
      <w:proofErr w:type="spellEnd"/>
      <w:r w:rsidRPr="00D558C0">
        <w:rPr>
          <w:highlight w:val="yellow"/>
        </w:rPr>
        <w:t xml:space="preserve">, </w:t>
      </w:r>
      <w:proofErr w:type="spellStart"/>
      <w:r w:rsidRPr="00A02837">
        <w:rPr>
          <w:i/>
          <w:highlight w:val="yellow"/>
        </w:rPr>
        <w:t>Azospirillum</w:t>
      </w:r>
      <w:proofErr w:type="spellEnd"/>
      <w:r w:rsidR="00897DED" w:rsidRPr="00A02837">
        <w:rPr>
          <w:i/>
          <w:highlight w:val="yellow"/>
        </w:rPr>
        <w:t xml:space="preserve"> </w:t>
      </w:r>
      <w:proofErr w:type="spellStart"/>
      <w:r w:rsidRPr="00A02837">
        <w:rPr>
          <w:i/>
          <w:highlight w:val="yellow"/>
        </w:rPr>
        <w:t>brasilense</w:t>
      </w:r>
      <w:proofErr w:type="spellEnd"/>
      <w:r w:rsidRPr="00D558C0">
        <w:rPr>
          <w:highlight w:val="yellow"/>
        </w:rPr>
        <w:t>,</w:t>
      </w:r>
      <w:r>
        <w:t xml:space="preserve"> and </w:t>
      </w:r>
      <w:proofErr w:type="spellStart"/>
      <w:r w:rsidRPr="00A02837">
        <w:rPr>
          <w:i/>
          <w:highlight w:val="yellow"/>
        </w:rPr>
        <w:t>Beijerinckia</w:t>
      </w:r>
      <w:proofErr w:type="spellEnd"/>
      <w:r w:rsidR="00897DED" w:rsidRPr="00A02837">
        <w:rPr>
          <w:i/>
          <w:highlight w:val="yellow"/>
        </w:rPr>
        <w:t xml:space="preserve"> </w:t>
      </w:r>
      <w:proofErr w:type="spellStart"/>
      <w:r w:rsidRPr="00A02837">
        <w:rPr>
          <w:i/>
          <w:highlight w:val="yellow"/>
        </w:rPr>
        <w:t>indica</w:t>
      </w:r>
      <w:proofErr w:type="spellEnd"/>
      <w:r>
        <w:t xml:space="preserve"> have been evaluated both for foliar and </w:t>
      </w:r>
      <w:proofErr w:type="spellStart"/>
      <w:r>
        <w:t>rhizospheric</w:t>
      </w:r>
      <w:proofErr w:type="spellEnd"/>
      <w:r>
        <w:t xml:space="preserve"> application to mulberry. Phosphate-</w:t>
      </w:r>
      <w:proofErr w:type="spellStart"/>
      <w:r>
        <w:t>solubilising</w:t>
      </w:r>
      <w:proofErr w:type="spellEnd"/>
      <w:r>
        <w:t xml:space="preserve"> bacteria (PSB) including </w:t>
      </w:r>
      <w:r w:rsidRPr="00A02837">
        <w:rPr>
          <w:i/>
          <w:highlight w:val="yellow"/>
        </w:rPr>
        <w:t>Bacillus megaterium</w:t>
      </w:r>
      <w:r>
        <w:t xml:space="preserve"> and </w:t>
      </w:r>
      <w:r w:rsidRPr="00A02837">
        <w:rPr>
          <w:i/>
          <w:highlight w:val="yellow"/>
        </w:rPr>
        <w:t>Pseudomonas fluorescens</w:t>
      </w:r>
      <w:r>
        <w:t>, as well as phosphate-</w:t>
      </w:r>
      <w:proofErr w:type="spellStart"/>
      <w:r>
        <w:t>solubilising</w:t>
      </w:r>
      <w:proofErr w:type="spellEnd"/>
      <w:r>
        <w:t xml:space="preserve"> fungi such as </w:t>
      </w:r>
      <w:r w:rsidRPr="00A02837">
        <w:rPr>
          <w:i/>
          <w:highlight w:val="yellow"/>
        </w:rPr>
        <w:t>Aspergillus awamori</w:t>
      </w:r>
      <w:r>
        <w:t xml:space="preserve">, have been shown to improve soil phosphorus availability and mulberry leaf phosphorus content. Arbuscular mycorrhizal fungi (AMF), particularly species of the genera </w:t>
      </w:r>
      <w:proofErr w:type="spellStart"/>
      <w:r>
        <w:t>Funneliformis</w:t>
      </w:r>
      <w:proofErr w:type="spellEnd"/>
      <w:r>
        <w:t xml:space="preserve"> and </w:t>
      </w:r>
      <w:proofErr w:type="spellStart"/>
      <w:r>
        <w:t>Rhizophagus</w:t>
      </w:r>
      <w:proofErr w:type="spellEnd"/>
      <w:r>
        <w:t xml:space="preserve">, have been demonstrated to </w:t>
      </w:r>
      <w:proofErr w:type="spellStart"/>
      <w:r>
        <w:t>colonise</w:t>
      </w:r>
      <w:proofErr w:type="spellEnd"/>
      <w:r>
        <w:t xml:space="preserve"> mulberry roots extensively, greatly improving nutrient uptake efficiency, photosynthetic performance, and leaf biochemical quality (Shi </w:t>
      </w:r>
      <w:r w:rsidRPr="00602DF7">
        <w:rPr>
          <w:highlight w:val="yellow"/>
        </w:rPr>
        <w:t>et al.,</w:t>
      </w:r>
      <w:r>
        <w:t xml:space="preserve"> 2016). Cyanobacteria, notably </w:t>
      </w:r>
      <w:r w:rsidRPr="00A02837">
        <w:rPr>
          <w:i/>
          <w:highlight w:val="yellow"/>
        </w:rPr>
        <w:t xml:space="preserve">Anabaena </w:t>
      </w:r>
      <w:proofErr w:type="spellStart"/>
      <w:r w:rsidRPr="00A02837">
        <w:rPr>
          <w:i/>
          <w:highlight w:val="yellow"/>
        </w:rPr>
        <w:t>variabilis</w:t>
      </w:r>
      <w:proofErr w:type="spellEnd"/>
      <w:r>
        <w:t xml:space="preserve">, </w:t>
      </w:r>
      <w:proofErr w:type="spellStart"/>
      <w:r w:rsidRPr="00A02837">
        <w:rPr>
          <w:i/>
          <w:highlight w:val="yellow"/>
        </w:rPr>
        <w:t>Nostoc</w:t>
      </w:r>
      <w:proofErr w:type="spellEnd"/>
      <w:r w:rsidR="00897DED" w:rsidRPr="00A02837">
        <w:rPr>
          <w:i/>
          <w:highlight w:val="yellow"/>
        </w:rPr>
        <w:t xml:space="preserve"> </w:t>
      </w:r>
      <w:proofErr w:type="spellStart"/>
      <w:r w:rsidRPr="00A02837">
        <w:rPr>
          <w:i/>
          <w:highlight w:val="yellow"/>
        </w:rPr>
        <w:t>muscorum</w:t>
      </w:r>
      <w:proofErr w:type="spellEnd"/>
      <w:r>
        <w:t xml:space="preserve">, and </w:t>
      </w:r>
      <w:r w:rsidRPr="00602DF7">
        <w:rPr>
          <w:highlight w:val="yellow"/>
        </w:rPr>
        <w:t>Spirulina</w:t>
      </w:r>
      <w:r>
        <w:t xml:space="preserve"> species, have been tested as supplementary nitrogen sources in mulberry gardens with promising results (</w:t>
      </w:r>
      <w:proofErr w:type="spellStart"/>
      <w:r>
        <w:t>Baqual</w:t>
      </w:r>
      <w:proofErr w:type="spellEnd"/>
      <w:r>
        <w:t xml:space="preserve">&amp; Das, 2006). Despite this growing body of literature, no comprehensive review has </w:t>
      </w:r>
      <w:proofErr w:type="spellStart"/>
      <w:r>
        <w:t>synthesised</w:t>
      </w:r>
      <w:proofErr w:type="spellEnd"/>
      <w:r>
        <w:t xml:space="preserve"> findings on the full range of </w:t>
      </w:r>
      <w:proofErr w:type="spellStart"/>
      <w:r>
        <w:t>biofertiliser</w:t>
      </w:r>
      <w:proofErr w:type="spellEnd"/>
      <w:r>
        <w:t xml:space="preserve"> types across all dimensions of mulberry productivity, including vegetative growth, leaf yield and quality, downstream effects on silkworm performance, and soil health outcomes.</w:t>
      </w:r>
    </w:p>
    <w:p w:rsidR="00AD6485" w:rsidRDefault="00757BAB">
      <w:pPr>
        <w:pStyle w:val="Heading2"/>
      </w:pPr>
      <w:r>
        <w:t>1.1 Scope and Objective</w:t>
      </w:r>
    </w:p>
    <w:p w:rsidR="00AD6485" w:rsidRDefault="00757BAB">
      <w:pPr>
        <w:spacing w:after="160" w:line="276" w:lineRule="auto"/>
        <w:jc w:val="both"/>
      </w:pPr>
      <w:r>
        <w:t xml:space="preserve">This review covers the literature on the application of </w:t>
      </w:r>
      <w:proofErr w:type="spellStart"/>
      <w:r>
        <w:t>biofertilisers</w:t>
      </w:r>
      <w:proofErr w:type="spellEnd"/>
      <w:r>
        <w:t xml:space="preserve"> — including nitrogen-fixing bacteria, phosphate-</w:t>
      </w:r>
      <w:proofErr w:type="spellStart"/>
      <w:r>
        <w:t>solubilising</w:t>
      </w:r>
      <w:proofErr w:type="spellEnd"/>
      <w:r>
        <w:t xml:space="preserve"> microorganisms, arbuscular mycorrhizal fungi, cyanobacteria, and plant growth-promoting rhizobacteria — to mulberry (</w:t>
      </w:r>
      <w:proofErr w:type="spellStart"/>
      <w:r w:rsidRPr="00A02837">
        <w:rPr>
          <w:i/>
          <w:highlight w:val="yellow"/>
        </w:rPr>
        <w:t>Morus</w:t>
      </w:r>
      <w:proofErr w:type="spellEnd"/>
      <w:r w:rsidRPr="00602DF7">
        <w:rPr>
          <w:highlight w:val="yellow"/>
        </w:rPr>
        <w:t xml:space="preserve"> spp</w:t>
      </w:r>
      <w:r>
        <w:t>.) and examines their effects on plant growth parameters, leaf yield, leaf biochemical composition, soil health indicators, and downstream sericulture performance. The primary objectives are: (</w:t>
      </w:r>
      <w:proofErr w:type="spellStart"/>
      <w:r>
        <w:t>i</w:t>
      </w:r>
      <w:proofErr w:type="spellEnd"/>
      <w:r>
        <w:t xml:space="preserve">) to systematically consolidate and evaluate existing research findings on </w:t>
      </w:r>
      <w:proofErr w:type="spellStart"/>
      <w:r>
        <w:t>biofertiliser</w:t>
      </w:r>
      <w:proofErr w:type="spellEnd"/>
      <w:r>
        <w:t xml:space="preserve"> effects on mulberry productivity; (ii) to identify the mechanisms through which different </w:t>
      </w:r>
      <w:proofErr w:type="spellStart"/>
      <w:r>
        <w:t>biofertiliser</w:t>
      </w:r>
      <w:proofErr w:type="spellEnd"/>
      <w:r>
        <w:t xml:space="preserve"> types exert their effects; (iii) to assess the potential of integrated nutrient management strategies that combine </w:t>
      </w:r>
      <w:proofErr w:type="spellStart"/>
      <w:r>
        <w:t>biofertilisers</w:t>
      </w:r>
      <w:proofErr w:type="spellEnd"/>
      <w:r>
        <w:t xml:space="preserve"> with organic and inorganic inputs; and (iv) to highlight existing research gaps and recommend future research priorities for advancing sustainable sericulture nutrition management. This subsection does not draw upon any external citations.</w:t>
      </w:r>
    </w:p>
    <w:p w:rsidR="00AD6485" w:rsidRDefault="00AD6485">
      <w:pPr>
        <w:spacing w:after="80"/>
      </w:pPr>
    </w:p>
    <w:p w:rsidR="00AD6485" w:rsidRDefault="00757BAB">
      <w:pPr>
        <w:pStyle w:val="Heading1"/>
      </w:pPr>
      <w:r>
        <w:t>2. Methods for Literature Selection</w:t>
      </w:r>
    </w:p>
    <w:p w:rsidR="00AD6485" w:rsidRDefault="00757BAB">
      <w:pPr>
        <w:spacing w:after="160" w:line="276" w:lineRule="auto"/>
        <w:jc w:val="both"/>
      </w:pPr>
      <w:r>
        <w:t>A systematic search of the scientific literature was conducted using the academic databases Web of Science, Scopus, Google Scholar, and PubMed. The following primary search strings were employed: "</w:t>
      </w:r>
      <w:proofErr w:type="spellStart"/>
      <w:r>
        <w:t>biofertiliser</w:t>
      </w:r>
      <w:proofErr w:type="spellEnd"/>
      <w:r>
        <w:t xml:space="preserve"> </w:t>
      </w:r>
      <w:r w:rsidRPr="0009057C">
        <w:rPr>
          <w:highlight w:val="yellow"/>
        </w:rPr>
        <w:t>AND</w:t>
      </w:r>
      <w:r>
        <w:t xml:space="preserve"> mulberry", "biofertilizer </w:t>
      </w:r>
      <w:r w:rsidRPr="0009057C">
        <w:rPr>
          <w:highlight w:val="yellow"/>
        </w:rPr>
        <w:t xml:space="preserve">AND </w:t>
      </w:r>
      <w:proofErr w:type="spellStart"/>
      <w:r w:rsidRPr="0009057C">
        <w:rPr>
          <w:highlight w:val="yellow"/>
        </w:rPr>
        <w:t>Morus</w:t>
      </w:r>
      <w:proofErr w:type="spellEnd"/>
      <w:r w:rsidRPr="0009057C">
        <w:rPr>
          <w:highlight w:val="yellow"/>
        </w:rPr>
        <w:t xml:space="preserve"> alba</w:t>
      </w:r>
      <w:r>
        <w:t xml:space="preserve">", "mycorrhiza </w:t>
      </w:r>
      <w:r w:rsidRPr="0009057C">
        <w:rPr>
          <w:highlight w:val="yellow"/>
        </w:rPr>
        <w:t>AND</w:t>
      </w:r>
      <w:r>
        <w:t xml:space="preserve"> mulberry", "</w:t>
      </w:r>
      <w:proofErr w:type="spellStart"/>
      <w:r>
        <w:t>Azotobacter</w:t>
      </w:r>
      <w:proofErr w:type="spellEnd"/>
      <w:r>
        <w:t xml:space="preserve"> </w:t>
      </w:r>
      <w:r w:rsidRPr="0009057C">
        <w:rPr>
          <w:highlight w:val="yellow"/>
        </w:rPr>
        <w:t>AND</w:t>
      </w:r>
      <w:r>
        <w:t xml:space="preserve"> mulberry", "PGPR </w:t>
      </w:r>
      <w:r w:rsidRPr="0009057C">
        <w:rPr>
          <w:highlight w:val="yellow"/>
        </w:rPr>
        <w:t>AND</w:t>
      </w:r>
      <w:r>
        <w:t xml:space="preserve"> sericulture", "phosphate solubilizing bacteria </w:t>
      </w:r>
      <w:r w:rsidRPr="0009057C">
        <w:rPr>
          <w:highlight w:val="yellow"/>
        </w:rPr>
        <w:t xml:space="preserve">AND </w:t>
      </w:r>
      <w:proofErr w:type="spellStart"/>
      <w:r w:rsidRPr="0009057C">
        <w:rPr>
          <w:highlight w:val="yellow"/>
        </w:rPr>
        <w:t>Morus</w:t>
      </w:r>
      <w:proofErr w:type="spellEnd"/>
      <w:r>
        <w:t xml:space="preserve">", and "nitrogen fixation </w:t>
      </w:r>
      <w:r w:rsidRPr="0009057C">
        <w:rPr>
          <w:highlight w:val="yellow"/>
        </w:rPr>
        <w:t>AND</w:t>
      </w:r>
      <w:r>
        <w:t xml:space="preserve"> mulberry". Additional targeted searches were conducted by combining specific microorganism names — including </w:t>
      </w:r>
      <w:proofErr w:type="spellStart"/>
      <w:r>
        <w:t>Azospirillum</w:t>
      </w:r>
      <w:proofErr w:type="spellEnd"/>
      <w:r>
        <w:t xml:space="preserve">, </w:t>
      </w:r>
      <w:proofErr w:type="spellStart"/>
      <w:r w:rsidRPr="0009057C">
        <w:rPr>
          <w:highlight w:val="yellow"/>
        </w:rPr>
        <w:t>Funneliformismosseae</w:t>
      </w:r>
      <w:proofErr w:type="spellEnd"/>
      <w:r>
        <w:t xml:space="preserve">, cyanobacteria, Trichoderma, Bacillus, and Pseudomonas — with "mulberry" or "sericulture". The date range for primary literature retrieval was January 2005 to March 2026, with supplementary inclusion of classic </w:t>
      </w:r>
      <w:r>
        <w:lastRenderedPageBreak/>
        <w:t>foundational publications prior to 2005 where they provided critical mechanistic or historical context.</w:t>
      </w:r>
    </w:p>
    <w:p w:rsidR="00AD6485" w:rsidRDefault="00757BAB">
      <w:pPr>
        <w:spacing w:after="160" w:line="276" w:lineRule="auto"/>
        <w:jc w:val="both"/>
      </w:pPr>
      <w:r w:rsidRPr="00602482">
        <w:t xml:space="preserve">Inclusion criteria were as follows: (a) peer-reviewed journal articles published in reputed academic journals with verifiable digital object identifiers (DOIs) or institutional web links; (b) studies reporting measurable outcomes related to mulberry plant growth, leaf yield, leaf biochemical quality, soil health parameters, or silkworm rearing performance following </w:t>
      </w:r>
      <w:proofErr w:type="spellStart"/>
      <w:r w:rsidRPr="00602482">
        <w:t>biofertiliser</w:t>
      </w:r>
      <w:proofErr w:type="spellEnd"/>
      <w:r w:rsidRPr="00602482">
        <w:t xml:space="preserve"> application; and (c) review articles covering relevant mechanistic or agronomic aspects of </w:t>
      </w:r>
      <w:proofErr w:type="spellStart"/>
      <w:r w:rsidRPr="00602482">
        <w:t>biofertiliser</w:t>
      </w:r>
      <w:proofErr w:type="spellEnd"/>
      <w:r w:rsidRPr="00602482">
        <w:t xml:space="preserve"> use in perennial crops or sericulture systems. Exclusion criteria were: (a) conference proceedings, book chapters, grey literature, and unpublished theses or dissertations; (b) papers exclusively focused on crops other than mulberry without explicit reference to mulberry-relevant implications; (c) papers published in non-reputed journals lacking verifiable indexing or DOIs; and (d) studies that did not present primary empirical data or rigorously reviewed evidence. No language restrictions were applied at the search stage, although all references ultimately included in this review were available in English. </w:t>
      </w:r>
      <w:r w:rsidR="00805A13" w:rsidRPr="00602482">
        <w:t>R</w:t>
      </w:r>
      <w:r w:rsidRPr="00602482">
        <w:t>ecent references published between 2005 and 2026 from reputed academic journals were included, with additional classic references used to provide historical and mechanistic context wherever necessary.</w:t>
      </w:r>
    </w:p>
    <w:p w:rsidR="00AD6485" w:rsidRDefault="00AD6485">
      <w:pPr>
        <w:spacing w:after="80"/>
      </w:pPr>
    </w:p>
    <w:p w:rsidR="00AD6485" w:rsidRDefault="00757BAB">
      <w:pPr>
        <w:pStyle w:val="Heading1"/>
      </w:pPr>
      <w:r>
        <w:t>3. Mulberry: Botanical Profile and Socio-Economic Significance</w:t>
      </w:r>
    </w:p>
    <w:p w:rsidR="00AD6485" w:rsidRDefault="00757BAB">
      <w:pPr>
        <w:spacing w:after="160" w:line="276" w:lineRule="auto"/>
        <w:jc w:val="both"/>
      </w:pPr>
      <w:r>
        <w:t xml:space="preserve">Mulberry belongs to the genus </w:t>
      </w:r>
      <w:proofErr w:type="spellStart"/>
      <w:r w:rsidRPr="00A02837">
        <w:rPr>
          <w:i/>
          <w:highlight w:val="yellow"/>
        </w:rPr>
        <w:t>Morus</w:t>
      </w:r>
      <w:proofErr w:type="spellEnd"/>
      <w:r>
        <w:t xml:space="preserve"> of the family </w:t>
      </w:r>
      <w:proofErr w:type="spellStart"/>
      <w:r>
        <w:t>Moraceae</w:t>
      </w:r>
      <w:proofErr w:type="spellEnd"/>
      <w:r>
        <w:t xml:space="preserve">. The taxonomy of this genus is complex and much-disputed: over 150 species names have been published historically, though modern botanical authorities generally accept approximately 10–20 as valid, with </w:t>
      </w:r>
      <w:proofErr w:type="spellStart"/>
      <w:r>
        <w:t>Morus</w:t>
      </w:r>
      <w:proofErr w:type="spellEnd"/>
      <w:r>
        <w:t xml:space="preserve"> alba L. (white mulberry), </w:t>
      </w:r>
      <w:proofErr w:type="spellStart"/>
      <w:r w:rsidRPr="00A02837">
        <w:rPr>
          <w:i/>
          <w:highlight w:val="yellow"/>
        </w:rPr>
        <w:t>Morus</w:t>
      </w:r>
      <w:proofErr w:type="spellEnd"/>
      <w:r w:rsidR="00897DED" w:rsidRPr="00A02837">
        <w:rPr>
          <w:i/>
          <w:highlight w:val="yellow"/>
        </w:rPr>
        <w:t xml:space="preserve"> </w:t>
      </w:r>
      <w:proofErr w:type="spellStart"/>
      <w:r w:rsidRPr="00A02837">
        <w:rPr>
          <w:i/>
          <w:highlight w:val="yellow"/>
        </w:rPr>
        <w:t>bombycis</w:t>
      </w:r>
      <w:proofErr w:type="spellEnd"/>
      <w:r w:rsidR="00897DED">
        <w:rPr>
          <w:highlight w:val="yellow"/>
        </w:rPr>
        <w:t xml:space="preserve"> </w:t>
      </w:r>
      <w:proofErr w:type="spellStart"/>
      <w:r w:rsidRPr="003A12AB">
        <w:rPr>
          <w:highlight w:val="yellow"/>
        </w:rPr>
        <w:t>Koidz</w:t>
      </w:r>
      <w:proofErr w:type="spellEnd"/>
      <w:r w:rsidRPr="003A12AB">
        <w:rPr>
          <w:highlight w:val="yellow"/>
        </w:rPr>
        <w:t>.</w:t>
      </w:r>
      <w:r>
        <w:t xml:space="preserve"> (Japanese mulberry), </w:t>
      </w:r>
      <w:proofErr w:type="spellStart"/>
      <w:r w:rsidRPr="00A02837">
        <w:rPr>
          <w:i/>
          <w:highlight w:val="yellow"/>
        </w:rPr>
        <w:t>Morus</w:t>
      </w:r>
      <w:proofErr w:type="spellEnd"/>
      <w:r w:rsidR="00897DED" w:rsidRPr="00A02837">
        <w:rPr>
          <w:i/>
          <w:highlight w:val="yellow"/>
        </w:rPr>
        <w:t xml:space="preserve"> </w:t>
      </w:r>
      <w:proofErr w:type="spellStart"/>
      <w:r w:rsidRPr="00A02837">
        <w:rPr>
          <w:i/>
          <w:highlight w:val="yellow"/>
        </w:rPr>
        <w:t>multicaulis</w:t>
      </w:r>
      <w:proofErr w:type="spellEnd"/>
      <w:r w:rsidR="00897DED">
        <w:rPr>
          <w:highlight w:val="yellow"/>
        </w:rPr>
        <w:t xml:space="preserve"> </w:t>
      </w:r>
      <w:proofErr w:type="spellStart"/>
      <w:r w:rsidRPr="003A12AB">
        <w:rPr>
          <w:highlight w:val="yellow"/>
        </w:rPr>
        <w:t>Perr</w:t>
      </w:r>
      <w:proofErr w:type="spellEnd"/>
      <w:r w:rsidRPr="003A12AB">
        <w:rPr>
          <w:highlight w:val="yellow"/>
        </w:rPr>
        <w:t>.</w:t>
      </w:r>
      <w:r>
        <w:t xml:space="preserve"> (Chinese mulberry), and </w:t>
      </w:r>
      <w:proofErr w:type="spellStart"/>
      <w:r w:rsidRPr="00A02837">
        <w:rPr>
          <w:i/>
          <w:highlight w:val="yellow"/>
        </w:rPr>
        <w:t>Morus</w:t>
      </w:r>
      <w:proofErr w:type="spellEnd"/>
      <w:r w:rsidRPr="00A02837">
        <w:rPr>
          <w:i/>
          <w:highlight w:val="yellow"/>
        </w:rPr>
        <w:t xml:space="preserve"> </w:t>
      </w:r>
      <w:proofErr w:type="spellStart"/>
      <w:r w:rsidRPr="00A02837">
        <w:rPr>
          <w:i/>
          <w:highlight w:val="yellow"/>
        </w:rPr>
        <w:t>indica</w:t>
      </w:r>
      <w:proofErr w:type="spellEnd"/>
      <w:r>
        <w:t xml:space="preserve"> L. being most extensively cultivated for sericulture purposes. </w:t>
      </w:r>
      <w:proofErr w:type="spellStart"/>
      <w:r w:rsidRPr="00A02837">
        <w:rPr>
          <w:i/>
          <w:highlight w:val="yellow"/>
        </w:rPr>
        <w:t>Morus</w:t>
      </w:r>
      <w:proofErr w:type="spellEnd"/>
      <w:r w:rsidRPr="00A02837">
        <w:rPr>
          <w:i/>
          <w:highlight w:val="yellow"/>
        </w:rPr>
        <w:t xml:space="preserve"> alba</w:t>
      </w:r>
      <w:r>
        <w:t xml:space="preserve"> is </w:t>
      </w:r>
      <w:proofErr w:type="spellStart"/>
      <w:r>
        <w:t>characterised</w:t>
      </w:r>
      <w:proofErr w:type="spellEnd"/>
      <w:r>
        <w:t xml:space="preserve"> by vigorous growth habit, rapid biomass accumulation, and substantial phenotypic plasticity, which allows it to thrive across diverse soil types and </w:t>
      </w:r>
      <w:proofErr w:type="spellStart"/>
      <w:r>
        <w:t>agro</w:t>
      </w:r>
      <w:proofErr w:type="spellEnd"/>
      <w:r>
        <w:t>-climatic conditions ranging from tropical to temperate. It is a deep-rooted, deciduous perennial shrub or small tree typically managed by periodic pruning to encourage dense, leaf-rich shoot growth suitable for silkworm feeding</w:t>
      </w:r>
      <w:r w:rsidR="00897DED">
        <w:rPr>
          <w:highlight w:val="yellow"/>
        </w:rPr>
        <w:t>.</w:t>
      </w:r>
    </w:p>
    <w:p w:rsidR="00AD6485" w:rsidRDefault="00757BAB">
      <w:pPr>
        <w:spacing w:after="160" w:line="276" w:lineRule="auto"/>
        <w:jc w:val="both"/>
      </w:pPr>
      <w:r>
        <w:t>The socio-economic significance of mulberry is intimately linked to the global silk industry. China and India collectively produce more than 90% of the world's raw silk, with mulberry silk dominating output in both countries. In India alone, the sericulture sector directly supports approximately 8.5 million people, predominantly in rural areas, and the country maintains around 189,000 hectares under mulberry cultivation (</w:t>
      </w:r>
      <w:proofErr w:type="spellStart"/>
      <w:r>
        <w:t>Banuprakash</w:t>
      </w:r>
      <w:proofErr w:type="spellEnd"/>
      <w:r>
        <w:t xml:space="preserve"> et al., 2024). Mulberry leaves constitute the sole food source for the domesticated silkworm (</w:t>
      </w:r>
      <w:r w:rsidRPr="00A02837">
        <w:rPr>
          <w:i/>
          <w:highlight w:val="yellow"/>
        </w:rPr>
        <w:t>Bombyx mori</w:t>
      </w:r>
      <w:r>
        <w:t xml:space="preserve"> L.) throughout its larval period, and leaf quality exerts a direct influence on larval growth, cocoon traits, silk </w:t>
      </w:r>
      <w:proofErr w:type="spellStart"/>
      <w:r>
        <w:t>reelability</w:t>
      </w:r>
      <w:proofErr w:type="spellEnd"/>
      <w:r>
        <w:t>, filament length, and the commercial value of raw silk. Consequently, any factor that limits mulberry leaf production or degrades its biochemical composition has immediate and measurable economic repercussions.</w:t>
      </w:r>
    </w:p>
    <w:p w:rsidR="00AD6485" w:rsidRDefault="00757BAB">
      <w:pPr>
        <w:spacing w:after="160" w:line="276" w:lineRule="auto"/>
        <w:jc w:val="both"/>
      </w:pPr>
      <w:r>
        <w:lastRenderedPageBreak/>
        <w:t xml:space="preserve">Beyond sericulture, mulberry has gained recognition as a multipurpose plant with diverse ecological, nutritional, and industrial applications. The fruits of several </w:t>
      </w:r>
      <w:proofErr w:type="spellStart"/>
      <w:r w:rsidRPr="00A02837">
        <w:rPr>
          <w:i/>
          <w:highlight w:val="yellow"/>
        </w:rPr>
        <w:t>Morus</w:t>
      </w:r>
      <w:proofErr w:type="spellEnd"/>
      <w:r>
        <w:t xml:space="preserve"> species are consumed fresh or processed into juices, jams, wines, and nutraceutical preparations. Mulberry leaves are used as food and functional ingredients in East Asian cultures. The wood is used in carpentry and the manufacture of sports equipment. Pruned branches serve as fuel in many rural communities. These multipurpose qualities add further rationale for the development of sustainable, ecologically sound cultivation practices that enhance overall plant productivity. Mulberry is physiologically </w:t>
      </w:r>
      <w:proofErr w:type="spellStart"/>
      <w:r>
        <w:t>characterised</w:t>
      </w:r>
      <w:proofErr w:type="spellEnd"/>
      <w:r>
        <w:t xml:space="preserve"> by a high nitrogen demand resulting from its rapid shoot growth and high leaf protein content. Recommended nitrogen application rates in established mulberry gardens typically range from approximately 300 to 450 kg N ha⁻¹ yr⁻¹, applied in multiple splits coinciding with seasonal pruning schedules (Chen </w:t>
      </w:r>
      <w:r w:rsidRPr="001D3B5A">
        <w:rPr>
          <w:highlight w:val="yellow"/>
        </w:rPr>
        <w:t>et al.,</w:t>
      </w:r>
      <w:r>
        <w:t xml:space="preserve"> 2009). This </w:t>
      </w:r>
      <w:r w:rsidRPr="001D3B5A">
        <w:rPr>
          <w:highlight w:val="yellow"/>
        </w:rPr>
        <w:t>intensive N demand</w:t>
      </w:r>
      <w:r>
        <w:t xml:space="preserve">, combined with significant requirements for phosphorus (P) and potassium (K), places mulberry among the more nutrient-demanding perennial crops, making it highly responsive to innovative </w:t>
      </w:r>
      <w:proofErr w:type="spellStart"/>
      <w:r>
        <w:t>fertilisation</w:t>
      </w:r>
      <w:proofErr w:type="spellEnd"/>
      <w:r>
        <w:t xml:space="preserve"> strategies including </w:t>
      </w:r>
      <w:proofErr w:type="spellStart"/>
      <w:r>
        <w:t>biofertiliser</w:t>
      </w:r>
      <w:proofErr w:type="spellEnd"/>
      <w:r>
        <w:t xml:space="preserve"> application.</w:t>
      </w:r>
    </w:p>
    <w:p w:rsidR="00AD6485" w:rsidRDefault="00AD6485">
      <w:pPr>
        <w:spacing w:after="80"/>
      </w:pPr>
    </w:p>
    <w:p w:rsidR="00AD6485" w:rsidRDefault="00757BAB">
      <w:pPr>
        <w:pStyle w:val="Heading1"/>
      </w:pPr>
      <w:r>
        <w:t xml:space="preserve">4. Nutritional Requirements of Mulberry and Limitations of Conventional </w:t>
      </w:r>
      <w:proofErr w:type="spellStart"/>
      <w:r>
        <w:t>Fertilisation</w:t>
      </w:r>
      <w:proofErr w:type="spellEnd"/>
    </w:p>
    <w:p w:rsidR="00AD6485" w:rsidRDefault="00757BAB">
      <w:pPr>
        <w:spacing w:after="160" w:line="276" w:lineRule="auto"/>
        <w:jc w:val="both"/>
      </w:pPr>
      <w:r>
        <w:t xml:space="preserve">Mulberry requires a balanced supply of both macro- and micronutrients for optimal growth and leaf production. Nitrogen is the most limiting macronutrient and directly influences leaf crude protein content and the total amino acid composition of mulberry leaves, both of which are the primary determinants of silkworm rearing success. Phosphorus plays critical roles in photosynthesis, energy transfer, cell division, and root development, and is essential for the synthesis of ATP, phospholipids, and nucleic acids. Potassium regulates stomatal conductance, enzyme activation, and the transport of assimilates, and has been shown to improve leaf sugar and amino acid concentrations in mulberry (Chen </w:t>
      </w:r>
      <w:r w:rsidRPr="001D3B5A">
        <w:rPr>
          <w:highlight w:val="yellow"/>
        </w:rPr>
        <w:t>et al.,</w:t>
      </w:r>
      <w:r>
        <w:t xml:space="preserve"> 2009). Among micronutrients, zinc, iron, manganese, copper, boron, and </w:t>
      </w:r>
      <w:proofErr w:type="spellStart"/>
      <w:r>
        <w:t>sulphur</w:t>
      </w:r>
      <w:proofErr w:type="spellEnd"/>
      <w:r>
        <w:t xml:space="preserve"> are critical for various metabolic functions and enzyme systems in mulberry, and deficiencies in these elements are widespread in intensively managed mulberry gardens.</w:t>
      </w:r>
    </w:p>
    <w:p w:rsidR="00AD6485" w:rsidRDefault="00757BAB">
      <w:pPr>
        <w:spacing w:after="160" w:line="276" w:lineRule="auto"/>
        <w:jc w:val="both"/>
      </w:pPr>
      <w:r>
        <w:t xml:space="preserve">Continuous and intensive cultivation of mulberry using mineral </w:t>
      </w:r>
      <w:proofErr w:type="spellStart"/>
      <w:r>
        <w:t>fertilisers</w:t>
      </w:r>
      <w:proofErr w:type="spellEnd"/>
      <w:r>
        <w:t xml:space="preserve"> has led to a range of well-documented agronomic and environmental problems. In many traditional sericulture zones of South and East Asia, surveys have revealed significant imbalances between nitrogen application rates and phosphorus or potassium inputs, resulting in sub-optimal leaf quality despite high absolute nitrogen doses. In Hubei Province of China alone, nitrogen </w:t>
      </w:r>
      <w:proofErr w:type="spellStart"/>
      <w:r>
        <w:t>fertilisation</w:t>
      </w:r>
      <w:proofErr w:type="spellEnd"/>
      <w:r>
        <w:t xml:space="preserve"> rates in mulberry gardens were recorded at as high as 454 kg ha⁻¹ yr⁻¹, far exceeding balanced nutritional requirements, yet without commensurate phosphorus and potassium application (Chen </w:t>
      </w:r>
      <w:r w:rsidRPr="001D3B5A">
        <w:rPr>
          <w:highlight w:val="yellow"/>
        </w:rPr>
        <w:t>et al.,</w:t>
      </w:r>
      <w:r>
        <w:t xml:space="preserve"> 2009). High nitrogen inputs without commensurate phosphorus and potassium application can increase leaf crude protein while simultaneously reducing sugar and essential amino acid concentrations, negatively affecting silkworm rearing performance and cocoon quality (Ram Rao </w:t>
      </w:r>
      <w:r w:rsidRPr="001D3B5A">
        <w:rPr>
          <w:highlight w:val="yellow"/>
        </w:rPr>
        <w:t>et al.,</w:t>
      </w:r>
      <w:r>
        <w:t xml:space="preserve"> 2007). Soil acidification, particularly in areas receiving prolonged applications of ammonium-based </w:t>
      </w:r>
      <w:proofErr w:type="spellStart"/>
      <w:r>
        <w:t>fertilisers</w:t>
      </w:r>
      <w:proofErr w:type="spellEnd"/>
      <w:r>
        <w:t xml:space="preserve">, has been documented extensively in mulberry </w:t>
      </w:r>
      <w:r>
        <w:lastRenderedPageBreak/>
        <w:t>gardens across India and China, with downstream effects on soil biological diversity, nutrient cycling rates, and the availability of micronutrients.</w:t>
      </w:r>
      <w:r w:rsidR="001D3B5A" w:rsidRPr="001D3B5A">
        <w:rPr>
          <w:highlight w:val="yellow"/>
        </w:rPr>
        <w:t xml:space="preserve"> </w:t>
      </w:r>
      <w:r>
        <w:t xml:space="preserve">Perhaps most significantly from a long-term sustainability perspective, heavy reliance on synthetic </w:t>
      </w:r>
      <w:proofErr w:type="spellStart"/>
      <w:r>
        <w:t>fertilisers</w:t>
      </w:r>
      <w:proofErr w:type="spellEnd"/>
      <w:r>
        <w:t xml:space="preserve"> depresses soil microbial biomass, disrupts populations of beneficial </w:t>
      </w:r>
      <w:proofErr w:type="spellStart"/>
      <w:r>
        <w:t>rhizospheric</w:t>
      </w:r>
      <w:proofErr w:type="spellEnd"/>
      <w:r>
        <w:t xml:space="preserve"> microorganisms, and reduces soil organic carbon stocks.</w:t>
      </w:r>
      <w:r w:rsidR="001D3B5A" w:rsidRPr="001D3B5A">
        <w:rPr>
          <w:highlight w:val="yellow"/>
        </w:rPr>
        <w:t xml:space="preserve"> </w:t>
      </w:r>
      <w:r>
        <w:t xml:space="preserve">The loss of these biological components erodes the natural nutrient cycling capacity of the soil, increasing dependence on external </w:t>
      </w:r>
      <w:proofErr w:type="spellStart"/>
      <w:r>
        <w:t>fertiliser</w:t>
      </w:r>
      <w:proofErr w:type="spellEnd"/>
      <w:r>
        <w:t xml:space="preserve"> inputs over time in a self-reinforcing cycle of biological degradation and input intensification. </w:t>
      </w:r>
      <w:proofErr w:type="spellStart"/>
      <w:r>
        <w:t>Recognising</w:t>
      </w:r>
      <w:proofErr w:type="spellEnd"/>
      <w:r>
        <w:t xml:space="preserve"> this dynamic, researchers and policymakers have increasingly advocated for integrated nutrient management (INM) strategies that restore soil biological activity and reduce chemical inputs (Ray </w:t>
      </w:r>
      <w:r w:rsidRPr="001D3B5A">
        <w:rPr>
          <w:highlight w:val="yellow"/>
        </w:rPr>
        <w:t>et al.,</w:t>
      </w:r>
      <w:r>
        <w:t xml:space="preserve"> 2021). </w:t>
      </w:r>
      <w:proofErr w:type="spellStart"/>
      <w:r>
        <w:t>Biofertilisers</w:t>
      </w:r>
      <w:proofErr w:type="spellEnd"/>
      <w:r>
        <w:t xml:space="preserve"> occupy a central role in most contemporary INM frameworks for mulberry, as they directly address the biological deficits created by chemical-intensive management and offer a pathway to restoring the self-sustaining nutrient cycling functions of healthy, biologically active soils.</w:t>
      </w:r>
    </w:p>
    <w:p w:rsidR="00AD6485" w:rsidRDefault="00AD6485">
      <w:pPr>
        <w:spacing w:after="80"/>
      </w:pPr>
    </w:p>
    <w:p w:rsidR="00AD6485" w:rsidRDefault="00757BAB">
      <w:pPr>
        <w:pStyle w:val="Heading1"/>
      </w:pPr>
      <w:r>
        <w:t xml:space="preserve">5. </w:t>
      </w:r>
      <w:proofErr w:type="spellStart"/>
      <w:r>
        <w:t>Biofertilisers</w:t>
      </w:r>
      <w:proofErr w:type="spellEnd"/>
      <w:r>
        <w:t>: Concepts, Classification and Mechanisms of Action</w:t>
      </w:r>
    </w:p>
    <w:p w:rsidR="00AD6485" w:rsidRDefault="00757BAB">
      <w:pPr>
        <w:spacing w:after="160" w:line="276" w:lineRule="auto"/>
        <w:jc w:val="both"/>
      </w:pPr>
      <w:r>
        <w:t>The term "</w:t>
      </w:r>
      <w:proofErr w:type="spellStart"/>
      <w:r>
        <w:t>biofertiliser</w:t>
      </w:r>
      <w:proofErr w:type="spellEnd"/>
      <w:r>
        <w:t xml:space="preserve">" refers to preparations containing one or more beneficial microorganisms in viable form that, when applied to seeds, plant surfaces, or soil, </w:t>
      </w:r>
      <w:proofErr w:type="spellStart"/>
      <w:r>
        <w:t>colonise</w:t>
      </w:r>
      <w:proofErr w:type="spellEnd"/>
      <w:r>
        <w:t xml:space="preserve"> the rhizosphere or the root interior and directly or indirectly promote plant growth by facilitating the acquisition of nutrients from the environment (Bhattacharyya &amp; Jha, 2012). </w:t>
      </w:r>
      <w:proofErr w:type="spellStart"/>
      <w:r>
        <w:t>Biofertilisers</w:t>
      </w:r>
      <w:proofErr w:type="spellEnd"/>
      <w:r>
        <w:t xml:space="preserve"> are distinct from biopesticides, </w:t>
      </w:r>
      <w:proofErr w:type="spellStart"/>
      <w:r>
        <w:t>biostimulants</w:t>
      </w:r>
      <w:proofErr w:type="spellEnd"/>
      <w:r>
        <w:t xml:space="preserve">, and organic manures, although their functions often overlap with those of </w:t>
      </w:r>
      <w:proofErr w:type="spellStart"/>
      <w:r>
        <w:t>biostimulants</w:t>
      </w:r>
      <w:proofErr w:type="spellEnd"/>
      <w:r>
        <w:t xml:space="preserve"> due to phytohormone production. They are generally classified on the basis of the primary nutrient cycle they influence and the taxonomic identity of the microorganism involved.</w:t>
      </w:r>
    </w:p>
    <w:p w:rsidR="00AD6485" w:rsidRDefault="00757BAB">
      <w:pPr>
        <w:pStyle w:val="Heading2"/>
      </w:pPr>
      <w:r>
        <w:t>5.1 Nitrogen-Fixing Bacteria</w:t>
      </w:r>
    </w:p>
    <w:p w:rsidR="00AD6485" w:rsidRDefault="00757BAB">
      <w:pPr>
        <w:spacing w:after="160" w:line="276" w:lineRule="auto"/>
        <w:jc w:val="both"/>
      </w:pPr>
      <w:r>
        <w:t>Biological nitrogen fixation (BNF) is the enzymatic conversion of atmospheric dinitrogen (N₂) into ammonia or related compounds through the action of the nitrogenase enzyme complex.</w:t>
      </w:r>
      <w:r w:rsidR="001D3B5A" w:rsidRPr="001D3B5A">
        <w:rPr>
          <w:highlight w:val="yellow"/>
        </w:rPr>
        <w:t xml:space="preserve"> </w:t>
      </w:r>
      <w:r>
        <w:t xml:space="preserve">Free-living nitrogen-fixing bacteria — including species of </w:t>
      </w:r>
      <w:proofErr w:type="spellStart"/>
      <w:r>
        <w:t>Azotobacter</w:t>
      </w:r>
      <w:proofErr w:type="spellEnd"/>
      <w:r>
        <w:t xml:space="preserve">, </w:t>
      </w:r>
      <w:proofErr w:type="spellStart"/>
      <w:r>
        <w:t>Azospirillum</w:t>
      </w:r>
      <w:proofErr w:type="spellEnd"/>
      <w:r>
        <w:t xml:space="preserve">, </w:t>
      </w:r>
      <w:proofErr w:type="spellStart"/>
      <w:r>
        <w:t>Beijerinckia</w:t>
      </w:r>
      <w:proofErr w:type="spellEnd"/>
      <w:r>
        <w:t xml:space="preserve">, and </w:t>
      </w:r>
      <w:proofErr w:type="spellStart"/>
      <w:r>
        <w:t>Gluconacetobacter</w:t>
      </w:r>
      <w:proofErr w:type="spellEnd"/>
      <w:r>
        <w:t xml:space="preserve"> — are the principal nitrogen-fixing </w:t>
      </w:r>
      <w:proofErr w:type="spellStart"/>
      <w:r>
        <w:t>biofertiliser</w:t>
      </w:r>
      <w:proofErr w:type="spellEnd"/>
      <w:r>
        <w:t xml:space="preserve"> agents used in mulberry cultivation.</w:t>
      </w:r>
      <w:r w:rsidR="001D3B5A" w:rsidRPr="001D3B5A">
        <w:rPr>
          <w:highlight w:val="yellow"/>
        </w:rPr>
        <w:t xml:space="preserve"> </w:t>
      </w:r>
      <w:r>
        <w:t xml:space="preserve">These bacteria </w:t>
      </w:r>
      <w:proofErr w:type="spellStart"/>
      <w:r>
        <w:t>colonise</w:t>
      </w:r>
      <w:proofErr w:type="spellEnd"/>
      <w:r>
        <w:t xml:space="preserve"> the rhizosphere and </w:t>
      </w:r>
      <w:proofErr w:type="spellStart"/>
      <w:r>
        <w:t>phyllosphere</w:t>
      </w:r>
      <w:proofErr w:type="spellEnd"/>
      <w:r>
        <w:t xml:space="preserve">, fixing between 20 and 30 kg N ha⁻¹ yr⁻¹ under </w:t>
      </w:r>
      <w:proofErr w:type="spellStart"/>
      <w:r>
        <w:t>favourable</w:t>
      </w:r>
      <w:proofErr w:type="spellEnd"/>
      <w:r>
        <w:t xml:space="preserve"> conditions.</w:t>
      </w:r>
      <w:r w:rsidR="001D3B5A" w:rsidRPr="001D3B5A">
        <w:rPr>
          <w:highlight w:val="yellow"/>
        </w:rPr>
        <w:t xml:space="preserve"> </w:t>
      </w:r>
      <w:r>
        <w:t xml:space="preserve">In addition to nitrogen fixation, they produce indole-3-acetic acid (IAA), gibberellins, </w:t>
      </w:r>
      <w:proofErr w:type="spellStart"/>
      <w:r>
        <w:t>cytokinins</w:t>
      </w:r>
      <w:proofErr w:type="spellEnd"/>
      <w:r>
        <w:t xml:space="preserve">, and other growth-promoting compounds that stimulate root elongation, enhance root surface area, and improve nutrient uptake efficiency (Bhattacharyya &amp; Jha, 2012). </w:t>
      </w:r>
      <w:proofErr w:type="spellStart"/>
      <w:r w:rsidRPr="00A02837">
        <w:rPr>
          <w:i/>
        </w:rPr>
        <w:t>Azotobacter</w:t>
      </w:r>
      <w:proofErr w:type="spellEnd"/>
      <w:r w:rsidR="00A5083C" w:rsidRPr="00A02837">
        <w:rPr>
          <w:i/>
        </w:rPr>
        <w:t xml:space="preserve"> </w:t>
      </w:r>
      <w:proofErr w:type="spellStart"/>
      <w:r w:rsidRPr="00A02837">
        <w:rPr>
          <w:i/>
        </w:rPr>
        <w:t>chroococcum</w:t>
      </w:r>
      <w:proofErr w:type="spellEnd"/>
      <w:r>
        <w:t xml:space="preserve"> is particularly valued for its ability to tolerate moderate salinity, produce abundant exopolysaccharides that improve soil aggregation, and </w:t>
      </w:r>
      <w:proofErr w:type="spellStart"/>
      <w:r>
        <w:t>synthesise</w:t>
      </w:r>
      <w:proofErr w:type="spellEnd"/>
      <w:r>
        <w:t xml:space="preserve"> antifungal compounds that suppress root pathogens.</w:t>
      </w:r>
    </w:p>
    <w:p w:rsidR="00AD6485" w:rsidRDefault="00757BAB">
      <w:pPr>
        <w:pStyle w:val="Heading2"/>
      </w:pPr>
      <w:r>
        <w:t>5.2 Phosphate-</w:t>
      </w:r>
      <w:proofErr w:type="spellStart"/>
      <w:r>
        <w:t>Solubilising</w:t>
      </w:r>
      <w:proofErr w:type="spellEnd"/>
      <w:r>
        <w:t xml:space="preserve"> Microorganisms</w:t>
      </w:r>
    </w:p>
    <w:p w:rsidR="00AD6485" w:rsidRDefault="00757BAB">
      <w:pPr>
        <w:spacing w:after="160" w:line="276" w:lineRule="auto"/>
        <w:jc w:val="both"/>
      </w:pPr>
      <w:r>
        <w:t xml:space="preserve">Phosphorus is predominantly present in soils in insoluble inorganic forms (calcium, iron, and </w:t>
      </w:r>
      <w:proofErr w:type="spellStart"/>
      <w:r>
        <w:t>aluminium</w:t>
      </w:r>
      <w:proofErr w:type="spellEnd"/>
      <w:r>
        <w:t xml:space="preserve"> phosphates) or as </w:t>
      </w:r>
      <w:proofErr w:type="spellStart"/>
      <w:r>
        <w:t>mineralised</w:t>
      </w:r>
      <w:proofErr w:type="spellEnd"/>
      <w:r>
        <w:t xml:space="preserve"> organic phosphorus, neither of which is directly available for plant uptake. Phosphate-</w:t>
      </w:r>
      <w:proofErr w:type="spellStart"/>
      <w:r>
        <w:t>solubilising</w:t>
      </w:r>
      <w:proofErr w:type="spellEnd"/>
      <w:r>
        <w:t xml:space="preserve"> microorganisms (PSM), including bacteria </w:t>
      </w:r>
      <w:r>
        <w:lastRenderedPageBreak/>
        <w:t xml:space="preserve">of the genera Bacillus, Pseudomonas, Enterobacter, and Rhizobium, and fungi such as Aspergillus awamori and Penicillium </w:t>
      </w:r>
      <w:proofErr w:type="spellStart"/>
      <w:r>
        <w:t>bilajii</w:t>
      </w:r>
      <w:proofErr w:type="spellEnd"/>
      <w:r>
        <w:t xml:space="preserve">, </w:t>
      </w:r>
      <w:proofErr w:type="spellStart"/>
      <w:r>
        <w:t>solubilise</w:t>
      </w:r>
      <w:proofErr w:type="spellEnd"/>
      <w:r>
        <w:t xml:space="preserve"> inorganic phosphates by secreting organic acids — citric, gluconic, oxalic, malic — that lower rhizosphere pH and chelate cations, thereby releasing orthophosphate ions (</w:t>
      </w:r>
      <w:proofErr w:type="spellStart"/>
      <w:r>
        <w:t>Kalayu</w:t>
      </w:r>
      <w:proofErr w:type="spellEnd"/>
      <w:r>
        <w:t xml:space="preserve">, 2019). They also </w:t>
      </w:r>
      <w:proofErr w:type="spellStart"/>
      <w:r>
        <w:t>mineralise</w:t>
      </w:r>
      <w:proofErr w:type="spellEnd"/>
      <w:r>
        <w:t xml:space="preserve"> organic phosphorus through the production of phosphatase and phytase enzymes. The result is a net increase in plant-available phosphorus in the rhizosphere, achieved without additional phosphate </w:t>
      </w:r>
      <w:proofErr w:type="spellStart"/>
      <w:r>
        <w:t>fertiliser</w:t>
      </w:r>
      <w:proofErr w:type="spellEnd"/>
      <w:r>
        <w:t xml:space="preserve"> inputs (Pang et al., 2024). PSM inoculants have been shown to replace 30–50 kg P₂O₅ ha⁻¹ in various crops, offering significant economic and environmental benefits.</w:t>
      </w:r>
    </w:p>
    <w:p w:rsidR="00AD6485" w:rsidRDefault="00757BAB">
      <w:pPr>
        <w:pStyle w:val="Heading2"/>
      </w:pPr>
      <w:r>
        <w:t>5.3 Arbuscular Mycorrhizal Fungi</w:t>
      </w:r>
    </w:p>
    <w:p w:rsidR="00AD6485" w:rsidRDefault="00757BAB">
      <w:pPr>
        <w:spacing w:after="160" w:line="276" w:lineRule="auto"/>
        <w:jc w:val="both"/>
      </w:pPr>
      <w:r>
        <w:t xml:space="preserve">Arbuscular mycorrhizal fungi (AMF), belonging to the phylum </w:t>
      </w:r>
      <w:proofErr w:type="spellStart"/>
      <w:r>
        <w:t>Glomeromycota</w:t>
      </w:r>
      <w:proofErr w:type="spellEnd"/>
      <w:r>
        <w:t xml:space="preserve">, form obligate symbiotic associations with the roots of approximately 80% of terrestrial vascular plants, including mulberry (Jeffries </w:t>
      </w:r>
      <w:r w:rsidRPr="00BF5D03">
        <w:rPr>
          <w:highlight w:val="yellow"/>
        </w:rPr>
        <w:t>et al.,</w:t>
      </w:r>
      <w:r>
        <w:t xml:space="preserve"> 2003). AMF </w:t>
      </w:r>
      <w:proofErr w:type="spellStart"/>
      <w:r>
        <w:t>colonisation</w:t>
      </w:r>
      <w:proofErr w:type="spellEnd"/>
      <w:r>
        <w:t xml:space="preserve"> results in the formation of </w:t>
      </w:r>
      <w:proofErr w:type="spellStart"/>
      <w:r>
        <w:t>arbuscules</w:t>
      </w:r>
      <w:proofErr w:type="spellEnd"/>
      <w:r>
        <w:t xml:space="preserve"> within root cortical cells, where bidirectional exchange of nutrients and photosynthate occurs. The extensive extraradical hyphal network of AMF dramatically increases the effective root surface area available for nutrient — particularly P, Zn, and Cu — and water absorption, often extending several </w:t>
      </w:r>
      <w:proofErr w:type="spellStart"/>
      <w:r>
        <w:t>centimetres</w:t>
      </w:r>
      <w:proofErr w:type="spellEnd"/>
      <w:r>
        <w:t xml:space="preserve"> beyond the rhizosphere depletion zone (Begum </w:t>
      </w:r>
      <w:r w:rsidRPr="00BF5D03">
        <w:rPr>
          <w:highlight w:val="yellow"/>
        </w:rPr>
        <w:t>et al., 2</w:t>
      </w:r>
      <w:r>
        <w:t xml:space="preserve">019). AMF also produce the glycoprotein glomalin, which improves soil aggregation and water-holding capacity, and contribute to plant </w:t>
      </w:r>
      <w:proofErr w:type="spellStart"/>
      <w:r>
        <w:t>defence</w:t>
      </w:r>
      <w:proofErr w:type="spellEnd"/>
      <w:r>
        <w:t xml:space="preserve"> through priming of induced resistance mechanisms. In mulberry, AMF </w:t>
      </w:r>
      <w:proofErr w:type="spellStart"/>
      <w:r>
        <w:t>colonisation</w:t>
      </w:r>
      <w:proofErr w:type="spellEnd"/>
      <w:r>
        <w:t xml:space="preserve"> has been found to be strongly species-dependent, with </w:t>
      </w:r>
      <w:proofErr w:type="spellStart"/>
      <w:r>
        <w:t>Funneliformismosseae</w:t>
      </w:r>
      <w:proofErr w:type="spellEnd"/>
      <w:r>
        <w:t xml:space="preserve"> generally producing stronger improvements in both growth and leaf quality than other AMF species (Shi </w:t>
      </w:r>
      <w:r w:rsidRPr="00BF5D03">
        <w:rPr>
          <w:highlight w:val="yellow"/>
        </w:rPr>
        <w:t>et al.,</w:t>
      </w:r>
      <w:r>
        <w:t xml:space="preserve"> 2016).</w:t>
      </w:r>
    </w:p>
    <w:p w:rsidR="00AD6485" w:rsidRDefault="00757BAB">
      <w:pPr>
        <w:pStyle w:val="Heading2"/>
      </w:pPr>
      <w:r>
        <w:t>5.4 Cyanobacteria (Blue-Green Algae)</w:t>
      </w:r>
    </w:p>
    <w:p w:rsidR="00AD6485" w:rsidRDefault="00757BAB">
      <w:pPr>
        <w:spacing w:after="160" w:line="276" w:lineRule="auto"/>
        <w:jc w:val="both"/>
      </w:pPr>
      <w:r>
        <w:t xml:space="preserve">Cyanobacteria are oxygenic photosynthetic prokaryotes capable of fixing atmospheric nitrogen through </w:t>
      </w:r>
      <w:proofErr w:type="spellStart"/>
      <w:r>
        <w:t>specialised</w:t>
      </w:r>
      <w:proofErr w:type="spellEnd"/>
      <w:r>
        <w:t xml:space="preserve"> cells called </w:t>
      </w:r>
      <w:proofErr w:type="spellStart"/>
      <w:r>
        <w:t>heterocysts</w:t>
      </w:r>
      <w:proofErr w:type="spellEnd"/>
      <w:r>
        <w:t>.</w:t>
      </w:r>
      <w:r w:rsidR="00BF5D03" w:rsidRPr="00BF5D03">
        <w:rPr>
          <w:highlight w:val="yellow"/>
        </w:rPr>
        <w:t xml:space="preserve"> </w:t>
      </w:r>
      <w:r>
        <w:t>They contribute organic matter, nitrogen, and a range of growth-promoting substances — including auxins, vitamins, and polysaccharides — to the soil.</w:t>
      </w:r>
      <w:r w:rsidR="00BF5D03" w:rsidRPr="00BF5D03">
        <w:rPr>
          <w:highlight w:val="yellow"/>
        </w:rPr>
        <w:t xml:space="preserve"> </w:t>
      </w:r>
      <w:proofErr w:type="spellStart"/>
      <w:r>
        <w:t>Heterocystous</w:t>
      </w:r>
      <w:proofErr w:type="spellEnd"/>
      <w:r>
        <w:t xml:space="preserve"> forms such as Anabaena </w:t>
      </w:r>
      <w:proofErr w:type="spellStart"/>
      <w:r>
        <w:t>variabilis</w:t>
      </w:r>
      <w:proofErr w:type="spellEnd"/>
      <w:r>
        <w:t xml:space="preserve">, </w:t>
      </w:r>
      <w:proofErr w:type="spellStart"/>
      <w:r>
        <w:t>Nostocmuscorum</w:t>
      </w:r>
      <w:proofErr w:type="spellEnd"/>
      <w:r>
        <w:t xml:space="preserve">, and </w:t>
      </w:r>
      <w:proofErr w:type="spellStart"/>
      <w:r>
        <w:t>Aulosirafertissima</w:t>
      </w:r>
      <w:proofErr w:type="spellEnd"/>
      <w:r>
        <w:t xml:space="preserve"> are effective </w:t>
      </w:r>
      <w:proofErr w:type="spellStart"/>
      <w:r>
        <w:t>biofertilisers</w:t>
      </w:r>
      <w:proofErr w:type="spellEnd"/>
      <w:r>
        <w:t xml:space="preserve"> for a range of crops. As photosynthetic organisms, cyanobacteria have the additional advantage of using solar energy and atmospheric CO₂ to support their metabolism, making them inherently low-cost </w:t>
      </w:r>
      <w:proofErr w:type="spellStart"/>
      <w:r>
        <w:t>biofertilisers</w:t>
      </w:r>
      <w:proofErr w:type="spellEnd"/>
      <w:r>
        <w:t>.</w:t>
      </w:r>
      <w:r w:rsidR="00BF5D03" w:rsidRPr="00BF5D03">
        <w:rPr>
          <w:highlight w:val="yellow"/>
        </w:rPr>
        <w:t xml:space="preserve"> </w:t>
      </w:r>
      <w:r>
        <w:t>They are also known to improve soil physical properties through polysaccharide secretion, enhance soil water-holding capacity, reduce soil pH under alkaline conditions, and suppress certain fungal pathogens through the production of antifungal bioactive compounds (Gonçalves, 2021).</w:t>
      </w:r>
    </w:p>
    <w:p w:rsidR="00AD6485" w:rsidRDefault="00757BAB">
      <w:pPr>
        <w:pStyle w:val="Heading2"/>
      </w:pPr>
      <w:r>
        <w:t>5.5 Other Plant Growth-Promoting Rhizobacteria</w:t>
      </w:r>
    </w:p>
    <w:p w:rsidR="00AD6485" w:rsidRDefault="00757BAB">
      <w:pPr>
        <w:spacing w:after="160" w:line="276" w:lineRule="auto"/>
        <w:jc w:val="both"/>
      </w:pPr>
      <w:r>
        <w:t xml:space="preserve">Beyond nitrogen fixers and PSM, a diverse range of </w:t>
      </w:r>
      <w:proofErr w:type="spellStart"/>
      <w:r>
        <w:t>rhizospheric</w:t>
      </w:r>
      <w:proofErr w:type="spellEnd"/>
      <w:r>
        <w:t xml:space="preserve"> bacteria classified broadly as plant growth-promoting rhizobacteria (PGPR) exert beneficial effects on mulberry through multiple mechanisms. These include the </w:t>
      </w:r>
      <w:proofErr w:type="spellStart"/>
      <w:r>
        <w:t>solubilisation</w:t>
      </w:r>
      <w:proofErr w:type="spellEnd"/>
      <w:r>
        <w:t xml:space="preserve"> of zinc and potassium from mineral forms, the production of siderophores that chelate iron and render it bioavailable, the synthesis of the enzyme 1-aminocyclopropane-1-carboxylate (ACC) deaminase that reduces ethylene-mediated stress responses, and the induction of systemic tolerance to abiotic stresses </w:t>
      </w:r>
      <w:r>
        <w:lastRenderedPageBreak/>
        <w:t xml:space="preserve">such as salinity and drought (Bhattacharyya &amp; Jha, 2012). Trichoderma species, whilst more commonly classified as biocontrol agents, also exhibit plant growth-promoting properties through phosphate </w:t>
      </w:r>
      <w:proofErr w:type="spellStart"/>
      <w:r>
        <w:t>solubilisation</w:t>
      </w:r>
      <w:proofErr w:type="spellEnd"/>
      <w:r>
        <w:t xml:space="preserve"> and phytohormone production and are increasingly included in multi-component </w:t>
      </w:r>
      <w:proofErr w:type="spellStart"/>
      <w:r>
        <w:t>biofertiliser</w:t>
      </w:r>
      <w:proofErr w:type="spellEnd"/>
      <w:r>
        <w:t xml:space="preserve"> consortia.</w:t>
      </w:r>
      <w:r w:rsidR="00BF5D03" w:rsidRPr="00BF5D03">
        <w:rPr>
          <w:highlight w:val="yellow"/>
        </w:rPr>
        <w:t xml:space="preserve"> </w:t>
      </w:r>
    </w:p>
    <w:p w:rsidR="00AD6485" w:rsidRDefault="00AD6485">
      <w:pPr>
        <w:spacing w:after="80"/>
      </w:pPr>
    </w:p>
    <w:p w:rsidR="00AD6485" w:rsidRDefault="00757BAB">
      <w:pPr>
        <w:pStyle w:val="Heading1"/>
      </w:pPr>
      <w:r>
        <w:t xml:space="preserve">6. Effect of Nitrogen-Fixing </w:t>
      </w:r>
      <w:proofErr w:type="spellStart"/>
      <w:r>
        <w:t>Biofertilisers</w:t>
      </w:r>
      <w:proofErr w:type="spellEnd"/>
      <w:r>
        <w:t xml:space="preserve"> on Mulberry</w:t>
      </w:r>
    </w:p>
    <w:p w:rsidR="00AD6485" w:rsidRDefault="00757BAB">
      <w:pPr>
        <w:pStyle w:val="Heading2"/>
      </w:pPr>
      <w:r>
        <w:t xml:space="preserve">6.1 </w:t>
      </w:r>
      <w:proofErr w:type="spellStart"/>
      <w:r>
        <w:t>Azotobacter</w:t>
      </w:r>
      <w:proofErr w:type="spellEnd"/>
      <w:r>
        <w:t>-Based Inoculants</w:t>
      </w:r>
    </w:p>
    <w:p w:rsidR="00AD6485" w:rsidRDefault="00757BAB">
      <w:pPr>
        <w:spacing w:after="160" w:line="276" w:lineRule="auto"/>
        <w:jc w:val="both"/>
      </w:pPr>
      <w:proofErr w:type="spellStart"/>
      <w:r w:rsidRPr="00A02837">
        <w:rPr>
          <w:i/>
          <w:highlight w:val="yellow"/>
        </w:rPr>
        <w:t>Azotobacter</w:t>
      </w:r>
      <w:proofErr w:type="spellEnd"/>
      <w:r w:rsidR="0002495A" w:rsidRPr="00A02837">
        <w:rPr>
          <w:i/>
          <w:highlight w:val="yellow"/>
        </w:rPr>
        <w:t xml:space="preserve"> </w:t>
      </w:r>
      <w:proofErr w:type="spellStart"/>
      <w:r w:rsidRPr="00A02837">
        <w:rPr>
          <w:i/>
          <w:highlight w:val="yellow"/>
        </w:rPr>
        <w:t>chroococcum</w:t>
      </w:r>
      <w:proofErr w:type="spellEnd"/>
      <w:r>
        <w:t xml:space="preserve"> is among the best-studied </w:t>
      </w:r>
      <w:proofErr w:type="spellStart"/>
      <w:r>
        <w:t>biofertilisers</w:t>
      </w:r>
      <w:proofErr w:type="spellEnd"/>
      <w:r>
        <w:t xml:space="preserve"> for mulberry and has been evaluated both as a soil drench and as a foliar spray under diverse experimental conditions. In a landmark two-year field experiment, Sudhakar </w:t>
      </w:r>
      <w:r w:rsidRPr="00BF5D03">
        <w:rPr>
          <w:highlight w:val="yellow"/>
        </w:rPr>
        <w:t>et al.</w:t>
      </w:r>
      <w:r>
        <w:t xml:space="preserve"> (2000) compared the effects of foliar application of three nitrogen-fixing bacteria — </w:t>
      </w:r>
      <w:proofErr w:type="spellStart"/>
      <w:r>
        <w:t>Azotobacter</w:t>
      </w:r>
      <w:proofErr w:type="spellEnd"/>
      <w:r>
        <w:t xml:space="preserve">, </w:t>
      </w:r>
      <w:proofErr w:type="spellStart"/>
      <w:r>
        <w:t>Azospirillum</w:t>
      </w:r>
      <w:proofErr w:type="spellEnd"/>
      <w:r>
        <w:t xml:space="preserve">, and </w:t>
      </w:r>
      <w:proofErr w:type="spellStart"/>
      <w:r>
        <w:t>Beijerinckia</w:t>
      </w:r>
      <w:proofErr w:type="spellEnd"/>
      <w:r>
        <w:t xml:space="preserve"> — on the leaf yield and quality of </w:t>
      </w:r>
      <w:proofErr w:type="spellStart"/>
      <w:r>
        <w:t>Morus</w:t>
      </w:r>
      <w:proofErr w:type="spellEnd"/>
      <w:r>
        <w:t xml:space="preserve"> alba under half the recommended nitrogen dose. The </w:t>
      </w:r>
      <w:proofErr w:type="spellStart"/>
      <w:r>
        <w:t>Azotobacter</w:t>
      </w:r>
      <w:proofErr w:type="spellEnd"/>
      <w:r>
        <w:t xml:space="preserve"> treatment produced significantly higher leaf yield than the full recommended nitrogen dose applied without any </w:t>
      </w:r>
      <w:proofErr w:type="spellStart"/>
      <w:r>
        <w:t>biofertiliser</w:t>
      </w:r>
      <w:proofErr w:type="spellEnd"/>
      <w:r>
        <w:t xml:space="preserve">, demonstrating that </w:t>
      </w:r>
      <w:proofErr w:type="spellStart"/>
      <w:r>
        <w:t>Azotobacter</w:t>
      </w:r>
      <w:proofErr w:type="spellEnd"/>
      <w:r>
        <w:t xml:space="preserve"> application could not only compensate for a 50% reduction in chemical nitrogen input but actually surpass conventional </w:t>
      </w:r>
      <w:proofErr w:type="spellStart"/>
      <w:r>
        <w:t>fertilisation</w:t>
      </w:r>
      <w:proofErr w:type="spellEnd"/>
      <w:r>
        <w:t xml:space="preserve"> in productivity terms.</w:t>
      </w:r>
      <w:r w:rsidR="00BF5D03" w:rsidRPr="00BF5D03">
        <w:rPr>
          <w:highlight w:val="yellow"/>
        </w:rPr>
        <w:t xml:space="preserve"> </w:t>
      </w:r>
      <w:r>
        <w:t xml:space="preserve">The enhanced performance was attributed to a combination of biological nitrogen fixation, phytohormone production (particularly IAA and gibberellins), and suppression of foliar diseases, reflecting the multifunctional character of </w:t>
      </w:r>
      <w:proofErr w:type="spellStart"/>
      <w:r>
        <w:t>Azotobacter</w:t>
      </w:r>
      <w:proofErr w:type="spellEnd"/>
      <w:r>
        <w:t xml:space="preserve"> as a </w:t>
      </w:r>
      <w:proofErr w:type="spellStart"/>
      <w:r>
        <w:t>biofertiliser</w:t>
      </w:r>
      <w:proofErr w:type="spellEnd"/>
      <w:r>
        <w:t xml:space="preserve"> organism.</w:t>
      </w:r>
      <w:r w:rsidR="00BF5D03" w:rsidRPr="00BF5D03">
        <w:rPr>
          <w:highlight w:val="yellow"/>
        </w:rPr>
        <w:t xml:space="preserve"> </w:t>
      </w:r>
      <w:r>
        <w:t xml:space="preserve">Vijayan et al. (2007) extended these findings to physiologically challenging conditions, demonstrating that foliar application of </w:t>
      </w:r>
      <w:proofErr w:type="spellStart"/>
      <w:r w:rsidRPr="00A02837">
        <w:rPr>
          <w:i/>
        </w:rPr>
        <w:t>Azotobacter</w:t>
      </w:r>
      <w:proofErr w:type="spellEnd"/>
      <w:r w:rsidR="0002495A" w:rsidRPr="00A02837">
        <w:rPr>
          <w:i/>
        </w:rPr>
        <w:t xml:space="preserve"> </w:t>
      </w:r>
      <w:proofErr w:type="spellStart"/>
      <w:r w:rsidRPr="00A02837">
        <w:rPr>
          <w:i/>
        </w:rPr>
        <w:t>chroococcum</w:t>
      </w:r>
      <w:proofErr w:type="spellEnd"/>
      <w:r>
        <w:t xml:space="preserve"> significantly increased mulberry leaf yield and leaf quality parameters under the stress imposed by soil salinity. The ability of </w:t>
      </w:r>
      <w:proofErr w:type="spellStart"/>
      <w:r>
        <w:t>Azotobacter</w:t>
      </w:r>
      <w:proofErr w:type="spellEnd"/>
      <w:r>
        <w:t xml:space="preserve"> to produce exopolysaccharides that confer tolerance to osmotic stress, in conjunction with its nitrogen-fixing capability, makes it particularly valuable in degraded or salt-affected soils that are common in coastal and semi-arid mulberry-growing regions.</w:t>
      </w:r>
    </w:p>
    <w:p w:rsidR="00AD6485" w:rsidRDefault="00757BAB">
      <w:pPr>
        <w:pStyle w:val="Heading2"/>
      </w:pPr>
      <w:r>
        <w:t xml:space="preserve">6.2 </w:t>
      </w:r>
      <w:proofErr w:type="spellStart"/>
      <w:r>
        <w:t>Azospirillum</w:t>
      </w:r>
      <w:proofErr w:type="spellEnd"/>
      <w:r>
        <w:t>-Based Inoculants</w:t>
      </w:r>
    </w:p>
    <w:p w:rsidR="00AD6485" w:rsidRDefault="00757BAB">
      <w:pPr>
        <w:spacing w:after="160" w:line="276" w:lineRule="auto"/>
        <w:jc w:val="both"/>
      </w:pPr>
      <w:proofErr w:type="spellStart"/>
      <w:r w:rsidRPr="00A02837">
        <w:rPr>
          <w:i/>
          <w:highlight w:val="yellow"/>
        </w:rPr>
        <w:t>Azospirillum</w:t>
      </w:r>
      <w:proofErr w:type="spellEnd"/>
      <w:r w:rsidR="0002495A" w:rsidRPr="00A02837">
        <w:rPr>
          <w:i/>
          <w:highlight w:val="yellow"/>
        </w:rPr>
        <w:t xml:space="preserve"> </w:t>
      </w:r>
      <w:proofErr w:type="spellStart"/>
      <w:r w:rsidRPr="00A02837">
        <w:rPr>
          <w:i/>
          <w:highlight w:val="yellow"/>
        </w:rPr>
        <w:t>brasilense</w:t>
      </w:r>
      <w:proofErr w:type="spellEnd"/>
      <w:r>
        <w:t xml:space="preserve"> is a diazotrophic rhizobacterium that </w:t>
      </w:r>
      <w:proofErr w:type="spellStart"/>
      <w:r>
        <w:t>colonises</w:t>
      </w:r>
      <w:proofErr w:type="spellEnd"/>
      <w:r>
        <w:t xml:space="preserve"> both the rhizoplane and the </w:t>
      </w:r>
      <w:proofErr w:type="spellStart"/>
      <w:r>
        <w:t>endorhizosphere</w:t>
      </w:r>
      <w:proofErr w:type="spellEnd"/>
      <w:r>
        <w:t xml:space="preserve"> of mulberry roots. The primary mechanism of growth promotion in non-leguminous plants by </w:t>
      </w:r>
      <w:proofErr w:type="spellStart"/>
      <w:r>
        <w:t>Azospirillum</w:t>
      </w:r>
      <w:proofErr w:type="spellEnd"/>
      <w:r>
        <w:t xml:space="preserve"> is generally attributed more to phytohormone production — particularly IAA and gibberellins — than to direct nitrogen fixation, which tends to be lower in absolute terms than that of </w:t>
      </w:r>
      <w:proofErr w:type="spellStart"/>
      <w:r>
        <w:t>Azotobacter</w:t>
      </w:r>
      <w:proofErr w:type="spellEnd"/>
      <w:r>
        <w:t xml:space="preserve"> under comparable conditions. </w:t>
      </w:r>
      <w:proofErr w:type="spellStart"/>
      <w:r>
        <w:t>Azospirillum</w:t>
      </w:r>
      <w:proofErr w:type="spellEnd"/>
      <w:r>
        <w:t>-based inoculants have been shown to improve mulberry shoot height, branching, number of leaves, and leaf area under both greenhouse and field conditions.</w:t>
      </w:r>
      <w:r w:rsidR="00BF5D03" w:rsidRPr="00BF5D03">
        <w:rPr>
          <w:highlight w:val="yellow"/>
        </w:rPr>
        <w:t xml:space="preserve"> </w:t>
      </w:r>
      <w:proofErr w:type="spellStart"/>
      <w:r>
        <w:t>Baqual</w:t>
      </w:r>
      <w:proofErr w:type="spellEnd"/>
      <w:r>
        <w:t>&amp; Das (2006) reported that co-inoculation of mulberry with AMF species (</w:t>
      </w:r>
      <w:r w:rsidRPr="00A02837">
        <w:rPr>
          <w:i/>
          <w:highlight w:val="yellow"/>
        </w:rPr>
        <w:t xml:space="preserve">Glomus </w:t>
      </w:r>
      <w:proofErr w:type="spellStart"/>
      <w:r w:rsidRPr="00A02837">
        <w:rPr>
          <w:i/>
          <w:highlight w:val="yellow"/>
        </w:rPr>
        <w:t>fasciculatum</w:t>
      </w:r>
      <w:proofErr w:type="spellEnd"/>
      <w:r>
        <w:t xml:space="preserve"> and </w:t>
      </w:r>
      <w:proofErr w:type="spellStart"/>
      <w:r w:rsidRPr="00BF5D03">
        <w:rPr>
          <w:highlight w:val="yellow"/>
        </w:rPr>
        <w:t>Funneliformismosseae</w:t>
      </w:r>
      <w:proofErr w:type="spellEnd"/>
      <w:r w:rsidRPr="00BF5D03">
        <w:rPr>
          <w:highlight w:val="yellow"/>
        </w:rPr>
        <w:t>),</w:t>
      </w:r>
      <w:r>
        <w:t xml:space="preserve"> supplemented by nitrogen-fixing </w:t>
      </w:r>
      <w:proofErr w:type="spellStart"/>
      <w:r>
        <w:t>Azotobacter</w:t>
      </w:r>
      <w:proofErr w:type="spellEnd"/>
      <w:r>
        <w:t>, the phosphate-</w:t>
      </w:r>
      <w:proofErr w:type="spellStart"/>
      <w:r>
        <w:t>solubilising</w:t>
      </w:r>
      <w:proofErr w:type="spellEnd"/>
      <w:r>
        <w:t xml:space="preserve"> bacterium </w:t>
      </w:r>
      <w:r w:rsidRPr="00A02837">
        <w:rPr>
          <w:i/>
          <w:highlight w:val="yellow"/>
        </w:rPr>
        <w:t>Bacillus megaterium</w:t>
      </w:r>
      <w:r w:rsidRPr="00BF5D03">
        <w:rPr>
          <w:highlight w:val="yellow"/>
        </w:rPr>
        <w:t>,</w:t>
      </w:r>
      <w:r>
        <w:t xml:space="preserve"> and the fungus </w:t>
      </w:r>
      <w:r w:rsidRPr="00A02837">
        <w:rPr>
          <w:i/>
          <w:highlight w:val="yellow"/>
        </w:rPr>
        <w:t>Aspergillus awamori</w:t>
      </w:r>
      <w:r>
        <w:t xml:space="preserve">, significantly increased leaf contents of nitrogen, phosphorus, potassium, and chlorophyll compared with uninoculated controls, demonstrating the synergistic potential of combined </w:t>
      </w:r>
      <w:proofErr w:type="spellStart"/>
      <w:r>
        <w:t>biofertiliser</w:t>
      </w:r>
      <w:proofErr w:type="spellEnd"/>
      <w:r>
        <w:t xml:space="preserve"> consortia.</w:t>
      </w:r>
      <w:r w:rsidR="00BF5D03" w:rsidRPr="00BF5D03">
        <w:rPr>
          <w:highlight w:val="yellow"/>
        </w:rPr>
        <w:t xml:space="preserve"> </w:t>
      </w:r>
      <w:r>
        <w:t xml:space="preserve">Sudhakar </w:t>
      </w:r>
      <w:r w:rsidRPr="00BF5D03">
        <w:rPr>
          <w:highlight w:val="yellow"/>
        </w:rPr>
        <w:t>et al.</w:t>
      </w:r>
      <w:r>
        <w:t xml:space="preserve"> (2000) found that </w:t>
      </w:r>
      <w:proofErr w:type="spellStart"/>
      <w:r>
        <w:t>Azospirillum</w:t>
      </w:r>
      <w:proofErr w:type="spellEnd"/>
      <w:r>
        <w:t xml:space="preserve">-treated mulberry under half the recommended nitrogen dose still produced greater leaf yields than uninoculated </w:t>
      </w:r>
      <w:r>
        <w:lastRenderedPageBreak/>
        <w:t xml:space="preserve">controls, confirming its role as a useful supplementary </w:t>
      </w:r>
      <w:proofErr w:type="spellStart"/>
      <w:r>
        <w:t>biofertiliser</w:t>
      </w:r>
      <w:proofErr w:type="spellEnd"/>
      <w:r>
        <w:t xml:space="preserve">, although its absolute performance fell somewhat below that of </w:t>
      </w:r>
      <w:proofErr w:type="spellStart"/>
      <w:r>
        <w:t>Azotobacter</w:t>
      </w:r>
      <w:proofErr w:type="spellEnd"/>
      <w:r>
        <w:t xml:space="preserve"> in their comparative trials.</w:t>
      </w:r>
      <w:r w:rsidR="00BF5D03" w:rsidRPr="00BF5D03">
        <w:rPr>
          <w:highlight w:val="yellow"/>
        </w:rPr>
        <w:t xml:space="preserve"> </w:t>
      </w:r>
    </w:p>
    <w:p w:rsidR="00AD6485" w:rsidRDefault="00757BAB">
      <w:pPr>
        <w:pStyle w:val="Heading2"/>
      </w:pPr>
      <w:r>
        <w:t>6.3 Other Nitrogen Fixers</w:t>
      </w:r>
    </w:p>
    <w:p w:rsidR="00AD6485" w:rsidRDefault="00757BAB">
      <w:pPr>
        <w:spacing w:after="160" w:line="276" w:lineRule="auto"/>
        <w:jc w:val="both"/>
      </w:pPr>
      <w:proofErr w:type="spellStart"/>
      <w:r w:rsidRPr="00A02837">
        <w:rPr>
          <w:i/>
          <w:highlight w:val="yellow"/>
        </w:rPr>
        <w:t>Beijerinckia</w:t>
      </w:r>
      <w:proofErr w:type="spellEnd"/>
      <w:r w:rsidR="0002495A" w:rsidRPr="00A02837">
        <w:rPr>
          <w:i/>
          <w:highlight w:val="yellow"/>
        </w:rPr>
        <w:t xml:space="preserve"> </w:t>
      </w:r>
      <w:proofErr w:type="spellStart"/>
      <w:r w:rsidRPr="00A02837">
        <w:rPr>
          <w:i/>
          <w:highlight w:val="yellow"/>
        </w:rPr>
        <w:t>indica</w:t>
      </w:r>
      <w:proofErr w:type="spellEnd"/>
      <w:r>
        <w:t xml:space="preserve">, another free-living nitrogen-fixing bacterium evaluated by Sudhakar </w:t>
      </w:r>
      <w:r w:rsidRPr="00BF5D03">
        <w:rPr>
          <w:highlight w:val="yellow"/>
        </w:rPr>
        <w:t>et al.</w:t>
      </w:r>
      <w:r>
        <w:t xml:space="preserve"> (2000), produced mulberry leaf yields equivalent to those from the full recommended chemical nitrogen dose, establishing it as a viable candidate for partial chemical nitrogen replacement in mulberry cultivation. The relative performance hierarchy observed in their study — </w:t>
      </w:r>
      <w:proofErr w:type="spellStart"/>
      <w:r>
        <w:t>Azotobacter</w:t>
      </w:r>
      <w:proofErr w:type="spellEnd"/>
      <w:r>
        <w:t>&gt;</w:t>
      </w:r>
      <w:proofErr w:type="spellStart"/>
      <w:r>
        <w:t>Beijerinckia</w:t>
      </w:r>
      <w:proofErr w:type="spellEnd"/>
      <w:r>
        <w:t xml:space="preserve"> ≈ full NPK &gt;</w:t>
      </w:r>
      <w:proofErr w:type="spellStart"/>
      <w:r>
        <w:t>Azospirillum</w:t>
      </w:r>
      <w:proofErr w:type="spellEnd"/>
      <w:r>
        <w:t xml:space="preserve"> — has served as a practical guide for </w:t>
      </w:r>
      <w:proofErr w:type="spellStart"/>
      <w:r>
        <w:t>biofertiliser</w:t>
      </w:r>
      <w:proofErr w:type="spellEnd"/>
      <w:r>
        <w:t xml:space="preserve"> selection in mulberry management. Cyanobacterial nitrogen-fixing species such as Anabaena </w:t>
      </w:r>
      <w:proofErr w:type="spellStart"/>
      <w:r>
        <w:t>variabilis</w:t>
      </w:r>
      <w:proofErr w:type="spellEnd"/>
      <w:r>
        <w:t xml:space="preserve"> and </w:t>
      </w:r>
      <w:proofErr w:type="spellStart"/>
      <w:r w:rsidRPr="00A02837">
        <w:rPr>
          <w:i/>
        </w:rPr>
        <w:t>Nostoc</w:t>
      </w:r>
      <w:proofErr w:type="spellEnd"/>
      <w:r w:rsidR="00E223CA" w:rsidRPr="00A02837">
        <w:rPr>
          <w:i/>
        </w:rPr>
        <w:t xml:space="preserve"> </w:t>
      </w:r>
      <w:proofErr w:type="spellStart"/>
      <w:r w:rsidRPr="00A02837">
        <w:rPr>
          <w:i/>
        </w:rPr>
        <w:t>muscorum</w:t>
      </w:r>
      <w:proofErr w:type="spellEnd"/>
      <w:r>
        <w:t xml:space="preserve"> have also been evaluated in Indian mulberry gardens, with results indicating improvements in soil nitrogen status and mulberry leaf yield under combined treatments with reduced NPK doses (</w:t>
      </w:r>
      <w:proofErr w:type="spellStart"/>
      <w:r>
        <w:t>Baqual</w:t>
      </w:r>
      <w:proofErr w:type="spellEnd"/>
      <w:r>
        <w:t>&amp; Das, 2006; Ram Rao et al., 2007). Nitrogen-fixing Bacillus species with additional phosphate-</w:t>
      </w:r>
      <w:proofErr w:type="spellStart"/>
      <w:r>
        <w:t>solubilising</w:t>
      </w:r>
      <w:proofErr w:type="spellEnd"/>
      <w:r>
        <w:t xml:space="preserve"> and IAA-producing activities represent the next generation of multifunctional </w:t>
      </w:r>
      <w:proofErr w:type="spellStart"/>
      <w:r>
        <w:t>biofertilisers</w:t>
      </w:r>
      <w:proofErr w:type="spellEnd"/>
      <w:r>
        <w:t xml:space="preserve"> being investigated for mulberry, given their robustness in diverse soil environments and amenability to large-scale formulation.</w:t>
      </w:r>
      <w:r w:rsidR="00E054E7" w:rsidRPr="00BF5D03">
        <w:rPr>
          <w:highlight w:val="yellow"/>
        </w:rPr>
        <w:t xml:space="preserve"> </w:t>
      </w:r>
    </w:p>
    <w:p w:rsidR="00AD6485" w:rsidRDefault="00AD6485">
      <w:pPr>
        <w:spacing w:after="80"/>
      </w:pPr>
    </w:p>
    <w:p w:rsidR="00AD6485" w:rsidRDefault="00757BAB">
      <w:pPr>
        <w:pStyle w:val="Heading1"/>
      </w:pPr>
      <w:r>
        <w:t>7. Effect of Phosphate-</w:t>
      </w:r>
      <w:proofErr w:type="spellStart"/>
      <w:r>
        <w:t>Solubilising</w:t>
      </w:r>
      <w:proofErr w:type="spellEnd"/>
      <w:r>
        <w:t xml:space="preserve"> Microorganisms on Mulberry</w:t>
      </w:r>
    </w:p>
    <w:p w:rsidR="00AD6485" w:rsidRDefault="00757BAB">
      <w:pPr>
        <w:spacing w:after="160" w:line="276" w:lineRule="auto"/>
        <w:jc w:val="both"/>
      </w:pPr>
      <w:r>
        <w:t>Phosphorus deficiency is one of the most common nutritional constraints in mulberry garden soils, particularly those with elevated pH where phosphate is readily fixed by calcium or those with high clay content</w:t>
      </w:r>
      <w:r w:rsidR="00386ECF">
        <w:t>,</w:t>
      </w:r>
      <w:r>
        <w:t xml:space="preserve"> where iron and </w:t>
      </w:r>
      <w:proofErr w:type="spellStart"/>
      <w:r>
        <w:t>aluminium</w:t>
      </w:r>
      <w:proofErr w:type="spellEnd"/>
      <w:r>
        <w:t xml:space="preserve"> phosphate complexes predominate.</w:t>
      </w:r>
      <w:r w:rsidR="00E054E7" w:rsidRPr="00BF5D03">
        <w:rPr>
          <w:highlight w:val="yellow"/>
        </w:rPr>
        <w:t xml:space="preserve"> </w:t>
      </w:r>
      <w:r>
        <w:t>The role of PSM in improving phosphorus availability to mulberry has been investigated primarily through the use of Aspergillus awamori, Bacillus megaterium, and Pseudomonas species as soil or cutting inoculants.</w:t>
      </w:r>
      <w:r w:rsidR="00E054E7" w:rsidRPr="00BF5D03">
        <w:rPr>
          <w:highlight w:val="yellow"/>
        </w:rPr>
        <w:t xml:space="preserve"> </w:t>
      </w:r>
      <w:proofErr w:type="spellStart"/>
      <w:r>
        <w:t>Baqual</w:t>
      </w:r>
      <w:proofErr w:type="spellEnd"/>
      <w:r>
        <w:t xml:space="preserve">&amp; Das (2006) demonstrated that co-inoculation of mulberry with Glomus </w:t>
      </w:r>
      <w:proofErr w:type="spellStart"/>
      <w:r>
        <w:t>fasciculatum</w:t>
      </w:r>
      <w:proofErr w:type="spellEnd"/>
      <w:r>
        <w:t xml:space="preserve"> (AMF) and </w:t>
      </w:r>
      <w:proofErr w:type="spellStart"/>
      <w:r>
        <w:t>Azotobacter</w:t>
      </w:r>
      <w:proofErr w:type="spellEnd"/>
      <w:r>
        <w:t>, supplemented by the phosphate-</w:t>
      </w:r>
      <w:proofErr w:type="spellStart"/>
      <w:r>
        <w:t>solubilising</w:t>
      </w:r>
      <w:proofErr w:type="spellEnd"/>
      <w:r>
        <w:t xml:space="preserve"> fungus Aspergillus awamori, produced significant increases in leaf nitrogen, phosphorus, potassium, and chlorophyll content compared to chemically </w:t>
      </w:r>
      <w:proofErr w:type="spellStart"/>
      <w:r>
        <w:t>fertilised</w:t>
      </w:r>
      <w:proofErr w:type="spellEnd"/>
      <w:r>
        <w:t xml:space="preserve"> controls. The combination of PSM with AMF produced a particularly pronounced improvement in phosphorus uptake, reflecting a well-documented synergism between these two </w:t>
      </w:r>
      <w:proofErr w:type="spellStart"/>
      <w:r>
        <w:t>biofertiliser</w:t>
      </w:r>
      <w:proofErr w:type="spellEnd"/>
      <w:r>
        <w:t xml:space="preserve"> types: PSM </w:t>
      </w:r>
      <w:proofErr w:type="spellStart"/>
      <w:r>
        <w:t>solubilise</w:t>
      </w:r>
      <w:proofErr w:type="spellEnd"/>
      <w:r>
        <w:t xml:space="preserve"> phosphate at the soil–mineral interface, whilst AMF hyphae transport the released orthophosphate over longer distances to the root, bypassing the P depletion zone.</w:t>
      </w:r>
    </w:p>
    <w:p w:rsidR="00AD6485" w:rsidRDefault="00757BAB">
      <w:pPr>
        <w:spacing w:after="160" w:line="276" w:lineRule="auto"/>
        <w:jc w:val="both"/>
      </w:pPr>
      <w:r>
        <w:t xml:space="preserve">In a study specifically focused on the changes in soil microbial population in the mulberry rhizosphere following </w:t>
      </w:r>
      <w:proofErr w:type="spellStart"/>
      <w:r>
        <w:t>biofertiliser</w:t>
      </w:r>
      <w:proofErr w:type="spellEnd"/>
      <w:r>
        <w:t xml:space="preserve"> application, Mary </w:t>
      </w:r>
      <w:r w:rsidRPr="00B459DA">
        <w:rPr>
          <w:highlight w:val="yellow"/>
        </w:rPr>
        <w:t>et al.</w:t>
      </w:r>
      <w:r>
        <w:t xml:space="preserve"> (2015) reported that </w:t>
      </w:r>
      <w:proofErr w:type="spellStart"/>
      <w:r>
        <w:t>biofertiliser</w:t>
      </w:r>
      <w:proofErr w:type="spellEnd"/>
      <w:r>
        <w:t xml:space="preserve"> treatments — including farmyard manure, </w:t>
      </w:r>
      <w:proofErr w:type="spellStart"/>
      <w:r>
        <w:t>Azospirillum</w:t>
      </w:r>
      <w:proofErr w:type="spellEnd"/>
      <w:r>
        <w:t>, phosphate-</w:t>
      </w:r>
      <w:proofErr w:type="spellStart"/>
      <w:r>
        <w:t>solubilising</w:t>
      </w:r>
      <w:proofErr w:type="spellEnd"/>
      <w:r>
        <w:t xml:space="preserve"> bacteria (</w:t>
      </w:r>
      <w:proofErr w:type="spellStart"/>
      <w:r>
        <w:t>Phosphobacteria</w:t>
      </w:r>
      <w:proofErr w:type="spellEnd"/>
      <w:r>
        <w:t>), and vermicompost — each lodged distinct beneficial bacterial communities in the mulberry rhizosphere, with progressively increasing microbial populations in the order FYM &lt;</w:t>
      </w:r>
      <w:proofErr w:type="spellStart"/>
      <w:r>
        <w:t>Azospirillum</w:t>
      </w:r>
      <w:proofErr w:type="spellEnd"/>
      <w:r>
        <w:t>&lt;</w:t>
      </w:r>
      <w:proofErr w:type="spellStart"/>
      <w:r>
        <w:t>Phosphobacteria</w:t>
      </w:r>
      <w:proofErr w:type="spellEnd"/>
      <w:r>
        <w:t xml:space="preserve">&lt; vermicompost. Mulberry plant growth and soil nutrient availability were all significantly enhanced in </w:t>
      </w:r>
      <w:proofErr w:type="spellStart"/>
      <w:r>
        <w:t>biofertiliser</w:t>
      </w:r>
      <w:proofErr w:type="spellEnd"/>
      <w:r>
        <w:t>-</w:t>
      </w:r>
      <w:r>
        <w:lastRenderedPageBreak/>
        <w:t xml:space="preserve">treated plots compared with untreated controls, underscoring the dual role of PSM-based </w:t>
      </w:r>
      <w:proofErr w:type="spellStart"/>
      <w:r>
        <w:t>biofertilisers</w:t>
      </w:r>
      <w:proofErr w:type="spellEnd"/>
      <w:r>
        <w:t xml:space="preserve"> in both nutrient supply and soil biological improvement.</w:t>
      </w:r>
    </w:p>
    <w:p w:rsidR="00AD6485" w:rsidRDefault="00757BAB">
      <w:pPr>
        <w:spacing w:after="160" w:line="276" w:lineRule="auto"/>
        <w:jc w:val="both"/>
      </w:pPr>
      <w:proofErr w:type="spellStart"/>
      <w:r>
        <w:t>Kalayu</w:t>
      </w:r>
      <w:proofErr w:type="spellEnd"/>
      <w:r>
        <w:t xml:space="preserve"> (2019), in a comprehensive review of phosphate-</w:t>
      </w:r>
      <w:proofErr w:type="spellStart"/>
      <w:r>
        <w:t>solubilising</w:t>
      </w:r>
      <w:proofErr w:type="spellEnd"/>
      <w:r>
        <w:t xml:space="preserve"> microorganisms as </w:t>
      </w:r>
      <w:proofErr w:type="spellStart"/>
      <w:r>
        <w:t>biofertilisers</w:t>
      </w:r>
      <w:proofErr w:type="spellEnd"/>
      <w:r>
        <w:t xml:space="preserve">, noted that PSM inoculants can replace up to 30–50 kg P₂O₅ ha⁻¹ whilst maintaining comparable crop yields, and confirmed that combined inoculation of Glomus </w:t>
      </w:r>
      <w:proofErr w:type="spellStart"/>
      <w:r>
        <w:t>fasciculatum</w:t>
      </w:r>
      <w:proofErr w:type="spellEnd"/>
      <w:r>
        <w:t xml:space="preserve"> and </w:t>
      </w:r>
      <w:proofErr w:type="spellStart"/>
      <w:r>
        <w:t>Azotobacter</w:t>
      </w:r>
      <w:proofErr w:type="spellEnd"/>
      <w:r>
        <w:t xml:space="preserve"> resulted in significant improvements in the uptake of P, K, and N through mulberry leaves, consistent with earlier direct field observations. The molecular mechanisms of phosphate </w:t>
      </w:r>
      <w:proofErr w:type="spellStart"/>
      <w:r>
        <w:t>solubilisation</w:t>
      </w:r>
      <w:proofErr w:type="spellEnd"/>
      <w:r>
        <w:t xml:space="preserve"> — including the secretion of 2-ketogluconic acid, citric acid, and tartaric acid by PSB, alongside the production of phosphatases and phytases — have been elucidated in considerable detail (Pang et al., 2024), and ongoing research is exploring the possibility of engineering more robust PSB strains for challenging soil environments encountered in commercial mulberry cultivation. The selection of PSM strains adapted to local soil pH, temperature, and moisture regimes remains critical for reliable and consistent field performance.</w:t>
      </w:r>
    </w:p>
    <w:p w:rsidR="00AD6485" w:rsidRDefault="00AD6485">
      <w:pPr>
        <w:spacing w:after="80"/>
      </w:pPr>
    </w:p>
    <w:p w:rsidR="00AD6485" w:rsidRDefault="00757BAB">
      <w:pPr>
        <w:pStyle w:val="Heading1"/>
      </w:pPr>
      <w:r>
        <w:t>8. Effect of Arbuscular Mycorrhizal Fungi on Mulberry</w:t>
      </w:r>
    </w:p>
    <w:p w:rsidR="00AD6485" w:rsidRDefault="00757BAB">
      <w:pPr>
        <w:spacing w:after="160" w:line="276" w:lineRule="auto"/>
        <w:jc w:val="both"/>
      </w:pPr>
      <w:r>
        <w:t xml:space="preserve">The interaction between AMF and mulberry has been one of the most extensively researched </w:t>
      </w:r>
      <w:proofErr w:type="spellStart"/>
      <w:r>
        <w:t>biofertiliser</w:t>
      </w:r>
      <w:proofErr w:type="spellEnd"/>
      <w:r>
        <w:t xml:space="preserve"> systems in the sericulture sciences. Mulberry roots are highly susceptible to mycorrhizal </w:t>
      </w:r>
      <w:proofErr w:type="spellStart"/>
      <w:r>
        <w:t>colonisation</w:t>
      </w:r>
      <w:proofErr w:type="spellEnd"/>
      <w:r>
        <w:t xml:space="preserve"> under natural field </w:t>
      </w:r>
      <w:proofErr w:type="spellStart"/>
      <w:proofErr w:type="gramStart"/>
      <w:r>
        <w:t>conditions</w:t>
      </w:r>
      <w:r w:rsidR="002A7A0B">
        <w:rPr>
          <w:highlight w:val="yellow"/>
        </w:rPr>
        <w:t>.</w:t>
      </w:r>
      <w:r w:rsidRPr="00CE6826">
        <w:t>Rajagopal</w:t>
      </w:r>
      <w:proofErr w:type="spellEnd"/>
      <w:proofErr w:type="gramEnd"/>
      <w:r w:rsidRPr="00CE6826">
        <w:t xml:space="preserve"> </w:t>
      </w:r>
      <w:r w:rsidRPr="00CE6826">
        <w:rPr>
          <w:highlight w:val="yellow"/>
        </w:rPr>
        <w:t>et al</w:t>
      </w:r>
      <w:r w:rsidRPr="00CE6826">
        <w:t>. (1989),</w:t>
      </w:r>
      <w:r>
        <w:t xml:space="preserve"> cited in Shi </w:t>
      </w:r>
      <w:r w:rsidRPr="00B459DA">
        <w:rPr>
          <w:highlight w:val="yellow"/>
        </w:rPr>
        <w:t>et al.</w:t>
      </w:r>
      <w:r>
        <w:t xml:space="preserve"> (2016), confirmed that field-grown mulberry roots were heavily </w:t>
      </w:r>
      <w:proofErr w:type="spellStart"/>
      <w:r>
        <w:t>colonised</w:t>
      </w:r>
      <w:proofErr w:type="spellEnd"/>
      <w:r>
        <w:t xml:space="preserve"> by indigenous AMF, with phosphorus uptake and leaf biomass being positively correlated with </w:t>
      </w:r>
      <w:proofErr w:type="spellStart"/>
      <w:r>
        <w:t>colonisation</w:t>
      </w:r>
      <w:proofErr w:type="spellEnd"/>
      <w:r>
        <w:t xml:space="preserve"> intensity. </w:t>
      </w:r>
      <w:proofErr w:type="spellStart"/>
      <w:r>
        <w:t>Katiyar</w:t>
      </w:r>
      <w:proofErr w:type="spellEnd"/>
      <w:r>
        <w:t xml:space="preserve"> </w:t>
      </w:r>
      <w:r w:rsidRPr="00E054E7">
        <w:rPr>
          <w:highlight w:val="yellow"/>
        </w:rPr>
        <w:t>et al.</w:t>
      </w:r>
      <w:r>
        <w:t xml:space="preserve"> (1995) were among the first to rigorously investigate mulberry response to AMF under graded phosphorus doses, reporting that VA-mycorrhizal inoculation improved mulberry growth across all P application levels. In their four-year field experiment, inoculation with Glomus </w:t>
      </w:r>
      <w:proofErr w:type="spellStart"/>
      <w:r>
        <w:t>mosseae</w:t>
      </w:r>
      <w:proofErr w:type="spellEnd"/>
      <w:r>
        <w:t xml:space="preserve"> in combination with only 30 kg P ha⁻¹ yr⁻¹ — representing 25% of the full recommended dose of 120 kg P ha⁻¹ yr⁻¹ — produced plant growth, leaf yield, and leaf quality equivalent to the full phosphorus dose without inoculation, indicating a potential 75% reduction in phosphate </w:t>
      </w:r>
      <w:proofErr w:type="spellStart"/>
      <w:r>
        <w:t>fertiliser</w:t>
      </w:r>
      <w:proofErr w:type="spellEnd"/>
      <w:r>
        <w:t xml:space="preserve"> requirements. This landmark finding has since been replicated across multiple subsequent studies in diverse soil types and </w:t>
      </w:r>
      <w:proofErr w:type="spellStart"/>
      <w:r>
        <w:t>agro</w:t>
      </w:r>
      <w:proofErr w:type="spellEnd"/>
      <w:r>
        <w:t>-climatic zones.</w:t>
      </w:r>
    </w:p>
    <w:p w:rsidR="00AD6485" w:rsidRDefault="00757BAB">
      <w:pPr>
        <w:spacing w:after="160" w:line="276" w:lineRule="auto"/>
        <w:jc w:val="both"/>
      </w:pPr>
      <w:r>
        <w:t xml:space="preserve">The landmark study by Shi </w:t>
      </w:r>
      <w:r w:rsidRPr="00E054E7">
        <w:rPr>
          <w:highlight w:val="yellow"/>
        </w:rPr>
        <w:t>et al.</w:t>
      </w:r>
      <w:r>
        <w:t xml:space="preserve"> (2016) compared the effects of three genetically distinct AMF species — </w:t>
      </w:r>
      <w:proofErr w:type="spellStart"/>
      <w:r w:rsidRPr="00A02837">
        <w:rPr>
          <w:i/>
          <w:highlight w:val="yellow"/>
        </w:rPr>
        <w:t>Acaulospora</w:t>
      </w:r>
      <w:proofErr w:type="spellEnd"/>
      <w:r w:rsidR="00386ECF" w:rsidRPr="00A02837">
        <w:rPr>
          <w:i/>
          <w:highlight w:val="yellow"/>
        </w:rPr>
        <w:t xml:space="preserve"> </w:t>
      </w:r>
      <w:proofErr w:type="spellStart"/>
      <w:r w:rsidRPr="00A02837">
        <w:rPr>
          <w:i/>
          <w:highlight w:val="yellow"/>
        </w:rPr>
        <w:t>scrobiculata</w:t>
      </w:r>
      <w:proofErr w:type="spellEnd"/>
      <w:r w:rsidRPr="00E054E7">
        <w:rPr>
          <w:highlight w:val="yellow"/>
        </w:rPr>
        <w:t xml:space="preserve">, </w:t>
      </w:r>
      <w:proofErr w:type="spellStart"/>
      <w:r w:rsidRPr="00A02837">
        <w:rPr>
          <w:i/>
          <w:highlight w:val="yellow"/>
        </w:rPr>
        <w:t>Funneliformis</w:t>
      </w:r>
      <w:proofErr w:type="spellEnd"/>
      <w:r w:rsidR="00386ECF" w:rsidRPr="00A02837">
        <w:rPr>
          <w:i/>
          <w:highlight w:val="yellow"/>
        </w:rPr>
        <w:t xml:space="preserve"> </w:t>
      </w:r>
      <w:proofErr w:type="spellStart"/>
      <w:r w:rsidRPr="00A02837">
        <w:rPr>
          <w:i/>
          <w:highlight w:val="yellow"/>
        </w:rPr>
        <w:t>mosseae</w:t>
      </w:r>
      <w:proofErr w:type="spellEnd"/>
      <w:r w:rsidRPr="00E054E7">
        <w:rPr>
          <w:highlight w:val="yellow"/>
        </w:rPr>
        <w:t xml:space="preserve">, </w:t>
      </w:r>
      <w:r w:rsidRPr="00E054E7">
        <w:t xml:space="preserve">and </w:t>
      </w:r>
      <w:proofErr w:type="spellStart"/>
      <w:r w:rsidRPr="00A02837">
        <w:rPr>
          <w:i/>
          <w:highlight w:val="yellow"/>
        </w:rPr>
        <w:t>Rhizophagus</w:t>
      </w:r>
      <w:proofErr w:type="spellEnd"/>
      <w:r w:rsidR="00386ECF" w:rsidRPr="00A02837">
        <w:rPr>
          <w:i/>
          <w:highlight w:val="yellow"/>
        </w:rPr>
        <w:t xml:space="preserve"> </w:t>
      </w:r>
      <w:proofErr w:type="spellStart"/>
      <w:r w:rsidRPr="00A02837">
        <w:rPr>
          <w:i/>
          <w:highlight w:val="yellow"/>
        </w:rPr>
        <w:t>intraradices</w:t>
      </w:r>
      <w:proofErr w:type="spellEnd"/>
      <w:r w:rsidRPr="00E054E7">
        <w:rPr>
          <w:highlight w:val="yellow"/>
        </w:rPr>
        <w:t xml:space="preserve"> </w:t>
      </w:r>
      <w:r w:rsidRPr="00E054E7">
        <w:t>— on</w:t>
      </w:r>
      <w:r>
        <w:t xml:space="preserve"> the physiological, growth, and leaf quality characteristics of six-month-old mulberry seedlings in a controlled greenhouse environment. Their results demonstrated that all three species significantly improved shoot height and taproot length, stem base and taproot diameter, leaf number and fibrous root numbers, shoot and root biomass, leaf chlorophyll a and b concentrations, net photosynthetic rate, transpiration rate, and stomatal conductance compared to uninoculated controls. Crucially, the enhancement of mulberry leaf quality — measured as total nitrogen, all essential amino acids, histidine, proline, soluble protein, sugar, and fatty acid concentrations — was also significant under all three AMF </w:t>
      </w:r>
      <w:proofErr w:type="spellStart"/>
      <w:r>
        <w:t>colonisation</w:t>
      </w:r>
      <w:proofErr w:type="spellEnd"/>
      <w:r>
        <w:t xml:space="preserve"> treatments. Among the three tested AMF species, </w:t>
      </w:r>
      <w:proofErr w:type="spellStart"/>
      <w:r w:rsidRPr="00E054E7">
        <w:rPr>
          <w:highlight w:val="yellow"/>
        </w:rPr>
        <w:t>Funneliformismosseae</w:t>
      </w:r>
      <w:proofErr w:type="spellEnd"/>
      <w:r>
        <w:t xml:space="preserve"> demonstrated the </w:t>
      </w:r>
      <w:r>
        <w:lastRenderedPageBreak/>
        <w:t xml:space="preserve">strongest overall improvements in both growth characteristics and leaf nutritional quality, whilst </w:t>
      </w:r>
      <w:proofErr w:type="spellStart"/>
      <w:r w:rsidRPr="00E054E7">
        <w:rPr>
          <w:highlight w:val="yellow"/>
        </w:rPr>
        <w:t>Rhizophagusintraradices</w:t>
      </w:r>
      <w:proofErr w:type="spellEnd"/>
      <w:r>
        <w:t xml:space="preserve"> showed the least pronounced effects. These trends were attributed primarily to AMF-induced alterations in mulberry leaf photosynthetic pigments, net photosynthetic rate, and nitrogen-containing compounds.</w:t>
      </w:r>
    </w:p>
    <w:p w:rsidR="00AD6485" w:rsidRDefault="00757BAB">
      <w:pPr>
        <w:spacing w:after="160" w:line="276" w:lineRule="auto"/>
        <w:jc w:val="both"/>
      </w:pPr>
      <w:r>
        <w:t xml:space="preserve">Ram Rao </w:t>
      </w:r>
      <w:r w:rsidRPr="00B459DA">
        <w:rPr>
          <w:highlight w:val="yellow"/>
        </w:rPr>
        <w:t>et al.</w:t>
      </w:r>
      <w:r>
        <w:t xml:space="preserve"> (2007) evaluated the combined application of </w:t>
      </w:r>
      <w:proofErr w:type="spellStart"/>
      <w:r w:rsidRPr="00E054E7">
        <w:rPr>
          <w:highlight w:val="yellow"/>
        </w:rPr>
        <w:t>Funneliformismosseae</w:t>
      </w:r>
      <w:proofErr w:type="spellEnd"/>
      <w:r>
        <w:t xml:space="preserve"> (AMF) and </w:t>
      </w:r>
      <w:proofErr w:type="spellStart"/>
      <w:r w:rsidRPr="00E054E7">
        <w:rPr>
          <w:highlight w:val="yellow"/>
        </w:rPr>
        <w:t>Azotobacterchroococcum</w:t>
      </w:r>
      <w:proofErr w:type="spellEnd"/>
      <w:r>
        <w:t xml:space="preserve"> (bacterial </w:t>
      </w:r>
      <w:proofErr w:type="spellStart"/>
      <w:r>
        <w:t>biofertiliser</w:t>
      </w:r>
      <w:proofErr w:type="spellEnd"/>
      <w:r>
        <w:t xml:space="preserve">) with a 50% reduction in the recommended chemical N and P doses under semi-arid field conditions in India. Their results revealed that the combined </w:t>
      </w:r>
      <w:proofErr w:type="spellStart"/>
      <w:r>
        <w:t>biofertiliser</w:t>
      </w:r>
      <w:proofErr w:type="spellEnd"/>
      <w:r>
        <w:t xml:space="preserve"> treatment produced leaf quality and cocoon parameters statistically on par with the 100% NPK control, effectively demonstrating that </w:t>
      </w:r>
      <w:proofErr w:type="spellStart"/>
      <w:r>
        <w:t>biofertiliser</w:t>
      </w:r>
      <w:proofErr w:type="spellEnd"/>
      <w:r>
        <w:t xml:space="preserve"> consortia could compensate for a substantial reduction in chemical inputs without any significant penalty to leaf quality or silkworm productivity. This finding is of considerable practical and economic significance for smallholder sericulture farmers for whom chemical </w:t>
      </w:r>
      <w:proofErr w:type="spellStart"/>
      <w:r>
        <w:t>fertiliser</w:t>
      </w:r>
      <w:proofErr w:type="spellEnd"/>
      <w:r>
        <w:t xml:space="preserve"> costs represent a major production expense.</w:t>
      </w:r>
    </w:p>
    <w:p w:rsidR="00AD6485" w:rsidRDefault="00757BAB">
      <w:pPr>
        <w:spacing w:after="160" w:line="276" w:lineRule="auto"/>
        <w:jc w:val="both"/>
      </w:pPr>
      <w:r>
        <w:t xml:space="preserve">Begum </w:t>
      </w:r>
      <w:r w:rsidRPr="00E054E7">
        <w:rPr>
          <w:highlight w:val="yellow"/>
        </w:rPr>
        <w:t>et al.</w:t>
      </w:r>
      <w:r>
        <w:t xml:space="preserve"> (2019) reviewed the broad mechanisms through which AMF promote plant growth and productivity across diverse crops, confirming that AMF-mediated improvements in phosphorus and water uptake, the modulation of plant hormonal balance, the activation of antioxidant </w:t>
      </w:r>
      <w:proofErr w:type="spellStart"/>
      <w:r>
        <w:t>defence</w:t>
      </w:r>
      <w:proofErr w:type="spellEnd"/>
      <w:r>
        <w:t xml:space="preserve"> mechanisms, and contributions to soil aggregate stability collectively explain the consistent yield-promoting effects observed in mulberry and other perennial crops. The degree of benefit from AMF inoculation was shown to be highly dependent on the AMF species–host plant combination, soil phosphorus status, and the presence or abundance of other compatible soil microorganisms, particularly nitrogen-fixing bacteria.</w:t>
      </w:r>
    </w:p>
    <w:p w:rsidR="00AD6485" w:rsidRDefault="00AD6485">
      <w:pPr>
        <w:spacing w:after="80"/>
      </w:pPr>
    </w:p>
    <w:p w:rsidR="00AD6485" w:rsidRDefault="00757BAB">
      <w:pPr>
        <w:pStyle w:val="Heading1"/>
      </w:pPr>
      <w:r>
        <w:t xml:space="preserve">9. Effect of Cyanobacterial </w:t>
      </w:r>
      <w:proofErr w:type="spellStart"/>
      <w:r>
        <w:t>Biofertilisers</w:t>
      </w:r>
      <w:proofErr w:type="spellEnd"/>
      <w:r>
        <w:t xml:space="preserve"> on Mulberry</w:t>
      </w:r>
    </w:p>
    <w:p w:rsidR="00AD6485" w:rsidRDefault="00757BAB">
      <w:pPr>
        <w:spacing w:after="160" w:line="276" w:lineRule="auto"/>
        <w:jc w:val="both"/>
      </w:pPr>
      <w:r>
        <w:t xml:space="preserve">Cyanobacteria (blue-green algae) represent a historically important class of </w:t>
      </w:r>
      <w:proofErr w:type="spellStart"/>
      <w:r>
        <w:t>biofertilisers</w:t>
      </w:r>
      <w:proofErr w:type="spellEnd"/>
      <w:r>
        <w:t xml:space="preserve"> that have been employed in rice cultivation across Asia for many decades but have received comparatively limited systematic investigation in the context of mulberry cultivation. </w:t>
      </w:r>
      <w:proofErr w:type="spellStart"/>
      <w:r>
        <w:t>Baqual</w:t>
      </w:r>
      <w:proofErr w:type="spellEnd"/>
      <w:r>
        <w:t xml:space="preserve">&amp; Das (2006) included cyanobacterial species among the suite of </w:t>
      </w:r>
      <w:proofErr w:type="spellStart"/>
      <w:r>
        <w:t>biofertilisers</w:t>
      </w:r>
      <w:proofErr w:type="spellEnd"/>
      <w:r>
        <w:t xml:space="preserve"> evaluated on mulberry, reporting that application of mixed cyanobacterial consortia — including </w:t>
      </w:r>
      <w:proofErr w:type="spellStart"/>
      <w:r>
        <w:t>Nostocmuscorum</w:t>
      </w:r>
      <w:proofErr w:type="spellEnd"/>
      <w:r>
        <w:t xml:space="preserve">, Anabaena </w:t>
      </w:r>
      <w:proofErr w:type="spellStart"/>
      <w:r>
        <w:t>variabilis</w:t>
      </w:r>
      <w:proofErr w:type="spellEnd"/>
      <w:r>
        <w:t xml:space="preserve">, and Spirulina species — in combination with 50% of the recommended NPK dose improved soil nutrient status, reduced soil pH in alkaline mulberry garden soils, and increased mulberry leaf yield to levels approaching those of the 100% NPK control. The multi-species cyanobacterial combination treatment consistently outperformed single-species applications, underscoring the value of mixed consortia over single-organism preparations. These findings are consistent with the broader literature on cyanobacterial </w:t>
      </w:r>
      <w:proofErr w:type="spellStart"/>
      <w:r>
        <w:t>biofertiliser</w:t>
      </w:r>
      <w:proofErr w:type="spellEnd"/>
      <w:r>
        <w:t xml:space="preserve"> performance in cereal and vegetable crops, where </w:t>
      </w:r>
      <w:proofErr w:type="spellStart"/>
      <w:r>
        <w:t>heterocystous</w:t>
      </w:r>
      <w:proofErr w:type="spellEnd"/>
      <w:r>
        <w:t xml:space="preserve"> genera such as Anabaena and </w:t>
      </w:r>
      <w:proofErr w:type="spellStart"/>
      <w:r>
        <w:t>Nostoc</w:t>
      </w:r>
      <w:proofErr w:type="spellEnd"/>
      <w:r>
        <w:t xml:space="preserve"> produce the most robust nitrogen fixation and growth-promoting outcomes.</w:t>
      </w:r>
    </w:p>
    <w:p w:rsidR="00AD6485" w:rsidRDefault="00757BAB">
      <w:pPr>
        <w:spacing w:after="160" w:line="276" w:lineRule="auto"/>
        <w:jc w:val="both"/>
      </w:pPr>
      <w:r>
        <w:t xml:space="preserve">Cyanobacteria improve mulberry soil fertility through several complementary mechanisms. Nitrogen fixation by </w:t>
      </w:r>
      <w:proofErr w:type="spellStart"/>
      <w:r>
        <w:t>heterocystous</w:t>
      </w:r>
      <w:proofErr w:type="spellEnd"/>
      <w:r>
        <w:t xml:space="preserve"> species such as Anabaena and </w:t>
      </w:r>
      <w:proofErr w:type="spellStart"/>
      <w:r>
        <w:t>Nostoc</w:t>
      </w:r>
      <w:proofErr w:type="spellEnd"/>
      <w:r>
        <w:t xml:space="preserve"> can contribute 20–30 kg N ha⁻¹ per season, meaningfully reducing the need for chemical nitrogen inputs </w:t>
      </w:r>
      <w:r>
        <w:lastRenderedPageBreak/>
        <w:t xml:space="preserve">(Gonçalves, 2021). The photosynthetic activity of cyanobacteria adds organic carbon to the soil in the form of exopolysaccharides and cellular debris, improving soil physical structure and microbial biomass. Polysaccharide secretion promotes soil particle aggregation and water retention, which is particularly beneficial in light-textured sandy loam soils found in many sericulture zones. Cyanobacteria also excrete growth-promoting substances including IAA, </w:t>
      </w:r>
      <w:proofErr w:type="spellStart"/>
      <w:r>
        <w:t>cytokinins</w:t>
      </w:r>
      <w:proofErr w:type="spellEnd"/>
      <w:r>
        <w:t>, and B vitamins that stimulate mulberry root growth and shoot development. In salt-affected mulberry gardens, cyanobacterial inoculation has been reported to reduce soil electrical conductivity progressively and improve the growth environment for mulberry (</w:t>
      </w:r>
      <w:proofErr w:type="spellStart"/>
      <w:r>
        <w:t>Baqual</w:t>
      </w:r>
      <w:proofErr w:type="spellEnd"/>
      <w:r>
        <w:t xml:space="preserve">&amp; Das, 2006). An additional advantage of cyanobacteria relative to other </w:t>
      </w:r>
      <w:proofErr w:type="spellStart"/>
      <w:r>
        <w:t>biofertiliser</w:t>
      </w:r>
      <w:proofErr w:type="spellEnd"/>
      <w:r>
        <w:t xml:space="preserve"> types is their capacity for phototrophic self-maintenance in the soil as long as light and moisture are available, reducing the frequency of re-inoculation required.</w:t>
      </w:r>
      <w:r w:rsidR="00E054E7" w:rsidRPr="00E054E7">
        <w:rPr>
          <w:highlight w:val="yellow"/>
        </w:rPr>
        <w:t xml:space="preserve"> </w:t>
      </w:r>
    </w:p>
    <w:p w:rsidR="00AD6485" w:rsidRDefault="00757BAB">
      <w:pPr>
        <w:spacing w:after="160" w:line="276" w:lineRule="auto"/>
        <w:jc w:val="both"/>
      </w:pPr>
      <w:r>
        <w:t xml:space="preserve">Gonçalves (2021) highlighted that microalgae and cyanobacteria-based </w:t>
      </w:r>
      <w:proofErr w:type="spellStart"/>
      <w:r>
        <w:t>biofertilisers</w:t>
      </w:r>
      <w:proofErr w:type="spellEnd"/>
      <w:r>
        <w:t xml:space="preserve"> offer substantially lower production costs than equivalent chemical </w:t>
      </w:r>
      <w:proofErr w:type="spellStart"/>
      <w:r>
        <w:t>fertilisers</w:t>
      </w:r>
      <w:proofErr w:type="spellEnd"/>
      <w:r>
        <w:t xml:space="preserve">, making them particularly attractive for smallholder farmers in developing countries where sericulture is </w:t>
      </w:r>
      <w:proofErr w:type="spellStart"/>
      <w:r>
        <w:t>practised</w:t>
      </w:r>
      <w:proofErr w:type="spellEnd"/>
      <w:r>
        <w:t xml:space="preserve"> at the subsistence level. Despite these benefits, research specifically focused on cyanobacterial </w:t>
      </w:r>
      <w:proofErr w:type="spellStart"/>
      <w:r>
        <w:t>biofertilisers</w:t>
      </w:r>
      <w:proofErr w:type="spellEnd"/>
      <w:r>
        <w:t xml:space="preserve"> in mulberry remains relatively limited compared to the extensive literature on AMF and nitrogen-fixing bacteria. The potential of modern, high-performance cyanobacterial strains, combined with advances in </w:t>
      </w:r>
      <w:proofErr w:type="spellStart"/>
      <w:r>
        <w:t>biofertiliser</w:t>
      </w:r>
      <w:proofErr w:type="spellEnd"/>
      <w:r>
        <w:t xml:space="preserve"> formulation such as slow-release encapsulation and polymer-coated carriers, merits systematic investigation across the range of mulberry cultivation systems encountered in different </w:t>
      </w:r>
      <w:proofErr w:type="spellStart"/>
      <w:r>
        <w:t>agro</w:t>
      </w:r>
      <w:proofErr w:type="spellEnd"/>
      <w:r>
        <w:t>-climatic zones.</w:t>
      </w:r>
    </w:p>
    <w:p w:rsidR="00AD6485" w:rsidRDefault="00AD6485">
      <w:pPr>
        <w:spacing w:after="80"/>
      </w:pPr>
    </w:p>
    <w:p w:rsidR="00AD6485" w:rsidRDefault="00757BAB">
      <w:pPr>
        <w:pStyle w:val="Heading1"/>
      </w:pPr>
      <w:r>
        <w:t>10. Downstream Impact on Silkworm Performance and Silk Quality</w:t>
      </w:r>
    </w:p>
    <w:p w:rsidR="00AD6485" w:rsidRDefault="00757BAB">
      <w:pPr>
        <w:pStyle w:val="Heading2"/>
      </w:pPr>
      <w:r>
        <w:t>10.1 Larval Growth and Cocoon Traits</w:t>
      </w:r>
    </w:p>
    <w:p w:rsidR="00AD6485" w:rsidRDefault="00757BAB">
      <w:pPr>
        <w:spacing w:after="160" w:line="276" w:lineRule="auto"/>
        <w:jc w:val="both"/>
      </w:pPr>
      <w:r>
        <w:t>Because mulberry leaves are the sole food source for the silkworm (</w:t>
      </w:r>
      <w:r w:rsidRPr="00E054E7">
        <w:rPr>
          <w:highlight w:val="yellow"/>
        </w:rPr>
        <w:t>Bombyx mori</w:t>
      </w:r>
      <w:r>
        <w:t xml:space="preserve"> L.) throughout its larval stage, any change in the nutritional composition of mulberry leaves exerts a direct and measurable impact on silkworm rearing outcomes. The silkworm larva is exquisitely sensitive to the moisture content, crude protein, total soluble sugars, amino acid profile, and mineral composition of the leaves it consumes. Higher leaf moisture content supports better feed consumption and palatability; higher protein content directly sustains silk gland development and cocoon shell synthesis; leaf sugar content provides the primary energy substrate for larval metabolism; and the essential amino acid profile determines the biosynthetic efficiency of silk protein production.</w:t>
      </w:r>
      <w:r w:rsidR="00631742" w:rsidRPr="00631742">
        <w:rPr>
          <w:highlight w:val="yellow"/>
        </w:rPr>
        <w:t xml:space="preserve"> </w:t>
      </w:r>
    </w:p>
    <w:p w:rsidR="00AD6485" w:rsidRDefault="00757BAB">
      <w:pPr>
        <w:spacing w:after="160" w:line="276" w:lineRule="auto"/>
        <w:jc w:val="both"/>
      </w:pPr>
      <w:proofErr w:type="spellStart"/>
      <w:r>
        <w:t>Baqual</w:t>
      </w:r>
      <w:proofErr w:type="spellEnd"/>
      <w:r>
        <w:t xml:space="preserve">&amp; Das (2006) were among the first to formally document the </w:t>
      </w:r>
      <w:proofErr w:type="spellStart"/>
      <w:r>
        <w:t>biofertiliser</w:t>
      </w:r>
      <w:proofErr w:type="spellEnd"/>
      <w:r>
        <w:t xml:space="preserve">–silkworm performance nexus through well-controlled bioassay experiments, demonstrating that mulberry leaves harvested from plants inoculated with combined </w:t>
      </w:r>
      <w:proofErr w:type="spellStart"/>
      <w:r>
        <w:t>biofertiliser</w:t>
      </w:r>
      <w:proofErr w:type="spellEnd"/>
      <w:r>
        <w:t xml:space="preserve"> consortia — comprising AMF species, </w:t>
      </w:r>
      <w:proofErr w:type="spellStart"/>
      <w:r>
        <w:t>Azotobacter</w:t>
      </w:r>
      <w:proofErr w:type="spellEnd"/>
      <w:r>
        <w:t>, and the phosphate-</w:t>
      </w:r>
      <w:proofErr w:type="spellStart"/>
      <w:r>
        <w:t>solubilising</w:t>
      </w:r>
      <w:proofErr w:type="spellEnd"/>
      <w:r>
        <w:t xml:space="preserve"> fungus </w:t>
      </w:r>
      <w:r w:rsidRPr="003E3C9D">
        <w:rPr>
          <w:i/>
          <w:highlight w:val="yellow"/>
        </w:rPr>
        <w:t>Aspergillus awamori</w:t>
      </w:r>
      <w:r>
        <w:t xml:space="preserve"> — supported significantly improved larval growth rates, higher effective rearing rates, greater single cocoon weight, and improved shell weight compared with leaves harvested from chemically </w:t>
      </w:r>
      <w:proofErr w:type="spellStart"/>
      <w:r>
        <w:t>fertilised</w:t>
      </w:r>
      <w:proofErr w:type="spellEnd"/>
      <w:r>
        <w:t xml:space="preserve"> control plants. Similar outcomes were reported by Ram Rao </w:t>
      </w:r>
      <w:r w:rsidRPr="00631742">
        <w:rPr>
          <w:highlight w:val="yellow"/>
        </w:rPr>
        <w:t>et al.</w:t>
      </w:r>
      <w:r>
        <w:t xml:space="preserve"> (2007), who found that the combined AMF and bacterial </w:t>
      </w:r>
      <w:proofErr w:type="spellStart"/>
      <w:r>
        <w:t>biofertiliser</w:t>
      </w:r>
      <w:proofErr w:type="spellEnd"/>
      <w:r>
        <w:t xml:space="preserve"> treatment </w:t>
      </w:r>
      <w:r>
        <w:lastRenderedPageBreak/>
        <w:t xml:space="preserve">with a 50% chemical </w:t>
      </w:r>
      <w:proofErr w:type="spellStart"/>
      <w:r>
        <w:t>fertiliser</w:t>
      </w:r>
      <w:proofErr w:type="spellEnd"/>
      <w:r>
        <w:t xml:space="preserve"> reduction produced cocoon parameters — including single cocoon weight, shell weight, shell ratio, and filament length — statistically comparable to those from the full NPK treatment, confirming that the leaf quality improvements attributable to </w:t>
      </w:r>
      <w:proofErr w:type="spellStart"/>
      <w:r>
        <w:t>biofertiliser</w:t>
      </w:r>
      <w:proofErr w:type="spellEnd"/>
      <w:r>
        <w:t xml:space="preserve"> application are biologically meaningful at the level of commercial silkworm rearing. Chowdhury </w:t>
      </w:r>
      <w:r w:rsidRPr="00631742">
        <w:rPr>
          <w:highlight w:val="yellow"/>
        </w:rPr>
        <w:t>et al</w:t>
      </w:r>
      <w:r>
        <w:t xml:space="preserve">. (2013) further confirmed that organic nutrient management packages incorporating </w:t>
      </w:r>
      <w:proofErr w:type="spellStart"/>
      <w:r>
        <w:t>biofertilisers</w:t>
      </w:r>
      <w:proofErr w:type="spellEnd"/>
      <w:r>
        <w:t xml:space="preserve"> alongside vermicompost and farmyard manure supported sustainable, high-quality leaf production, with resulting bioassay parameters indicating normal and productive silkworm development.</w:t>
      </w:r>
    </w:p>
    <w:p w:rsidR="00AD6485" w:rsidRDefault="00757BAB">
      <w:pPr>
        <w:spacing w:after="160" w:line="276" w:lineRule="auto"/>
        <w:jc w:val="both"/>
      </w:pPr>
      <w:r>
        <w:t>The leaf biochemical improvements documented in AMF-</w:t>
      </w:r>
      <w:proofErr w:type="spellStart"/>
      <w:r>
        <w:t>colonised</w:t>
      </w:r>
      <w:proofErr w:type="spellEnd"/>
      <w:r>
        <w:t xml:space="preserve"> mulberry plants are particularly significant from a silkworm nutrition perspective. Shi </w:t>
      </w:r>
      <w:r w:rsidRPr="00631742">
        <w:rPr>
          <w:highlight w:val="yellow"/>
        </w:rPr>
        <w:t>et al</w:t>
      </w:r>
      <w:r>
        <w:t xml:space="preserve">. (2016) reported that AMF </w:t>
      </w:r>
      <w:proofErr w:type="spellStart"/>
      <w:r>
        <w:t>colonisation</w:t>
      </w:r>
      <w:proofErr w:type="spellEnd"/>
      <w:r>
        <w:t xml:space="preserve"> improved leaf concentrations of all essential amino acids, including methionine, threonine, histidine, and proline, all of which are critical for silk protein biosynthesis and larval growth. Given that silk </w:t>
      </w:r>
      <w:proofErr w:type="spellStart"/>
      <w:r>
        <w:t>fibre</w:t>
      </w:r>
      <w:proofErr w:type="spellEnd"/>
      <w:r>
        <w:t xml:space="preserve"> is composed largely of the </w:t>
      </w:r>
      <w:proofErr w:type="gramStart"/>
      <w:r>
        <w:t>proteins</w:t>
      </w:r>
      <w:proofErr w:type="gramEnd"/>
      <w:r>
        <w:t xml:space="preserve"> fibroin and sericin, and that these proteins have specific amino acid requirements, the enrichment of mulberry leaf amino acid profiles through AMF inoculation represents a direct biochemical pathway to improved silk quality and quantity.</w:t>
      </w:r>
    </w:p>
    <w:p w:rsidR="00AD6485" w:rsidRDefault="00757BAB">
      <w:pPr>
        <w:pStyle w:val="Heading2"/>
      </w:pPr>
      <w:r>
        <w:t>10.2 Silk Quality Parameters</w:t>
      </w:r>
    </w:p>
    <w:p w:rsidR="00AD6485" w:rsidRDefault="00757BAB">
      <w:pPr>
        <w:spacing w:after="160" w:line="276" w:lineRule="auto"/>
        <w:jc w:val="both"/>
      </w:pPr>
      <w:r>
        <w:t xml:space="preserve">Beyond cocoon yield and shell weight, the quality characteristics of raw silk — including filament length, filament uniformity, </w:t>
      </w:r>
      <w:proofErr w:type="spellStart"/>
      <w:r>
        <w:t>reelability</w:t>
      </w:r>
      <w:proofErr w:type="spellEnd"/>
      <w:r>
        <w:t xml:space="preserve">, and denier — are influenced by the nutritional status of the silkworm larva and hence by the quality of the mulberry leaves consumed during larval development. Studies conducted in Indian and Chinese sericulture contexts have demonstrated that mulberry leaves produced under </w:t>
      </w:r>
      <w:proofErr w:type="spellStart"/>
      <w:r>
        <w:t>biofertiliser</w:t>
      </w:r>
      <w:proofErr w:type="spellEnd"/>
      <w:r>
        <w:t xml:space="preserve"> application regimes support silkworms that spin cocoons with longer, more uniform filaments, higher </w:t>
      </w:r>
      <w:proofErr w:type="spellStart"/>
      <w:r>
        <w:t>reelability</w:t>
      </w:r>
      <w:proofErr w:type="spellEnd"/>
      <w:r>
        <w:t xml:space="preserve"> percentages, and lower denier values, indicating finer silk </w:t>
      </w:r>
      <w:proofErr w:type="spellStart"/>
      <w:r>
        <w:t>fibres</w:t>
      </w:r>
      <w:proofErr w:type="spellEnd"/>
      <w:r>
        <w:t xml:space="preserve"> of higher commercial value (Ram Rao et al., 2007; </w:t>
      </w:r>
      <w:proofErr w:type="spellStart"/>
      <w:r>
        <w:t>Baqual</w:t>
      </w:r>
      <w:proofErr w:type="spellEnd"/>
      <w:r>
        <w:t xml:space="preserve">&amp; Das, 2006). The </w:t>
      </w:r>
      <w:r w:rsidR="00A02837">
        <w:t>re</w:t>
      </w:r>
      <w:r w:rsidR="00A02837">
        <w:t>li</w:t>
      </w:r>
      <w:r w:rsidR="00A02837">
        <w:t xml:space="preserve">ability </w:t>
      </w:r>
      <w:r>
        <w:t xml:space="preserve">percentage — a measure of what proportion of a cocoon's silk filament can be successfully unwound without breakage — was consistently reported to be superior in silkworms reared on </w:t>
      </w:r>
      <w:proofErr w:type="spellStart"/>
      <w:r>
        <w:t>biofertiliser</w:t>
      </w:r>
      <w:proofErr w:type="spellEnd"/>
      <w:r>
        <w:t xml:space="preserve">-treated mulberry compared to those fed on conventionally </w:t>
      </w:r>
      <w:proofErr w:type="spellStart"/>
      <w:r>
        <w:t>fertilised</w:t>
      </w:r>
      <w:proofErr w:type="spellEnd"/>
      <w:r>
        <w:t xml:space="preserve"> </w:t>
      </w:r>
      <w:proofErr w:type="spellStart"/>
      <w:r>
        <w:t>leavesThese</w:t>
      </w:r>
      <w:proofErr w:type="spellEnd"/>
      <w:r>
        <w:t xml:space="preserve"> collective findings indicate that </w:t>
      </w:r>
      <w:proofErr w:type="spellStart"/>
      <w:r>
        <w:t>biofertiliser</w:t>
      </w:r>
      <w:proofErr w:type="spellEnd"/>
      <w:r>
        <w:t xml:space="preserve"> application to mulberry has the potential to enhance not only the volume but also the quality grade of silk produced, with significant positive implications for the economic returns of smallholder sericulture operations.</w:t>
      </w:r>
      <w:r w:rsidR="00631742" w:rsidRPr="00631742">
        <w:rPr>
          <w:highlight w:val="yellow"/>
        </w:rPr>
        <w:t xml:space="preserve"> </w:t>
      </w:r>
    </w:p>
    <w:p w:rsidR="00AD6485" w:rsidRDefault="00AD6485">
      <w:pPr>
        <w:spacing w:after="80"/>
      </w:pPr>
    </w:p>
    <w:p w:rsidR="00AD6485" w:rsidRDefault="00757BAB">
      <w:pPr>
        <w:pStyle w:val="Heading1"/>
      </w:pPr>
      <w:r>
        <w:t>11. Integrated Nutrient Management Strategies</w:t>
      </w:r>
    </w:p>
    <w:p w:rsidR="00AD6485" w:rsidRDefault="00757BAB">
      <w:pPr>
        <w:pStyle w:val="Heading2"/>
      </w:pPr>
      <w:r>
        <w:t xml:space="preserve">11.1 </w:t>
      </w:r>
      <w:proofErr w:type="spellStart"/>
      <w:r>
        <w:t>Biofertiliser</w:t>
      </w:r>
      <w:proofErr w:type="spellEnd"/>
      <w:r>
        <w:t xml:space="preserve"> Consortia</w:t>
      </w:r>
    </w:p>
    <w:p w:rsidR="00AD6485" w:rsidRDefault="00757BAB">
      <w:pPr>
        <w:spacing w:after="160" w:line="276" w:lineRule="auto"/>
        <w:jc w:val="both"/>
      </w:pPr>
      <w:r>
        <w:t xml:space="preserve">The combined application of two or more compatible </w:t>
      </w:r>
      <w:proofErr w:type="spellStart"/>
      <w:r>
        <w:t>biofertiliser</w:t>
      </w:r>
      <w:proofErr w:type="spellEnd"/>
      <w:r>
        <w:t xml:space="preserve"> types — referred to as consortia or combined inoculant packages — consistently produces greater growth and yield responses than single-microorganism applications in mulberry.</w:t>
      </w:r>
      <w:r w:rsidR="00631742" w:rsidRPr="00631742">
        <w:rPr>
          <w:highlight w:val="yellow"/>
        </w:rPr>
        <w:t xml:space="preserve"> </w:t>
      </w:r>
      <w:r>
        <w:t xml:space="preserve">The rationale for consortia is that individual </w:t>
      </w:r>
      <w:proofErr w:type="spellStart"/>
      <w:r>
        <w:t>biofertiliser</w:t>
      </w:r>
      <w:proofErr w:type="spellEnd"/>
      <w:r>
        <w:t xml:space="preserve"> types address different nutritional constraints simultaneously and may interact synergistically through complementary biochemical and ecological functions in the rhizosphere. A nitrogen-fixing bacterium paired with a phosphate-</w:t>
      </w:r>
      <w:proofErr w:type="spellStart"/>
      <w:r>
        <w:t>solubilising</w:t>
      </w:r>
      <w:proofErr w:type="spellEnd"/>
      <w:r>
        <w:t xml:space="preserve"> fungus </w:t>
      </w:r>
      <w:r>
        <w:lastRenderedPageBreak/>
        <w:t xml:space="preserve">addresses both N and P limitations simultaneously and may mutually stimulate each other's </w:t>
      </w:r>
      <w:proofErr w:type="spellStart"/>
      <w:r>
        <w:t>rhizospheric</w:t>
      </w:r>
      <w:proofErr w:type="spellEnd"/>
      <w:r>
        <w:t xml:space="preserve"> activity through cross-feeding of metabolic substrates. The simultaneous application of AMF with PSB creates a particularly effective nutrient management system, as PSB </w:t>
      </w:r>
      <w:proofErr w:type="spellStart"/>
      <w:r>
        <w:t>solubilise</w:t>
      </w:r>
      <w:proofErr w:type="spellEnd"/>
      <w:r>
        <w:t xml:space="preserve"> phosphate at the soil–mineral interface whilst AMF hyphae transport </w:t>
      </w:r>
      <w:proofErr w:type="spellStart"/>
      <w:r>
        <w:t>solubilised</w:t>
      </w:r>
      <w:proofErr w:type="spellEnd"/>
      <w:r>
        <w:t xml:space="preserve"> phosphate over distances beyond the root depletion zone, creating a biological infrastructure for nutrient delivery that is far more efficient than either organism alone (Pang </w:t>
      </w:r>
      <w:r w:rsidRPr="00631742">
        <w:rPr>
          <w:highlight w:val="yellow"/>
        </w:rPr>
        <w:t>et al.</w:t>
      </w:r>
      <w:r>
        <w:t>, 2024).</w:t>
      </w:r>
    </w:p>
    <w:p w:rsidR="00AD6485" w:rsidRDefault="00757BAB">
      <w:pPr>
        <w:spacing w:after="160" w:line="276" w:lineRule="auto"/>
        <w:jc w:val="both"/>
      </w:pPr>
      <w:r>
        <w:t xml:space="preserve">Ram Rao et al. (2007) demonstrated that the combination of </w:t>
      </w:r>
      <w:proofErr w:type="spellStart"/>
      <w:r w:rsidRPr="00631742">
        <w:rPr>
          <w:highlight w:val="yellow"/>
        </w:rPr>
        <w:t>Funneliformismosseae</w:t>
      </w:r>
      <w:proofErr w:type="spellEnd"/>
      <w:r>
        <w:t xml:space="preserve"> (AMF) and </w:t>
      </w:r>
      <w:proofErr w:type="spellStart"/>
      <w:r w:rsidRPr="00631742">
        <w:rPr>
          <w:highlight w:val="yellow"/>
        </w:rPr>
        <w:t>Azotobacterchroococcum</w:t>
      </w:r>
      <w:proofErr w:type="spellEnd"/>
      <w:r>
        <w:t xml:space="preserve"> (bacterial </w:t>
      </w:r>
      <w:proofErr w:type="spellStart"/>
      <w:r>
        <w:t>biofertiliser</w:t>
      </w:r>
      <w:proofErr w:type="spellEnd"/>
      <w:r>
        <w:t xml:space="preserve">) with a 50% reduction in both </w:t>
      </w:r>
      <w:r w:rsidRPr="00631742">
        <w:rPr>
          <w:highlight w:val="yellow"/>
        </w:rPr>
        <w:t>N and P</w:t>
      </w:r>
      <w:r>
        <w:t xml:space="preserve"> chemical </w:t>
      </w:r>
      <w:proofErr w:type="spellStart"/>
      <w:r>
        <w:t>fertiliser</w:t>
      </w:r>
      <w:proofErr w:type="spellEnd"/>
      <w:r>
        <w:t xml:space="preserve"> doses produced leaf quality and cocoon parameters on par with the 100% NPK control, confirming that </w:t>
      </w:r>
      <w:proofErr w:type="spellStart"/>
      <w:r>
        <w:t>biofertiliser</w:t>
      </w:r>
      <w:proofErr w:type="spellEnd"/>
      <w:r>
        <w:t xml:space="preserve"> consortia can effectively replace substantial proportions of chemical inputs without compromising agricultural performance. Similarly, </w:t>
      </w:r>
      <w:proofErr w:type="spellStart"/>
      <w:r>
        <w:t>Baqual</w:t>
      </w:r>
      <w:proofErr w:type="spellEnd"/>
      <w:r>
        <w:t>&amp; Das (2006) found that a five-component consortium comprising two AMF species (</w:t>
      </w:r>
      <w:r w:rsidRPr="00631742">
        <w:rPr>
          <w:highlight w:val="yellow"/>
        </w:rPr>
        <w:t xml:space="preserve">Glomus </w:t>
      </w:r>
      <w:proofErr w:type="spellStart"/>
      <w:r w:rsidRPr="00631742">
        <w:rPr>
          <w:highlight w:val="yellow"/>
        </w:rPr>
        <w:t>fasciculatum</w:t>
      </w:r>
      <w:proofErr w:type="spellEnd"/>
      <w:r>
        <w:t xml:space="preserve"> and </w:t>
      </w:r>
      <w:proofErr w:type="spellStart"/>
      <w:r w:rsidRPr="00631742">
        <w:rPr>
          <w:highlight w:val="yellow"/>
        </w:rPr>
        <w:t>Funneliformismosseae</w:t>
      </w:r>
      <w:proofErr w:type="spellEnd"/>
      <w:r>
        <w:t xml:space="preserve">), </w:t>
      </w:r>
      <w:proofErr w:type="spellStart"/>
      <w:r>
        <w:t>Azotobacter</w:t>
      </w:r>
      <w:proofErr w:type="spellEnd"/>
      <w:r>
        <w:t>, the phosphate-</w:t>
      </w:r>
      <w:proofErr w:type="spellStart"/>
      <w:r>
        <w:t>solubilising</w:t>
      </w:r>
      <w:proofErr w:type="spellEnd"/>
      <w:r>
        <w:t xml:space="preserve"> bacterium Bacillus megaterium, and the phosphate-</w:t>
      </w:r>
      <w:proofErr w:type="spellStart"/>
      <w:r>
        <w:t>solubilising</w:t>
      </w:r>
      <w:proofErr w:type="spellEnd"/>
      <w:r>
        <w:t xml:space="preserve"> fungus Aspergillus awamori improved macronutrient uptake in mulberry leaves to levels exceeding those achievable with single-component inoculants or chemical </w:t>
      </w:r>
      <w:proofErr w:type="spellStart"/>
      <w:r>
        <w:t>fertilisers</w:t>
      </w:r>
      <w:proofErr w:type="spellEnd"/>
      <w:r>
        <w:t xml:space="preserve"> alone. These findings underline the principle that the functional diversity of multi-strain formulations translates into more robust and consistent performance across varied soil and environmental conditions.</w:t>
      </w:r>
    </w:p>
    <w:p w:rsidR="00AD6485" w:rsidRDefault="00757BAB">
      <w:pPr>
        <w:pStyle w:val="Heading2"/>
      </w:pPr>
      <w:r>
        <w:t>11.2 Integration with Organic Manures</w:t>
      </w:r>
    </w:p>
    <w:p w:rsidR="00AD6485" w:rsidRDefault="00757BAB">
      <w:pPr>
        <w:spacing w:after="160" w:line="276" w:lineRule="auto"/>
        <w:jc w:val="both"/>
      </w:pPr>
      <w:r>
        <w:t xml:space="preserve">The integration of </w:t>
      </w:r>
      <w:proofErr w:type="spellStart"/>
      <w:r>
        <w:t>biofertilisers</w:t>
      </w:r>
      <w:proofErr w:type="spellEnd"/>
      <w:r>
        <w:t xml:space="preserve"> with organic manures such as farmyard manure (FYM), vermicompost, poultry manure, and composted crop residues creates a highly synergistic nutrient management system for mulberry. Organic manures improve soil physical structure, provide slow-release macro- and micronutrients, and, crucially, serve as a rich organic substrate that stimulates soil microbial biomass and activity. This enhanced soil biological environment provides a more hospitable habitat for introduced </w:t>
      </w:r>
      <w:proofErr w:type="spellStart"/>
      <w:r>
        <w:t>biofertiliser</w:t>
      </w:r>
      <w:proofErr w:type="spellEnd"/>
      <w:r>
        <w:t xml:space="preserve"> organisms, improving their establishment, persistence, and functional effectiveness compared with inoculation into chemically managed soils depleted of organic matter (Chowdhury et al., 2013). </w:t>
      </w:r>
      <w:proofErr w:type="spellStart"/>
      <w:r>
        <w:t>Biofertiliser</w:t>
      </w:r>
      <w:proofErr w:type="spellEnd"/>
      <w:r>
        <w:t xml:space="preserve"> organisms in organic-matter-rich soils exhibit markedly higher </w:t>
      </w:r>
      <w:proofErr w:type="spellStart"/>
      <w:r>
        <w:t>colonisation</w:t>
      </w:r>
      <w:proofErr w:type="spellEnd"/>
      <w:r>
        <w:t xml:space="preserve"> rates, greater population longevity, and more pronounced growth-promoting effects.</w:t>
      </w:r>
    </w:p>
    <w:p w:rsidR="00AD6485" w:rsidRDefault="00757BAB">
      <w:pPr>
        <w:spacing w:after="160" w:line="276" w:lineRule="auto"/>
        <w:jc w:val="both"/>
      </w:pPr>
      <w:r>
        <w:t xml:space="preserve">Field experiments in India and Bangladesh have reported that the combination of vermicompost or FYM with </w:t>
      </w:r>
      <w:proofErr w:type="spellStart"/>
      <w:r>
        <w:t>Azospirillum</w:t>
      </w:r>
      <w:proofErr w:type="spellEnd"/>
      <w:r>
        <w:t xml:space="preserve"> or </w:t>
      </w:r>
      <w:proofErr w:type="spellStart"/>
      <w:r>
        <w:t>Azotobacterbiofertiliser</w:t>
      </w:r>
      <w:proofErr w:type="spellEnd"/>
      <w:r>
        <w:t xml:space="preserve"> produced significantly greater improvements in mulberry plant height, branching, leaf area, leaf yield, moisture content, and leaf biochemical quality than either organic manure or </w:t>
      </w:r>
      <w:proofErr w:type="spellStart"/>
      <w:r>
        <w:t>biofertiliser</w:t>
      </w:r>
      <w:proofErr w:type="spellEnd"/>
      <w:r>
        <w:t xml:space="preserve"> applied independently (Ray </w:t>
      </w:r>
      <w:r w:rsidRPr="00631742">
        <w:rPr>
          <w:highlight w:val="yellow"/>
        </w:rPr>
        <w:t>et al.,</w:t>
      </w:r>
      <w:r>
        <w:t xml:space="preserve"> 2021). The organic matter supplied by manures enhances the water-holding capacity and cation exchange capacity of the soil, creating stable micro-environments that buffer against temperature and moisture fluctuations, thereby prolonging the viability of inoculated </w:t>
      </w:r>
      <w:proofErr w:type="spellStart"/>
      <w:r>
        <w:t>biofertiliser</w:t>
      </w:r>
      <w:proofErr w:type="spellEnd"/>
      <w:r>
        <w:t xml:space="preserve"> organisms between application events. This synergism also extends to the silkworm level, as mulberry plants raised on combined organic manure and </w:t>
      </w:r>
      <w:proofErr w:type="spellStart"/>
      <w:r>
        <w:t>biofertiliser</w:t>
      </w:r>
      <w:proofErr w:type="spellEnd"/>
      <w:r>
        <w:t xml:space="preserve"> systems consistently produce leaves with higher moisture content, crude protein, and sugar levels compared to plants raised on chemical inputs alone.</w:t>
      </w:r>
      <w:r w:rsidR="00631742" w:rsidRPr="00631742">
        <w:rPr>
          <w:highlight w:val="yellow"/>
        </w:rPr>
        <w:t xml:space="preserve"> </w:t>
      </w:r>
    </w:p>
    <w:p w:rsidR="00AD6485" w:rsidRDefault="00757BAB">
      <w:pPr>
        <w:pStyle w:val="Heading2"/>
      </w:pPr>
      <w:r>
        <w:lastRenderedPageBreak/>
        <w:t xml:space="preserve">11.3 Reduced Chemical </w:t>
      </w:r>
      <w:proofErr w:type="spellStart"/>
      <w:r>
        <w:t>Fertiliser</w:t>
      </w:r>
      <w:proofErr w:type="spellEnd"/>
      <w:r>
        <w:t xml:space="preserve"> Doses</w:t>
      </w:r>
    </w:p>
    <w:p w:rsidR="00AD6485" w:rsidRDefault="00757BAB">
      <w:pPr>
        <w:spacing w:after="160" w:line="276" w:lineRule="auto"/>
        <w:jc w:val="both"/>
      </w:pPr>
      <w:r>
        <w:t xml:space="preserve">Perhaps the most practically relevant finding from the </w:t>
      </w:r>
      <w:proofErr w:type="spellStart"/>
      <w:r>
        <w:t>biofertiliser</w:t>
      </w:r>
      <w:proofErr w:type="spellEnd"/>
      <w:r>
        <w:t xml:space="preserve">–mulberry literature is the consistent demonstration that well-designed </w:t>
      </w:r>
      <w:proofErr w:type="spellStart"/>
      <w:r>
        <w:t>biofertiliser</w:t>
      </w:r>
      <w:proofErr w:type="spellEnd"/>
      <w:r>
        <w:t xml:space="preserve"> regimes allow a 25–75% reduction in chemical </w:t>
      </w:r>
      <w:proofErr w:type="spellStart"/>
      <w:r>
        <w:t>fertiliser</w:t>
      </w:r>
      <w:proofErr w:type="spellEnd"/>
      <w:r>
        <w:t xml:space="preserve"> doses without any significant reduction in mulberry leaf yield or quality.</w:t>
      </w:r>
      <w:r w:rsidR="00631742" w:rsidRPr="00631742">
        <w:rPr>
          <w:highlight w:val="yellow"/>
        </w:rPr>
        <w:t xml:space="preserve"> </w:t>
      </w:r>
      <w:proofErr w:type="spellStart"/>
      <w:r>
        <w:t>Katiyar</w:t>
      </w:r>
      <w:proofErr w:type="spellEnd"/>
      <w:r>
        <w:t xml:space="preserve"> </w:t>
      </w:r>
      <w:r w:rsidRPr="00631742">
        <w:rPr>
          <w:highlight w:val="yellow"/>
        </w:rPr>
        <w:t>et al.</w:t>
      </w:r>
      <w:r>
        <w:t xml:space="preserve"> (1995) documented that AMF inoculation with </w:t>
      </w:r>
      <w:r w:rsidRPr="00C64200">
        <w:rPr>
          <w:i/>
          <w:highlight w:val="yellow"/>
        </w:rPr>
        <w:t xml:space="preserve">Glomus </w:t>
      </w:r>
      <w:proofErr w:type="spellStart"/>
      <w:r w:rsidRPr="00C64200">
        <w:rPr>
          <w:i/>
          <w:highlight w:val="yellow"/>
        </w:rPr>
        <w:t>mosseae</w:t>
      </w:r>
      <w:proofErr w:type="spellEnd"/>
      <w:r>
        <w:t xml:space="preserve"> at only 25% of the recommended phosphate dose (30 kg P ha⁻¹ yr⁻¹ versus 120 kg P ha⁻¹ yr⁻¹) produced plant growth, leaf yield, and leaf quality equivalent to the full phosphate dose alone, indicating a potential 75% saving in phosphate </w:t>
      </w:r>
      <w:proofErr w:type="spellStart"/>
      <w:r>
        <w:t>fertiliser</w:t>
      </w:r>
      <w:proofErr w:type="spellEnd"/>
      <w:r>
        <w:t xml:space="preserve"> costs. Ram Rao </w:t>
      </w:r>
      <w:r w:rsidRPr="00631742">
        <w:rPr>
          <w:highlight w:val="yellow"/>
        </w:rPr>
        <w:t>et al.</w:t>
      </w:r>
      <w:r>
        <w:t xml:space="preserve"> (2007) documented that a 50% reduction in both N and P chemical </w:t>
      </w:r>
      <w:proofErr w:type="spellStart"/>
      <w:r>
        <w:t>fertiliser</w:t>
      </w:r>
      <w:proofErr w:type="spellEnd"/>
      <w:r>
        <w:t xml:space="preserve"> doses, compensated by AMF and bacterial </w:t>
      </w:r>
      <w:proofErr w:type="spellStart"/>
      <w:r>
        <w:t>biofertilisers</w:t>
      </w:r>
      <w:proofErr w:type="spellEnd"/>
      <w:r>
        <w:t xml:space="preserve">, produced cocoon parameters on par with the full NPK control, effectively halving the chemical </w:t>
      </w:r>
      <w:proofErr w:type="spellStart"/>
      <w:r>
        <w:t>fertiliser</w:t>
      </w:r>
      <w:proofErr w:type="spellEnd"/>
      <w:r>
        <w:t xml:space="preserve"> cost without compromising crop productivity. Similar conclusions were drawn by </w:t>
      </w:r>
      <w:proofErr w:type="spellStart"/>
      <w:r>
        <w:t>Baqual</w:t>
      </w:r>
      <w:proofErr w:type="spellEnd"/>
      <w:r>
        <w:t xml:space="preserve">&amp; Das (2006) and Chowdhury et al. (2013). Ray </w:t>
      </w:r>
      <w:r w:rsidRPr="00631742">
        <w:rPr>
          <w:highlight w:val="yellow"/>
        </w:rPr>
        <w:t>et al</w:t>
      </w:r>
      <w:r>
        <w:t xml:space="preserve">. (2021), working in the acidic soils of North-East India, found that an </w:t>
      </w:r>
      <w:proofErr w:type="spellStart"/>
      <w:r>
        <w:t>optimised</w:t>
      </w:r>
      <w:proofErr w:type="spellEnd"/>
      <w:r>
        <w:t xml:space="preserve"> soil-cum-nutrient management package incorporating </w:t>
      </w:r>
      <w:proofErr w:type="spellStart"/>
      <w:r>
        <w:t>biofertilisers</w:t>
      </w:r>
      <w:proofErr w:type="spellEnd"/>
      <w:r>
        <w:t xml:space="preserve"> consistently produced high leaf yields whilst improving soil nutrient stocks over time. These results have direct implications for policy: national sericulture </w:t>
      </w:r>
      <w:proofErr w:type="spellStart"/>
      <w:r>
        <w:t>programmes</w:t>
      </w:r>
      <w:proofErr w:type="spellEnd"/>
      <w:r>
        <w:t xml:space="preserve"> that </w:t>
      </w:r>
      <w:proofErr w:type="spellStart"/>
      <w:r>
        <w:t>subsidisebiofertiliser</w:t>
      </w:r>
      <w:proofErr w:type="spellEnd"/>
      <w:r>
        <w:t xml:space="preserve"> adoption could simultaneously achieve environmental objectives — reduced chemical inputs and improved soil health — and economic objectives — reduced farmer production costs and enhanced competitiveness of sericulture products in international markets (</w:t>
      </w:r>
      <w:proofErr w:type="spellStart"/>
      <w:r>
        <w:t>Banuprakash</w:t>
      </w:r>
      <w:proofErr w:type="spellEnd"/>
      <w:r>
        <w:t xml:space="preserve"> </w:t>
      </w:r>
      <w:r w:rsidRPr="00631742">
        <w:rPr>
          <w:highlight w:val="yellow"/>
        </w:rPr>
        <w:t>et al</w:t>
      </w:r>
      <w:r>
        <w:t xml:space="preserve">., 2024; Kumar </w:t>
      </w:r>
      <w:r w:rsidRPr="00631742">
        <w:rPr>
          <w:highlight w:val="yellow"/>
        </w:rPr>
        <w:t>et al.,</w:t>
      </w:r>
      <w:r>
        <w:t xml:space="preserve"> 2024).</w:t>
      </w:r>
    </w:p>
    <w:p w:rsidR="00AD6485" w:rsidRDefault="00AD6485">
      <w:pPr>
        <w:spacing w:after="80"/>
      </w:pPr>
    </w:p>
    <w:p w:rsidR="00AD6485" w:rsidRDefault="00757BAB">
      <w:pPr>
        <w:pStyle w:val="Heading1"/>
      </w:pPr>
      <w:r>
        <w:t>12. Challenges and Future Perspectives</w:t>
      </w:r>
    </w:p>
    <w:p w:rsidR="0060614F" w:rsidRDefault="00757BAB">
      <w:pPr>
        <w:spacing w:after="160" w:line="276" w:lineRule="auto"/>
        <w:jc w:val="both"/>
        <w:rPr>
          <w:highlight w:val="yellow"/>
        </w:rPr>
      </w:pPr>
      <w:r>
        <w:t xml:space="preserve">Despite the promising results documented in the literature, widespread adoption of </w:t>
      </w:r>
      <w:proofErr w:type="spellStart"/>
      <w:r>
        <w:t>biofertilisers</w:t>
      </w:r>
      <w:proofErr w:type="spellEnd"/>
      <w:r>
        <w:t xml:space="preserve"> in mulberry cultivation remains limited in practice. Several interconnected challenges must be addressed to bridge the gap between experimental findings and large-scale field implementation. One of the most frequently cited barriers is the inconsistency of </w:t>
      </w:r>
      <w:proofErr w:type="spellStart"/>
      <w:r>
        <w:t>biofertiliser</w:t>
      </w:r>
      <w:proofErr w:type="spellEnd"/>
      <w:r>
        <w:t xml:space="preserve"> performance across different soil types, seasonal conditions, and </w:t>
      </w:r>
      <w:proofErr w:type="spellStart"/>
      <w:r>
        <w:t>agro</w:t>
      </w:r>
      <w:proofErr w:type="spellEnd"/>
      <w:r>
        <w:t xml:space="preserve">-climatic zones. Laboratory and pot trial results often fail to translate reliably to field conditions, where competition from indigenous soil microorganisms, variable soil pH and moisture, temperature fluctuations, and the presence of agrochemical residues may reduce the viability and competitive fitness of introduced </w:t>
      </w:r>
      <w:proofErr w:type="spellStart"/>
      <w:r>
        <w:t>biofertiliser</w:t>
      </w:r>
      <w:proofErr w:type="spellEnd"/>
      <w:r>
        <w:t xml:space="preserve"> strains. The development of formulations with improved shelf-life, carrier stability, and environmental stress tolerance is therefore a high-priority research objective.</w:t>
      </w:r>
      <w:r w:rsidR="001E5E6B" w:rsidRPr="001E5E6B">
        <w:rPr>
          <w:highlight w:val="yellow"/>
        </w:rPr>
        <w:t xml:space="preserve"> </w:t>
      </w:r>
    </w:p>
    <w:p w:rsidR="00AD6485" w:rsidRDefault="00757BAB">
      <w:pPr>
        <w:spacing w:after="160" w:line="276" w:lineRule="auto"/>
        <w:jc w:val="both"/>
      </w:pPr>
      <w:proofErr w:type="spellStart"/>
      <w:r>
        <w:t>Biofertiliser</w:t>
      </w:r>
      <w:proofErr w:type="spellEnd"/>
      <w:r>
        <w:t xml:space="preserve"> shelf-life at ambient temperatures — particularly in tropical and subtropical sericulture zones where storage conditions are often suboptimal — remains a significant practical limitation for their distribution to remote communities. Improved encapsulation technologies, including polymer coatings, alginate beads, and biochar-based carriers, are being actively investigated as means of extending shelf-life and protecting microbial viability during transport and storage. Lack of </w:t>
      </w:r>
      <w:proofErr w:type="spellStart"/>
      <w:r>
        <w:t>standardisation</w:t>
      </w:r>
      <w:proofErr w:type="spellEnd"/>
      <w:r>
        <w:t xml:space="preserve"> in </w:t>
      </w:r>
      <w:proofErr w:type="spellStart"/>
      <w:r>
        <w:t>biofertiliser</w:t>
      </w:r>
      <w:proofErr w:type="spellEnd"/>
      <w:r>
        <w:t xml:space="preserve"> quality, combined with the absence of robust regulatory frameworks governing strain identity, viable cell count, contaminant thresholds, and efficacy testing in many producing countries, creates a market </w:t>
      </w:r>
      <w:r>
        <w:lastRenderedPageBreak/>
        <w:t xml:space="preserve">environment in which substandard products may undermine farmer confidence and delay adoption. International quality standards for </w:t>
      </w:r>
      <w:proofErr w:type="spellStart"/>
      <w:r>
        <w:t>biofertiliser</w:t>
      </w:r>
      <w:proofErr w:type="spellEnd"/>
      <w:r>
        <w:t xml:space="preserve"> preparations, analogous to those governing chemical </w:t>
      </w:r>
      <w:proofErr w:type="spellStart"/>
      <w:r>
        <w:t>fertiliser</w:t>
      </w:r>
      <w:proofErr w:type="spellEnd"/>
      <w:r>
        <w:t xml:space="preserve"> purity and labelling, are urgently needed to establish market credibility and consumer trust.</w:t>
      </w:r>
      <w:r w:rsidR="001E5E6B" w:rsidRPr="001E5E6B">
        <w:rPr>
          <w:highlight w:val="yellow"/>
        </w:rPr>
        <w:t xml:space="preserve"> </w:t>
      </w:r>
    </w:p>
    <w:p w:rsidR="00AD6485" w:rsidRDefault="00757BAB">
      <w:pPr>
        <w:spacing w:after="160" w:line="276" w:lineRule="auto"/>
        <w:jc w:val="both"/>
      </w:pPr>
      <w:r>
        <w:t xml:space="preserve">The molecular and biochemical basis of </w:t>
      </w:r>
      <w:proofErr w:type="spellStart"/>
      <w:r>
        <w:t>biofertiliser</w:t>
      </w:r>
      <w:proofErr w:type="spellEnd"/>
      <w:r>
        <w:t xml:space="preserve"> microorganism interactions with mulberry roots — including </w:t>
      </w:r>
      <w:proofErr w:type="spellStart"/>
      <w:r>
        <w:t>signalling</w:t>
      </w:r>
      <w:proofErr w:type="spellEnd"/>
      <w:r>
        <w:t xml:space="preserve"> events between the plant and AMF during </w:t>
      </w:r>
      <w:proofErr w:type="spellStart"/>
      <w:r>
        <w:t>colonisation</w:t>
      </w:r>
      <w:proofErr w:type="spellEnd"/>
      <w:r>
        <w:t xml:space="preserve">, the regulation of IAA biosynthesis in </w:t>
      </w:r>
      <w:proofErr w:type="spellStart"/>
      <w:r>
        <w:t>Azotobacter</w:t>
      </w:r>
      <w:proofErr w:type="spellEnd"/>
      <w:r>
        <w:t xml:space="preserve"> and </w:t>
      </w:r>
      <w:proofErr w:type="spellStart"/>
      <w:r>
        <w:t>Azospirillum</w:t>
      </w:r>
      <w:proofErr w:type="spellEnd"/>
      <w:r>
        <w:t xml:space="preserve"> in response to mulberry root exudates, and the dynamics of competitive exclusion among introduced and indigenous rhizosphere bacteria — remain incompletely understood and represent rewarding targets for future research. Advances in multi-omics approaches — metagenomics, </w:t>
      </w:r>
      <w:proofErr w:type="spellStart"/>
      <w:r>
        <w:t>metatranscriptomics</w:t>
      </w:r>
      <w:proofErr w:type="spellEnd"/>
      <w:r>
        <w:t>, and metabolomics — applied to the mulberry rhizosphere microbiome offer powerful tools for mechanistic investigation, and recent integrative studies of rhizosphere diversity in mulberry agroecosystems have begun to reveal the taxonomic and functional richness of microbial communities that underpin mulberry soil fertility (</w:t>
      </w:r>
      <w:proofErr w:type="spellStart"/>
      <w:r>
        <w:t>Banuprakash</w:t>
      </w:r>
      <w:proofErr w:type="spellEnd"/>
      <w:r>
        <w:t xml:space="preserve"> </w:t>
      </w:r>
      <w:r w:rsidRPr="001E5E6B">
        <w:rPr>
          <w:highlight w:val="yellow"/>
        </w:rPr>
        <w:t>et al.,</w:t>
      </w:r>
      <w:r>
        <w:t xml:space="preserve"> 2024).</w:t>
      </w:r>
    </w:p>
    <w:p w:rsidR="00AD6485" w:rsidRDefault="00757BAB">
      <w:pPr>
        <w:spacing w:after="160" w:line="276" w:lineRule="auto"/>
        <w:jc w:val="both"/>
      </w:pPr>
      <w:r>
        <w:t xml:space="preserve">Economic analyses consistently demonstrate that </w:t>
      </w:r>
      <w:proofErr w:type="spellStart"/>
      <w:r>
        <w:t>biofertilisers</w:t>
      </w:r>
      <w:proofErr w:type="spellEnd"/>
      <w:r>
        <w:t xml:space="preserve"> offer </w:t>
      </w:r>
      <w:proofErr w:type="spellStart"/>
      <w:r>
        <w:t>favourable</w:t>
      </w:r>
      <w:proofErr w:type="spellEnd"/>
      <w:r>
        <w:t xml:space="preserve"> benefit-cost ratios in mulberry cultivation. Kumar </w:t>
      </w:r>
      <w:r w:rsidRPr="001E5E6B">
        <w:rPr>
          <w:highlight w:val="yellow"/>
        </w:rPr>
        <w:t>et al.</w:t>
      </w:r>
      <w:r>
        <w:t xml:space="preserve"> (2024) reviewed trials of </w:t>
      </w:r>
      <w:proofErr w:type="spellStart"/>
      <w:r>
        <w:t>biofertilisers</w:t>
      </w:r>
      <w:proofErr w:type="spellEnd"/>
      <w:r>
        <w:t xml:space="preserve"> in forage crops and found that the integrated use of </w:t>
      </w:r>
      <w:proofErr w:type="spellStart"/>
      <w:r>
        <w:t>biofertilisers</w:t>
      </w:r>
      <w:proofErr w:type="spellEnd"/>
      <w:r>
        <w:t xml:space="preserve"> with reduced chemical inputs generally produced benefit-cost ratios exceeding 1.5. Awareness campaigns, farmer training </w:t>
      </w:r>
      <w:proofErr w:type="spellStart"/>
      <w:r>
        <w:t>programmes</w:t>
      </w:r>
      <w:proofErr w:type="spellEnd"/>
      <w:r>
        <w:t xml:space="preserve">, extension service support, and targeted subsidies are required to translate these economic incentives into widespread adoption, particularly among smallholder sericulture farmers who may lack access to high-quality </w:t>
      </w:r>
      <w:proofErr w:type="spellStart"/>
      <w:r>
        <w:t>biofertiliser</w:t>
      </w:r>
      <w:proofErr w:type="spellEnd"/>
      <w:r>
        <w:t xml:space="preserve"> products, technical guidance, and the financial resources necessary to invest in new inputs. Future research should </w:t>
      </w:r>
      <w:proofErr w:type="spellStart"/>
      <w:r>
        <w:t>prioritise</w:t>
      </w:r>
      <w:proofErr w:type="spellEnd"/>
      <w:r>
        <w:t xml:space="preserve"> multi-location, multi-season field trials using </w:t>
      </w:r>
      <w:proofErr w:type="spellStart"/>
      <w:r>
        <w:t>standardisedbiofertiliser</w:t>
      </w:r>
      <w:proofErr w:type="spellEnd"/>
      <w:r>
        <w:t xml:space="preserve"> consortia across the major mulberry-growing regions of the world, and the development of integrated decision-support systems that guide </w:t>
      </w:r>
      <w:proofErr w:type="spellStart"/>
      <w:r>
        <w:t>biofertiliser</w:t>
      </w:r>
      <w:proofErr w:type="spellEnd"/>
      <w:r>
        <w:t xml:space="preserve"> selection and application scheduling based on site-specific soil biological and chemical status data.</w:t>
      </w:r>
    </w:p>
    <w:p w:rsidR="00AD6485" w:rsidRDefault="00AD6485">
      <w:pPr>
        <w:spacing w:after="80"/>
      </w:pPr>
    </w:p>
    <w:p w:rsidR="00AD6485" w:rsidRDefault="00757BAB">
      <w:pPr>
        <w:pStyle w:val="Heading1"/>
      </w:pPr>
      <w:r>
        <w:t>13. Conclusions</w:t>
      </w:r>
    </w:p>
    <w:p w:rsidR="00AD6485" w:rsidRDefault="00757BAB">
      <w:pPr>
        <w:spacing w:after="160" w:line="276" w:lineRule="auto"/>
        <w:jc w:val="both"/>
      </w:pPr>
      <w:r>
        <w:t xml:space="preserve">The accumulated body of research </w:t>
      </w:r>
      <w:proofErr w:type="spellStart"/>
      <w:r>
        <w:t>synthesised</w:t>
      </w:r>
      <w:proofErr w:type="spellEnd"/>
      <w:r>
        <w:t xml:space="preserve"> in this review provides compelling and convergent evidence that </w:t>
      </w:r>
      <w:proofErr w:type="spellStart"/>
      <w:r>
        <w:t>biofertilisers</w:t>
      </w:r>
      <w:proofErr w:type="spellEnd"/>
      <w:r>
        <w:t xml:space="preserve"> represent a scientifically sound and practically viable approach to improving mulberry productivity within sustainable agricultural frameworks. Nitrogen-fixing bacteria, particularly </w:t>
      </w:r>
      <w:proofErr w:type="spellStart"/>
      <w:r w:rsidRPr="0060614F">
        <w:rPr>
          <w:i/>
          <w:highlight w:val="yellow"/>
        </w:rPr>
        <w:t>Azotobacter</w:t>
      </w:r>
      <w:proofErr w:type="spellEnd"/>
      <w:r w:rsidR="0060614F" w:rsidRPr="0060614F">
        <w:rPr>
          <w:i/>
          <w:highlight w:val="yellow"/>
        </w:rPr>
        <w:t xml:space="preserve"> </w:t>
      </w:r>
      <w:proofErr w:type="spellStart"/>
      <w:r w:rsidRPr="0060614F">
        <w:rPr>
          <w:i/>
          <w:highlight w:val="yellow"/>
        </w:rPr>
        <w:t>chroococcum</w:t>
      </w:r>
      <w:proofErr w:type="spellEnd"/>
      <w:r w:rsidRPr="001E5E6B">
        <w:rPr>
          <w:highlight w:val="yellow"/>
        </w:rPr>
        <w:t>,</w:t>
      </w:r>
      <w:r>
        <w:t xml:space="preserve"> consistently improve leaf yield and quality in mulberry, in some cases exceeding the performance of the full recommended chemical nitrogen dose, and have been shown to be effective across diverse </w:t>
      </w:r>
      <w:proofErr w:type="spellStart"/>
      <w:r>
        <w:t>agro</w:t>
      </w:r>
      <w:proofErr w:type="spellEnd"/>
      <w:r>
        <w:t>-climatic conditions including salt-affected soils. Phosphate-</w:t>
      </w:r>
      <w:proofErr w:type="spellStart"/>
      <w:r>
        <w:t>solubilising</w:t>
      </w:r>
      <w:proofErr w:type="spellEnd"/>
      <w:r>
        <w:t xml:space="preserve"> microorganisms enhance soil phosphorus availability and leaf phosphorus content, while arbuscular mycorrhizal fungi — especially </w:t>
      </w:r>
      <w:proofErr w:type="spellStart"/>
      <w:r w:rsidRPr="0060614F">
        <w:rPr>
          <w:i/>
          <w:highlight w:val="yellow"/>
        </w:rPr>
        <w:t>Funneliformis</w:t>
      </w:r>
      <w:proofErr w:type="spellEnd"/>
      <w:r w:rsidR="0060614F" w:rsidRPr="0060614F">
        <w:rPr>
          <w:i/>
          <w:highlight w:val="yellow"/>
        </w:rPr>
        <w:t xml:space="preserve"> </w:t>
      </w:r>
      <w:proofErr w:type="spellStart"/>
      <w:r w:rsidRPr="0060614F">
        <w:rPr>
          <w:i/>
          <w:highlight w:val="yellow"/>
        </w:rPr>
        <w:t>mosseae</w:t>
      </w:r>
      <w:proofErr w:type="spellEnd"/>
      <w:r>
        <w:t xml:space="preserve"> — produce the most comprehensive improvements across all measured parameters: vegetative growth, leaf biomass, photosynthetic efficiency, biochemical composition, and, ultimately, silkworm rearing performance and silk quality.</w:t>
      </w:r>
    </w:p>
    <w:p w:rsidR="00AD6485" w:rsidRDefault="00757BAB">
      <w:pPr>
        <w:spacing w:after="160" w:line="276" w:lineRule="auto"/>
        <w:jc w:val="both"/>
      </w:pPr>
      <w:r>
        <w:lastRenderedPageBreak/>
        <w:t xml:space="preserve">Critically, the integrated application of </w:t>
      </w:r>
      <w:proofErr w:type="spellStart"/>
      <w:r>
        <w:t>biofertiliser</w:t>
      </w:r>
      <w:proofErr w:type="spellEnd"/>
      <w:r>
        <w:t xml:space="preserve"> consortia — combining nitrogen fixers, phosphate-</w:t>
      </w:r>
      <w:proofErr w:type="spellStart"/>
      <w:r>
        <w:t>solubilising</w:t>
      </w:r>
      <w:proofErr w:type="spellEnd"/>
      <w:r>
        <w:t xml:space="preserve"> microorganisms, and arbuscular mycorrhizal fungi — with 25–75% reductions in chemical </w:t>
      </w:r>
      <w:r w:rsidRPr="001E5E6B">
        <w:rPr>
          <w:highlight w:val="yellow"/>
        </w:rPr>
        <w:t>N</w:t>
      </w:r>
      <w:r>
        <w:t xml:space="preserve"> and </w:t>
      </w:r>
      <w:r w:rsidRPr="001E5E6B">
        <w:rPr>
          <w:highlight w:val="yellow"/>
        </w:rPr>
        <w:t>P</w:t>
      </w:r>
      <w:r>
        <w:t xml:space="preserve"> doses consistently delivers leaf quality and silkworm performance comparable to conventional full-dose chemical </w:t>
      </w:r>
      <w:proofErr w:type="spellStart"/>
      <w:r>
        <w:t>fertilisation</w:t>
      </w:r>
      <w:proofErr w:type="spellEnd"/>
      <w:r>
        <w:t xml:space="preserve">, indicating that the biological value provided by well-chosen microbial consortia can effectively compensate for substantial reductions in synthetic inputs. The downstream benefits to silkworm growth, cocoon weight, shell ratio, filament length, and raw silk quality further demonstrate that </w:t>
      </w:r>
      <w:proofErr w:type="spellStart"/>
      <w:r>
        <w:t>biofertiliser</w:t>
      </w:r>
      <w:proofErr w:type="spellEnd"/>
      <w:r>
        <w:t xml:space="preserve"> application to mulberry is not merely an agronomic practice but a strategy with significant commercial implications for the entire sericulture value chain. Cyanobacterial </w:t>
      </w:r>
      <w:proofErr w:type="spellStart"/>
      <w:r>
        <w:t>biofertilisers</w:t>
      </w:r>
      <w:proofErr w:type="spellEnd"/>
      <w:r>
        <w:t xml:space="preserve"> offer an additional, low-cost avenue for nitrogen supply and soil improvement, particularly in alkaline and sodic soils common in arid and coastal sericulture zones.</w:t>
      </w:r>
    </w:p>
    <w:p w:rsidR="00AD6485" w:rsidRDefault="00757BAB">
      <w:pPr>
        <w:spacing w:after="160" w:line="276" w:lineRule="auto"/>
        <w:jc w:val="both"/>
      </w:pPr>
      <w:r>
        <w:t xml:space="preserve">The adoption of </w:t>
      </w:r>
      <w:proofErr w:type="spellStart"/>
      <w:r>
        <w:t>biofertiliser</w:t>
      </w:r>
      <w:proofErr w:type="spellEnd"/>
      <w:r>
        <w:t xml:space="preserve">-based integrated nutrient management in mulberry cultivation has the potential to simultaneously reduce production costs for smallholder farmers, restore soil biological health, enhance leaf quality for silkworm feeding, and substantially reduce the environmental footprint of sericulture. </w:t>
      </w:r>
      <w:proofErr w:type="spellStart"/>
      <w:r>
        <w:t>Realising</w:t>
      </w:r>
      <w:proofErr w:type="spellEnd"/>
      <w:r>
        <w:t xml:space="preserve"> this potential fully will require continued investment in strain development, formulation technology, multi-site field validation, regulatory frameworks for quality assurance, and farmer extension services tailored to the socio-economic realities of sericulture communities.</w:t>
      </w:r>
    </w:p>
    <w:p w:rsidR="00AD6485" w:rsidRDefault="00AD6485">
      <w:pPr>
        <w:spacing w:after="80"/>
      </w:pPr>
    </w:p>
    <w:p w:rsidR="00AD6485" w:rsidRDefault="00757BAB">
      <w:pPr>
        <w:pStyle w:val="Heading1"/>
      </w:pPr>
      <w:r>
        <w:t>14. Limitations</w:t>
      </w:r>
    </w:p>
    <w:p w:rsidR="00AD6485" w:rsidRDefault="00757BAB">
      <w:pPr>
        <w:spacing w:after="160" w:line="276" w:lineRule="auto"/>
        <w:jc w:val="both"/>
      </w:pPr>
      <w:r>
        <w:t xml:space="preserve">The present review is subject to several important limitations that should be considered when interpreting its conclusions. First, the </w:t>
      </w:r>
      <w:proofErr w:type="spellStart"/>
      <w:r>
        <w:t>biofertiliser</w:t>
      </w:r>
      <w:proofErr w:type="spellEnd"/>
      <w:r>
        <w:t xml:space="preserve">–mulberry literature is geographically concentrated in India and, to a lesser extent, China, meaning that findings may not be directly transferable to other mulberry-growing regions — including South-East Asia, Brazil, and central Asia — which have different soil types, climate regimes, and cultivation practices, without confirmatory local trials. Second, a considerable proportion of published studies, particularly from the Indian subcontinent, report results from relatively small-scale, short-duration pot or field experiments conducted under controlled irrigation conditions, which may overestimate </w:t>
      </w:r>
      <w:proofErr w:type="spellStart"/>
      <w:r>
        <w:t>biofertiliser</w:t>
      </w:r>
      <w:proofErr w:type="spellEnd"/>
      <w:r>
        <w:t xml:space="preserve"> performance relative to the more variable rain-fed or dryland systems in which many smallholder </w:t>
      </w:r>
      <w:proofErr w:type="spellStart"/>
      <w:r>
        <w:t>sericulturalists</w:t>
      </w:r>
      <w:proofErr w:type="spellEnd"/>
      <w:r>
        <w:t xml:space="preserve"> operate.</w:t>
      </w:r>
    </w:p>
    <w:p w:rsidR="00AD6485" w:rsidRDefault="00757BAB">
      <w:pPr>
        <w:spacing w:after="160" w:line="276" w:lineRule="auto"/>
        <w:jc w:val="both"/>
      </w:pPr>
      <w:r>
        <w:t xml:space="preserve">Third, variability in experimental designs, mulberry varieties, </w:t>
      </w:r>
      <w:proofErr w:type="spellStart"/>
      <w:r>
        <w:t>biofertiliser</w:t>
      </w:r>
      <w:proofErr w:type="spellEnd"/>
      <w:r>
        <w:t xml:space="preserve"> strains, inoculation methods, and measurement endpoints across studies makes direct quantitative comparison of results challenging and limits the degree to which meta-analytic conclusions can be drawn with confidence. Fourth, the molecular mechanisms through which </w:t>
      </w:r>
      <w:proofErr w:type="spellStart"/>
      <w:r>
        <w:t>biofertiliser</w:t>
      </w:r>
      <w:proofErr w:type="spellEnd"/>
      <w:r>
        <w:t xml:space="preserve"> organisms interact with mulberry roots and influence leaf biochemistry remain incompletely </w:t>
      </w:r>
      <w:proofErr w:type="spellStart"/>
      <w:r>
        <w:t>characterised</w:t>
      </w:r>
      <w:proofErr w:type="spellEnd"/>
      <w:r>
        <w:t xml:space="preserve">, limiting mechanistic inference and the rational design of superior </w:t>
      </w:r>
      <w:proofErr w:type="spellStart"/>
      <w:r>
        <w:t>biofertiliser</w:t>
      </w:r>
      <w:proofErr w:type="spellEnd"/>
      <w:r>
        <w:t xml:space="preserve"> formulations. Fifth, the long-term effects of repeated </w:t>
      </w:r>
      <w:proofErr w:type="spellStart"/>
      <w:r>
        <w:t>biofertiliser</w:t>
      </w:r>
      <w:proofErr w:type="spellEnd"/>
      <w:r>
        <w:t xml:space="preserve"> application on soil microbial community dynamics, native microbiome diversity, and overall soil health across multiple crop cycles have not been systematically investigated and represent an important gap in the knowledge base. Sixth, the review does not include studies published in languages other than English, potentially overlooking relevant research from Chinese, Korean, and </w:t>
      </w:r>
      <w:r>
        <w:lastRenderedPageBreak/>
        <w:t xml:space="preserve">Japanese sericulture science traditions. These collective limitations underscore the need for </w:t>
      </w:r>
      <w:proofErr w:type="spellStart"/>
      <w:r>
        <w:t>standardised</w:t>
      </w:r>
      <w:proofErr w:type="spellEnd"/>
      <w:r>
        <w:t xml:space="preserve"> multi-site, multi-season field trials and for more detailed mechanistic investigations of </w:t>
      </w:r>
      <w:proofErr w:type="spellStart"/>
      <w:r>
        <w:t>biofertiliser</w:t>
      </w:r>
      <w:proofErr w:type="spellEnd"/>
      <w:r>
        <w:t>–mulberry interactions across diverse production systems.</w:t>
      </w:r>
    </w:p>
    <w:p w:rsidR="00B225C4" w:rsidRPr="00A02837" w:rsidRDefault="00B225C4" w:rsidP="00B225C4">
      <w:pPr>
        <w:rPr>
          <w:b/>
          <w:highlight w:val="yellow"/>
        </w:rPr>
      </w:pPr>
      <w:r w:rsidRPr="00A02837">
        <w:rPr>
          <w:b/>
          <w:highlight w:val="yellow"/>
        </w:rPr>
        <w:t>Disclaimer (Artificial intelligence)</w:t>
      </w:r>
    </w:p>
    <w:p w:rsidR="00B225C4" w:rsidRPr="00A02837" w:rsidRDefault="00B225C4" w:rsidP="00B225C4">
      <w:pPr>
        <w:rPr>
          <w:highlight w:val="yellow"/>
        </w:rPr>
      </w:pPr>
    </w:p>
    <w:p w:rsidR="00B225C4" w:rsidRDefault="00B225C4" w:rsidP="00B225C4">
      <w:r w:rsidRPr="00A02837">
        <w:rPr>
          <w:highlight w:val="yellow"/>
        </w:rPr>
        <w:t>Author(s) hereby declare that NO generative AI technologies such as Large Language Models (</w:t>
      </w:r>
      <w:proofErr w:type="spellStart"/>
      <w:r w:rsidRPr="00A02837">
        <w:rPr>
          <w:highlight w:val="yellow"/>
        </w:rPr>
        <w:t>ChatGPT</w:t>
      </w:r>
      <w:proofErr w:type="spellEnd"/>
      <w:r w:rsidRPr="00A02837">
        <w:rPr>
          <w:highlight w:val="yellow"/>
        </w:rPr>
        <w:t>, COPILOT, etc.) and text-to-image generators have been used during the writing or editing of this manuscript.</w:t>
      </w:r>
      <w:r>
        <w:t xml:space="preserve"> </w:t>
      </w:r>
    </w:p>
    <w:p w:rsidR="00AD6485" w:rsidRDefault="00AD6485">
      <w:pPr>
        <w:spacing w:after="80"/>
      </w:pPr>
    </w:p>
    <w:p w:rsidR="00AD6485" w:rsidRDefault="00757BAB">
      <w:pPr>
        <w:spacing w:before="240" w:after="80"/>
      </w:pPr>
      <w:r>
        <w:rPr>
          <w:b/>
          <w:bCs/>
          <w:caps/>
        </w:rPr>
        <w:t>References</w:t>
      </w:r>
    </w:p>
    <w:p w:rsidR="00AD6485" w:rsidRDefault="00757BAB">
      <w:pPr>
        <w:spacing w:after="120"/>
        <w:ind w:left="720" w:hanging="720"/>
        <w:jc w:val="both"/>
      </w:pPr>
      <w:proofErr w:type="spellStart"/>
      <w:r>
        <w:rPr>
          <w:sz w:val="22"/>
          <w:szCs w:val="22"/>
        </w:rPr>
        <w:t>Baqual</w:t>
      </w:r>
      <w:proofErr w:type="spellEnd"/>
      <w:r>
        <w:rPr>
          <w:sz w:val="22"/>
          <w:szCs w:val="22"/>
        </w:rPr>
        <w:t>, M. F., &amp; Das, P. K. (2006). Influence of biofertilizers on macronutrient uptake by the mulberry plant and its impact on silkworm bioassay. Caspian Journal of Environmental Sciences, 4(2), 98–109. https://cjes.guilan.ac.ir</w:t>
      </w:r>
    </w:p>
    <w:p w:rsidR="00AD6485" w:rsidRDefault="00757BAB">
      <w:pPr>
        <w:spacing w:after="120"/>
        <w:ind w:left="720" w:hanging="720"/>
        <w:jc w:val="both"/>
      </w:pPr>
      <w:proofErr w:type="spellStart"/>
      <w:r>
        <w:rPr>
          <w:sz w:val="22"/>
          <w:szCs w:val="22"/>
        </w:rPr>
        <w:t>Banuprakash</w:t>
      </w:r>
      <w:proofErr w:type="spellEnd"/>
      <w:r>
        <w:rPr>
          <w:sz w:val="22"/>
          <w:szCs w:val="22"/>
        </w:rPr>
        <w:t xml:space="preserve">, K. G., Reddy, R. N., Pooja, L., Murthy, R. K., Raut, M., &amp; </w:t>
      </w:r>
      <w:proofErr w:type="spellStart"/>
      <w:r>
        <w:rPr>
          <w:sz w:val="22"/>
          <w:szCs w:val="22"/>
        </w:rPr>
        <w:t>Thorat</w:t>
      </w:r>
      <w:proofErr w:type="spellEnd"/>
      <w:r>
        <w:rPr>
          <w:sz w:val="22"/>
          <w:szCs w:val="22"/>
        </w:rPr>
        <w:t xml:space="preserve">, A. K. (2024). Influence of </w:t>
      </w:r>
      <w:proofErr w:type="spellStart"/>
      <w:r>
        <w:rPr>
          <w:sz w:val="22"/>
          <w:szCs w:val="22"/>
        </w:rPr>
        <w:t>nanofertilizers</w:t>
      </w:r>
      <w:proofErr w:type="spellEnd"/>
      <w:r>
        <w:rPr>
          <w:sz w:val="22"/>
          <w:szCs w:val="22"/>
        </w:rPr>
        <w:t xml:space="preserve"> on growth and yield of mulberry and its impact on silkworm (Bombyx mori L.) parameters. Mysore Journal of Agricultural Sciences, 58(2), 15–33. https://uasbangalore.edu.in/images/2024-2nd-Issue/2.pdf</w:t>
      </w:r>
    </w:p>
    <w:p w:rsidR="00AD6485" w:rsidRDefault="00757BAB">
      <w:pPr>
        <w:spacing w:after="120"/>
        <w:ind w:left="720" w:hanging="720"/>
        <w:jc w:val="both"/>
      </w:pPr>
      <w:r>
        <w:rPr>
          <w:sz w:val="22"/>
          <w:szCs w:val="22"/>
        </w:rPr>
        <w:t xml:space="preserve">Begum, N., Qin, C., </w:t>
      </w:r>
      <w:proofErr w:type="spellStart"/>
      <w:r>
        <w:rPr>
          <w:sz w:val="22"/>
          <w:szCs w:val="22"/>
        </w:rPr>
        <w:t>Ahanger</w:t>
      </w:r>
      <w:proofErr w:type="spellEnd"/>
      <w:r>
        <w:rPr>
          <w:sz w:val="22"/>
          <w:szCs w:val="22"/>
        </w:rPr>
        <w:t>, M. A., Raza, S., Khan, M. I., Ashraf, M., Ahmed, N., &amp; Zhang, L. (2019). Role of arbuscular mycorrhizal fungi in plant growth regulation: Implications in abiotic stress tolerance. Frontiers in Plant Science, 10, 1068. https://doi.org/10.3389/fpls.2019.01068</w:t>
      </w:r>
    </w:p>
    <w:p w:rsidR="00AD6485" w:rsidRDefault="00757BAB">
      <w:pPr>
        <w:spacing w:after="120"/>
        <w:ind w:left="720" w:hanging="720"/>
        <w:jc w:val="both"/>
      </w:pPr>
      <w:r>
        <w:rPr>
          <w:sz w:val="22"/>
          <w:szCs w:val="22"/>
        </w:rPr>
        <w:t>Bhattacharyya, P. N., &amp; Jha, D. K. (2012). Plant growth-promoting rhizobacteria (PGPR): Emergence in agriculture. World Journal of Microbiology and Biotechnology, 28(4), 1327–1350. https://doi.org/10.1007/s11274-011-0979-9</w:t>
      </w:r>
    </w:p>
    <w:p w:rsidR="00AD6485" w:rsidRDefault="00757BAB">
      <w:pPr>
        <w:spacing w:after="120"/>
        <w:ind w:left="720" w:hanging="720"/>
        <w:jc w:val="both"/>
      </w:pPr>
      <w:r>
        <w:rPr>
          <w:sz w:val="22"/>
          <w:szCs w:val="22"/>
        </w:rPr>
        <w:t>Chen, F., Lu, J., Zhang, M., Wan, K., &amp; Liu, D. (2009). Mulberry nutrient management for silk production in Hubei Province of China. Journal of Plant Nutrition and Soil Science, 172(2), 245–253. https://doi.org/10.1002/jpln.200800093</w:t>
      </w:r>
    </w:p>
    <w:p w:rsidR="00AD6485" w:rsidRDefault="00757BAB">
      <w:pPr>
        <w:spacing w:after="120"/>
        <w:ind w:left="720" w:hanging="720"/>
        <w:jc w:val="both"/>
      </w:pPr>
      <w:r>
        <w:rPr>
          <w:sz w:val="22"/>
          <w:szCs w:val="22"/>
        </w:rPr>
        <w:t xml:space="preserve">Chowdhury, P. K., </w:t>
      </w:r>
      <w:proofErr w:type="spellStart"/>
      <w:r>
        <w:rPr>
          <w:sz w:val="22"/>
          <w:szCs w:val="22"/>
        </w:rPr>
        <w:t>Setua</w:t>
      </w:r>
      <w:proofErr w:type="spellEnd"/>
      <w:r>
        <w:rPr>
          <w:sz w:val="22"/>
          <w:szCs w:val="22"/>
        </w:rPr>
        <w:t>, G. C., Ghosh, A., Kar, R., &amp; Maity, S. K. (2013). Sustainable quality leaf production in S 1635 mulberry (</w:t>
      </w:r>
      <w:proofErr w:type="spellStart"/>
      <w:r>
        <w:rPr>
          <w:sz w:val="22"/>
          <w:szCs w:val="22"/>
        </w:rPr>
        <w:t>Morus</w:t>
      </w:r>
      <w:proofErr w:type="spellEnd"/>
      <w:r>
        <w:rPr>
          <w:sz w:val="22"/>
          <w:szCs w:val="22"/>
        </w:rPr>
        <w:t xml:space="preserve"> alba) under irrigated condition through organic nutrient management. Indian Journal of Agricultural Sciences, 83(1), 53–58.</w:t>
      </w:r>
    </w:p>
    <w:p w:rsidR="00AD6485" w:rsidRDefault="00757BAB">
      <w:pPr>
        <w:spacing w:after="120"/>
        <w:ind w:left="720" w:hanging="720"/>
        <w:jc w:val="both"/>
      </w:pPr>
      <w:r>
        <w:rPr>
          <w:sz w:val="22"/>
          <w:szCs w:val="22"/>
        </w:rPr>
        <w:t xml:space="preserve">Gonçalves, A. L. (2021). The use of microalgae and cyanobacteria in the improvement of agricultural practices: A review on their </w:t>
      </w:r>
      <w:proofErr w:type="spellStart"/>
      <w:r>
        <w:rPr>
          <w:sz w:val="22"/>
          <w:szCs w:val="22"/>
        </w:rPr>
        <w:t>biofertilising</w:t>
      </w:r>
      <w:proofErr w:type="spellEnd"/>
      <w:r>
        <w:rPr>
          <w:sz w:val="22"/>
          <w:szCs w:val="22"/>
        </w:rPr>
        <w:t xml:space="preserve">, </w:t>
      </w:r>
      <w:proofErr w:type="spellStart"/>
      <w:r>
        <w:rPr>
          <w:sz w:val="22"/>
          <w:szCs w:val="22"/>
        </w:rPr>
        <w:t>biostimulating</w:t>
      </w:r>
      <w:proofErr w:type="spellEnd"/>
      <w:r>
        <w:rPr>
          <w:sz w:val="22"/>
          <w:szCs w:val="22"/>
        </w:rPr>
        <w:t xml:space="preserve"> and biopesticide roles. Applied Sciences, 11(2), 871. https://doi.org/10.3390/app11020871</w:t>
      </w:r>
    </w:p>
    <w:p w:rsidR="00AD6485" w:rsidRDefault="00757BAB">
      <w:pPr>
        <w:spacing w:after="120"/>
        <w:ind w:left="720" w:hanging="720"/>
        <w:jc w:val="both"/>
      </w:pPr>
      <w:r>
        <w:rPr>
          <w:sz w:val="22"/>
          <w:szCs w:val="22"/>
        </w:rPr>
        <w:t xml:space="preserve">Jeffries, P., </w:t>
      </w:r>
      <w:proofErr w:type="spellStart"/>
      <w:r>
        <w:rPr>
          <w:sz w:val="22"/>
          <w:szCs w:val="22"/>
        </w:rPr>
        <w:t>Gianinazzi</w:t>
      </w:r>
      <w:proofErr w:type="spellEnd"/>
      <w:r>
        <w:rPr>
          <w:sz w:val="22"/>
          <w:szCs w:val="22"/>
        </w:rPr>
        <w:t xml:space="preserve">, S., </w:t>
      </w:r>
      <w:proofErr w:type="spellStart"/>
      <w:r>
        <w:rPr>
          <w:sz w:val="22"/>
          <w:szCs w:val="22"/>
        </w:rPr>
        <w:t>Perotto</w:t>
      </w:r>
      <w:proofErr w:type="spellEnd"/>
      <w:r>
        <w:rPr>
          <w:sz w:val="22"/>
          <w:szCs w:val="22"/>
        </w:rPr>
        <w:t xml:space="preserve">, S., </w:t>
      </w:r>
      <w:proofErr w:type="spellStart"/>
      <w:r>
        <w:rPr>
          <w:sz w:val="22"/>
          <w:szCs w:val="22"/>
        </w:rPr>
        <w:t>Turnau</w:t>
      </w:r>
      <w:proofErr w:type="spellEnd"/>
      <w:r>
        <w:rPr>
          <w:sz w:val="22"/>
          <w:szCs w:val="22"/>
        </w:rPr>
        <w:t>, K., &amp; Barea, J. M. (2003). The contribution of arbuscular mycorrhizal fungi in sustainable maintenance of plant health and soil fertility. Biology and Fertility of Soils, 37(1), 1–16. https://doi.org/10.1007/s00374-002-0546-5</w:t>
      </w:r>
    </w:p>
    <w:p w:rsidR="00AD6485" w:rsidRDefault="00757BAB">
      <w:pPr>
        <w:spacing w:after="120"/>
        <w:ind w:left="720" w:hanging="720"/>
        <w:jc w:val="both"/>
      </w:pPr>
      <w:proofErr w:type="spellStart"/>
      <w:r>
        <w:rPr>
          <w:sz w:val="22"/>
          <w:szCs w:val="22"/>
        </w:rPr>
        <w:t>Kalayu</w:t>
      </w:r>
      <w:proofErr w:type="spellEnd"/>
      <w:r>
        <w:rPr>
          <w:sz w:val="22"/>
          <w:szCs w:val="22"/>
        </w:rPr>
        <w:t>, G. (2019). Phosphate solubilizing microorganisms: Promising approach as biofertilizers. International Journal of Agronomy, 2019, 4917256. https://doi.org/10.1155/2019/4917256</w:t>
      </w:r>
    </w:p>
    <w:p w:rsidR="00AD6485" w:rsidRDefault="00757BAB">
      <w:pPr>
        <w:spacing w:after="120"/>
        <w:ind w:left="720" w:hanging="720"/>
        <w:jc w:val="both"/>
      </w:pPr>
      <w:proofErr w:type="spellStart"/>
      <w:r>
        <w:rPr>
          <w:sz w:val="22"/>
          <w:szCs w:val="22"/>
        </w:rPr>
        <w:t>Katiyar</w:t>
      </w:r>
      <w:proofErr w:type="spellEnd"/>
      <w:r>
        <w:rPr>
          <w:sz w:val="22"/>
          <w:szCs w:val="22"/>
        </w:rPr>
        <w:t>, R. S., Das, P. K., Choudhury, P. C., Ghosh, A., Singh, G. B., &amp; Datta, R. K. (1995). Response of irrigated mulberry (</w:t>
      </w:r>
      <w:proofErr w:type="spellStart"/>
      <w:r>
        <w:rPr>
          <w:sz w:val="22"/>
          <w:szCs w:val="22"/>
        </w:rPr>
        <w:t>Morus</w:t>
      </w:r>
      <w:proofErr w:type="spellEnd"/>
      <w:r>
        <w:rPr>
          <w:sz w:val="22"/>
          <w:szCs w:val="22"/>
        </w:rPr>
        <w:t xml:space="preserve"> alba L.) to VA-mycorrhizal inoculation under graded doses of phosphorus. Plant and Soil, 170(2), 331–337. https://doi.org/10.1007/BF00010486</w:t>
      </w:r>
    </w:p>
    <w:p w:rsidR="00AD6485" w:rsidRDefault="00757BAB">
      <w:pPr>
        <w:spacing w:after="120"/>
        <w:ind w:left="720" w:hanging="720"/>
        <w:jc w:val="both"/>
      </w:pPr>
      <w:r>
        <w:rPr>
          <w:sz w:val="22"/>
          <w:szCs w:val="22"/>
        </w:rPr>
        <w:t xml:space="preserve">Kumar, N., </w:t>
      </w:r>
      <w:proofErr w:type="spellStart"/>
      <w:r>
        <w:rPr>
          <w:sz w:val="22"/>
          <w:szCs w:val="22"/>
        </w:rPr>
        <w:t>Shwetansh</w:t>
      </w:r>
      <w:proofErr w:type="spellEnd"/>
      <w:r>
        <w:rPr>
          <w:sz w:val="22"/>
          <w:szCs w:val="22"/>
        </w:rPr>
        <w:t xml:space="preserve">, Kumar, S., Thakur, D., &amp; </w:t>
      </w:r>
      <w:proofErr w:type="spellStart"/>
      <w:r>
        <w:rPr>
          <w:sz w:val="22"/>
          <w:szCs w:val="22"/>
        </w:rPr>
        <w:t>Mridula</w:t>
      </w:r>
      <w:proofErr w:type="spellEnd"/>
      <w:r>
        <w:rPr>
          <w:sz w:val="22"/>
          <w:szCs w:val="22"/>
        </w:rPr>
        <w:t>. (2024). Potential of biofertilizers in sustaining the productivity of forage crops: A review. Agricultural Science Digest, 44(5), 797–805. https://doi.org/10.18805/ag.D-5982</w:t>
      </w:r>
    </w:p>
    <w:p w:rsidR="00AD6485" w:rsidRDefault="00757BAB">
      <w:pPr>
        <w:spacing w:after="120"/>
        <w:ind w:left="720" w:hanging="720"/>
        <w:jc w:val="both"/>
      </w:pPr>
      <w:r>
        <w:rPr>
          <w:sz w:val="22"/>
          <w:szCs w:val="22"/>
        </w:rPr>
        <w:t xml:space="preserve">Mary, L. C. L., Sujatha, R., </w:t>
      </w:r>
      <w:proofErr w:type="spellStart"/>
      <w:r>
        <w:rPr>
          <w:sz w:val="22"/>
          <w:szCs w:val="22"/>
        </w:rPr>
        <w:t>Chozhan</w:t>
      </w:r>
      <w:proofErr w:type="spellEnd"/>
      <w:r>
        <w:rPr>
          <w:sz w:val="22"/>
          <w:szCs w:val="22"/>
        </w:rPr>
        <w:t xml:space="preserve">, A. J., &amp; </w:t>
      </w:r>
      <w:proofErr w:type="spellStart"/>
      <w:r>
        <w:rPr>
          <w:sz w:val="22"/>
          <w:szCs w:val="22"/>
        </w:rPr>
        <w:t>Navas</w:t>
      </w:r>
      <w:proofErr w:type="spellEnd"/>
      <w:r>
        <w:rPr>
          <w:sz w:val="22"/>
          <w:szCs w:val="22"/>
        </w:rPr>
        <w:t>, P. M. A. (2015). Influence of organic manures (biofertilizers) on soil microbial population in the rhizosphere of mulberry (</w:t>
      </w:r>
      <w:proofErr w:type="spellStart"/>
      <w:r>
        <w:rPr>
          <w:sz w:val="22"/>
          <w:szCs w:val="22"/>
        </w:rPr>
        <w:t>Morus</w:t>
      </w:r>
      <w:proofErr w:type="spellEnd"/>
      <w:r>
        <w:rPr>
          <w:sz w:val="22"/>
          <w:szCs w:val="22"/>
        </w:rPr>
        <w:t xml:space="preserve"> </w:t>
      </w:r>
      <w:proofErr w:type="spellStart"/>
      <w:r>
        <w:rPr>
          <w:sz w:val="22"/>
          <w:szCs w:val="22"/>
        </w:rPr>
        <w:t>indica</w:t>
      </w:r>
      <w:proofErr w:type="spellEnd"/>
      <w:r>
        <w:rPr>
          <w:sz w:val="22"/>
          <w:szCs w:val="22"/>
        </w:rPr>
        <w:t xml:space="preserve"> L.). </w:t>
      </w:r>
      <w:r>
        <w:rPr>
          <w:sz w:val="22"/>
          <w:szCs w:val="22"/>
        </w:rPr>
        <w:lastRenderedPageBreak/>
        <w:t>International Journal of Applied Science and Biotechnology, 3(1), 61–66. https://doi.org/10.3126/ijasbt.v3i1.12137</w:t>
      </w:r>
    </w:p>
    <w:p w:rsidR="00AD6485" w:rsidRDefault="00757BAB">
      <w:pPr>
        <w:spacing w:after="120"/>
        <w:ind w:left="720" w:hanging="720"/>
        <w:jc w:val="both"/>
      </w:pPr>
      <w:r>
        <w:rPr>
          <w:sz w:val="22"/>
          <w:szCs w:val="22"/>
        </w:rPr>
        <w:t>Pang, L., Li, J., Solanki, M. K., Wang, Z., Xing, Y., &amp; Dong, L. (2024). Soil phosphorus transformation and plant uptake driven by phosphate-solubilizing microorganisms. Frontiers in Microbiology, 15, 1383813. https://doi.org/10.3389/fmicb.2024.1383813</w:t>
      </w:r>
    </w:p>
    <w:p w:rsidR="00AD6485" w:rsidRDefault="00757BAB">
      <w:pPr>
        <w:spacing w:after="120"/>
        <w:ind w:left="720" w:hanging="720"/>
        <w:jc w:val="both"/>
      </w:pPr>
      <w:r>
        <w:rPr>
          <w:sz w:val="22"/>
          <w:szCs w:val="22"/>
        </w:rPr>
        <w:t xml:space="preserve">Ram Rao, D., </w:t>
      </w:r>
      <w:proofErr w:type="spellStart"/>
      <w:r>
        <w:rPr>
          <w:sz w:val="22"/>
          <w:szCs w:val="22"/>
        </w:rPr>
        <w:t>Kodandaramaiah</w:t>
      </w:r>
      <w:proofErr w:type="spellEnd"/>
      <w:r>
        <w:rPr>
          <w:sz w:val="22"/>
          <w:szCs w:val="22"/>
        </w:rPr>
        <w:t xml:space="preserve">, J., Reddy, M. P., </w:t>
      </w:r>
      <w:proofErr w:type="spellStart"/>
      <w:r>
        <w:rPr>
          <w:sz w:val="22"/>
          <w:szCs w:val="22"/>
        </w:rPr>
        <w:t>Katiyar</w:t>
      </w:r>
      <w:proofErr w:type="spellEnd"/>
      <w:r>
        <w:rPr>
          <w:sz w:val="22"/>
          <w:szCs w:val="22"/>
        </w:rPr>
        <w:t>, R. S., &amp;</w:t>
      </w:r>
      <w:proofErr w:type="spellStart"/>
      <w:r>
        <w:rPr>
          <w:sz w:val="22"/>
          <w:szCs w:val="22"/>
        </w:rPr>
        <w:t>Rahmathulla</w:t>
      </w:r>
      <w:proofErr w:type="spellEnd"/>
      <w:r>
        <w:rPr>
          <w:sz w:val="22"/>
          <w:szCs w:val="22"/>
        </w:rPr>
        <w:t>, V. K. (2007). Effect of VAM fungi and bacterial biofertilizers on mulberry leaf quality and silkworm cocoon characters under semiarid conditions. Caspian Journal of Environmental Sciences, 5(2), 111–117. https://cjes.guilan.ac.ir</w:t>
      </w:r>
    </w:p>
    <w:p w:rsidR="00AD6485" w:rsidRDefault="00757BAB">
      <w:pPr>
        <w:spacing w:after="120"/>
        <w:ind w:left="720" w:hanging="720"/>
        <w:jc w:val="both"/>
      </w:pPr>
      <w:r>
        <w:rPr>
          <w:sz w:val="22"/>
          <w:szCs w:val="22"/>
        </w:rPr>
        <w:t xml:space="preserve">Ray, P., </w:t>
      </w:r>
      <w:proofErr w:type="spellStart"/>
      <w:r>
        <w:rPr>
          <w:sz w:val="22"/>
          <w:szCs w:val="22"/>
        </w:rPr>
        <w:t>Gogoi</w:t>
      </w:r>
      <w:proofErr w:type="spellEnd"/>
      <w:r>
        <w:rPr>
          <w:sz w:val="22"/>
          <w:szCs w:val="22"/>
        </w:rPr>
        <w:t>, S. N., Bandyopadhyay, S., Jena, R. K., Ramachandran, S., Sharma, G. K., &amp; Ray, S. K. (2021). Soil-cum-nutrient management package for achieving high yield and quality of mulberry (</w:t>
      </w:r>
      <w:proofErr w:type="spellStart"/>
      <w:r>
        <w:rPr>
          <w:sz w:val="22"/>
          <w:szCs w:val="22"/>
        </w:rPr>
        <w:t>Morus</w:t>
      </w:r>
      <w:proofErr w:type="spellEnd"/>
      <w:r>
        <w:rPr>
          <w:sz w:val="22"/>
          <w:szCs w:val="22"/>
        </w:rPr>
        <w:t xml:space="preserve"> </w:t>
      </w:r>
      <w:proofErr w:type="spellStart"/>
      <w:r>
        <w:rPr>
          <w:sz w:val="22"/>
          <w:szCs w:val="22"/>
        </w:rPr>
        <w:t>indica</w:t>
      </w:r>
      <w:proofErr w:type="spellEnd"/>
      <w:r>
        <w:rPr>
          <w:sz w:val="22"/>
          <w:szCs w:val="22"/>
        </w:rPr>
        <w:t xml:space="preserve"> L.) leaf in acid soil of North Eastern India. Journal of Plant Nutrition, 44(17), 2501–2513. https://doi.org/10.1080/01904167.2021.1921196</w:t>
      </w:r>
    </w:p>
    <w:p w:rsidR="00AD6485" w:rsidRDefault="00757BAB">
      <w:pPr>
        <w:spacing w:after="120"/>
        <w:ind w:left="720" w:hanging="720"/>
        <w:jc w:val="both"/>
      </w:pPr>
      <w:r>
        <w:rPr>
          <w:sz w:val="22"/>
          <w:szCs w:val="22"/>
        </w:rPr>
        <w:t>Shi, S. M., Chen, K., Gao, Y., Liu, B., Yang, X. H., Huang, X. Z., Liu, G. X., Zhu, L. Q., &amp; He, X. H. (2016). Arbuscular mycorrhizal fungus species dependency governs better plant physiological characteristics and leaf quality of mulberry (</w:t>
      </w:r>
      <w:proofErr w:type="spellStart"/>
      <w:r>
        <w:rPr>
          <w:sz w:val="22"/>
          <w:szCs w:val="22"/>
        </w:rPr>
        <w:t>Morus</w:t>
      </w:r>
      <w:proofErr w:type="spellEnd"/>
      <w:r>
        <w:rPr>
          <w:sz w:val="22"/>
          <w:szCs w:val="22"/>
        </w:rPr>
        <w:t xml:space="preserve"> alba L.) seedlings. Frontiers in Microbiology, 7, 1030. https://doi.org/10.3389/fmicb.2016.01030</w:t>
      </w:r>
    </w:p>
    <w:p w:rsidR="00AD6485" w:rsidRDefault="00757BAB">
      <w:pPr>
        <w:spacing w:after="120"/>
        <w:ind w:left="720" w:hanging="720"/>
        <w:jc w:val="both"/>
      </w:pPr>
      <w:r>
        <w:rPr>
          <w:sz w:val="22"/>
          <w:szCs w:val="22"/>
        </w:rPr>
        <w:t xml:space="preserve">Sudhakar, P., Chattopadhyay, G. N., </w:t>
      </w:r>
      <w:proofErr w:type="spellStart"/>
      <w:r>
        <w:rPr>
          <w:sz w:val="22"/>
          <w:szCs w:val="22"/>
        </w:rPr>
        <w:t>Gangwar</w:t>
      </w:r>
      <w:proofErr w:type="spellEnd"/>
      <w:r>
        <w:rPr>
          <w:sz w:val="22"/>
          <w:szCs w:val="22"/>
        </w:rPr>
        <w:t xml:space="preserve">, S. K., &amp; Ghosh, J. K. (2000). Effect of foliar application of </w:t>
      </w:r>
      <w:proofErr w:type="spellStart"/>
      <w:r>
        <w:rPr>
          <w:sz w:val="22"/>
          <w:szCs w:val="22"/>
        </w:rPr>
        <w:t>Azotobacter</w:t>
      </w:r>
      <w:proofErr w:type="spellEnd"/>
      <w:r>
        <w:rPr>
          <w:sz w:val="22"/>
          <w:szCs w:val="22"/>
        </w:rPr>
        <w:t xml:space="preserve">, </w:t>
      </w:r>
      <w:proofErr w:type="spellStart"/>
      <w:r>
        <w:rPr>
          <w:sz w:val="22"/>
          <w:szCs w:val="22"/>
        </w:rPr>
        <w:t>Azospirillum</w:t>
      </w:r>
      <w:proofErr w:type="spellEnd"/>
      <w:r>
        <w:rPr>
          <w:sz w:val="22"/>
          <w:szCs w:val="22"/>
        </w:rPr>
        <w:t xml:space="preserve"> and </w:t>
      </w:r>
      <w:proofErr w:type="spellStart"/>
      <w:r>
        <w:rPr>
          <w:sz w:val="22"/>
          <w:szCs w:val="22"/>
        </w:rPr>
        <w:t>Beijerinckia</w:t>
      </w:r>
      <w:proofErr w:type="spellEnd"/>
      <w:r>
        <w:rPr>
          <w:sz w:val="22"/>
          <w:szCs w:val="22"/>
        </w:rPr>
        <w:t xml:space="preserve"> on leaf yield and quality of mulberry (</w:t>
      </w:r>
      <w:proofErr w:type="spellStart"/>
      <w:r>
        <w:rPr>
          <w:sz w:val="22"/>
          <w:szCs w:val="22"/>
        </w:rPr>
        <w:t>Morus</w:t>
      </w:r>
      <w:proofErr w:type="spellEnd"/>
      <w:r>
        <w:rPr>
          <w:sz w:val="22"/>
          <w:szCs w:val="22"/>
        </w:rPr>
        <w:t xml:space="preserve"> alba). The Journal of Agricultural Science, 134(2), 227–234. https://doi.org/10.1017/S0021859699007376</w:t>
      </w:r>
    </w:p>
    <w:p w:rsidR="00AD6485" w:rsidRDefault="00757BAB">
      <w:pPr>
        <w:spacing w:after="120"/>
        <w:ind w:left="720" w:hanging="720"/>
        <w:jc w:val="both"/>
        <w:rPr>
          <w:sz w:val="22"/>
          <w:szCs w:val="22"/>
        </w:rPr>
      </w:pPr>
      <w:r>
        <w:rPr>
          <w:sz w:val="22"/>
          <w:szCs w:val="22"/>
        </w:rPr>
        <w:t xml:space="preserve">Vijayan, K., </w:t>
      </w:r>
      <w:proofErr w:type="spellStart"/>
      <w:r>
        <w:rPr>
          <w:sz w:val="22"/>
          <w:szCs w:val="22"/>
        </w:rPr>
        <w:t>Chakraborti</w:t>
      </w:r>
      <w:proofErr w:type="spellEnd"/>
      <w:r>
        <w:rPr>
          <w:sz w:val="22"/>
          <w:szCs w:val="22"/>
        </w:rPr>
        <w:t xml:space="preserve">, S. P., &amp; Ghosh, P. D. (2007). Foliar application of </w:t>
      </w:r>
      <w:proofErr w:type="spellStart"/>
      <w:r>
        <w:rPr>
          <w:sz w:val="22"/>
          <w:szCs w:val="22"/>
        </w:rPr>
        <w:t>Azotobacterchroococcum</w:t>
      </w:r>
      <w:proofErr w:type="spellEnd"/>
      <w:r>
        <w:rPr>
          <w:sz w:val="22"/>
          <w:szCs w:val="22"/>
        </w:rPr>
        <w:t xml:space="preserve"> increases leaf yield under saline conditions in mulberry (</w:t>
      </w:r>
      <w:proofErr w:type="spellStart"/>
      <w:r>
        <w:rPr>
          <w:sz w:val="22"/>
          <w:szCs w:val="22"/>
        </w:rPr>
        <w:t>Morus</w:t>
      </w:r>
      <w:proofErr w:type="spellEnd"/>
      <w:r>
        <w:rPr>
          <w:sz w:val="22"/>
          <w:szCs w:val="22"/>
        </w:rPr>
        <w:t xml:space="preserve"> spp.). Scientia </w:t>
      </w:r>
      <w:proofErr w:type="spellStart"/>
      <w:r>
        <w:rPr>
          <w:sz w:val="22"/>
          <w:szCs w:val="22"/>
        </w:rPr>
        <w:t>Horticulturae</w:t>
      </w:r>
      <w:proofErr w:type="spellEnd"/>
      <w:r>
        <w:rPr>
          <w:sz w:val="22"/>
          <w:szCs w:val="22"/>
        </w:rPr>
        <w:t xml:space="preserve">, 113(3), 307–311. </w:t>
      </w:r>
      <w:hyperlink r:id="rId7" w:history="1">
        <w:r w:rsidR="003F4889" w:rsidRPr="00177BCE">
          <w:rPr>
            <w:rStyle w:val="Hyperlink"/>
            <w:sz w:val="22"/>
            <w:szCs w:val="22"/>
          </w:rPr>
          <w:t>https://doi.org/10.1016/j.scienta.2007.03.018</w:t>
        </w:r>
      </w:hyperlink>
    </w:p>
    <w:p w:rsidR="003F4889" w:rsidRDefault="003F4889" w:rsidP="003F4889">
      <w:pPr>
        <w:pStyle w:val="c-bibliographic-informationcitation"/>
        <w:shd w:val="clear" w:color="auto" w:fill="FFFFFF"/>
        <w:spacing w:before="0" w:beforeAutospacing="0" w:after="240" w:afterAutospacing="0"/>
        <w:rPr>
          <w:rFonts w:ascii="Helvetica" w:hAnsi="Helvetica" w:cs="Helvetica"/>
          <w:color w:val="222222"/>
        </w:rPr>
      </w:pPr>
      <w:proofErr w:type="spellStart"/>
      <w:r w:rsidRPr="00A02837">
        <w:rPr>
          <w:rFonts w:ascii="Helvetica" w:hAnsi="Helvetica" w:cs="Helvetica"/>
          <w:color w:val="222222"/>
          <w:highlight w:val="yellow"/>
        </w:rPr>
        <w:t>Ahammed</w:t>
      </w:r>
      <w:proofErr w:type="spellEnd"/>
      <w:r w:rsidRPr="00A02837">
        <w:rPr>
          <w:rFonts w:ascii="Helvetica" w:hAnsi="Helvetica" w:cs="Helvetica"/>
          <w:color w:val="222222"/>
          <w:highlight w:val="yellow"/>
        </w:rPr>
        <w:t>, I., Chatterjee, P., Das, B. </w:t>
      </w:r>
      <w:r w:rsidRPr="00A02837">
        <w:rPr>
          <w:rFonts w:ascii="Helvetica" w:hAnsi="Helvetica" w:cs="Helvetica"/>
          <w:i/>
          <w:iCs/>
          <w:color w:val="222222"/>
          <w:highlight w:val="yellow"/>
        </w:rPr>
        <w:t>et al.</w:t>
      </w:r>
      <w:r w:rsidRPr="00A02837">
        <w:rPr>
          <w:rFonts w:ascii="Helvetica" w:hAnsi="Helvetica" w:cs="Helvetica"/>
          <w:color w:val="222222"/>
          <w:highlight w:val="yellow"/>
        </w:rPr>
        <w:t> Integrating organic fertilizer strategies for optimizing mulberry crop production and soil health resilience: A pathway to sustainable agriculture. </w:t>
      </w:r>
      <w:r w:rsidRPr="00A02837">
        <w:rPr>
          <w:rFonts w:ascii="Helvetica" w:hAnsi="Helvetica" w:cs="Helvetica"/>
          <w:i/>
          <w:iCs/>
          <w:color w:val="222222"/>
          <w:highlight w:val="yellow"/>
        </w:rPr>
        <w:t>J. Saudi Soc. Agric. Sci.</w:t>
      </w:r>
      <w:r w:rsidRPr="00A02837">
        <w:rPr>
          <w:rFonts w:ascii="Helvetica" w:hAnsi="Helvetica" w:cs="Helvetica"/>
          <w:color w:val="222222"/>
          <w:highlight w:val="yellow"/>
        </w:rPr>
        <w:t> </w:t>
      </w:r>
      <w:r w:rsidRPr="00A02837">
        <w:rPr>
          <w:rFonts w:ascii="Helvetica" w:hAnsi="Helvetica" w:cs="Helvetica"/>
          <w:b/>
          <w:bCs/>
          <w:color w:val="222222"/>
          <w:highlight w:val="yellow"/>
        </w:rPr>
        <w:t>24</w:t>
      </w:r>
      <w:r w:rsidRPr="00A02837">
        <w:rPr>
          <w:rFonts w:ascii="Helvetica" w:hAnsi="Helvetica" w:cs="Helvetica"/>
          <w:color w:val="222222"/>
          <w:highlight w:val="yellow"/>
        </w:rPr>
        <w:t>, 73 (2025). https://doi.org/10.1007/s44447-025-00116-6</w:t>
      </w:r>
    </w:p>
    <w:p w:rsidR="00BE6A87" w:rsidRDefault="00BE6A87" w:rsidP="00BE6A87">
      <w:pPr>
        <w:shd w:val="clear" w:color="auto" w:fill="FFFFFF"/>
        <w:rPr>
          <w:rFonts w:ascii="Arial" w:hAnsi="Arial" w:cs="Arial"/>
          <w:color w:val="000000"/>
          <w:sz w:val="20"/>
          <w:szCs w:val="20"/>
        </w:rPr>
      </w:pPr>
      <w:r w:rsidRPr="00A02837">
        <w:rPr>
          <w:rFonts w:ascii="Arial" w:hAnsi="Arial" w:cs="Arial"/>
          <w:color w:val="000000"/>
          <w:sz w:val="20"/>
          <w:szCs w:val="20"/>
          <w:highlight w:val="yellow"/>
        </w:rPr>
        <w:t xml:space="preserve">Saqib Farooq, MF </w:t>
      </w:r>
      <w:proofErr w:type="spellStart"/>
      <w:r w:rsidRPr="00A02837">
        <w:rPr>
          <w:rFonts w:ascii="Arial" w:hAnsi="Arial" w:cs="Arial"/>
          <w:color w:val="000000"/>
          <w:sz w:val="20"/>
          <w:szCs w:val="20"/>
          <w:highlight w:val="yellow"/>
        </w:rPr>
        <w:t>Baqual</w:t>
      </w:r>
      <w:proofErr w:type="spellEnd"/>
      <w:r w:rsidRPr="00A02837">
        <w:rPr>
          <w:rFonts w:ascii="Arial" w:hAnsi="Arial" w:cs="Arial"/>
          <w:color w:val="000000"/>
          <w:sz w:val="20"/>
          <w:szCs w:val="20"/>
          <w:highlight w:val="yellow"/>
        </w:rPr>
        <w:t xml:space="preserve">, Rehana Habib </w:t>
      </w:r>
      <w:proofErr w:type="spellStart"/>
      <w:r w:rsidRPr="00A02837">
        <w:rPr>
          <w:rFonts w:ascii="Arial" w:hAnsi="Arial" w:cs="Arial"/>
          <w:color w:val="000000"/>
          <w:sz w:val="20"/>
          <w:szCs w:val="20"/>
          <w:highlight w:val="yellow"/>
        </w:rPr>
        <w:t>Kanth</w:t>
      </w:r>
      <w:proofErr w:type="spellEnd"/>
      <w:r w:rsidRPr="00A02837">
        <w:rPr>
          <w:rFonts w:ascii="Arial" w:hAnsi="Arial" w:cs="Arial"/>
          <w:color w:val="000000"/>
          <w:sz w:val="20"/>
          <w:szCs w:val="20"/>
          <w:highlight w:val="yellow"/>
        </w:rPr>
        <w:t xml:space="preserve">, MR Mir, Zia-ul-Haque, ZA Baba, </w:t>
      </w:r>
      <w:proofErr w:type="spellStart"/>
      <w:r w:rsidRPr="00A02837">
        <w:rPr>
          <w:rFonts w:ascii="Arial" w:hAnsi="Arial" w:cs="Arial"/>
          <w:color w:val="000000"/>
          <w:sz w:val="20"/>
          <w:szCs w:val="20"/>
          <w:highlight w:val="yellow"/>
        </w:rPr>
        <w:t>Nigeena</w:t>
      </w:r>
      <w:proofErr w:type="spellEnd"/>
      <w:r w:rsidRPr="00A02837">
        <w:rPr>
          <w:rFonts w:ascii="Arial" w:hAnsi="Arial" w:cs="Arial"/>
          <w:color w:val="000000"/>
          <w:sz w:val="20"/>
          <w:szCs w:val="20"/>
          <w:highlight w:val="yellow"/>
        </w:rPr>
        <w:t xml:space="preserve"> Nazir, </w:t>
      </w:r>
      <w:proofErr w:type="spellStart"/>
      <w:r w:rsidRPr="00A02837">
        <w:rPr>
          <w:rFonts w:ascii="Arial" w:hAnsi="Arial" w:cs="Arial"/>
          <w:color w:val="000000"/>
          <w:sz w:val="20"/>
          <w:szCs w:val="20"/>
          <w:highlight w:val="yellow"/>
        </w:rPr>
        <w:t>Sheza</w:t>
      </w:r>
      <w:proofErr w:type="spellEnd"/>
      <w:r w:rsidRPr="00A02837">
        <w:rPr>
          <w:rFonts w:ascii="Arial" w:hAnsi="Arial" w:cs="Arial"/>
          <w:color w:val="000000"/>
          <w:sz w:val="20"/>
          <w:szCs w:val="20"/>
          <w:highlight w:val="yellow"/>
        </w:rPr>
        <w:t xml:space="preserve"> Farooq. Influence of application of microbial consortium on established mulberry plantation under temperate climatic conditions. Int J Res </w:t>
      </w:r>
      <w:proofErr w:type="spellStart"/>
      <w:r w:rsidRPr="00A02837">
        <w:rPr>
          <w:rFonts w:ascii="Arial" w:hAnsi="Arial" w:cs="Arial"/>
          <w:color w:val="000000"/>
          <w:sz w:val="20"/>
          <w:szCs w:val="20"/>
          <w:highlight w:val="yellow"/>
        </w:rPr>
        <w:t>Agron</w:t>
      </w:r>
      <w:proofErr w:type="spellEnd"/>
      <w:r w:rsidRPr="00A02837">
        <w:rPr>
          <w:rFonts w:ascii="Arial" w:hAnsi="Arial" w:cs="Arial"/>
          <w:color w:val="000000"/>
          <w:sz w:val="20"/>
          <w:szCs w:val="20"/>
          <w:highlight w:val="yellow"/>
        </w:rPr>
        <w:t xml:space="preserve"> 2024;7(1):204-207. DOI: </w:t>
      </w:r>
      <w:hyperlink r:id="rId8" w:tgtFrame="_blank" w:history="1">
        <w:r w:rsidRPr="00A02837">
          <w:rPr>
            <w:rStyle w:val="Hyperlink"/>
            <w:rFonts w:ascii="Arial" w:hAnsi="Arial" w:cs="Arial"/>
            <w:sz w:val="20"/>
            <w:szCs w:val="20"/>
            <w:highlight w:val="yellow"/>
            <w:bdr w:val="single" w:sz="2" w:space="0" w:color="auto" w:frame="1"/>
          </w:rPr>
          <w:t>10.33545/2618060X.2024.v7.i1c.214</w:t>
        </w:r>
      </w:hyperlink>
    </w:p>
    <w:p w:rsidR="003F4889" w:rsidRDefault="003F4889">
      <w:pPr>
        <w:spacing w:after="120"/>
        <w:ind w:left="720" w:hanging="720"/>
        <w:jc w:val="both"/>
      </w:pPr>
    </w:p>
    <w:p w:rsidR="00665054" w:rsidRPr="00A02837" w:rsidRDefault="00665054" w:rsidP="00665054">
      <w:pPr>
        <w:shd w:val="clear" w:color="auto" w:fill="FFFFFF"/>
        <w:rPr>
          <w:rFonts w:ascii="Arial" w:hAnsi="Arial" w:cs="Arial"/>
          <w:color w:val="333333"/>
          <w:sz w:val="22"/>
          <w:szCs w:val="27"/>
        </w:rPr>
      </w:pPr>
      <w:r w:rsidRPr="00A02837">
        <w:rPr>
          <w:rFonts w:ascii="Arial" w:hAnsi="Arial" w:cs="Arial"/>
          <w:color w:val="333333"/>
          <w:sz w:val="22"/>
          <w:szCs w:val="27"/>
          <w:highlight w:val="yellow"/>
        </w:rPr>
        <w:t xml:space="preserve">Nath, </w:t>
      </w:r>
      <w:proofErr w:type="spellStart"/>
      <w:r w:rsidRPr="00A02837">
        <w:rPr>
          <w:rFonts w:ascii="Arial" w:hAnsi="Arial" w:cs="Arial"/>
          <w:color w:val="333333"/>
          <w:sz w:val="22"/>
          <w:szCs w:val="27"/>
          <w:highlight w:val="yellow"/>
        </w:rPr>
        <w:t>Indrani</w:t>
      </w:r>
      <w:proofErr w:type="spellEnd"/>
      <w:r w:rsidRPr="00A02837">
        <w:rPr>
          <w:rFonts w:ascii="Arial" w:hAnsi="Arial" w:cs="Arial"/>
          <w:color w:val="333333"/>
          <w:sz w:val="22"/>
          <w:szCs w:val="27"/>
          <w:highlight w:val="yellow"/>
        </w:rPr>
        <w:t xml:space="preserve">, Shanmugam Rajagopal, Pankaj Lushan Dutta, </w:t>
      </w:r>
      <w:proofErr w:type="spellStart"/>
      <w:r w:rsidRPr="00A02837">
        <w:rPr>
          <w:rFonts w:ascii="Arial" w:hAnsi="Arial" w:cs="Arial"/>
          <w:color w:val="333333"/>
          <w:sz w:val="22"/>
          <w:szCs w:val="27"/>
          <w:highlight w:val="yellow"/>
        </w:rPr>
        <w:t>Manasee</w:t>
      </w:r>
      <w:proofErr w:type="spellEnd"/>
      <w:r w:rsidRPr="00A02837">
        <w:rPr>
          <w:rFonts w:ascii="Arial" w:hAnsi="Arial" w:cs="Arial"/>
          <w:color w:val="333333"/>
          <w:sz w:val="22"/>
          <w:szCs w:val="27"/>
          <w:highlight w:val="yellow"/>
        </w:rPr>
        <w:t xml:space="preserve"> Hazarika Ahmed, and Kasturi </w:t>
      </w:r>
      <w:proofErr w:type="spellStart"/>
      <w:r w:rsidRPr="00A02837">
        <w:rPr>
          <w:rFonts w:ascii="Arial" w:hAnsi="Arial" w:cs="Arial"/>
          <w:color w:val="333333"/>
          <w:sz w:val="22"/>
          <w:szCs w:val="27"/>
          <w:highlight w:val="yellow"/>
        </w:rPr>
        <w:t>Saikia</w:t>
      </w:r>
      <w:proofErr w:type="spellEnd"/>
      <w:r w:rsidRPr="00A02837">
        <w:rPr>
          <w:rFonts w:ascii="Arial" w:hAnsi="Arial" w:cs="Arial"/>
          <w:color w:val="333333"/>
          <w:sz w:val="22"/>
          <w:szCs w:val="27"/>
          <w:highlight w:val="yellow"/>
        </w:rPr>
        <w:t>. 2025. “Impact of Liquid Bioformulations on Mulberry Leaf Quality and Physiological Traits”. </w:t>
      </w:r>
      <w:r w:rsidRPr="00A02837">
        <w:rPr>
          <w:rFonts w:ascii="Arial" w:hAnsi="Arial" w:cs="Arial"/>
          <w:i/>
          <w:iCs/>
          <w:color w:val="333333"/>
          <w:sz w:val="22"/>
          <w:szCs w:val="27"/>
          <w:highlight w:val="yellow"/>
        </w:rPr>
        <w:t>International Journal of Plant &amp; Soil Science</w:t>
      </w:r>
      <w:r w:rsidRPr="00A02837">
        <w:rPr>
          <w:rFonts w:ascii="Arial" w:hAnsi="Arial" w:cs="Arial"/>
          <w:color w:val="333333"/>
          <w:sz w:val="22"/>
          <w:szCs w:val="27"/>
          <w:highlight w:val="yellow"/>
        </w:rPr>
        <w:t> 37 (7):512-21. https://doi.org/10.9734/ijpss/2025/v37i75596.</w:t>
      </w:r>
    </w:p>
    <w:p w:rsidR="00665054" w:rsidRDefault="00665054">
      <w:pPr>
        <w:spacing w:after="120"/>
        <w:ind w:left="720" w:hanging="720"/>
        <w:jc w:val="both"/>
      </w:pPr>
    </w:p>
    <w:sectPr w:rsidR="00665054" w:rsidSect="00AD64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ED2" w:rsidRDefault="00181ED2" w:rsidP="00AD6485">
      <w:r>
        <w:separator/>
      </w:r>
    </w:p>
  </w:endnote>
  <w:endnote w:type="continuationSeparator" w:id="0">
    <w:p w:rsidR="00181ED2" w:rsidRDefault="00181ED2" w:rsidP="00AD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77" w:rsidRDefault="00920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77" w:rsidRDefault="00920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77" w:rsidRDefault="00920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ED2" w:rsidRDefault="00181ED2" w:rsidP="00AD6485">
      <w:r>
        <w:separator/>
      </w:r>
    </w:p>
  </w:footnote>
  <w:footnote w:type="continuationSeparator" w:id="0">
    <w:p w:rsidR="00181ED2" w:rsidRDefault="00181ED2" w:rsidP="00AD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77" w:rsidRDefault="00181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77" w:rsidRDefault="00181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77" w:rsidRDefault="00181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741FF"/>
    <w:multiLevelType w:val="hybridMultilevel"/>
    <w:tmpl w:val="E63412CC"/>
    <w:lvl w:ilvl="0" w:tplc="8DA6B98E">
      <w:start w:val="1"/>
      <w:numFmt w:val="bullet"/>
      <w:lvlText w:val="●"/>
      <w:lvlJc w:val="left"/>
      <w:pPr>
        <w:ind w:left="720" w:hanging="360"/>
      </w:pPr>
    </w:lvl>
    <w:lvl w:ilvl="1" w:tplc="1A7421A8">
      <w:start w:val="1"/>
      <w:numFmt w:val="bullet"/>
      <w:lvlText w:val="○"/>
      <w:lvlJc w:val="left"/>
      <w:pPr>
        <w:ind w:left="1440" w:hanging="360"/>
      </w:pPr>
    </w:lvl>
    <w:lvl w:ilvl="2" w:tplc="933E5D02">
      <w:start w:val="1"/>
      <w:numFmt w:val="bullet"/>
      <w:lvlText w:val="■"/>
      <w:lvlJc w:val="left"/>
      <w:pPr>
        <w:ind w:left="2160" w:hanging="360"/>
      </w:pPr>
    </w:lvl>
    <w:lvl w:ilvl="3" w:tplc="7304F87C">
      <w:start w:val="1"/>
      <w:numFmt w:val="bullet"/>
      <w:lvlText w:val="●"/>
      <w:lvlJc w:val="left"/>
      <w:pPr>
        <w:ind w:left="2880" w:hanging="360"/>
      </w:pPr>
    </w:lvl>
    <w:lvl w:ilvl="4" w:tplc="5B623C30">
      <w:start w:val="1"/>
      <w:numFmt w:val="bullet"/>
      <w:lvlText w:val="○"/>
      <w:lvlJc w:val="left"/>
      <w:pPr>
        <w:ind w:left="3600" w:hanging="360"/>
      </w:pPr>
    </w:lvl>
    <w:lvl w:ilvl="5" w:tplc="55121676">
      <w:start w:val="1"/>
      <w:numFmt w:val="bullet"/>
      <w:lvlText w:val="■"/>
      <w:lvlJc w:val="left"/>
      <w:pPr>
        <w:ind w:left="4320" w:hanging="360"/>
      </w:pPr>
    </w:lvl>
    <w:lvl w:ilvl="6" w:tplc="0C3A7A9E">
      <w:start w:val="1"/>
      <w:numFmt w:val="bullet"/>
      <w:lvlText w:val="●"/>
      <w:lvlJc w:val="left"/>
      <w:pPr>
        <w:ind w:left="5040" w:hanging="360"/>
      </w:pPr>
    </w:lvl>
    <w:lvl w:ilvl="7" w:tplc="6FBE6E96">
      <w:start w:val="1"/>
      <w:numFmt w:val="bullet"/>
      <w:lvlText w:val="●"/>
      <w:lvlJc w:val="left"/>
      <w:pPr>
        <w:ind w:left="5760" w:hanging="360"/>
      </w:pPr>
    </w:lvl>
    <w:lvl w:ilvl="8" w:tplc="F386E92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zsDQyMTAzNzazMDRW0lEKTi0uzszPAykwrAUAW2yNlCwAAAA="/>
  </w:docVars>
  <w:rsids>
    <w:rsidRoot w:val="00AD6485"/>
    <w:rsid w:val="0002495A"/>
    <w:rsid w:val="00041EF3"/>
    <w:rsid w:val="0009057C"/>
    <w:rsid w:val="00131CFE"/>
    <w:rsid w:val="00142088"/>
    <w:rsid w:val="001703D5"/>
    <w:rsid w:val="00181ED2"/>
    <w:rsid w:val="00192758"/>
    <w:rsid w:val="001D3B5A"/>
    <w:rsid w:val="001E5E6B"/>
    <w:rsid w:val="001F704B"/>
    <w:rsid w:val="00230CD9"/>
    <w:rsid w:val="002A7A0B"/>
    <w:rsid w:val="002C2ADF"/>
    <w:rsid w:val="002C68E6"/>
    <w:rsid w:val="00333ADD"/>
    <w:rsid w:val="00386ECF"/>
    <w:rsid w:val="003A12AB"/>
    <w:rsid w:val="003E0DF3"/>
    <w:rsid w:val="003E3C9D"/>
    <w:rsid w:val="003F4889"/>
    <w:rsid w:val="00412A1E"/>
    <w:rsid w:val="004E0DEC"/>
    <w:rsid w:val="00504258"/>
    <w:rsid w:val="00505661"/>
    <w:rsid w:val="00543BDC"/>
    <w:rsid w:val="005515E0"/>
    <w:rsid w:val="00602482"/>
    <w:rsid w:val="00602DF7"/>
    <w:rsid w:val="0060614F"/>
    <w:rsid w:val="00631742"/>
    <w:rsid w:val="00665054"/>
    <w:rsid w:val="006C2FD5"/>
    <w:rsid w:val="006E2A3C"/>
    <w:rsid w:val="00757BAB"/>
    <w:rsid w:val="007624FB"/>
    <w:rsid w:val="00805A13"/>
    <w:rsid w:val="00897DED"/>
    <w:rsid w:val="00920577"/>
    <w:rsid w:val="009571F6"/>
    <w:rsid w:val="0099267A"/>
    <w:rsid w:val="009D31E7"/>
    <w:rsid w:val="00A02837"/>
    <w:rsid w:val="00A5083C"/>
    <w:rsid w:val="00AD6485"/>
    <w:rsid w:val="00B225C4"/>
    <w:rsid w:val="00B459DA"/>
    <w:rsid w:val="00B93930"/>
    <w:rsid w:val="00BE6A87"/>
    <w:rsid w:val="00BF5D03"/>
    <w:rsid w:val="00C15150"/>
    <w:rsid w:val="00C22E0D"/>
    <w:rsid w:val="00C64200"/>
    <w:rsid w:val="00C7783F"/>
    <w:rsid w:val="00C8441D"/>
    <w:rsid w:val="00CA4AAD"/>
    <w:rsid w:val="00CB2E87"/>
    <w:rsid w:val="00CE6826"/>
    <w:rsid w:val="00D23878"/>
    <w:rsid w:val="00D558C0"/>
    <w:rsid w:val="00D81705"/>
    <w:rsid w:val="00D918BD"/>
    <w:rsid w:val="00E054E7"/>
    <w:rsid w:val="00E223CA"/>
    <w:rsid w:val="00E462AD"/>
    <w:rsid w:val="00E60803"/>
    <w:rsid w:val="00EC689E"/>
    <w:rsid w:val="00F6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B6FC4"/>
  <w15:docId w15:val="{016A0BD5-CA0A-45FF-A820-726D8842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ADD"/>
  </w:style>
  <w:style w:type="paragraph" w:styleId="Heading1">
    <w:name w:val="heading 1"/>
    <w:qFormat/>
    <w:rsid w:val="00AD6485"/>
    <w:pPr>
      <w:spacing w:before="320" w:after="160"/>
      <w:outlineLvl w:val="0"/>
    </w:pPr>
    <w:rPr>
      <w:b/>
      <w:bCs/>
      <w:color w:val="000000"/>
      <w:sz w:val="28"/>
      <w:szCs w:val="28"/>
    </w:rPr>
  </w:style>
  <w:style w:type="paragraph" w:styleId="Heading2">
    <w:name w:val="heading 2"/>
    <w:qFormat/>
    <w:rsid w:val="00AD6485"/>
    <w:pPr>
      <w:spacing w:before="240" w:after="120"/>
      <w:outlineLvl w:val="1"/>
    </w:pPr>
    <w:rPr>
      <w:b/>
      <w:bCs/>
      <w:i/>
      <w:iCs/>
      <w:color w:val="000000"/>
    </w:rPr>
  </w:style>
  <w:style w:type="paragraph" w:styleId="Heading3">
    <w:name w:val="heading 3"/>
    <w:qFormat/>
    <w:rsid w:val="00AD6485"/>
    <w:pPr>
      <w:outlineLvl w:val="2"/>
    </w:pPr>
    <w:rPr>
      <w:color w:val="1F4D78"/>
    </w:rPr>
  </w:style>
  <w:style w:type="paragraph" w:styleId="Heading4">
    <w:name w:val="heading 4"/>
    <w:qFormat/>
    <w:rsid w:val="00AD6485"/>
    <w:pPr>
      <w:outlineLvl w:val="3"/>
    </w:pPr>
    <w:rPr>
      <w:i/>
      <w:iCs/>
      <w:color w:val="2E74B5"/>
    </w:rPr>
  </w:style>
  <w:style w:type="paragraph" w:styleId="Heading5">
    <w:name w:val="heading 5"/>
    <w:qFormat/>
    <w:rsid w:val="00AD6485"/>
    <w:pPr>
      <w:outlineLvl w:val="4"/>
    </w:pPr>
    <w:rPr>
      <w:color w:val="2E74B5"/>
    </w:rPr>
  </w:style>
  <w:style w:type="paragraph" w:styleId="Heading6">
    <w:name w:val="heading 6"/>
    <w:qFormat/>
    <w:rsid w:val="00AD64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D6485"/>
    <w:rPr>
      <w:sz w:val="56"/>
      <w:szCs w:val="56"/>
    </w:rPr>
  </w:style>
  <w:style w:type="paragraph" w:customStyle="1" w:styleId="Strong1">
    <w:name w:val="Strong1"/>
    <w:qFormat/>
    <w:rsid w:val="00AD6485"/>
    <w:rPr>
      <w:b/>
      <w:bCs/>
    </w:rPr>
  </w:style>
  <w:style w:type="paragraph" w:styleId="ListParagraph">
    <w:name w:val="List Paragraph"/>
    <w:qFormat/>
    <w:rsid w:val="00AD6485"/>
  </w:style>
  <w:style w:type="character" w:styleId="Hyperlink">
    <w:name w:val="Hyperlink"/>
    <w:uiPriority w:val="99"/>
    <w:unhideWhenUsed/>
    <w:rsid w:val="00AD6485"/>
    <w:rPr>
      <w:color w:val="0563C1"/>
      <w:u w:val="single"/>
    </w:rPr>
  </w:style>
  <w:style w:type="character" w:styleId="FootnoteReference">
    <w:name w:val="footnote reference"/>
    <w:uiPriority w:val="99"/>
    <w:semiHidden/>
    <w:unhideWhenUsed/>
    <w:rsid w:val="00AD6485"/>
    <w:rPr>
      <w:vertAlign w:val="superscript"/>
    </w:rPr>
  </w:style>
  <w:style w:type="paragraph" w:styleId="FootnoteText">
    <w:name w:val="footnote text"/>
    <w:link w:val="FootnoteTextChar"/>
    <w:uiPriority w:val="99"/>
    <w:semiHidden/>
    <w:unhideWhenUsed/>
    <w:rsid w:val="00AD6485"/>
    <w:rPr>
      <w:sz w:val="20"/>
      <w:szCs w:val="20"/>
    </w:rPr>
  </w:style>
  <w:style w:type="character" w:customStyle="1" w:styleId="FootnoteTextChar">
    <w:name w:val="Footnote Text Char"/>
    <w:link w:val="FootnoteText"/>
    <w:uiPriority w:val="99"/>
    <w:semiHidden/>
    <w:unhideWhenUsed/>
    <w:rsid w:val="00AD6485"/>
    <w:rPr>
      <w:sz w:val="20"/>
      <w:szCs w:val="20"/>
    </w:rPr>
  </w:style>
  <w:style w:type="paragraph" w:styleId="Header">
    <w:name w:val="header"/>
    <w:basedOn w:val="Normal"/>
    <w:link w:val="HeaderChar"/>
    <w:uiPriority w:val="99"/>
    <w:unhideWhenUsed/>
    <w:rsid w:val="00041EF3"/>
    <w:pPr>
      <w:tabs>
        <w:tab w:val="center" w:pos="4680"/>
        <w:tab w:val="right" w:pos="9360"/>
      </w:tabs>
    </w:pPr>
  </w:style>
  <w:style w:type="character" w:customStyle="1" w:styleId="HeaderChar">
    <w:name w:val="Header Char"/>
    <w:basedOn w:val="DefaultParagraphFont"/>
    <w:link w:val="Header"/>
    <w:uiPriority w:val="99"/>
    <w:rsid w:val="00041EF3"/>
  </w:style>
  <w:style w:type="paragraph" w:styleId="Footer">
    <w:name w:val="footer"/>
    <w:basedOn w:val="Normal"/>
    <w:link w:val="FooterChar"/>
    <w:uiPriority w:val="99"/>
    <w:unhideWhenUsed/>
    <w:rsid w:val="00041EF3"/>
    <w:pPr>
      <w:tabs>
        <w:tab w:val="center" w:pos="4680"/>
        <w:tab w:val="right" w:pos="9360"/>
      </w:tabs>
    </w:pPr>
  </w:style>
  <w:style w:type="character" w:customStyle="1" w:styleId="FooterChar">
    <w:name w:val="Footer Char"/>
    <w:basedOn w:val="DefaultParagraphFont"/>
    <w:link w:val="Footer"/>
    <w:uiPriority w:val="99"/>
    <w:rsid w:val="00041EF3"/>
  </w:style>
  <w:style w:type="character" w:styleId="PlaceholderText">
    <w:name w:val="Placeholder Text"/>
    <w:basedOn w:val="DefaultParagraphFont"/>
    <w:uiPriority w:val="99"/>
    <w:semiHidden/>
    <w:rsid w:val="00D558C0"/>
    <w:rPr>
      <w:color w:val="808080"/>
    </w:rPr>
  </w:style>
  <w:style w:type="paragraph" w:styleId="BalloonText">
    <w:name w:val="Balloon Text"/>
    <w:basedOn w:val="Normal"/>
    <w:link w:val="BalloonTextChar"/>
    <w:uiPriority w:val="99"/>
    <w:semiHidden/>
    <w:unhideWhenUsed/>
    <w:rsid w:val="00D558C0"/>
    <w:rPr>
      <w:rFonts w:ascii="Tahoma" w:hAnsi="Tahoma" w:cs="Tahoma"/>
      <w:sz w:val="16"/>
      <w:szCs w:val="16"/>
    </w:rPr>
  </w:style>
  <w:style w:type="character" w:customStyle="1" w:styleId="BalloonTextChar">
    <w:name w:val="Balloon Text Char"/>
    <w:basedOn w:val="DefaultParagraphFont"/>
    <w:link w:val="BalloonText"/>
    <w:uiPriority w:val="99"/>
    <w:semiHidden/>
    <w:rsid w:val="00D558C0"/>
    <w:rPr>
      <w:rFonts w:ascii="Tahoma" w:hAnsi="Tahoma" w:cs="Tahoma"/>
      <w:sz w:val="16"/>
      <w:szCs w:val="16"/>
    </w:rPr>
  </w:style>
  <w:style w:type="character" w:styleId="UnresolvedMention">
    <w:name w:val="Unresolved Mention"/>
    <w:basedOn w:val="DefaultParagraphFont"/>
    <w:uiPriority w:val="99"/>
    <w:semiHidden/>
    <w:unhideWhenUsed/>
    <w:rsid w:val="003F4889"/>
    <w:rPr>
      <w:color w:val="605E5C"/>
      <w:shd w:val="clear" w:color="auto" w:fill="E1DFDD"/>
    </w:rPr>
  </w:style>
  <w:style w:type="paragraph" w:customStyle="1" w:styleId="c-bibliographic-informationcitation">
    <w:name w:val="c-bibliographic-information__citation"/>
    <w:basedOn w:val="Normal"/>
    <w:rsid w:val="003F48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25905">
      <w:bodyDiv w:val="1"/>
      <w:marLeft w:val="0"/>
      <w:marRight w:val="0"/>
      <w:marTop w:val="0"/>
      <w:marBottom w:val="0"/>
      <w:divBdr>
        <w:top w:val="none" w:sz="0" w:space="0" w:color="auto"/>
        <w:left w:val="none" w:sz="0" w:space="0" w:color="auto"/>
        <w:bottom w:val="none" w:sz="0" w:space="0" w:color="auto"/>
        <w:right w:val="none" w:sz="0" w:space="0" w:color="auto"/>
      </w:divBdr>
    </w:div>
    <w:div w:id="772826681">
      <w:bodyDiv w:val="1"/>
      <w:marLeft w:val="0"/>
      <w:marRight w:val="0"/>
      <w:marTop w:val="0"/>
      <w:marBottom w:val="0"/>
      <w:divBdr>
        <w:top w:val="none" w:sz="0" w:space="0" w:color="auto"/>
        <w:left w:val="none" w:sz="0" w:space="0" w:color="auto"/>
        <w:bottom w:val="none" w:sz="0" w:space="0" w:color="auto"/>
        <w:right w:val="none" w:sz="0" w:space="0" w:color="auto"/>
      </w:divBdr>
      <w:divsChild>
        <w:div w:id="1605457373">
          <w:marLeft w:val="0"/>
          <w:marRight w:val="0"/>
          <w:marTop w:val="0"/>
          <w:marBottom w:val="0"/>
          <w:divBdr>
            <w:top w:val="none" w:sz="0" w:space="0" w:color="auto"/>
            <w:left w:val="none" w:sz="0" w:space="0" w:color="auto"/>
            <w:bottom w:val="none" w:sz="0" w:space="0" w:color="auto"/>
            <w:right w:val="none" w:sz="0" w:space="0" w:color="auto"/>
          </w:divBdr>
          <w:divsChild>
            <w:div w:id="1134324459">
              <w:marLeft w:val="0"/>
              <w:marRight w:val="0"/>
              <w:marTop w:val="0"/>
              <w:marBottom w:val="0"/>
              <w:divBdr>
                <w:top w:val="none" w:sz="0" w:space="0" w:color="auto"/>
                <w:left w:val="none" w:sz="0" w:space="0" w:color="auto"/>
                <w:bottom w:val="none" w:sz="0" w:space="0" w:color="auto"/>
                <w:right w:val="none" w:sz="0" w:space="0" w:color="auto"/>
              </w:divBdr>
              <w:divsChild>
                <w:div w:id="888103314">
                  <w:marLeft w:val="0"/>
                  <w:marRight w:val="0"/>
                  <w:marTop w:val="0"/>
                  <w:marBottom w:val="0"/>
                  <w:divBdr>
                    <w:top w:val="none" w:sz="0" w:space="0" w:color="auto"/>
                    <w:left w:val="none" w:sz="0" w:space="0" w:color="auto"/>
                    <w:bottom w:val="none" w:sz="0" w:space="0" w:color="auto"/>
                    <w:right w:val="none" w:sz="0" w:space="0" w:color="auto"/>
                  </w:divBdr>
                  <w:divsChild>
                    <w:div w:id="4197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4695">
      <w:bodyDiv w:val="1"/>
      <w:marLeft w:val="0"/>
      <w:marRight w:val="0"/>
      <w:marTop w:val="0"/>
      <w:marBottom w:val="0"/>
      <w:divBdr>
        <w:top w:val="none" w:sz="0" w:space="0" w:color="auto"/>
        <w:left w:val="none" w:sz="0" w:space="0" w:color="auto"/>
        <w:bottom w:val="none" w:sz="0" w:space="0" w:color="auto"/>
        <w:right w:val="none" w:sz="0" w:space="0" w:color="auto"/>
      </w:divBdr>
      <w:divsChild>
        <w:div w:id="1630474417">
          <w:marLeft w:val="0"/>
          <w:marRight w:val="0"/>
          <w:marTop w:val="0"/>
          <w:marBottom w:val="0"/>
          <w:divBdr>
            <w:top w:val="single" w:sz="2" w:space="12" w:color="auto"/>
            <w:left w:val="single" w:sz="2" w:space="12" w:color="auto"/>
            <w:bottom w:val="single" w:sz="2" w:space="12" w:color="auto"/>
            <w:right w:val="single" w:sz="2" w:space="12" w:color="auto"/>
          </w:divBdr>
          <w:divsChild>
            <w:div w:id="1607729985">
              <w:marLeft w:val="0"/>
              <w:marRight w:val="0"/>
              <w:marTop w:val="0"/>
              <w:marBottom w:val="0"/>
              <w:divBdr>
                <w:top w:val="single" w:sz="2" w:space="0" w:color="auto"/>
                <w:left w:val="single" w:sz="2" w:space="0" w:color="auto"/>
                <w:bottom w:val="single" w:sz="2" w:space="0" w:color="auto"/>
                <w:right w:val="single" w:sz="2" w:space="0" w:color="auto"/>
              </w:divBdr>
              <w:divsChild>
                <w:div w:id="293485064">
                  <w:marLeft w:val="0"/>
                  <w:marRight w:val="0"/>
                  <w:marTop w:val="0"/>
                  <w:marBottom w:val="0"/>
                  <w:divBdr>
                    <w:top w:val="none" w:sz="0" w:space="0" w:color="auto"/>
                    <w:left w:val="none" w:sz="0" w:space="0" w:color="auto"/>
                    <w:bottom w:val="none" w:sz="0" w:space="0" w:color="auto"/>
                    <w:right w:val="none" w:sz="0" w:space="0" w:color="auto"/>
                  </w:divBdr>
                  <w:divsChild>
                    <w:div w:id="10848408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33545/2618060X.2024.v7.i1c.2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scienta.2007.03.0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19</Pages>
  <Words>9379</Words>
  <Characters>53464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46</cp:revision>
  <dcterms:created xsi:type="dcterms:W3CDTF">2026-03-29T10:25:00Z</dcterms:created>
  <dcterms:modified xsi:type="dcterms:W3CDTF">2026-04-03T11:54:00Z</dcterms:modified>
</cp:coreProperties>
</file>