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ED572">
      <w:pPr>
        <w:spacing w:line="480" w:lineRule="auto"/>
        <w:jc w:val="center"/>
        <w:rPr>
          <w:rFonts w:ascii="Times New Roman Bold" w:hAnsi="Times New Roman Bold" w:eastAsia="-webkit-standard" w:cs="Times New Roman Bold"/>
          <w:b/>
          <w:bCs/>
          <w:i/>
          <w:iCs/>
          <w:color w:val="000000"/>
          <w:sz w:val="24"/>
          <w:szCs w:val="24"/>
          <w:u w:val="single"/>
          <w:lang w:bidi="ar"/>
        </w:rPr>
      </w:pPr>
      <w:r>
        <w:rPr>
          <w:rFonts w:ascii="Times New Roman Bold" w:hAnsi="Times New Roman Bold" w:eastAsia="-webkit-standard" w:cs="Times New Roman Bold"/>
          <w:b/>
          <w:bCs/>
          <w:i/>
          <w:iCs/>
          <w:color w:val="000000"/>
          <w:sz w:val="24"/>
          <w:szCs w:val="24"/>
          <w:u w:val="single"/>
          <w:lang w:bidi="ar"/>
        </w:rPr>
        <w:t>Original Research Article</w:t>
      </w:r>
    </w:p>
    <w:p w14:paraId="71008595">
      <w:pPr>
        <w:spacing w:line="480" w:lineRule="auto"/>
        <w:jc w:val="center"/>
        <w:rPr>
          <w:rFonts w:ascii="Times New Roman" w:hAnsi="Times New Roman" w:cs="Times New Roman"/>
          <w:sz w:val="24"/>
          <w:szCs w:val="24"/>
        </w:rPr>
      </w:pPr>
      <w:r>
        <w:rPr>
          <w:rFonts w:ascii="Times New Roman Bold" w:hAnsi="Times New Roman Bold" w:eastAsia="-webkit-standard" w:cs="Times New Roman Bold"/>
          <w:b/>
          <w:bCs/>
          <w:color w:val="000000"/>
          <w:sz w:val="24"/>
          <w:szCs w:val="24"/>
          <w:lang w:bidi="ar"/>
        </w:rPr>
        <w:t>Evaluation of Haematological and Serum Biochemical Parameters for the assessment of long bone fracture healing stabilised with Locking Compression Plate and Composite Bone Graft in Canines</w:t>
      </w:r>
    </w:p>
    <w:p w14:paraId="03797410">
      <w:pPr>
        <w:spacing w:line="480" w:lineRule="auto"/>
        <w:jc w:val="both"/>
        <w:rPr>
          <w:rFonts w:ascii="Times New Roman Bold" w:hAnsi="Times New Roman Bold" w:eastAsia="-webkit-standard" w:cs="Times New Roman Bold"/>
          <w:b/>
          <w:bCs/>
          <w:color w:val="000000"/>
          <w:sz w:val="24"/>
          <w:szCs w:val="24"/>
          <w:lang w:bidi="ar"/>
        </w:rPr>
      </w:pPr>
    </w:p>
    <w:p w14:paraId="65664D8C">
      <w:pPr>
        <w:spacing w:line="480" w:lineRule="auto"/>
        <w:jc w:val="both"/>
        <w:rPr>
          <w:rFonts w:ascii="Times New Roman Bold" w:hAnsi="Times New Roman Bold" w:eastAsia="-webkit-standard" w:cs="Times New Roman Bold"/>
          <w:b/>
          <w:bCs/>
          <w:color w:val="000000"/>
          <w:sz w:val="24"/>
          <w:szCs w:val="24"/>
          <w:lang w:bidi="ar"/>
        </w:rPr>
      </w:pPr>
      <w:r>
        <w:rPr>
          <w:rFonts w:ascii="Times New Roman Bold" w:hAnsi="Times New Roman Bold" w:eastAsia="-webkit-standard" w:cs="Times New Roman Bold"/>
          <w:b/>
          <w:bCs/>
          <w:color w:val="000000"/>
          <w:sz w:val="24"/>
          <w:szCs w:val="24"/>
          <w:lang w:bidi="ar"/>
        </w:rPr>
        <w:t>ABSTRACT:</w:t>
      </w:r>
    </w:p>
    <w:p w14:paraId="0B0BB2B9">
      <w:pPr>
        <w:spacing w:line="480" w:lineRule="auto"/>
        <w:jc w:val="both"/>
        <w:rPr>
          <w:rFonts w:hint="default" w:ascii="Times New Roman" w:hAnsi="Times New Roman" w:eastAsia="SimSun" w:cs="Times New Roman"/>
          <w:color w:val="000000"/>
          <w:sz w:val="24"/>
          <w:szCs w:val="24"/>
          <w:lang w:val="en-US"/>
        </w:rPr>
      </w:pPr>
      <w:r>
        <w:rPr>
          <w:rFonts w:ascii="Times New Roman Regular" w:hAnsi="Times New Roman Regular" w:eastAsia="-webkit-standard" w:cs="Times New Roman Regular"/>
          <w:color w:val="000000"/>
          <w:sz w:val="24"/>
          <w:szCs w:val="24"/>
          <w:lang w:bidi="ar"/>
        </w:rPr>
        <w:t>The present study was conducted to evaluate</w:t>
      </w:r>
      <w:r>
        <w:rPr>
          <w:rFonts w:hint="default" w:ascii="Times New Roman Regular" w:hAnsi="Times New Roman Regular" w:eastAsia="-webkit-standard" w:cs="Times New Roman Regular"/>
          <w:color w:val="000000"/>
          <w:sz w:val="24"/>
          <w:szCs w:val="24"/>
          <w:lang w:val="en-US" w:bidi="ar"/>
        </w:rPr>
        <w:t xml:space="preserve"> and compare</w:t>
      </w:r>
      <w:r>
        <w:rPr>
          <w:rFonts w:ascii="Times New Roman Regular" w:hAnsi="Times New Roman Regular" w:eastAsia="-webkit-standard" w:cs="Times New Roman Regular"/>
          <w:color w:val="000000"/>
          <w:sz w:val="24"/>
          <w:szCs w:val="24"/>
          <w:lang w:bidi="ar"/>
        </w:rPr>
        <w:t xml:space="preserve"> haemato-biochemical parameters in dogs with long bone diaphyseal fractures stabilised using locking compression plate (LCP) alone (Group I, n=6) and LCP</w:t>
      </w:r>
      <w:r>
        <w:rPr>
          <w:rFonts w:hint="default" w:ascii="Times New Roman Regular" w:hAnsi="Times New Roman Regular" w:eastAsia="-webkit-standard" w:cs="Times New Roman Regular"/>
          <w:color w:val="000000"/>
          <w:sz w:val="24"/>
          <w:szCs w:val="24"/>
          <w:lang w:val="en-US" w:bidi="ar"/>
        </w:rPr>
        <w:t xml:space="preserve"> augmented</w:t>
      </w:r>
      <w:r>
        <w:rPr>
          <w:rFonts w:ascii="Times New Roman Regular" w:hAnsi="Times New Roman Regular" w:eastAsia="-webkit-standard" w:cs="Times New Roman Regular"/>
          <w:color w:val="000000"/>
          <w:sz w:val="24"/>
          <w:szCs w:val="24"/>
          <w:lang w:bidi="ar"/>
        </w:rPr>
        <w:t xml:space="preserve"> with composite bone graft containing bioactive glass and platelet-rich plasma (PRP) (Group II, n=6). </w:t>
      </w:r>
      <w:r>
        <w:rPr>
          <w:rFonts w:hint="default" w:ascii="Times New Roman Regular" w:hAnsi="Times New Roman Regular" w:eastAsia="-webkit-standard" w:cs="Times New Roman Regular"/>
          <w:color w:val="000000"/>
          <w:sz w:val="24"/>
          <w:szCs w:val="24"/>
          <w:lang w:val="en-US" w:bidi="ar"/>
        </w:rPr>
        <w:t>T</w:t>
      </w:r>
      <w:r>
        <w:rPr>
          <w:rFonts w:ascii="Times New Roman Regular" w:hAnsi="Times New Roman Regular" w:eastAsia="-webkit-standard" w:cs="Times New Roman Regular"/>
          <w:color w:val="000000"/>
          <w:sz w:val="24"/>
          <w:szCs w:val="24"/>
          <w:lang w:val="en-US" w:eastAsia="zh-CN" w:bidi="ar"/>
        </w:rPr>
        <w:t>he composite graft was used to enhance bone healing by providing osteoconductive support (bioactive glass) and growth factors (PRP). The study also aimed to assess changes in these parameters at different postoperative time intervals and to determine their usefulness as indicators of fracture healing. It was hypothesized that the addition of PRP and bioactive glass would improve fracture healing compared to LCP fixation alone</w:t>
      </w:r>
      <w:r>
        <w:rPr>
          <w:rFonts w:hint="default" w:ascii="Times New Roman Regular" w:hAnsi="Times New Roman Regular" w:eastAsia="-webkit-standard" w:cs="Times New Roman Regular"/>
          <w:color w:val="000000"/>
          <w:sz w:val="24"/>
          <w:szCs w:val="24"/>
          <w:lang w:val="en-US" w:eastAsia="zh-CN" w:bidi="ar"/>
        </w:rPr>
        <w:t>. Haematological</w:t>
      </w:r>
      <w:r>
        <w:rPr>
          <w:rFonts w:ascii="Times New Roman Regular" w:hAnsi="Times New Roman Regular" w:eastAsia="-webkit-standard" w:cs="Times New Roman Regular"/>
          <w:color w:val="000000"/>
          <w:sz w:val="24"/>
          <w:szCs w:val="24"/>
          <w:lang w:bidi="ar"/>
        </w:rPr>
        <w:t xml:space="preserve"> parameters including haemoglobin (Hb), packed cell volume (PCV), total leucocyte count (TLC) and differential leucocyte count, and biochemical parameters including serum calcium, phosphorus and alkaline phosphatase (ALP) were evaluated preoperatively (0</w:t>
      </w:r>
      <w:r>
        <w:rPr>
          <w:rFonts w:ascii="Times New Roman Regular" w:hAnsi="Times New Roman Regular" w:eastAsia="-webkit-standard" w:cs="Times New Roman Regular"/>
          <w:color w:val="000000"/>
          <w:sz w:val="24"/>
          <w:szCs w:val="24"/>
          <w:vertAlign w:val="superscript"/>
          <w:lang w:bidi="ar"/>
        </w:rPr>
        <w:t>th</w:t>
      </w:r>
      <w:r>
        <w:rPr>
          <w:rFonts w:ascii="Times New Roman Regular" w:hAnsi="Times New Roman Regular" w:eastAsia="-webkit-standard" w:cs="Times New Roman Regular"/>
          <w:color w:val="000000"/>
          <w:sz w:val="24"/>
          <w:szCs w:val="24"/>
          <w:lang w:bidi="ar"/>
        </w:rPr>
        <w:t xml:space="preserve"> day) and postoperatively on 15</w:t>
      </w:r>
      <w:r>
        <w:rPr>
          <w:rFonts w:ascii="Times New Roman Regular" w:hAnsi="Times New Roman Regular" w:eastAsia="-webkit-standard" w:cs="Times New Roman Regular"/>
          <w:color w:val="000000"/>
          <w:sz w:val="24"/>
          <w:szCs w:val="24"/>
          <w:vertAlign w:val="superscript"/>
          <w:lang w:bidi="ar"/>
        </w:rPr>
        <w:t>th</w:t>
      </w:r>
      <w:r>
        <w:rPr>
          <w:rFonts w:ascii="Times New Roman Regular" w:hAnsi="Times New Roman Regular" w:eastAsia="-webkit-standard" w:cs="Times New Roman Regular"/>
          <w:color w:val="000000"/>
          <w:sz w:val="24"/>
          <w:szCs w:val="24"/>
          <w:lang w:bidi="ar"/>
        </w:rPr>
        <w:t>, 30</w:t>
      </w:r>
      <w:r>
        <w:rPr>
          <w:rFonts w:ascii="Times New Roman Regular" w:hAnsi="Times New Roman Regular" w:eastAsia="-webkit-standard" w:cs="Times New Roman Regular"/>
          <w:color w:val="000000"/>
          <w:sz w:val="24"/>
          <w:szCs w:val="24"/>
          <w:vertAlign w:val="superscript"/>
          <w:lang w:bidi="ar"/>
        </w:rPr>
        <w:t>th</w:t>
      </w:r>
      <w:r>
        <w:rPr>
          <w:rFonts w:ascii="Times New Roman Regular" w:hAnsi="Times New Roman Regular" w:eastAsia="-webkit-standard" w:cs="Times New Roman Regular"/>
          <w:color w:val="000000"/>
          <w:sz w:val="24"/>
          <w:szCs w:val="24"/>
          <w:lang w:bidi="ar"/>
        </w:rPr>
        <w:t>, 45</w:t>
      </w:r>
      <w:r>
        <w:rPr>
          <w:rFonts w:ascii="Times New Roman Regular" w:hAnsi="Times New Roman Regular" w:eastAsia="-webkit-standard" w:cs="Times New Roman Regular"/>
          <w:color w:val="000000"/>
          <w:sz w:val="24"/>
          <w:szCs w:val="24"/>
          <w:vertAlign w:val="superscript"/>
          <w:lang w:bidi="ar"/>
        </w:rPr>
        <w:t>th</w:t>
      </w:r>
      <w:r>
        <w:rPr>
          <w:rFonts w:ascii="Times New Roman Regular" w:hAnsi="Times New Roman Regular" w:eastAsia="-webkit-standard" w:cs="Times New Roman Regular"/>
          <w:color w:val="000000"/>
          <w:sz w:val="24"/>
          <w:szCs w:val="24"/>
          <w:lang w:bidi="ar"/>
        </w:rPr>
        <w:t xml:space="preserve"> and 60</w:t>
      </w:r>
      <w:r>
        <w:rPr>
          <w:rFonts w:ascii="Times New Roman Regular" w:hAnsi="Times New Roman Regular" w:eastAsia="-webkit-standard" w:cs="Times New Roman Regular"/>
          <w:color w:val="000000"/>
          <w:sz w:val="24"/>
          <w:szCs w:val="24"/>
          <w:vertAlign w:val="superscript"/>
          <w:lang w:bidi="ar"/>
        </w:rPr>
        <w:t>th</w:t>
      </w:r>
      <w:r>
        <w:rPr>
          <w:rFonts w:ascii="Times New Roman Regular" w:hAnsi="Times New Roman Regular" w:eastAsia="-webkit-standard" w:cs="Times New Roman Regular"/>
          <w:color w:val="000000"/>
          <w:sz w:val="24"/>
          <w:szCs w:val="24"/>
          <w:lang w:bidi="ar"/>
        </w:rPr>
        <w:t xml:space="preserve"> days. The data collected were statistically analyzed using</w:t>
      </w:r>
      <w:r>
        <w:rPr>
          <w:rFonts w:hint="default" w:ascii="Times New Roman Regular" w:hAnsi="Times New Roman Regular" w:eastAsia="-webkit-standard" w:cs="Times New Roman Regular"/>
          <w:color w:val="000000"/>
          <w:sz w:val="24"/>
          <w:szCs w:val="24"/>
          <w:lang w:val="en-US" w:bidi="ar"/>
        </w:rPr>
        <w:t xml:space="preserve"> </w:t>
      </w:r>
      <w:r>
        <w:rPr>
          <w:rFonts w:ascii="Times New Roman" w:hAnsi="Times New Roman" w:eastAsia="SimSun" w:cs="Times New Roman"/>
          <w:color w:val="000000"/>
          <w:sz w:val="24"/>
          <w:szCs w:val="24"/>
        </w:rPr>
        <w:t>SPSS version 20. Analysis of variance (ANOVA), followed by Tukey's HSD post hoc test, was used to compare variations in hematological and biochemical parameters at different preoperative and postoperative time intervals.</w:t>
      </w:r>
      <w:r>
        <w:rPr>
          <w:rFonts w:ascii="-webkit-standard" w:hAnsi="-webkit-standard" w:eastAsia="-webkit-standard" w:cs="-webkit-standard"/>
          <w:i w:val="0"/>
          <w:iCs w:val="0"/>
          <w:caps w:val="0"/>
          <w:color w:val="000000"/>
          <w:spacing w:val="0"/>
          <w:kern w:val="0"/>
          <w:sz w:val="24"/>
          <w:szCs w:val="24"/>
          <w:u w:val="none"/>
          <w:lang w:val="en-US" w:eastAsia="zh-CN" w:bidi="ar"/>
        </w:rPr>
        <w:t xml:space="preserve"> </w:t>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 xml:space="preserve">Among the parameters studied, haemoglobin, serum calcium and alkaline phosphatase showed significant difference between the groups, with higher values observed in Group II, indicating enhanced bone healing activity. The findings suggested that haemato-biochemical parameters were useful indicators of fracture healing and that augmentation of LCP with composite bone graft improved the healing response compared to LCP alone. </w:t>
      </w:r>
    </w:p>
    <w:p w14:paraId="14401041">
      <w:pPr>
        <w:spacing w:line="480" w:lineRule="auto"/>
        <w:jc w:val="both"/>
        <w:rPr>
          <w:rFonts w:ascii="Times New Roman Regular" w:hAnsi="Times New Roman Regular" w:eastAsia="-webkit-standard" w:cs="Times New Roman Regular"/>
          <w:color w:val="000000"/>
          <w:sz w:val="24"/>
          <w:szCs w:val="24"/>
          <w:lang w:bidi="ar"/>
        </w:rPr>
      </w:pPr>
      <w:r>
        <w:rPr>
          <w:rFonts w:ascii="Times New Roman Bold" w:hAnsi="Times New Roman Bold" w:eastAsia="-webkit-standard" w:cs="Times New Roman Bold"/>
          <w:b/>
          <w:bCs/>
          <w:color w:val="000000"/>
          <w:sz w:val="24"/>
          <w:szCs w:val="24"/>
          <w:lang w:bidi="ar"/>
        </w:rPr>
        <w:t xml:space="preserve">KEY WORDS: </w:t>
      </w:r>
      <w:r>
        <w:rPr>
          <w:rFonts w:ascii="Times New Roman" w:hAnsi="Times New Roman" w:eastAsia="-webkit-standard" w:cs="Times New Roman"/>
          <w:color w:val="000000"/>
          <w:sz w:val="24"/>
          <w:szCs w:val="24"/>
          <w:lang w:bidi="ar"/>
        </w:rPr>
        <w:t>B</w:t>
      </w:r>
      <w:r>
        <w:rPr>
          <w:rFonts w:ascii="Times New Roman Regular" w:hAnsi="Times New Roman Regular" w:eastAsia="-webkit-standard" w:cs="Times New Roman Regular"/>
          <w:color w:val="000000"/>
          <w:sz w:val="24"/>
          <w:szCs w:val="24"/>
          <w:lang w:bidi="ar"/>
        </w:rPr>
        <w:t xml:space="preserve">ioactive glass, </w:t>
      </w:r>
      <w:r>
        <w:rPr>
          <w:rFonts w:hint="default" w:ascii="Times New Roman Regular" w:hAnsi="Times New Roman Regular" w:eastAsia="-webkit-standard" w:cs="Times New Roman Regular"/>
          <w:color w:val="000000"/>
          <w:sz w:val="24"/>
          <w:szCs w:val="24"/>
          <w:lang w:val="en-US" w:bidi="ar"/>
        </w:rPr>
        <w:t>dogs, fracture</w:t>
      </w:r>
      <w:r>
        <w:rPr>
          <w:rFonts w:ascii="Times New Roman Regular" w:hAnsi="Times New Roman Regular" w:eastAsia="-webkit-standard" w:cs="Times New Roman Regular"/>
          <w:color w:val="000000"/>
          <w:sz w:val="24"/>
          <w:szCs w:val="24"/>
          <w:lang w:bidi="ar"/>
        </w:rPr>
        <w:t>,</w:t>
      </w:r>
      <w:r>
        <w:rPr>
          <w:rFonts w:hint="default" w:ascii="Times New Roman Regular" w:hAnsi="Times New Roman Regular" w:eastAsia="-webkit-standard" w:cs="Times New Roman Regular"/>
          <w:color w:val="000000"/>
          <w:sz w:val="24"/>
          <w:szCs w:val="24"/>
          <w:lang w:val="en-US" w:bidi="ar"/>
        </w:rPr>
        <w:t xml:space="preserve"> locking compression plate</w:t>
      </w:r>
      <w:r>
        <w:rPr>
          <w:rFonts w:ascii="Times New Roman Regular" w:hAnsi="Times New Roman Regular" w:eastAsia="-webkit-standard" w:cs="Times New Roman Regular"/>
          <w:color w:val="000000"/>
          <w:sz w:val="24"/>
          <w:szCs w:val="24"/>
          <w:lang w:bidi="ar"/>
        </w:rPr>
        <w:t xml:space="preserve">, </w:t>
      </w:r>
      <w:r>
        <w:rPr>
          <w:rFonts w:hint="default" w:ascii="Times New Roman Regular" w:hAnsi="Times New Roman Regular" w:eastAsia="-webkit-standard" w:cs="Times New Roman Regular"/>
          <w:color w:val="000000"/>
          <w:sz w:val="24"/>
          <w:szCs w:val="24"/>
          <w:lang w:val="en-US" w:bidi="ar"/>
        </w:rPr>
        <w:t>platelet rich plasma</w:t>
      </w:r>
      <w:r>
        <w:rPr>
          <w:rFonts w:ascii="Times New Roman Regular" w:hAnsi="Times New Roman Regular" w:eastAsia="-webkit-standard" w:cs="Times New Roman Regular"/>
          <w:color w:val="000000"/>
          <w:sz w:val="24"/>
          <w:szCs w:val="24"/>
          <w:lang w:bidi="ar"/>
        </w:rPr>
        <w:t xml:space="preserve">. </w:t>
      </w:r>
    </w:p>
    <w:p w14:paraId="48A405FD">
      <w:pPr>
        <w:numPr>
          <w:ilvl w:val="0"/>
          <w:numId w:val="1"/>
        </w:numPr>
        <w:spacing w:line="480" w:lineRule="auto"/>
        <w:rPr>
          <w:rFonts w:ascii="Times New Roman Bold" w:hAnsi="Times New Roman Bold" w:cs="Times New Roman Bold"/>
          <w:b/>
          <w:bCs/>
          <w:sz w:val="24"/>
          <w:szCs w:val="24"/>
        </w:rPr>
      </w:pPr>
      <w:r>
        <w:rPr>
          <w:rFonts w:ascii="Times New Roman Bold" w:hAnsi="Times New Roman Bold" w:cs="Times New Roman Bold"/>
          <w:b/>
          <w:bCs/>
          <w:sz w:val="24"/>
          <w:szCs w:val="24"/>
        </w:rPr>
        <w:t>INTRODUCTION:</w:t>
      </w:r>
    </w:p>
    <w:p w14:paraId="57869ECA">
      <w:pPr>
        <w:spacing w:line="480" w:lineRule="auto"/>
        <w:jc w:val="both"/>
        <w:rPr>
          <w:rFonts w:ascii="Times New Roman" w:hAnsi="Times New Roman" w:cs="Times New Roman"/>
          <w:sz w:val="24"/>
          <w:szCs w:val="24"/>
        </w:rPr>
      </w:pPr>
      <w:r>
        <w:rPr>
          <w:rFonts w:ascii="Times New Roman Bold" w:hAnsi="Times New Roman Bold" w:cs="Times New Roman Bold"/>
          <w:b/>
          <w:bCs/>
          <w:sz w:val="24"/>
          <w:szCs w:val="24"/>
        </w:rPr>
        <w:tab/>
      </w:r>
      <w:r>
        <w:rPr>
          <w:rFonts w:ascii="Times New Roman" w:hAnsi="Times New Roman" w:cs="Times New Roman"/>
          <w:sz w:val="24"/>
          <w:szCs w:val="24"/>
        </w:rPr>
        <w:t>A fracture is defined as a disruption in the continuity of hard tissues such as bone and cartilage, most commonly resulting from trauma in small animals due to forces such as bending, torsion, shearing and compression, leading to various fracture configurations (Patil et al., 2017). Bone healing is a complex physiological process involving multiple mechanisms at both tissue and cellular levels, and it differs from soft tissue healing due to variations in morphology and composition (Chaurasia et al., 2019). The process of fracture healing is influenced by several factors including the extent of damage to surrounding soft tissues, displacement of fracture fragments, degree of comminution, method of stabilisation employed and patient-related factors such as age and presence of co-morbidities (Sousa et al., 2021).Bone healing is relatively slow and therefore requires adequate mechanical and physical support through external or internal fixation methods and implants (Reddy et al., 2021). Effective fracture management in dogs, particularly of the appendicular skeleton, requires both proper mechanical stabilisation and stimulation of osteogenesis (Shende et al., 2025). </w:t>
      </w:r>
    </w:p>
    <w:p w14:paraId="62868A1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Bioactive glasses are recognised as bone-bonding and osteoconductive materials with additional bone-stimulating and antibacterial properties. They enhance the expression of genes associated with bone formation, including collagen types I–III, osteocalcin, osteonectin and osteopontin, as well as markers involved in bone resorption such as cathepsin K and MMP-9. This activity promotes osteoblast function and increases local bone turnover, thereby facilitating bone regeneration (Lindfors et al., 2010). Platelet-rich plasma (PRP) has emerged as an important therapeutic modality, particularly in the management of acute long bone fractures. Being autologous in origin, PRP is rich in growth factors and cytokines, which contribute to enhanced bone healing potential (Zhu et al., 2024).  </w:t>
      </w:r>
    </w:p>
    <w:p w14:paraId="31C7D85A">
      <w:pPr>
        <w:spacing w:line="48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w:t>
      </w:r>
      <w:r>
        <w:rPr>
          <w:rFonts w:ascii="Times New Roman" w:hAnsi="Times New Roman" w:cs="Times New Roman"/>
          <w:sz w:val="24"/>
          <w:szCs w:val="24"/>
        </w:rPr>
        <w:t xml:space="preserve">aemato-biochemical parameters provide valuable information regarding both the general health status of the patient and the progression of fracture healing (Phaneendra et al., 2016; Patil et al., 2017 and Chaurasia et al., 2019). Although fracture healing is commonly assessed through clinical examination and serial radiographic evaluation, differentiation between delayed union and non-union remains challenging without advanced diagnostic methods. In such situations, biochemical markers such as alkaline phosphatase (ALP) serve as useful indicators of bone formation and progression of fracture healing (Bhargav </w:t>
      </w:r>
      <w:r>
        <w:rPr>
          <w:rFonts w:ascii="Times New Roman Regular" w:hAnsi="Times New Roman Regular" w:cs="Times New Roman Regular"/>
          <w:sz w:val="24"/>
          <w:szCs w:val="24"/>
        </w:rPr>
        <w:t>et al</w:t>
      </w:r>
      <w:r>
        <w:rPr>
          <w:rFonts w:ascii="Times New Roman" w:hAnsi="Times New Roman" w:cs="Times New Roman"/>
          <w:sz w:val="24"/>
          <w:szCs w:val="24"/>
        </w:rPr>
        <w:t>., 2025). Alkaline phosphatase (ALP) remains an inexpensive and useful marker for monitoring the process of bone fracture healing (Sousa</w:t>
      </w:r>
      <w:r>
        <w:rPr>
          <w:rFonts w:ascii="Times New Roman Italic" w:hAnsi="Times New Roman Italic" w:cs="Times New Roman Italic"/>
          <w:i/>
          <w:iCs/>
          <w:sz w:val="24"/>
          <w:szCs w:val="24"/>
        </w:rPr>
        <w:t xml:space="preserve"> </w:t>
      </w:r>
      <w:r>
        <w:rPr>
          <w:rFonts w:ascii="Times New Roman" w:hAnsi="Times New Roman" w:cs="Times New Roman"/>
          <w:sz w:val="24"/>
          <w:szCs w:val="24"/>
        </w:rPr>
        <w:t xml:space="preserve">et al., 2015). Serum concentrations of calcium and inorganic phosphorus, which are essential components involved in fracture healing, reflect both the stage and outcome of the healing process (Sumiran et al., 2021). </w:t>
      </w:r>
      <w:r>
        <w:rPr>
          <w:rFonts w:hint="default" w:ascii="Times New Roman" w:hAnsi="Times New Roman" w:cs="Times New Roman"/>
          <w:sz w:val="24"/>
          <w:szCs w:val="24"/>
          <w:lang w:val="en-US"/>
        </w:rPr>
        <w:t>S</w:t>
      </w:r>
      <w:r>
        <w:rPr>
          <w:rFonts w:ascii="Times New Roman" w:hAnsi="Times New Roman" w:cs="Times New Roman"/>
          <w:sz w:val="24"/>
          <w:szCs w:val="24"/>
          <w:lang w:val="en-US" w:eastAsia="zh-CN"/>
        </w:rPr>
        <w:t xml:space="preserve">erum biochemical analysis provides </w:t>
      </w:r>
      <w:r>
        <w:rPr>
          <w:rFonts w:hint="default" w:ascii="Times New Roman" w:hAnsi="Times New Roman" w:cs="Times New Roman"/>
          <w:sz w:val="24"/>
          <w:szCs w:val="24"/>
          <w:lang w:val="en-US" w:eastAsia="zh-CN"/>
        </w:rPr>
        <w:t xml:space="preserve">the early sign of fracture healing, fracture complications and fracture diseases (Sharat et al., 2022). </w:t>
      </w:r>
    </w:p>
    <w:p w14:paraId="514DDD8C">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lang w:val="en-US" w:eastAsia="zh-CN"/>
        </w:rPr>
        <w:t>The combined use of bioactive glass and platelet-rich plasma (PRP) as a composite graft provides both osteoconductive support and biological stimulation, thereby enhancing fracture healing. However, limited information is available regarding the associated haemato-biochemical changes in canine fracture management. Therefore, the present study was undertaken to evaluate and compare haemato-biochemical parameters during fracture healing in dogs stabilised with LCP alone and LCP augmented with composite bone graft, with emphasis on the role of the composite graft in enhancing healing.</w:t>
      </w:r>
    </w:p>
    <w:p w14:paraId="04361E86">
      <w:pPr>
        <w:numPr>
          <w:ilvl w:val="0"/>
          <w:numId w:val="1"/>
        </w:num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MATERIALS AND METHODS</w:t>
      </w:r>
      <w:r>
        <w:rPr>
          <w:rFonts w:ascii="Times New Roman" w:hAnsi="Times New Roman" w:cs="Times New Roman"/>
          <w:sz w:val="24"/>
          <w:szCs w:val="24"/>
        </w:rPr>
        <w:t xml:space="preserve"> </w:t>
      </w:r>
    </w:p>
    <w:p w14:paraId="2B3DBAE5">
      <w:pPr>
        <w:spacing w:line="480" w:lineRule="auto"/>
        <w:jc w:val="both"/>
        <w:rPr>
          <w:rFonts w:ascii="Times New Roman" w:hAnsi="Times New Roman" w:cs="Times New Roman"/>
          <w:sz w:val="24"/>
          <w:szCs w:val="24"/>
        </w:rPr>
      </w:pPr>
      <w:r>
        <w:rPr>
          <w:rFonts w:ascii="Times New Roman Bold" w:hAnsi="Times New Roman Bold" w:cs="Times New Roman Bold"/>
          <w:b/>
          <w:bCs/>
          <w:sz w:val="24"/>
          <w:szCs w:val="24"/>
        </w:rPr>
        <w:t>2.1 Study area and case selection</w:t>
      </w:r>
      <w:r>
        <w:rPr>
          <w:rFonts w:ascii="Times New Roman" w:hAnsi="Times New Roman" w:cs="Times New Roman"/>
          <w:sz w:val="24"/>
          <w:szCs w:val="24"/>
        </w:rPr>
        <w:t xml:space="preserve"> </w:t>
      </w:r>
    </w:p>
    <w:p w14:paraId="7A37B037">
      <w:pPr>
        <w:spacing w:line="480" w:lineRule="auto"/>
        <w:ind w:firstLine="720"/>
        <w:jc w:val="both"/>
        <w:rPr>
          <w:rFonts w:ascii="Times New Roman Bold" w:hAnsi="Times New Roman Bold" w:cs="Times New Roman Bold"/>
          <w:b/>
          <w:bCs/>
          <w:sz w:val="24"/>
          <w:szCs w:val="24"/>
        </w:rPr>
      </w:pPr>
      <w:r>
        <w:rPr>
          <w:rFonts w:ascii="Times New Roman" w:hAnsi="Times New Roman" w:cs="Times New Roman"/>
          <w:sz w:val="24"/>
          <w:szCs w:val="24"/>
        </w:rPr>
        <w:t>The present study was conducted on dogs presented to the Department of Veterinary Clinical Complex and Department of Veterinary Surgery and Radiology, NTR College of Veterinary Science, Gannavaram, Sri Venkateswara Veterinary University, Andhra Pradesh during January 2025 to December 2025. Dogs of different age, breed and sex presented with long bone diaphyseal fractures were selected for the study. All the cases were subjected to detailed clinical examination, including assessment of lameness, pain, swelling and abnormal mobility at the fracture site. Radiographic evaluation was performed using standard cranio-caudal and medio-lateral views to confirm the location and type of fracture.</w:t>
      </w:r>
      <w:r>
        <w:rPr>
          <w:rFonts w:ascii="Times New Roman" w:hAnsi="Times New Roman" w:cs="Times New Roman"/>
          <w:sz w:val="24"/>
          <w:szCs w:val="24"/>
        </w:rPr>
        <w:br w:type="textWrapping"/>
      </w:r>
      <w:r>
        <w:rPr>
          <w:rFonts w:ascii="Times New Roman Bold" w:hAnsi="Times New Roman Bold" w:cs="Times New Roman Bold"/>
          <w:b/>
          <w:bCs/>
          <w:sz w:val="24"/>
          <w:szCs w:val="24"/>
        </w:rPr>
        <w:t>2.2 Experimental design and grouping</w:t>
      </w:r>
    </w:p>
    <w:p w14:paraId="457023B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eastAsia="zh-CN"/>
        </w:rPr>
        <w:t>A total of twelve dogs with long bone diaphyseal fractures were included in the study, irrespective of age, sex and breed, and were randomly divided into two groups comprising six animals each. In Group I (n=6), fractures were stabilised using locking compression plate (LCP) alone, whereas in Group II (n=6), fractures were stabilised using LCP along with composite bone graft consisting of bioactive glass and platelet-rich plasma.</w:t>
      </w:r>
    </w:p>
    <w:p w14:paraId="7A1624EC">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 xml:space="preserve">2.3 Surgical procedure </w:t>
      </w:r>
    </w:p>
    <w:p w14:paraId="3E9379F4">
      <w:pPr>
        <w:spacing w:line="480" w:lineRule="auto"/>
        <w:jc w:val="both"/>
        <w:rPr>
          <w:rFonts w:ascii="Times New Roman" w:hAnsi="Times New Roman" w:cs="Times New Roman"/>
          <w:sz w:val="24"/>
          <w:szCs w:val="24"/>
        </w:rPr>
      </w:pPr>
      <w:r>
        <w:rPr>
          <w:rFonts w:ascii="Times New Roman Bold" w:hAnsi="Times New Roman Bold" w:cs="Times New Roman Bold"/>
          <w:b/>
          <w:bCs/>
          <w:sz w:val="24"/>
          <w:szCs w:val="24"/>
        </w:rPr>
        <w:tab/>
      </w:r>
      <w:r>
        <w:rPr>
          <w:rFonts w:ascii="Times New Roman" w:hAnsi="Times New Roman" w:cs="Times New Roman"/>
          <w:sz w:val="24"/>
          <w:szCs w:val="24"/>
        </w:rPr>
        <w:t>All the animals were anesthetized using standard protocol. Preanaesthetic medication included Atropine sulphate (0.04 mg/kg SC) and Butorphanol tartrate (0.1 mg/kg IM). Anaesthesia was induced using Ketamine hydrochloride (5 mg/kg IV) and Midazolam (0.2 mg/kg IV) and maintained with Isoflurane in oxygen.</w:t>
      </w:r>
    </w:p>
    <w:p w14:paraId="3ABA68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Following induction of anaesthesia, the animals were subjected to open reduction and internal fixation using locking compression plate under aseptic surgical protocol. In Group II, composite bone graft consisting of bioactive glass and PRP was applied at the fracture site after stabilization of LCP.</w:t>
      </w:r>
    </w:p>
    <w:p w14:paraId="1C3B345B">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2.</w:t>
      </w:r>
      <w:r>
        <w:rPr>
          <w:rFonts w:hint="default" w:ascii="Times New Roman Bold" w:hAnsi="Times New Roman Bold" w:cs="Times New Roman Bold"/>
          <w:b/>
          <w:bCs/>
          <w:sz w:val="24"/>
          <w:szCs w:val="24"/>
          <w:lang w:val="en-US"/>
        </w:rPr>
        <w:t>4</w:t>
      </w:r>
      <w:r>
        <w:rPr>
          <w:rFonts w:ascii="Times New Roman Bold" w:hAnsi="Times New Roman Bold" w:cs="Times New Roman Bold"/>
          <w:b/>
          <w:bCs/>
          <w:sz w:val="24"/>
          <w:szCs w:val="24"/>
        </w:rPr>
        <w:t>. Post-operative care</w:t>
      </w:r>
    </w:p>
    <w:p w14:paraId="26544EC4">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ab/>
      </w:r>
      <w:r>
        <w:rPr>
          <w:rFonts w:ascii="Times New Roman" w:hAnsi="Times New Roman" w:cs="Times New Roman"/>
          <w:sz w:val="24"/>
          <w:szCs w:val="24"/>
        </w:rPr>
        <w:t>Post-operative care included administration of Ceftraixone (25 mg/kg IM, twice daily for 5 days), Meloxicam (0.2 mg/kg IM for 3 days) and oral calcium supplementation. The animals were regularly monitored for wound healing, limb usage and any post-operative complications. Fracture healing was further assessed based on lameness grading, clinical evaluation and radiographic examination at different intervals.</w:t>
      </w:r>
    </w:p>
    <w:p w14:paraId="0B5E8887">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2.</w:t>
      </w:r>
      <w:r>
        <w:rPr>
          <w:rFonts w:hint="default" w:ascii="Times New Roman Bold" w:hAnsi="Times New Roman Bold" w:cs="Times New Roman Bold"/>
          <w:b/>
          <w:bCs/>
          <w:sz w:val="24"/>
          <w:szCs w:val="24"/>
          <w:lang w:val="en-US"/>
        </w:rPr>
        <w:t>5</w:t>
      </w:r>
      <w:r>
        <w:rPr>
          <w:rFonts w:ascii="Times New Roman Bold" w:hAnsi="Times New Roman Bold" w:cs="Times New Roman Bold"/>
          <w:b/>
          <w:bCs/>
          <w:sz w:val="24"/>
          <w:szCs w:val="24"/>
        </w:rPr>
        <w:t>. Haematological analysis</w:t>
      </w:r>
    </w:p>
    <w:p w14:paraId="44A855EB">
      <w:pPr>
        <w:spacing w:line="480" w:lineRule="auto"/>
        <w:jc w:val="both"/>
        <w:rPr>
          <w:rFonts w:hint="default" w:ascii="Times New Roman" w:hAnsi="Times New Roman" w:cs="Times New Roman"/>
          <w:sz w:val="24"/>
          <w:szCs w:val="24"/>
          <w:lang w:val="en-US"/>
        </w:rPr>
      </w:pPr>
      <w:r>
        <w:rPr>
          <w:rFonts w:ascii="Times New Roman Bold" w:hAnsi="Times New Roman Bold" w:cs="Times New Roman Bold"/>
          <w:b/>
          <w:bCs/>
          <w:sz w:val="24"/>
          <w:szCs w:val="24"/>
        </w:rPr>
        <w:tab/>
      </w:r>
      <w:r>
        <w:rPr>
          <w:rFonts w:ascii="Times New Roman" w:hAnsi="Times New Roman" w:cs="Times New Roman"/>
          <w:sz w:val="24"/>
          <w:szCs w:val="24"/>
        </w:rPr>
        <w:t>A 2.5 ml of blood was collected from each animal preoperatively (0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and postoperatively on 15</w:t>
      </w:r>
      <w:r>
        <w:rPr>
          <w:rFonts w:ascii="Times New Roman" w:hAnsi="Times New Roman" w:cs="Times New Roman"/>
          <w:sz w:val="24"/>
          <w:szCs w:val="24"/>
          <w:vertAlign w:val="superscript"/>
        </w:rPr>
        <w:t>th</w:t>
      </w:r>
      <w:r>
        <w:rPr>
          <w:rFonts w:ascii="Times New Roman" w:hAnsi="Times New Roman" w:cs="Times New Roman"/>
          <w:sz w:val="24"/>
          <w:szCs w:val="24"/>
        </w:rPr>
        <w:t>, 30</w:t>
      </w:r>
      <w:r>
        <w:rPr>
          <w:rFonts w:ascii="Times New Roman" w:hAnsi="Times New Roman" w:cs="Times New Roman"/>
          <w:sz w:val="24"/>
          <w:szCs w:val="24"/>
          <w:vertAlign w:val="superscript"/>
        </w:rPr>
        <w:t>th</w:t>
      </w:r>
      <w:r>
        <w:rPr>
          <w:rFonts w:ascii="Times New Roman" w:hAnsi="Times New Roman" w:cs="Times New Roman"/>
          <w:sz w:val="24"/>
          <w:szCs w:val="24"/>
        </w:rPr>
        <w:t>, 45</w:t>
      </w:r>
      <w:r>
        <w:rPr>
          <w:rFonts w:ascii="Times New Roman" w:hAnsi="Times New Roman" w:cs="Times New Roman"/>
          <w:sz w:val="24"/>
          <w:szCs w:val="24"/>
          <w:vertAlign w:val="superscript"/>
        </w:rPr>
        <w:t xml:space="preserve">th </w:t>
      </w:r>
      <w:r>
        <w:rPr>
          <w:rFonts w:ascii="Times New Roman" w:hAnsi="Times New Roman" w:cs="Times New Roman"/>
          <w:sz w:val="24"/>
          <w:szCs w:val="24"/>
        </w:rPr>
        <w:t>and 60</w:t>
      </w:r>
      <w:r>
        <w:rPr>
          <w:rFonts w:ascii="Times New Roman" w:hAnsi="Times New Roman" w:cs="Times New Roman"/>
          <w:sz w:val="24"/>
          <w:szCs w:val="24"/>
          <w:vertAlign w:val="superscript"/>
        </w:rPr>
        <w:t xml:space="preserve">th </w:t>
      </w:r>
      <w:r>
        <w:rPr>
          <w:rFonts w:ascii="Times New Roman" w:hAnsi="Times New Roman" w:cs="Times New Roman"/>
          <w:sz w:val="24"/>
          <w:szCs w:val="24"/>
        </w:rPr>
        <w:t>days. Blood samples were collected in EDTA vials and analysed for haematological parameters Hb, PCV, TLC and DLC using an autoanalyser</w:t>
      </w:r>
      <w:r>
        <w:rPr>
          <w:rFonts w:hint="default" w:ascii="Times New Roman" w:hAnsi="Times New Roman" w:cs="Times New Roman"/>
          <w:sz w:val="24"/>
          <w:szCs w:val="24"/>
          <w:lang w:val="en-US"/>
        </w:rPr>
        <w:t xml:space="preserve"> (VETPLUS DIAGNOSTICS, Gannavaram). </w:t>
      </w:r>
    </w:p>
    <w:p w14:paraId="08F4FF07">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2.</w:t>
      </w:r>
      <w:r>
        <w:rPr>
          <w:rFonts w:hint="default" w:ascii="Times New Roman Bold" w:hAnsi="Times New Roman Bold" w:cs="Times New Roman Bold"/>
          <w:b/>
          <w:bCs/>
          <w:sz w:val="24"/>
          <w:szCs w:val="24"/>
          <w:lang w:val="en-US"/>
        </w:rPr>
        <w:t>6</w:t>
      </w:r>
      <w:r>
        <w:rPr>
          <w:rFonts w:ascii="Times New Roman Bold" w:hAnsi="Times New Roman Bold" w:cs="Times New Roman Bold"/>
          <w:b/>
          <w:bCs/>
          <w:sz w:val="24"/>
          <w:szCs w:val="24"/>
        </w:rPr>
        <w:t>. Biochemical analysis</w:t>
      </w:r>
    </w:p>
    <w:p w14:paraId="39E85D2D">
      <w:pPr>
        <w:spacing w:line="480" w:lineRule="auto"/>
        <w:jc w:val="both"/>
        <w:rPr>
          <w:rFonts w:hint="default" w:ascii="Times New Roman" w:hAnsi="Times New Roman" w:cs="Times New Roman"/>
          <w:sz w:val="24"/>
          <w:szCs w:val="24"/>
          <w:lang w:val="en-US"/>
        </w:rPr>
      </w:pPr>
      <w:r>
        <w:rPr>
          <w:rFonts w:ascii="Times New Roman Bold" w:hAnsi="Times New Roman Bold" w:cs="Times New Roman Bold"/>
          <w:b/>
          <w:bCs/>
          <w:sz w:val="24"/>
          <w:szCs w:val="24"/>
        </w:rPr>
        <w:tab/>
      </w:r>
      <w:r>
        <w:rPr>
          <w:rFonts w:ascii="Times New Roman" w:hAnsi="Times New Roman" w:cs="Times New Roman"/>
          <w:sz w:val="24"/>
          <w:szCs w:val="24"/>
        </w:rPr>
        <w:t>A 2.5 ml of blood was collected from each animal in clot activator vials preoperatively (0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and postoperatively on 15</w:t>
      </w:r>
      <w:r>
        <w:rPr>
          <w:rFonts w:ascii="Times New Roman" w:hAnsi="Times New Roman" w:cs="Times New Roman"/>
          <w:sz w:val="24"/>
          <w:szCs w:val="24"/>
          <w:vertAlign w:val="superscript"/>
        </w:rPr>
        <w:t>th</w:t>
      </w:r>
      <w:r>
        <w:rPr>
          <w:rFonts w:ascii="Times New Roman" w:hAnsi="Times New Roman" w:cs="Times New Roman"/>
          <w:sz w:val="24"/>
          <w:szCs w:val="24"/>
        </w:rPr>
        <w:t>, 30</w:t>
      </w:r>
      <w:r>
        <w:rPr>
          <w:rFonts w:ascii="Times New Roman" w:hAnsi="Times New Roman" w:cs="Times New Roman"/>
          <w:sz w:val="24"/>
          <w:szCs w:val="24"/>
          <w:vertAlign w:val="superscript"/>
        </w:rPr>
        <w:t>th</w:t>
      </w:r>
      <w:r>
        <w:rPr>
          <w:rFonts w:ascii="Times New Roman" w:hAnsi="Times New Roman" w:cs="Times New Roman"/>
          <w:sz w:val="24"/>
          <w:szCs w:val="24"/>
        </w:rPr>
        <w:t>, 45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and 60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days. Serum was separated from the collected samples and analysed for calcium, phosphorus and alkaline phosphatase (ALP) using an automatic biochemical analyser</w:t>
      </w:r>
      <w:r>
        <w:rPr>
          <w:rFonts w:hint="default" w:ascii="Times New Roman" w:hAnsi="Times New Roman" w:cs="Times New Roman"/>
          <w:sz w:val="24"/>
          <w:szCs w:val="24"/>
          <w:lang w:val="en-US"/>
        </w:rPr>
        <w:t xml:space="preserve">  (VETPLUS DIAGNOSTICS, Gannavaram).</w:t>
      </w:r>
    </w:p>
    <w:p w14:paraId="0A3D07FE">
      <w:pPr>
        <w:spacing w:line="480" w:lineRule="auto"/>
        <w:jc w:val="both"/>
        <w:rPr>
          <w:rFonts w:ascii="Times New Roman Bold" w:hAnsi="Times New Roman Bold" w:cs="Times New Roman Bold"/>
          <w:b/>
          <w:bCs/>
          <w:sz w:val="24"/>
          <w:szCs w:val="24"/>
        </w:rPr>
      </w:pPr>
    </w:p>
    <w:p w14:paraId="254201BD">
      <w:pPr>
        <w:spacing w:line="480" w:lineRule="auto"/>
        <w:jc w:val="both"/>
        <w:rPr>
          <w:rFonts w:ascii="Times New Roman Bold" w:hAnsi="Times New Roman Bold" w:cs="Times New Roman Bold"/>
          <w:b/>
          <w:bCs/>
          <w:sz w:val="24"/>
          <w:szCs w:val="24"/>
        </w:rPr>
      </w:pPr>
    </w:p>
    <w:p w14:paraId="224B5294">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2.</w:t>
      </w:r>
      <w:r>
        <w:rPr>
          <w:rFonts w:hint="default" w:ascii="Times New Roman Bold" w:hAnsi="Times New Roman Bold" w:cs="Times New Roman Bold"/>
          <w:b/>
          <w:bCs/>
          <w:sz w:val="24"/>
          <w:szCs w:val="24"/>
          <w:lang w:val="en-US"/>
        </w:rPr>
        <w:t>7</w:t>
      </w:r>
      <w:r>
        <w:rPr>
          <w:rFonts w:ascii="Times New Roman Bold" w:hAnsi="Times New Roman Bold" w:cs="Times New Roman Bold"/>
          <w:b/>
          <w:bCs/>
          <w:sz w:val="24"/>
          <w:szCs w:val="24"/>
        </w:rPr>
        <w:t xml:space="preserve"> Statistical analysis</w:t>
      </w:r>
    </w:p>
    <w:p w14:paraId="3EABB954">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ab/>
      </w:r>
      <w:r>
        <w:rPr>
          <w:rFonts w:ascii="Times New Roman" w:hAnsi="Times New Roman" w:cs="Times New Roman"/>
          <w:sz w:val="24"/>
          <w:szCs w:val="24"/>
        </w:rPr>
        <w:t xml:space="preserve">The data obtained were statistically analysed using SPSS software (Version 20). The results were expressed as mean ± standard error (SE). Differences between groups and time intervals were analysed using one-way analysis of variance (ANOVA) followed by Tukey’s HSD post hoc test. Values were considered significant at P &lt; 0.05. </w:t>
      </w:r>
    </w:p>
    <w:p w14:paraId="5CF1A2E1">
      <w:pPr>
        <w:numPr>
          <w:ilvl w:val="0"/>
          <w:numId w:val="1"/>
        </w:num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RESULTS AND DISCUSSION</w:t>
      </w:r>
    </w:p>
    <w:p w14:paraId="3D028A00">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3.1 Haematological parameters</w:t>
      </w:r>
    </w:p>
    <w:p w14:paraId="2574E9E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mean ± SE values of haematological parameters in Group I and Group II at different time intervals are presented in Table 1. </w:t>
      </w:r>
    </w:p>
    <w:p w14:paraId="113F37B0">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3.1.1 Haemoglobin (g/dL)</w:t>
      </w:r>
    </w:p>
    <w:p w14:paraId="414827D0">
      <w:pPr>
        <w:spacing w:line="480" w:lineRule="auto"/>
        <w:ind w:firstLine="720"/>
        <w:jc w:val="both"/>
        <w:rPr>
          <w:rFonts w:hint="default" w:ascii="Times New Roman" w:hAnsi="Times New Roman" w:cs="Times New Roman"/>
          <w:sz w:val="24"/>
          <w:szCs w:val="24"/>
          <w:lang w:val="en-US" w:eastAsia="zh-CN"/>
        </w:rPr>
      </w:pPr>
      <w:r>
        <w:rPr>
          <w:rFonts w:ascii="Times New Roman" w:hAnsi="Times New Roman" w:cs="Times New Roman"/>
          <w:sz w:val="24"/>
          <w:szCs w:val="24"/>
        </w:rPr>
        <w:t>The mean ± SE values of haemoglobin ranged from 10.88 ± 0.16 to 12.03 ± 0.16 in Group I and 11.27 ± 0.14 to 12.55 ± 0.19 in Group II, with overall mean values of 11.52 ± 0.10 and 11.99 ± 0.11, respectively. The haemoglobin values did not differ significantly between day 0 and day 15 in both groups; however, a significant (p &lt; 0.05) increase was observed from day 30 onwards up to day 60. A significant difference (p &lt; 0.05) was observed between the groups, with higher values in Group II, while all values remained within the normal physiological range throughout the study period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eastAsia="zh-CN"/>
        </w:rPr>
        <w:t>The variation in haemoglobin levels observed between the two groups was illustrated in Fig. 1.</w:t>
      </w:r>
    </w:p>
    <w:p w14:paraId="789E588E">
      <w:pPr>
        <w:spacing w:line="360" w:lineRule="auto"/>
        <w:jc w:val="both"/>
        <w:rPr>
          <w:rFonts w:hint="default" w:ascii="Times New Roman" w:hAnsi="Times New Roman" w:cs="Times New Roman"/>
          <w:sz w:val="24"/>
          <w:szCs w:val="24"/>
          <w:lang w:val="en-US" w:eastAsia="zh-CN"/>
        </w:rPr>
      </w:pPr>
    </w:p>
    <w:p w14:paraId="167747E6">
      <w:pPr>
        <w:spacing w:line="360" w:lineRule="auto"/>
        <w:jc w:val="both"/>
        <w:rPr>
          <w:rFonts w:hint="default" w:ascii="Times New Roman" w:hAnsi="Times New Roman" w:cs="Times New Roman"/>
          <w:sz w:val="24"/>
          <w:szCs w:val="24"/>
          <w:lang w:val="en-US" w:eastAsia="zh-CN"/>
        </w:rPr>
      </w:pPr>
    </w:p>
    <w:p w14:paraId="1A4AEE34">
      <w:pPr>
        <w:spacing w:line="360" w:lineRule="auto"/>
        <w:jc w:val="both"/>
        <w:rPr>
          <w:rFonts w:hint="default" w:ascii="Times New Roman" w:hAnsi="Times New Roman" w:cs="Times New Roman"/>
          <w:sz w:val="24"/>
          <w:szCs w:val="24"/>
          <w:lang w:val="en-US" w:eastAsia="zh-CN"/>
        </w:rPr>
      </w:pPr>
    </w:p>
    <w:p w14:paraId="73CD1438">
      <w:pPr>
        <w:spacing w:line="360" w:lineRule="auto"/>
        <w:jc w:val="both"/>
        <w:rPr>
          <w:rFonts w:hint="default" w:ascii="Times New Roman" w:hAnsi="Times New Roman" w:cs="Times New Roman"/>
          <w:sz w:val="24"/>
          <w:szCs w:val="24"/>
          <w:lang w:val="en-US" w:eastAsia="zh-CN"/>
        </w:rPr>
      </w:pPr>
    </w:p>
    <w:p w14:paraId="2D98E2E5">
      <w:pPr>
        <w:spacing w:line="360" w:lineRule="auto"/>
        <w:jc w:val="both"/>
        <w:rPr>
          <w:rFonts w:hint="default" w:ascii="Times New Roman" w:hAnsi="Times New Roman" w:cs="Times New Roman"/>
          <w:sz w:val="24"/>
          <w:szCs w:val="24"/>
          <w:lang w:val="en-US" w:eastAsia="zh-CN"/>
        </w:rPr>
      </w:pPr>
    </w:p>
    <w:p w14:paraId="72317B48">
      <w:pPr>
        <w:spacing w:line="360" w:lineRule="auto"/>
        <w:jc w:val="both"/>
        <w:rPr>
          <w:rFonts w:hint="default" w:ascii="Times New Roman" w:hAnsi="Times New Roman" w:cs="Times New Roman"/>
          <w:sz w:val="24"/>
          <w:szCs w:val="24"/>
          <w:lang w:val="en-US" w:eastAsia="zh-CN"/>
        </w:rPr>
      </w:pPr>
    </w:p>
    <w:p w14:paraId="571967F1">
      <w:p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Fig.1 : Graph showing fluctuations in Haemoglobin values (g/dL) in group I &amp; II during the study </w:t>
      </w:r>
    </w:p>
    <w:p w14:paraId="7D2A8ED4">
      <w:pPr>
        <w:spacing w:line="480" w:lineRule="auto"/>
        <w:jc w:val="center"/>
        <w:rPr>
          <w:rFonts w:ascii="Times New Roman Bold" w:hAnsi="Times New Roman Bold" w:cs="Times New Roman Bold"/>
          <w:b/>
          <w:bCs/>
          <w:sz w:val="24"/>
          <w:szCs w:val="24"/>
        </w:rPr>
      </w:pPr>
      <w:r>
        <w:rPr>
          <w:rFonts w:hint="default"/>
          <w:lang w:val="en-US"/>
        </w:rPr>
        <w:t xml:space="preserve">          </w:t>
      </w:r>
      <w:r>
        <w:drawing>
          <wp:inline distT="0" distB="0" distL="114300" distR="114300">
            <wp:extent cx="4740910" cy="2378710"/>
            <wp:effectExtent l="6350" t="6350" r="27940" b="27940"/>
            <wp:docPr id="17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60590A">
      <w:pPr>
        <w:spacing w:line="480" w:lineRule="auto"/>
        <w:jc w:val="both"/>
        <w:rPr>
          <w:rFonts w:ascii="Times New Roman" w:hAnsi="Times New Roman" w:cs="Times New Roman"/>
          <w:sz w:val="24"/>
          <w:szCs w:val="24"/>
        </w:rPr>
      </w:pPr>
      <w:r>
        <w:rPr>
          <w:rFonts w:ascii="Times New Roman Bold" w:hAnsi="Times New Roman Bold" w:cs="Times New Roman Bold"/>
          <w:b/>
          <w:bCs/>
          <w:sz w:val="24"/>
          <w:szCs w:val="24"/>
        </w:rPr>
        <w:t>3.1.2 Packed cell volume</w:t>
      </w:r>
      <w:r>
        <w:rPr>
          <w:rFonts w:ascii="Times New Roman" w:hAnsi="Times New Roman" w:cs="Times New Roman"/>
          <w:sz w:val="24"/>
          <w:szCs w:val="24"/>
        </w:rPr>
        <w:t xml:space="preserve"> </w:t>
      </w:r>
      <w:r>
        <w:rPr>
          <w:rFonts w:ascii="Times New Roman Bold" w:hAnsi="Times New Roman Bold" w:cs="Times New Roman Bold"/>
          <w:b/>
          <w:bCs/>
          <w:sz w:val="24"/>
          <w:szCs w:val="24"/>
        </w:rPr>
        <w:t>(%)</w:t>
      </w:r>
      <w:r>
        <w:rPr>
          <w:rFonts w:ascii="Times New Roman" w:hAnsi="Times New Roman" w:cs="Times New Roman"/>
          <w:sz w:val="24"/>
          <w:szCs w:val="24"/>
        </w:rPr>
        <w:t xml:space="preserve"> </w:t>
      </w:r>
    </w:p>
    <w:p w14:paraId="2331EB5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mean ± SE values of packed cell volume ranged from 34.02 ± 0.41 to 40.99 ± 0.28 in Group I and 33.90 ± 0.18 to 41.51 ± 1.03 in Group II, with overall mean values of 37.56 ± 0.50 and 37.90 ± 0.54, respectively. The PCV values showed a progressive increase from day 0 to day 60 in both groups, with significant (p &lt; 0.05) differences observed between the time intervals. However, no significant difference was observed between the groups. All the values remained within the normal physiological range throughout the study period.</w:t>
      </w:r>
    </w:p>
    <w:p w14:paraId="4D1DBE6C">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3.1.3 Total Leucocyte Count (</w:t>
      </w:r>
      <w:r>
        <w:rPr>
          <w:rFonts w:ascii="Arial" w:hAnsi="Arial" w:cs="Arial"/>
          <w:b/>
          <w:bCs/>
          <w:sz w:val="24"/>
          <w:szCs w:val="24"/>
        </w:rPr>
        <w:t>×</w:t>
      </w:r>
      <w:r>
        <w:rPr>
          <w:rFonts w:ascii="Times New Roman Bold" w:hAnsi="Times New Roman Bold" w:cs="Times New Roman Bold"/>
          <w:b/>
          <w:bCs/>
          <w:sz w:val="24"/>
          <w:szCs w:val="24"/>
        </w:rPr>
        <w:t>10</w:t>
      </w:r>
      <w:r>
        <w:rPr>
          <w:rFonts w:ascii="Times New Roman Bold" w:hAnsi="Times New Roman Bold" w:cs="Times New Roman Bold"/>
          <w:b/>
          <w:bCs/>
          <w:sz w:val="24"/>
          <w:szCs w:val="24"/>
          <w:vertAlign w:val="superscript"/>
        </w:rPr>
        <w:t>3</w:t>
      </w:r>
      <w:r>
        <w:rPr>
          <w:rFonts w:ascii="Times New Roman Bold" w:hAnsi="Times New Roman Bold" w:cs="Times New Roman Bold"/>
          <w:b/>
          <w:bCs/>
          <w:sz w:val="24"/>
          <w:szCs w:val="24"/>
        </w:rPr>
        <w:t>/</w:t>
      </w:r>
      <w:r>
        <w:rPr>
          <w:rFonts w:ascii=".AppleSystemUIFont" w:hAnsi=".AppleSystemUIFont"/>
          <w:b/>
          <w:bCs/>
          <w:sz w:val="24"/>
          <w:szCs w:val="24"/>
        </w:rPr>
        <w:t>μ</w:t>
      </w:r>
      <w:r>
        <w:rPr>
          <w:rFonts w:ascii="Times New Roman Bold" w:hAnsi="Times New Roman Bold" w:cs="Times New Roman Bold"/>
          <w:b/>
          <w:bCs/>
          <w:sz w:val="24"/>
          <w:szCs w:val="24"/>
        </w:rPr>
        <w:t>L)</w:t>
      </w:r>
    </w:p>
    <w:p w14:paraId="091F04F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mean ± SE values of total leukocyte count ranged from 18.09 ± 0.21 to 12.79 ± 0.23 in Group I, with an overall mean of 15.73 ± 0.39, and from 17.98 ± 0.25 to 12.18 ± 0.20 in Group II, with an overall mean of 15.12 ± 0.41. A significant (p &lt; 0.05) decrease was observed from day 0 to day 45 in Group I and up to day 60 in Group II, with no significant difference between the groups. All values remained within the normal physiological range. </w:t>
      </w:r>
    </w:p>
    <w:p w14:paraId="6463928D">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 xml:space="preserve">3.1.4 Differential Leucocyte Count </w:t>
      </w:r>
    </w:p>
    <w:p w14:paraId="5AFA1399">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 xml:space="preserve">3.1.4.1. Neutrophil (%) </w:t>
      </w:r>
    </w:p>
    <w:p w14:paraId="46CEAF6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mean ± SE values of neutrophil count ranged from 81.42 ± 0.43 to 74.13 ± 0.32 in Group I, with an overall mean of 78.07 ± 0.50, and from 82.03 ± 0.34 to 73.38 ± 0.10 in Group II, with an overall mean of 77.33 ± 0.59. The mean neutrophil values in both groups showed a significant (p &lt; 0.05) decrease from day 0 to day 60. </w:t>
      </w:r>
    </w:p>
    <w:p w14:paraId="5D089C3F">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 xml:space="preserve">3.1.4.2. Lymphocyte (%). </w:t>
      </w:r>
    </w:p>
    <w:p w14:paraId="2E5F165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mean ± SE values of lymphocyte count ranged from 13.45 ± 0.18 to 18.35 ± 0.12 in Group I (overall mean: 16.41 ± 0.34) and from 13.60 ± 0.41 to 18.76 ± 0.70 in Group II (overall mean: 16.82 ± 0.35). A significant (p &lt; 0.05) increase was observed from day 0 to day 60 in both groups, with no significant difference between the groups and all values within the normal physiological range.</w:t>
      </w:r>
    </w:p>
    <w:p w14:paraId="5CD69D11">
      <w:pPr>
        <w:spacing w:line="480" w:lineRule="auto"/>
        <w:jc w:val="both"/>
        <w:rPr>
          <w:rFonts w:ascii="Times New Roman Bold" w:hAnsi="Times New Roman Bold" w:eastAsia="-webkit-standard" w:cs="Times New Roman Bold"/>
          <w:b/>
          <w:bCs/>
          <w:color w:val="000000"/>
          <w:sz w:val="24"/>
          <w:szCs w:val="24"/>
          <w:lang w:bidi="ar"/>
        </w:rPr>
      </w:pPr>
      <w:r>
        <w:rPr>
          <w:rFonts w:ascii="Times New Roman Bold" w:hAnsi="Times New Roman Bold" w:eastAsia="-webkit-standard" w:cs="Times New Roman Bold"/>
          <w:b/>
          <w:bCs/>
          <w:color w:val="000000"/>
          <w:sz w:val="24"/>
          <w:szCs w:val="24"/>
          <w:lang w:bidi="ar"/>
        </w:rPr>
        <w:t xml:space="preserve">3.1.4.3 Monocytes (%) </w:t>
      </w:r>
    </w:p>
    <w:p w14:paraId="68D71A49">
      <w:pPr>
        <w:spacing w:line="480" w:lineRule="auto"/>
        <w:jc w:val="both"/>
        <w:rPr>
          <w:rFonts w:ascii="Times New Roman Regular" w:hAnsi="Times New Roman Regular" w:eastAsia="-webkit-standard" w:cs="Times New Roman Regular"/>
          <w:color w:val="000000"/>
          <w:sz w:val="24"/>
          <w:szCs w:val="24"/>
          <w:lang w:bidi="ar"/>
        </w:rPr>
      </w:pPr>
      <w:r>
        <w:rPr>
          <w:rFonts w:ascii="Times New Roman Regular" w:hAnsi="Times New Roman Regular" w:eastAsia="-webkit-standard" w:cs="Times New Roman Regular"/>
          <w:color w:val="000000"/>
          <w:sz w:val="24"/>
          <w:szCs w:val="24"/>
          <w:lang w:bidi="ar"/>
        </w:rPr>
        <w:tab/>
      </w:r>
      <w:r>
        <w:rPr>
          <w:rFonts w:ascii="Times New Roman Regular" w:hAnsi="Times New Roman Regular" w:eastAsia="-webkit-standard" w:cs="Times New Roman Regular"/>
          <w:color w:val="000000"/>
          <w:sz w:val="24"/>
          <w:szCs w:val="24"/>
          <w:lang w:bidi="ar"/>
        </w:rPr>
        <w:t xml:space="preserve">The mean ± SE values of monocyte count ranged from 2.11 ± 0.09 to 2.42 ± 0.09 in Group I (overall mean: 2.24 ± 0.04) and from 2.17 ± 0.12 to 2.44 ± 0.11 in Group II (overall mean: 2.26 ± 0.05). A non-significant (p &gt; 0.05) increase was observed from day 0 to day 60 in both groups, with no significant difference between the groups and the values were within the normal physiological range. </w:t>
      </w:r>
    </w:p>
    <w:p w14:paraId="3707C684">
      <w:pPr>
        <w:spacing w:line="480" w:lineRule="auto"/>
        <w:jc w:val="both"/>
        <w:rPr>
          <w:rFonts w:ascii="Times New Roman Bold" w:hAnsi="Times New Roman Bold" w:eastAsia="-webkit-standard" w:cs="Times New Roman Bold"/>
          <w:b/>
          <w:bCs/>
          <w:color w:val="000000"/>
          <w:sz w:val="24"/>
          <w:szCs w:val="24"/>
          <w:lang w:bidi="ar"/>
        </w:rPr>
      </w:pPr>
      <w:r>
        <w:rPr>
          <w:rFonts w:ascii="Times New Roman Bold" w:hAnsi="Times New Roman Bold" w:eastAsia="-webkit-standard" w:cs="Times New Roman Bold"/>
          <w:b/>
          <w:bCs/>
          <w:color w:val="000000"/>
          <w:sz w:val="24"/>
          <w:szCs w:val="24"/>
          <w:lang w:bidi="ar"/>
        </w:rPr>
        <w:t>3.1.4.4. Eosinophils (%)</w:t>
      </w:r>
    </w:p>
    <w:p w14:paraId="6586CCC2">
      <w:pPr>
        <w:spacing w:line="480" w:lineRule="auto"/>
        <w:jc w:val="both"/>
        <w:rPr>
          <w:rFonts w:ascii="Times New Roman Regular" w:hAnsi="Times New Roman Regular" w:eastAsia="-webkit-standard" w:cs="Times New Roman Regular"/>
          <w:color w:val="000000"/>
          <w:sz w:val="24"/>
          <w:szCs w:val="24"/>
          <w:lang w:bidi="ar"/>
        </w:rPr>
      </w:pPr>
      <w:r>
        <w:rPr>
          <w:rFonts w:ascii="Times New Roman Regular" w:hAnsi="Times New Roman Regular" w:eastAsia="-webkit-standard" w:cs="Times New Roman Regular"/>
          <w:color w:val="000000"/>
          <w:sz w:val="24"/>
          <w:szCs w:val="24"/>
          <w:lang w:bidi="ar"/>
        </w:rPr>
        <w:tab/>
      </w:r>
      <w:r>
        <w:rPr>
          <w:rFonts w:ascii="Times New Roman Regular" w:hAnsi="Times New Roman Regular" w:eastAsia="-webkit-standard" w:cs="Times New Roman Regular"/>
          <w:color w:val="000000"/>
          <w:sz w:val="24"/>
          <w:szCs w:val="24"/>
          <w:lang w:bidi="ar"/>
        </w:rPr>
        <w:t xml:space="preserve">The mean ± SE values of eosinophil count ranged from 1.58 ± 0.14 to 1.61 ± 0.13 in Group I (overall mean: 1.60 ± 0.06) and from 1.61 ± 0.10 to 1.63 ± 0.11 in Group II (overall mean: 1.61 ± 0.04). No significant (p &gt; 0.05) changes were observed  between both the groups and all the values were within the normal physiological range. </w:t>
      </w:r>
    </w:p>
    <w:p w14:paraId="0CC92C31">
      <w:pPr>
        <w:spacing w:line="480" w:lineRule="auto"/>
        <w:jc w:val="both"/>
        <w:rPr>
          <w:rFonts w:ascii="Times New Roman Bold" w:hAnsi="Times New Roman Bold" w:eastAsia="-webkit-standard" w:cs="Times New Roman Bold"/>
          <w:b/>
          <w:bCs/>
          <w:color w:val="000000"/>
          <w:sz w:val="24"/>
          <w:szCs w:val="24"/>
          <w:lang w:bidi="ar"/>
        </w:rPr>
      </w:pPr>
    </w:p>
    <w:p w14:paraId="38CC9B76">
      <w:pPr>
        <w:spacing w:line="480" w:lineRule="auto"/>
        <w:jc w:val="both"/>
        <w:rPr>
          <w:rFonts w:ascii="Times New Roman Bold" w:hAnsi="Times New Roman Bold" w:eastAsia="-webkit-standard" w:cs="Times New Roman Bold"/>
          <w:b/>
          <w:bCs/>
          <w:color w:val="000000"/>
          <w:sz w:val="24"/>
          <w:szCs w:val="24"/>
          <w:lang w:bidi="ar"/>
        </w:rPr>
      </w:pPr>
    </w:p>
    <w:p w14:paraId="79093DDD">
      <w:pPr>
        <w:spacing w:line="480" w:lineRule="auto"/>
        <w:jc w:val="both"/>
        <w:rPr>
          <w:rFonts w:ascii="Times New Roman Bold" w:hAnsi="Times New Roman Bold" w:eastAsia="-webkit-standard" w:cs="Times New Roman Bold"/>
          <w:b/>
          <w:bCs/>
          <w:color w:val="000000"/>
          <w:sz w:val="24"/>
          <w:szCs w:val="24"/>
          <w:lang w:bidi="ar"/>
        </w:rPr>
      </w:pPr>
      <w:r>
        <w:rPr>
          <w:rFonts w:ascii="Times New Roman Bold" w:hAnsi="Times New Roman Bold" w:eastAsia="-webkit-standard" w:cs="Times New Roman Bold"/>
          <w:b/>
          <w:bCs/>
          <w:color w:val="000000"/>
          <w:sz w:val="24"/>
          <w:szCs w:val="24"/>
          <w:lang w:bidi="ar"/>
        </w:rPr>
        <w:t xml:space="preserve">3.2 Biochemical parameters </w:t>
      </w:r>
    </w:p>
    <w:p w14:paraId="72974DA1">
      <w:pPr>
        <w:spacing w:line="480" w:lineRule="auto"/>
        <w:jc w:val="both"/>
        <w:rPr>
          <w:rFonts w:ascii="Times New Roman" w:hAnsi="Times New Roman" w:cs="Times New Roman"/>
          <w:sz w:val="24"/>
          <w:szCs w:val="24"/>
        </w:rPr>
      </w:pPr>
      <w:r>
        <w:rPr>
          <w:rFonts w:ascii="Times New Roman Bold" w:hAnsi="Times New Roman Bold" w:eastAsia="-webkit-standard" w:cs="Times New Roman Bold"/>
          <w:b/>
          <w:bCs/>
          <w:color w:val="000000"/>
          <w:sz w:val="24"/>
          <w:szCs w:val="24"/>
          <w:lang w:bidi="ar"/>
        </w:rPr>
        <w:tab/>
      </w:r>
      <w:r>
        <w:rPr>
          <w:rFonts w:ascii="Times New Roman" w:hAnsi="Times New Roman" w:cs="Times New Roman"/>
          <w:sz w:val="24"/>
          <w:szCs w:val="24"/>
        </w:rPr>
        <w:t xml:space="preserve">The mean ± SE values of biochemical parameters in Group I and Group II at different time intervals are presented in Table 2. </w:t>
      </w:r>
    </w:p>
    <w:p w14:paraId="318A0D8E">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3.2.1 Calcium (mg/dL)</w:t>
      </w:r>
    </w:p>
    <w:p w14:paraId="07BD436F">
      <w:pPr>
        <w:spacing w:line="480" w:lineRule="auto"/>
        <w:jc w:val="both"/>
        <w:rPr>
          <w:rFonts w:hint="default" w:ascii="Times New Roman" w:hAnsi="Times New Roman" w:cs="Times New Roman"/>
          <w:sz w:val="24"/>
          <w:szCs w:val="24"/>
          <w:lang w:val="en-US" w:eastAsia="zh-CN"/>
        </w:rPr>
      </w:pPr>
      <w:r>
        <w:rPr>
          <w:rFonts w:ascii="Times New Roman" w:hAnsi="Times New Roman" w:cs="Times New Roman"/>
          <w:sz w:val="24"/>
          <w:szCs w:val="24"/>
        </w:rPr>
        <w:tab/>
      </w:r>
      <w:r>
        <w:rPr>
          <w:rFonts w:ascii="Times New Roman" w:hAnsi="Times New Roman" w:cs="Times New Roman"/>
          <w:sz w:val="24"/>
          <w:szCs w:val="24"/>
        </w:rPr>
        <w:t>The mean ± SE values of calcium in Group I ranged between 9.25 ± 0.14 and 9.68 ± 0.08 with an overall mean of 9.49 ± 0.05. In Group II, the values ranged between 9.35 ± 0.15 and 10.40 ± 0.12 with an overall mean of 9.91 ± 0.08. The mean ± SE values of calcium in Group I showed a gradual increase from 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to 45</w:t>
      </w:r>
      <w:r>
        <w:rPr>
          <w:rFonts w:ascii="Times New Roman" w:hAnsi="Times New Roman" w:cs="Times New Roman"/>
          <w:sz w:val="24"/>
          <w:szCs w:val="24"/>
          <w:vertAlign w:val="superscript"/>
        </w:rPr>
        <w:t xml:space="preserve">th </w:t>
      </w:r>
      <w:r>
        <w:rPr>
          <w:rFonts w:ascii="Times New Roman" w:hAnsi="Times New Roman" w:cs="Times New Roman"/>
          <w:sz w:val="24"/>
          <w:szCs w:val="24"/>
        </w:rPr>
        <w:t>day, followed by a slight decrease at 60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In Group II, the values showed a significant (P &lt; 0.05) increase from 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to 15</w:t>
      </w:r>
      <w:r>
        <w:rPr>
          <w:rFonts w:ascii="Times New Roman" w:hAnsi="Times New Roman" w:cs="Times New Roman"/>
          <w:sz w:val="24"/>
          <w:szCs w:val="24"/>
          <w:vertAlign w:val="superscript"/>
        </w:rPr>
        <w:t xml:space="preserve">th </w:t>
      </w:r>
      <w:r>
        <w:rPr>
          <w:rFonts w:ascii="Times New Roman" w:hAnsi="Times New Roman" w:cs="Times New Roman"/>
          <w:sz w:val="24"/>
          <w:szCs w:val="24"/>
        </w:rPr>
        <w:t>and 30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with peak values observed at 30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followed by a gradual decline towards 60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The mean calcium values differed significantly (P &lt; 0.05) between Group I and Group II, with higher values observed in Group II. </w:t>
      </w:r>
      <w:r>
        <w:rPr>
          <w:rFonts w:hint="default" w:ascii="Times New Roman" w:hAnsi="Times New Roman" w:cs="Times New Roman"/>
          <w:sz w:val="24"/>
          <w:szCs w:val="24"/>
          <w:lang w:val="en-US" w:eastAsia="zh-CN"/>
        </w:rPr>
        <w:t xml:space="preserve">The variation in calcium levels observed between the two groups was illustrated in Fig. 2. </w:t>
      </w:r>
    </w:p>
    <w:p w14:paraId="3B45BE3A">
      <w:pPr>
        <w:spacing w:line="360" w:lineRule="auto"/>
        <w:ind w:firstLine="720" w:firstLineChars="3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Fig. 2 : Graph showing fluctuations in Calcium (mg/dL) values in group I &amp; II </w:t>
      </w:r>
    </w:p>
    <w:p w14:paraId="0D9BDFC3">
      <w:pPr>
        <w:spacing w:line="360" w:lineRule="auto"/>
        <w:ind w:firstLine="1560" w:firstLineChars="65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during the study</w:t>
      </w:r>
    </w:p>
    <w:p w14:paraId="449F785D">
      <w:pPr>
        <w:spacing w:line="480" w:lineRule="auto"/>
        <w:jc w:val="both"/>
        <w:rPr>
          <w:rFonts w:hint="default" w:ascii="Times New Roman" w:hAnsi="Times New Roman" w:cs="Times New Roman"/>
          <w:sz w:val="24"/>
          <w:szCs w:val="24"/>
          <w:lang w:val="en-US" w:eastAsia="zh-CN"/>
        </w:rPr>
      </w:pPr>
      <w:r>
        <w:rPr>
          <w:rFonts w:hint="default"/>
          <w:lang w:val="en-US"/>
        </w:rPr>
        <w:t xml:space="preserve">            </w:t>
      </w:r>
      <w:r>
        <w:drawing>
          <wp:inline distT="0" distB="0" distL="114300" distR="114300">
            <wp:extent cx="4736465" cy="2377440"/>
            <wp:effectExtent l="6350" t="6350" r="6985" b="29210"/>
            <wp:docPr id="179"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A5141F3">
      <w:pPr>
        <w:spacing w:line="480" w:lineRule="auto"/>
        <w:jc w:val="both"/>
        <w:rPr>
          <w:rFonts w:ascii="Times New Roman Bold" w:hAnsi="Times New Roman Bold" w:eastAsia="Calibri" w:cs="Times New Roman Bold"/>
          <w:b/>
          <w:bCs/>
          <w:sz w:val="24"/>
          <w:szCs w:val="24"/>
        </w:rPr>
      </w:pPr>
    </w:p>
    <w:p w14:paraId="2733360E">
      <w:pPr>
        <w:spacing w:line="480" w:lineRule="auto"/>
        <w:jc w:val="both"/>
        <w:rPr>
          <w:rFonts w:ascii="Times New Roman Bold" w:hAnsi="Times New Roman Bold" w:eastAsia="Calibri" w:cs="Times New Roman Bold"/>
          <w:b/>
          <w:bCs/>
          <w:sz w:val="24"/>
          <w:szCs w:val="24"/>
        </w:rPr>
      </w:pPr>
    </w:p>
    <w:p w14:paraId="02D0AD1B">
      <w:pPr>
        <w:spacing w:line="480" w:lineRule="auto"/>
        <w:jc w:val="both"/>
        <w:rPr>
          <w:rFonts w:ascii="Times New Roman Bold" w:hAnsi="Times New Roman Bold" w:eastAsia="Calibri" w:cs="Times New Roman Bold"/>
          <w:b/>
          <w:bCs/>
          <w:sz w:val="24"/>
          <w:szCs w:val="24"/>
        </w:rPr>
      </w:pPr>
      <w:r>
        <w:rPr>
          <w:rFonts w:ascii="Times New Roman Bold" w:hAnsi="Times New Roman Bold" w:eastAsia="Calibri" w:cs="Times New Roman Bold"/>
          <w:b/>
          <w:bCs/>
          <w:sz w:val="24"/>
          <w:szCs w:val="24"/>
        </w:rPr>
        <w:t>3.2.2 Phosphorus (mg/dL)</w:t>
      </w:r>
    </w:p>
    <w:p w14:paraId="1A8D85A1">
      <w:pPr>
        <w:spacing w:line="480" w:lineRule="auto"/>
        <w:jc w:val="both"/>
        <w:rPr>
          <w:rFonts w:ascii="Times New Roman" w:hAnsi="Times New Roman" w:eastAsia="Calibri"/>
          <w:sz w:val="24"/>
          <w:szCs w:val="24"/>
        </w:rPr>
      </w:pPr>
      <w:r>
        <w:rPr>
          <w:rFonts w:ascii="Times New Roman" w:hAnsi="Times New Roman" w:eastAsia="Calibri"/>
          <w:sz w:val="24"/>
          <w:szCs w:val="24"/>
        </w:rPr>
        <w:tab/>
      </w:r>
      <w:r>
        <w:rPr>
          <w:rFonts w:ascii="Times New Roman" w:hAnsi="Times New Roman" w:eastAsia="Calibri"/>
          <w:sz w:val="24"/>
          <w:szCs w:val="24"/>
        </w:rPr>
        <w:t>The mean ± SE values of phosphorus in Group I ranged between 4.16 ± 0.13 and 4.26 ± 0.12 with an overall mean of 4.18 ± 0.06. In Group II, the values ranged between 4.18 ± 0.10 and 4.57 ± 0.09 with an overall mean of 4.32 ± 0.05.</w:t>
      </w:r>
    </w:p>
    <w:p w14:paraId="424C3A65">
      <w:pPr>
        <w:spacing w:line="480" w:lineRule="auto"/>
        <w:jc w:val="both"/>
        <w:rPr>
          <w:rFonts w:ascii="Times New Roman" w:hAnsi="Times New Roman" w:eastAsia="Calibri"/>
          <w:sz w:val="24"/>
          <w:szCs w:val="24"/>
        </w:rPr>
      </w:pPr>
      <w:r>
        <w:rPr>
          <w:rFonts w:ascii="Times New Roman" w:hAnsi="Times New Roman" w:eastAsia="Calibri"/>
          <w:sz w:val="24"/>
          <w:szCs w:val="24"/>
        </w:rPr>
        <w:tab/>
      </w:r>
      <w:r>
        <w:rPr>
          <w:rFonts w:ascii="Times New Roman" w:hAnsi="Times New Roman" w:eastAsia="Calibri"/>
          <w:sz w:val="24"/>
          <w:szCs w:val="24"/>
        </w:rPr>
        <w:t xml:space="preserve">In this study, serum phosphorus levels in both Group I and Group II showed non-significant increase up to the 30th day followed by a gradual decline, remaining within the normal physiological range throughout the observation period. There was no significant difference between the groups. These findings are in accordance with previous reports of Takoo (2024), Bhargav et al. (2025) and Shende et al. (2025). However, Patil et al. (2017) reported a significant increase in serum phosphorus levels during the postoperative period, although the values remained within normal physiological limits. </w:t>
      </w:r>
    </w:p>
    <w:p w14:paraId="01691B6C">
      <w:pPr>
        <w:spacing w:line="480" w:lineRule="auto"/>
        <w:jc w:val="both"/>
        <w:rPr>
          <w:rFonts w:ascii="Times New Roman Bold" w:hAnsi="Times New Roman Bold" w:eastAsia="Calibri" w:cs="Times New Roman Bold"/>
          <w:b/>
          <w:bCs/>
          <w:sz w:val="24"/>
          <w:szCs w:val="24"/>
        </w:rPr>
      </w:pPr>
      <w:r>
        <w:rPr>
          <w:rFonts w:ascii="Times New Roman Bold" w:hAnsi="Times New Roman Bold" w:eastAsia="Calibri" w:cs="Times New Roman Bold"/>
          <w:b/>
          <w:bCs/>
          <w:sz w:val="24"/>
          <w:szCs w:val="24"/>
        </w:rPr>
        <w:t>3.3.3 Alkaline Phosphatase (U/L)</w:t>
      </w:r>
    </w:p>
    <w:p w14:paraId="01F2B29A">
      <w:pPr>
        <w:spacing w:line="480" w:lineRule="auto"/>
        <w:ind w:firstLine="720"/>
        <w:jc w:val="both"/>
        <w:rPr>
          <w:rFonts w:hint="default" w:ascii="Times New Roman" w:hAnsi="Times New Roman" w:cs="Times New Roman"/>
          <w:sz w:val="24"/>
          <w:szCs w:val="24"/>
          <w:lang w:val="en-US"/>
        </w:rPr>
      </w:pPr>
      <w:r>
        <w:rPr>
          <w:rFonts w:ascii="Times New Roman" w:hAnsi="Times New Roman" w:eastAsia="Calibri"/>
          <w:sz w:val="24"/>
          <w:szCs w:val="24"/>
        </w:rPr>
        <w:t>T</w:t>
      </w:r>
      <w:r>
        <w:rPr>
          <w:rFonts w:ascii="Times New Roman" w:hAnsi="Times New Roman" w:cs="Times New Roman"/>
          <w:sz w:val="24"/>
          <w:szCs w:val="24"/>
        </w:rPr>
        <w:t>he mean ± SE values of alkaline phosphatase in Group I ranged between 73.77 ± 0.83 and 178.40 ± 8.44 with an overall mean of 130.93 ± 6.33. In Group II, the values ranged between 72.15 ± 0.71 and 204.78 ± 2.04 with an overall mean of 146.08 ± 8.17.</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 the present study, serum alkaline phosphatase (ALP) levels in both Group I and Group II showed a progressive increase up to the 30th day, followed by a gradual decline to the normal values during the later stages of observation. Further, ALP levels were significantly higher in Group II compared to Group I</w:t>
      </w:r>
      <w:r>
        <w:rPr>
          <w:rFonts w:hint="default" w:ascii="Times New Roman" w:hAnsi="Times New Roman" w:cs="Times New Roman"/>
          <w:sz w:val="24"/>
          <w:szCs w:val="24"/>
          <w:lang w:val="en-US"/>
        </w:rPr>
        <w:t xml:space="preserve">. The variation in ALP levels between the groups was illustrated in fig. 3. </w:t>
      </w:r>
    </w:p>
    <w:p w14:paraId="3FA99EAA">
      <w:pPr>
        <w:spacing w:line="360" w:lineRule="auto"/>
        <w:ind w:firstLine="720"/>
        <w:jc w:val="both"/>
        <w:rPr>
          <w:rFonts w:hint="default" w:ascii="Times New Roman" w:hAnsi="Times New Roman" w:cs="Times New Roman"/>
          <w:sz w:val="24"/>
          <w:szCs w:val="24"/>
          <w:lang w:val="en-US"/>
        </w:rPr>
      </w:pPr>
    </w:p>
    <w:p w14:paraId="521E63B7">
      <w:pPr>
        <w:spacing w:line="360" w:lineRule="auto"/>
        <w:ind w:firstLine="720"/>
        <w:jc w:val="both"/>
        <w:rPr>
          <w:rFonts w:hint="default" w:ascii="Times New Roman" w:hAnsi="Times New Roman" w:cs="Times New Roman"/>
          <w:sz w:val="24"/>
          <w:szCs w:val="24"/>
          <w:lang w:val="en-US"/>
        </w:rPr>
      </w:pPr>
    </w:p>
    <w:p w14:paraId="335A7081">
      <w:pPr>
        <w:spacing w:line="360" w:lineRule="auto"/>
        <w:ind w:firstLine="720"/>
        <w:jc w:val="both"/>
        <w:rPr>
          <w:rFonts w:hint="default" w:ascii="Times New Roman" w:hAnsi="Times New Roman" w:cs="Times New Roman"/>
          <w:sz w:val="24"/>
          <w:szCs w:val="24"/>
          <w:lang w:val="en-US"/>
        </w:rPr>
      </w:pPr>
    </w:p>
    <w:p w14:paraId="290F06FD">
      <w:pPr>
        <w:spacing w:line="360" w:lineRule="auto"/>
        <w:ind w:firstLine="720"/>
        <w:jc w:val="both"/>
        <w:rPr>
          <w:rFonts w:hint="default" w:ascii="Times New Roman" w:hAnsi="Times New Roman" w:cs="Times New Roman"/>
          <w:sz w:val="24"/>
          <w:szCs w:val="24"/>
          <w:lang w:val="en-US"/>
        </w:rPr>
      </w:pPr>
    </w:p>
    <w:p w14:paraId="128F8631">
      <w:pPr>
        <w:spacing w:line="360" w:lineRule="auto"/>
        <w:ind w:firstLine="720"/>
        <w:jc w:val="both"/>
        <w:rPr>
          <w:rFonts w:hint="default" w:ascii="Times New Roman" w:hAnsi="Times New Roman" w:cs="Times New Roman"/>
          <w:sz w:val="24"/>
          <w:szCs w:val="24"/>
          <w:lang w:val="en-US"/>
        </w:rPr>
      </w:pPr>
    </w:p>
    <w:p w14:paraId="609C2105">
      <w:pPr>
        <w:spacing w:line="36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Fig. 3: Graph showing fluctuations in Alkaline Phosphatase (U/L) values in group I &amp; II during the study</w:t>
      </w:r>
    </w:p>
    <w:p w14:paraId="4E39BCF9">
      <w:pPr>
        <w:spacing w:line="480" w:lineRule="auto"/>
        <w:ind w:firstLine="720"/>
        <w:jc w:val="both"/>
        <w:rPr>
          <w:rFonts w:hint="default" w:ascii="Times New Roman" w:hAnsi="Times New Roman" w:cs="Times New Roman"/>
          <w:sz w:val="24"/>
          <w:szCs w:val="24"/>
          <w:lang w:val="en-US"/>
        </w:rPr>
      </w:pPr>
      <w:r>
        <w:drawing>
          <wp:inline distT="0" distB="0" distL="114300" distR="114300">
            <wp:extent cx="4736465" cy="2377440"/>
            <wp:effectExtent l="6350" t="6350" r="6985" b="29210"/>
            <wp:docPr id="18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BA6369">
      <w:pPr>
        <w:spacing w:line="480" w:lineRule="auto"/>
        <w:jc w:val="both"/>
        <w:rPr>
          <w:rFonts w:ascii="Times New Roman" w:hAnsi="Times New Roman" w:cs="Times New Roman"/>
          <w:sz w:val="24"/>
          <w:szCs w:val="24"/>
        </w:rPr>
      </w:pPr>
    </w:p>
    <w:p w14:paraId="47848618">
      <w:pPr>
        <w:spacing w:line="480" w:lineRule="auto"/>
        <w:jc w:val="both"/>
        <w:rPr>
          <w:rFonts w:ascii="Times New Roman" w:hAnsi="Times New Roman" w:cs="Times New Roman"/>
          <w:sz w:val="24"/>
          <w:szCs w:val="24"/>
        </w:rPr>
      </w:pPr>
    </w:p>
    <w:p w14:paraId="4219141F">
      <w:pPr>
        <w:spacing w:line="480" w:lineRule="auto"/>
        <w:ind w:firstLine="720"/>
        <w:jc w:val="both"/>
        <w:rPr>
          <w:rFonts w:ascii="Times New Roman" w:hAnsi="Times New Roman" w:cs="Times New Roman"/>
          <w:sz w:val="24"/>
          <w:szCs w:val="24"/>
        </w:rPr>
      </w:pPr>
    </w:p>
    <w:p w14:paraId="5725B517">
      <w:pPr>
        <w:spacing w:line="480" w:lineRule="auto"/>
        <w:ind w:firstLine="720"/>
        <w:jc w:val="both"/>
        <w:rPr>
          <w:rFonts w:ascii="Times New Roman Bold" w:hAnsi="Times New Roman Bold" w:cs="Times New Roman Bold"/>
          <w:b/>
          <w:bCs/>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20" w:footer="720" w:gutter="0"/>
          <w:cols w:space="720" w:num="1"/>
          <w:docGrid w:linePitch="360" w:charSpace="0"/>
        </w:sectPr>
      </w:pPr>
    </w:p>
    <w:p w14:paraId="5CA1064D">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 xml:space="preserve">Table. 1: The mean </w:t>
      </w:r>
      <w:r>
        <w:rPr>
          <w:rFonts w:ascii="Times New Roman" w:hAnsi="Times New Roman"/>
          <w:b/>
          <w:bCs/>
          <w:sz w:val="24"/>
          <w:szCs w:val="24"/>
        </w:rPr>
        <w:t>±</w:t>
      </w:r>
      <w:r>
        <w:rPr>
          <w:rFonts w:ascii="Times New Roman Bold" w:hAnsi="Times New Roman Bold" w:cs="Times New Roman Bold"/>
          <w:b/>
          <w:bCs/>
          <w:sz w:val="24"/>
          <w:szCs w:val="24"/>
        </w:rPr>
        <w:t xml:space="preserve"> SE values of Hematological Parameters in Group I &amp; II during pre and post-operative periods.</w:t>
      </w:r>
    </w:p>
    <w:p w14:paraId="287B94BC">
      <w:pPr>
        <w:spacing w:line="480" w:lineRule="auto"/>
        <w:rPr>
          <w:rFonts w:ascii="Times New Roman Bold" w:hAnsi="Times New Roman Bold" w:cs="Times New Roman Bold"/>
          <w:b/>
          <w:bCs/>
        </w:rPr>
      </w:pPr>
      <w:r>
        <w:rPr>
          <w:rFonts w:ascii="Times New Roman Bold" w:hAnsi="Times New Roman Bold" w:cs="Times New Roman Bold"/>
          <w:b/>
          <w:bCs/>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2147"/>
        <w:gridCol w:w="7"/>
        <w:gridCol w:w="1596"/>
        <w:gridCol w:w="1553"/>
        <w:gridCol w:w="1554"/>
        <w:gridCol w:w="1554"/>
        <w:gridCol w:w="1554"/>
        <w:gridCol w:w="1556"/>
        <w:gridCol w:w="1572"/>
      </w:tblGrid>
      <w:tr w14:paraId="1F816B8D">
        <w:trPr>
          <w:trHeight w:val="351" w:hRule="atLeast"/>
        </w:trPr>
        <w:tc>
          <w:tcPr>
            <w:tcW w:w="1125" w:type="dxa"/>
            <w:vMerge w:val="restart"/>
            <w:tcBorders>
              <w:top w:val="single" w:color="auto" w:sz="4" w:space="0"/>
              <w:left w:val="single" w:color="auto" w:sz="4" w:space="0"/>
              <w:bottom w:val="single" w:color="auto" w:sz="4" w:space="0"/>
              <w:right w:val="single" w:color="auto" w:sz="4" w:space="0"/>
            </w:tcBorders>
          </w:tcPr>
          <w:p w14:paraId="2805C531">
            <w:pPr>
              <w:widowControl w:val="0"/>
              <w:spacing w:line="360" w:lineRule="auto"/>
              <w:jc w:val="center"/>
              <w:rPr>
                <w:rFonts w:ascii="Times New Roman Bold" w:hAnsi="Times New Roman Bold" w:cs="Times New Roman Bold"/>
                <w:b/>
                <w:bCs/>
                <w:sz w:val="24"/>
                <w:szCs w:val="24"/>
              </w:rPr>
            </w:pPr>
          </w:p>
          <w:p w14:paraId="006ABAED">
            <w:pPr>
              <w:widowControl w:val="0"/>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S.No</w:t>
            </w:r>
          </w:p>
        </w:tc>
        <w:tc>
          <w:tcPr>
            <w:tcW w:w="2176" w:type="dxa"/>
            <w:vMerge w:val="restart"/>
            <w:tcBorders>
              <w:top w:val="single" w:color="auto" w:sz="4" w:space="0"/>
              <w:left w:val="single" w:color="auto" w:sz="4" w:space="0"/>
              <w:bottom w:val="single" w:color="auto" w:sz="4" w:space="0"/>
              <w:right w:val="single" w:color="auto" w:sz="4" w:space="0"/>
            </w:tcBorders>
          </w:tcPr>
          <w:p w14:paraId="1991CC93">
            <w:pPr>
              <w:widowControl w:val="0"/>
              <w:spacing w:line="360" w:lineRule="auto"/>
              <w:jc w:val="center"/>
              <w:rPr>
                <w:rFonts w:ascii="Times New Roman Bold" w:hAnsi="Times New Roman Bold" w:cs="Times New Roman Bold"/>
                <w:b/>
                <w:bCs/>
                <w:sz w:val="24"/>
                <w:szCs w:val="24"/>
              </w:rPr>
            </w:pPr>
          </w:p>
          <w:p w14:paraId="0961D8E8">
            <w:pPr>
              <w:widowControl w:val="0"/>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PARAMETERS</w:t>
            </w:r>
          </w:p>
        </w:tc>
        <w:tc>
          <w:tcPr>
            <w:tcW w:w="1648" w:type="dxa"/>
            <w:gridSpan w:val="2"/>
            <w:vMerge w:val="restart"/>
            <w:tcBorders>
              <w:top w:val="single" w:color="auto" w:sz="4" w:space="0"/>
              <w:left w:val="single" w:color="auto" w:sz="4" w:space="0"/>
              <w:bottom w:val="single" w:color="auto" w:sz="4" w:space="0"/>
              <w:right w:val="single" w:color="auto" w:sz="4" w:space="0"/>
            </w:tcBorders>
          </w:tcPr>
          <w:p w14:paraId="09CAEF6C">
            <w:pPr>
              <w:widowControl w:val="0"/>
              <w:spacing w:line="360" w:lineRule="auto"/>
              <w:jc w:val="center"/>
              <w:rPr>
                <w:rFonts w:ascii="Times New Roman Bold" w:hAnsi="Times New Roman Bold" w:cs="Times New Roman Bold"/>
                <w:b/>
                <w:bCs/>
                <w:sz w:val="24"/>
                <w:szCs w:val="24"/>
              </w:rPr>
            </w:pPr>
          </w:p>
          <w:p w14:paraId="494FC7BB">
            <w:pPr>
              <w:widowControl w:val="0"/>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GROUPS</w:t>
            </w:r>
          </w:p>
          <w:p w14:paraId="14AE29B0">
            <w:pPr>
              <w:widowControl w:val="0"/>
              <w:spacing w:line="360" w:lineRule="auto"/>
              <w:jc w:val="center"/>
              <w:rPr>
                <w:rFonts w:ascii="Times New Roman Bold" w:hAnsi="Times New Roman Bold" w:cs="Times New Roman Bold"/>
                <w:b/>
                <w:bCs/>
                <w:sz w:val="24"/>
                <w:szCs w:val="24"/>
              </w:rPr>
            </w:pPr>
          </w:p>
        </w:tc>
        <w:tc>
          <w:tcPr>
            <w:tcW w:w="8191" w:type="dxa"/>
            <w:gridSpan w:val="5"/>
            <w:tcBorders>
              <w:top w:val="single" w:color="auto" w:sz="4" w:space="0"/>
              <w:left w:val="single" w:color="auto" w:sz="4" w:space="0"/>
              <w:bottom w:val="single" w:color="auto" w:sz="4" w:space="0"/>
              <w:right w:val="single" w:color="auto" w:sz="4" w:space="0"/>
            </w:tcBorders>
          </w:tcPr>
          <w:p w14:paraId="78821183">
            <w:pPr>
              <w:widowControl w:val="0"/>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Time intervals</w:t>
            </w:r>
          </w:p>
        </w:tc>
        <w:tc>
          <w:tcPr>
            <w:tcW w:w="1638" w:type="dxa"/>
            <w:tcBorders>
              <w:top w:val="single" w:color="auto" w:sz="4" w:space="0"/>
              <w:left w:val="single" w:color="auto" w:sz="4" w:space="0"/>
              <w:bottom w:val="single" w:color="auto" w:sz="4" w:space="0"/>
              <w:right w:val="single" w:color="auto" w:sz="4" w:space="0"/>
            </w:tcBorders>
          </w:tcPr>
          <w:p w14:paraId="30E6C0DB">
            <w:pPr>
              <w:widowControl w:val="0"/>
              <w:spacing w:line="360" w:lineRule="auto"/>
              <w:jc w:val="center"/>
              <w:rPr>
                <w:rFonts w:ascii="Times New Roman Bold" w:hAnsi="Times New Roman Bold" w:cs="Times New Roman Bold"/>
                <w:b/>
                <w:bCs/>
                <w:sz w:val="24"/>
                <w:szCs w:val="24"/>
              </w:rPr>
            </w:pPr>
          </w:p>
        </w:tc>
      </w:tr>
      <w:tr w14:paraId="7B308F55">
        <w:trPr>
          <w:trHeight w:val="84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307B978">
            <w:pPr>
              <w:widowControl w:val="0"/>
              <w:spacing w:line="360" w:lineRule="auto"/>
              <w:jc w:val="both"/>
              <w:rPr>
                <w:rFonts w:ascii="Times New Roman Bold" w:hAnsi="Times New Roman Bold" w:cs="Times New Roman Bold"/>
                <w:b/>
                <w:bCs/>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A6301BE">
            <w:pPr>
              <w:widowControl w:val="0"/>
              <w:spacing w:line="360" w:lineRule="auto"/>
              <w:jc w:val="both"/>
              <w:rPr>
                <w:rFonts w:ascii="Times New Roman Bold" w:hAnsi="Times New Roman Bold" w:cs="Times New Roman Bold"/>
                <w:b/>
                <w:bCs/>
                <w:sz w:val="24"/>
                <w:szCs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6346A4FF">
            <w:pPr>
              <w:widowControl w:val="0"/>
              <w:spacing w:line="360" w:lineRule="auto"/>
              <w:jc w:val="both"/>
              <w:rPr>
                <w:rFonts w:ascii="Times New Roman Bold" w:hAnsi="Times New Roman Bold" w:cs="Times New Roman Bold"/>
                <w:b/>
                <w:bCs/>
                <w:sz w:val="24"/>
                <w:szCs w:val="24"/>
              </w:rPr>
            </w:pPr>
          </w:p>
        </w:tc>
        <w:tc>
          <w:tcPr>
            <w:tcW w:w="1638" w:type="dxa"/>
            <w:tcBorders>
              <w:top w:val="single" w:color="auto" w:sz="4" w:space="0"/>
              <w:left w:val="single" w:color="auto" w:sz="4" w:space="0"/>
              <w:bottom w:val="single" w:color="auto" w:sz="4" w:space="0"/>
              <w:right w:val="single" w:color="auto" w:sz="4" w:space="0"/>
            </w:tcBorders>
            <w:vAlign w:val="center"/>
          </w:tcPr>
          <w:p w14:paraId="2834B5B6">
            <w:pPr>
              <w:widowControl w:val="0"/>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0</w:t>
            </w:r>
            <w:r>
              <w:rPr>
                <w:rFonts w:ascii="Times New Roman Bold" w:hAnsi="Times New Roman Bold" w:cs="Times New Roman Bold"/>
                <w:b/>
                <w:bCs/>
                <w:sz w:val="24"/>
                <w:szCs w:val="24"/>
                <w:vertAlign w:val="superscript"/>
              </w:rPr>
              <w:t>th</w:t>
            </w:r>
            <w:r>
              <w:rPr>
                <w:rFonts w:ascii="Times New Roman Bold" w:hAnsi="Times New Roman Bold" w:cs="Times New Roman Bold"/>
                <w:b/>
                <w:bCs/>
                <w:sz w:val="24"/>
                <w:szCs w:val="24"/>
              </w:rPr>
              <w:t xml:space="preserve"> Day</w:t>
            </w:r>
          </w:p>
        </w:tc>
        <w:tc>
          <w:tcPr>
            <w:tcW w:w="1638" w:type="dxa"/>
            <w:tcBorders>
              <w:top w:val="single" w:color="auto" w:sz="4" w:space="0"/>
              <w:left w:val="single" w:color="auto" w:sz="4" w:space="0"/>
              <w:bottom w:val="single" w:color="auto" w:sz="4" w:space="0"/>
              <w:right w:val="single" w:color="auto" w:sz="4" w:space="0"/>
            </w:tcBorders>
            <w:vAlign w:val="center"/>
          </w:tcPr>
          <w:p w14:paraId="092BD040">
            <w:pPr>
              <w:widowControl w:val="0"/>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15</w:t>
            </w:r>
            <w:r>
              <w:rPr>
                <w:rFonts w:ascii="Times New Roman Bold" w:hAnsi="Times New Roman Bold" w:cs="Times New Roman Bold"/>
                <w:b/>
                <w:bCs/>
                <w:sz w:val="24"/>
                <w:szCs w:val="24"/>
                <w:vertAlign w:val="superscript"/>
              </w:rPr>
              <w:t>th</w:t>
            </w:r>
            <w:r>
              <w:rPr>
                <w:rFonts w:ascii="Times New Roman Bold" w:hAnsi="Times New Roman Bold" w:cs="Times New Roman Bold"/>
                <w:b/>
                <w:bCs/>
                <w:sz w:val="24"/>
                <w:szCs w:val="24"/>
              </w:rPr>
              <w:t xml:space="preserve"> Day</w:t>
            </w:r>
          </w:p>
        </w:tc>
        <w:tc>
          <w:tcPr>
            <w:tcW w:w="1638" w:type="dxa"/>
            <w:tcBorders>
              <w:top w:val="single" w:color="auto" w:sz="4" w:space="0"/>
              <w:left w:val="single" w:color="auto" w:sz="4" w:space="0"/>
              <w:bottom w:val="single" w:color="auto" w:sz="4" w:space="0"/>
              <w:right w:val="single" w:color="auto" w:sz="4" w:space="0"/>
            </w:tcBorders>
            <w:vAlign w:val="center"/>
          </w:tcPr>
          <w:p w14:paraId="70E0E583">
            <w:pPr>
              <w:widowControl w:val="0"/>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30</w:t>
            </w:r>
            <w:r>
              <w:rPr>
                <w:rFonts w:ascii="Times New Roman Bold" w:hAnsi="Times New Roman Bold" w:cs="Times New Roman Bold"/>
                <w:b/>
                <w:bCs/>
                <w:sz w:val="24"/>
                <w:szCs w:val="24"/>
                <w:vertAlign w:val="superscript"/>
              </w:rPr>
              <w:t>th</w:t>
            </w:r>
            <w:r>
              <w:rPr>
                <w:rFonts w:ascii="Times New Roman Bold" w:hAnsi="Times New Roman Bold" w:cs="Times New Roman Bold"/>
                <w:b/>
                <w:bCs/>
                <w:sz w:val="24"/>
                <w:szCs w:val="24"/>
              </w:rPr>
              <w:t xml:space="preserve"> Day</w:t>
            </w:r>
          </w:p>
        </w:tc>
        <w:tc>
          <w:tcPr>
            <w:tcW w:w="1638" w:type="dxa"/>
            <w:tcBorders>
              <w:top w:val="single" w:color="auto" w:sz="4" w:space="0"/>
              <w:left w:val="single" w:color="auto" w:sz="4" w:space="0"/>
              <w:bottom w:val="single" w:color="auto" w:sz="4" w:space="0"/>
              <w:right w:val="single" w:color="auto" w:sz="4" w:space="0"/>
            </w:tcBorders>
            <w:vAlign w:val="center"/>
          </w:tcPr>
          <w:p w14:paraId="7ED1D09E">
            <w:pPr>
              <w:widowControl w:val="0"/>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45</w:t>
            </w:r>
            <w:r>
              <w:rPr>
                <w:rFonts w:ascii="Times New Roman Bold" w:hAnsi="Times New Roman Bold" w:cs="Times New Roman Bold"/>
                <w:b/>
                <w:bCs/>
                <w:sz w:val="24"/>
                <w:szCs w:val="24"/>
                <w:vertAlign w:val="superscript"/>
              </w:rPr>
              <w:t>th</w:t>
            </w:r>
            <w:r>
              <w:rPr>
                <w:rFonts w:ascii="Times New Roman Bold" w:hAnsi="Times New Roman Bold" w:cs="Times New Roman Bold"/>
                <w:b/>
                <w:bCs/>
                <w:sz w:val="24"/>
                <w:szCs w:val="24"/>
              </w:rPr>
              <w:t xml:space="preserve"> Day</w:t>
            </w:r>
          </w:p>
        </w:tc>
        <w:tc>
          <w:tcPr>
            <w:tcW w:w="1639" w:type="dxa"/>
            <w:tcBorders>
              <w:top w:val="single" w:color="auto" w:sz="4" w:space="0"/>
              <w:left w:val="single" w:color="auto" w:sz="4" w:space="0"/>
              <w:bottom w:val="single" w:color="auto" w:sz="4" w:space="0"/>
              <w:right w:val="single" w:color="auto" w:sz="4" w:space="0"/>
            </w:tcBorders>
            <w:vAlign w:val="center"/>
          </w:tcPr>
          <w:p w14:paraId="523D2B51">
            <w:pPr>
              <w:widowControl w:val="0"/>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60</w:t>
            </w:r>
            <w:r>
              <w:rPr>
                <w:rFonts w:ascii="Times New Roman Bold" w:hAnsi="Times New Roman Bold" w:cs="Times New Roman Bold"/>
                <w:b/>
                <w:bCs/>
                <w:sz w:val="24"/>
                <w:szCs w:val="24"/>
                <w:vertAlign w:val="superscript"/>
              </w:rPr>
              <w:t>th</w:t>
            </w:r>
            <w:r>
              <w:rPr>
                <w:rFonts w:ascii="Times New Roman Bold" w:hAnsi="Times New Roman Bold" w:cs="Times New Roman Bold"/>
                <w:b/>
                <w:bCs/>
                <w:sz w:val="24"/>
                <w:szCs w:val="24"/>
              </w:rPr>
              <w:t xml:space="preserve"> Day</w:t>
            </w:r>
          </w:p>
        </w:tc>
        <w:tc>
          <w:tcPr>
            <w:tcW w:w="1638" w:type="dxa"/>
            <w:tcBorders>
              <w:top w:val="single" w:color="auto" w:sz="4" w:space="0"/>
              <w:left w:val="single" w:color="auto" w:sz="4" w:space="0"/>
              <w:bottom w:val="single" w:color="auto" w:sz="4" w:space="0"/>
              <w:right w:val="single" w:color="auto" w:sz="4" w:space="0"/>
            </w:tcBorders>
            <w:vAlign w:val="center"/>
          </w:tcPr>
          <w:p w14:paraId="0FB3AE40">
            <w:pPr>
              <w:widowControl w:val="0"/>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Overall mean</w:t>
            </w:r>
          </w:p>
        </w:tc>
      </w:tr>
      <w:tr w14:paraId="499C93D3">
        <w:trPr>
          <w:trHeight w:val="691" w:hRule="atLeast"/>
        </w:trPr>
        <w:tc>
          <w:tcPr>
            <w:tcW w:w="1125" w:type="dxa"/>
            <w:vMerge w:val="restart"/>
            <w:tcBorders>
              <w:top w:val="nil"/>
              <w:left w:val="single" w:color="auto" w:sz="4" w:space="0"/>
              <w:bottom w:val="single" w:color="auto" w:sz="4" w:space="0"/>
              <w:right w:val="single" w:color="auto" w:sz="4" w:space="0"/>
            </w:tcBorders>
            <w:vAlign w:val="center"/>
          </w:tcPr>
          <w:p w14:paraId="10F7B807">
            <w:pPr>
              <w:widowControl w:val="0"/>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1</w:t>
            </w:r>
          </w:p>
        </w:tc>
        <w:tc>
          <w:tcPr>
            <w:tcW w:w="2184" w:type="dxa"/>
            <w:gridSpan w:val="2"/>
            <w:vMerge w:val="restart"/>
            <w:tcBorders>
              <w:top w:val="nil"/>
              <w:left w:val="single" w:color="auto" w:sz="4" w:space="0"/>
              <w:bottom w:val="single" w:color="auto" w:sz="4" w:space="0"/>
              <w:right w:val="single" w:color="auto" w:sz="4" w:space="0"/>
            </w:tcBorders>
            <w:vAlign w:val="center"/>
          </w:tcPr>
          <w:p w14:paraId="0A5B99AC">
            <w:pPr>
              <w:widowControl w:val="0"/>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Haemoglobin (g%)</w:t>
            </w:r>
          </w:p>
        </w:tc>
        <w:tc>
          <w:tcPr>
            <w:tcW w:w="1640" w:type="dxa"/>
            <w:tcBorders>
              <w:top w:val="single" w:color="auto" w:sz="4" w:space="0"/>
              <w:left w:val="single" w:color="auto" w:sz="4" w:space="0"/>
              <w:bottom w:val="single" w:color="auto" w:sz="4" w:space="0"/>
              <w:right w:val="single" w:color="auto" w:sz="4" w:space="0"/>
            </w:tcBorders>
            <w:vAlign w:val="center"/>
          </w:tcPr>
          <w:p w14:paraId="772306A4">
            <w:pPr>
              <w:widowControl w:val="0"/>
              <w:spacing w:line="36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Group I</w:t>
            </w:r>
          </w:p>
          <w:p w14:paraId="15C2B366">
            <w:pPr>
              <w:widowControl w:val="0"/>
              <w:spacing w:line="360" w:lineRule="auto"/>
              <w:jc w:val="both"/>
              <w:rPr>
                <w:rFonts w:ascii="Times New Roman Bold" w:hAnsi="Times New Roman Bold" w:cs="Times New Roman Bold"/>
                <w:b/>
                <w:bCs/>
                <w:sz w:val="24"/>
                <w:szCs w:val="24"/>
              </w:rPr>
            </w:pPr>
          </w:p>
        </w:tc>
        <w:tc>
          <w:tcPr>
            <w:tcW w:w="1638" w:type="dxa"/>
            <w:tcBorders>
              <w:top w:val="single" w:color="auto" w:sz="4" w:space="0"/>
              <w:left w:val="single" w:color="auto" w:sz="4" w:space="0"/>
              <w:bottom w:val="single" w:color="auto" w:sz="4" w:space="0"/>
              <w:right w:val="single" w:color="auto" w:sz="4" w:space="0"/>
            </w:tcBorders>
            <w:vAlign w:val="center"/>
          </w:tcPr>
          <w:p w14:paraId="6969003B">
            <w:pPr>
              <w:widowControl w:val="0"/>
              <w:spacing w:line="360" w:lineRule="auto"/>
              <w:jc w:val="center"/>
              <w:rPr>
                <w:rFonts w:ascii="Times New Roman" w:hAnsi="Times New Roman"/>
                <w:sz w:val="24"/>
                <w:szCs w:val="24"/>
              </w:rPr>
            </w:pPr>
            <w:r>
              <w:rPr>
                <w:rFonts w:ascii="Times New Roman" w:hAnsi="Times New Roman"/>
                <w:sz w:val="24"/>
                <w:szCs w:val="24"/>
              </w:rPr>
              <w:t>10.88</w:t>
            </w:r>
            <w:r>
              <w:rPr>
                <w:rFonts w:ascii="Times New Roman" w:hAnsi="Times New Roman"/>
                <w:sz w:val="24"/>
                <w:szCs w:val="24"/>
                <w:vertAlign w:val="superscript"/>
              </w:rPr>
              <w:t xml:space="preserve">a </w:t>
            </w:r>
            <w:r>
              <w:rPr>
                <w:rFonts w:ascii="Times New Roman" w:hAnsi="Times New Roman"/>
                <w:sz w:val="24"/>
                <w:szCs w:val="24"/>
              </w:rPr>
              <w:t>± 0.16</w:t>
            </w:r>
          </w:p>
        </w:tc>
        <w:tc>
          <w:tcPr>
            <w:tcW w:w="1638" w:type="dxa"/>
            <w:tcBorders>
              <w:top w:val="single" w:color="auto" w:sz="4" w:space="0"/>
              <w:left w:val="single" w:color="auto" w:sz="4" w:space="0"/>
              <w:bottom w:val="single" w:color="auto" w:sz="4" w:space="0"/>
              <w:right w:val="single" w:color="auto" w:sz="4" w:space="0"/>
            </w:tcBorders>
            <w:vAlign w:val="center"/>
          </w:tcPr>
          <w:p w14:paraId="7C3ACFC4">
            <w:pPr>
              <w:widowControl w:val="0"/>
              <w:spacing w:line="360" w:lineRule="auto"/>
              <w:jc w:val="center"/>
              <w:rPr>
                <w:rFonts w:ascii="Times New Roman" w:hAnsi="Times New Roman"/>
                <w:sz w:val="24"/>
                <w:szCs w:val="24"/>
              </w:rPr>
            </w:pPr>
            <w:r>
              <w:rPr>
                <w:rFonts w:ascii="Times New Roman" w:hAnsi="Times New Roman"/>
                <w:sz w:val="24"/>
                <w:szCs w:val="24"/>
              </w:rPr>
              <w:t>11.13</w:t>
            </w:r>
            <w:r>
              <w:rPr>
                <w:rFonts w:ascii="Times New Roman" w:hAnsi="Times New Roman"/>
                <w:sz w:val="24"/>
                <w:szCs w:val="24"/>
                <w:vertAlign w:val="superscript"/>
              </w:rPr>
              <w:t>a</w:t>
            </w:r>
            <w:r>
              <w:rPr>
                <w:rFonts w:ascii="Times New Roman" w:hAnsi="Times New Roman"/>
                <w:sz w:val="24"/>
                <w:szCs w:val="24"/>
              </w:rPr>
              <w:t xml:space="preserve"> ± 0.16</w:t>
            </w:r>
          </w:p>
        </w:tc>
        <w:tc>
          <w:tcPr>
            <w:tcW w:w="1638" w:type="dxa"/>
            <w:tcBorders>
              <w:top w:val="single" w:color="auto" w:sz="4" w:space="0"/>
              <w:left w:val="single" w:color="auto" w:sz="4" w:space="0"/>
              <w:bottom w:val="single" w:color="auto" w:sz="4" w:space="0"/>
              <w:right w:val="single" w:color="auto" w:sz="4" w:space="0"/>
            </w:tcBorders>
            <w:vAlign w:val="center"/>
          </w:tcPr>
          <w:p w14:paraId="77418776">
            <w:pPr>
              <w:widowControl w:val="0"/>
              <w:spacing w:line="360" w:lineRule="auto"/>
              <w:jc w:val="center"/>
              <w:rPr>
                <w:rFonts w:ascii="Times New Roman" w:hAnsi="Times New Roman"/>
                <w:sz w:val="24"/>
                <w:szCs w:val="24"/>
              </w:rPr>
            </w:pPr>
            <w:r>
              <w:rPr>
                <w:rFonts w:ascii="Times New Roman" w:hAnsi="Times New Roman"/>
                <w:sz w:val="24"/>
                <w:szCs w:val="24"/>
              </w:rPr>
              <w:t>11.68</w:t>
            </w:r>
            <w:r>
              <w:rPr>
                <w:rFonts w:ascii="Times New Roman" w:hAnsi="Times New Roman"/>
                <w:sz w:val="24"/>
                <w:szCs w:val="24"/>
                <w:vertAlign w:val="superscript"/>
              </w:rPr>
              <w:t>b</w:t>
            </w:r>
            <w:r>
              <w:rPr>
                <w:rFonts w:ascii="Times New Roman" w:hAnsi="Times New Roman"/>
                <w:sz w:val="24"/>
                <w:szCs w:val="24"/>
              </w:rPr>
              <w:t xml:space="preserve"> ± 0.15</w:t>
            </w:r>
          </w:p>
        </w:tc>
        <w:tc>
          <w:tcPr>
            <w:tcW w:w="1638" w:type="dxa"/>
            <w:tcBorders>
              <w:top w:val="single" w:color="auto" w:sz="4" w:space="0"/>
              <w:left w:val="single" w:color="auto" w:sz="4" w:space="0"/>
              <w:bottom w:val="single" w:color="auto" w:sz="4" w:space="0"/>
              <w:right w:val="single" w:color="auto" w:sz="4" w:space="0"/>
            </w:tcBorders>
            <w:vAlign w:val="center"/>
          </w:tcPr>
          <w:p w14:paraId="27F6C469">
            <w:pPr>
              <w:widowControl w:val="0"/>
              <w:spacing w:line="360" w:lineRule="auto"/>
              <w:jc w:val="center"/>
              <w:rPr>
                <w:rFonts w:ascii="Times New Roman" w:hAnsi="Times New Roman"/>
                <w:sz w:val="24"/>
                <w:szCs w:val="24"/>
              </w:rPr>
            </w:pPr>
            <w:r>
              <w:rPr>
                <w:rFonts w:ascii="Times New Roman" w:hAnsi="Times New Roman"/>
                <w:sz w:val="24"/>
                <w:szCs w:val="24"/>
              </w:rPr>
              <w:t>11.85</w:t>
            </w:r>
            <w:r>
              <w:rPr>
                <w:rFonts w:ascii="Times New Roman" w:hAnsi="Times New Roman"/>
                <w:sz w:val="24"/>
                <w:szCs w:val="24"/>
                <w:vertAlign w:val="superscript"/>
              </w:rPr>
              <w:t>b</w:t>
            </w:r>
            <w:r>
              <w:rPr>
                <w:rFonts w:ascii="Times New Roman" w:hAnsi="Times New Roman"/>
                <w:sz w:val="24"/>
                <w:szCs w:val="24"/>
              </w:rPr>
              <w:t xml:space="preserve"> ± 0.15</w:t>
            </w:r>
          </w:p>
        </w:tc>
        <w:tc>
          <w:tcPr>
            <w:tcW w:w="1639" w:type="dxa"/>
            <w:tcBorders>
              <w:top w:val="single" w:color="auto" w:sz="4" w:space="0"/>
              <w:left w:val="single" w:color="auto" w:sz="4" w:space="0"/>
              <w:bottom w:val="single" w:color="auto" w:sz="4" w:space="0"/>
              <w:right w:val="single" w:color="auto" w:sz="4" w:space="0"/>
            </w:tcBorders>
            <w:vAlign w:val="center"/>
          </w:tcPr>
          <w:p w14:paraId="40D9C470">
            <w:pPr>
              <w:widowControl w:val="0"/>
              <w:spacing w:line="360" w:lineRule="auto"/>
              <w:jc w:val="center"/>
              <w:rPr>
                <w:rFonts w:ascii="Times New Roman" w:hAnsi="Times New Roman"/>
                <w:sz w:val="24"/>
                <w:szCs w:val="24"/>
              </w:rPr>
            </w:pPr>
            <w:r>
              <w:rPr>
                <w:rFonts w:ascii="Times New Roman" w:hAnsi="Times New Roman"/>
                <w:sz w:val="24"/>
                <w:szCs w:val="24"/>
              </w:rPr>
              <w:t>12.03</w:t>
            </w:r>
            <w:r>
              <w:rPr>
                <w:rFonts w:ascii="Times New Roman" w:hAnsi="Times New Roman"/>
                <w:sz w:val="24"/>
                <w:szCs w:val="24"/>
                <w:vertAlign w:val="superscript"/>
              </w:rPr>
              <w:t>b</w:t>
            </w:r>
            <w:r>
              <w:rPr>
                <w:rFonts w:ascii="Times New Roman" w:hAnsi="Times New Roman"/>
                <w:sz w:val="24"/>
                <w:szCs w:val="24"/>
              </w:rPr>
              <w:t xml:space="preserve"> ± 0.16</w:t>
            </w:r>
          </w:p>
        </w:tc>
        <w:tc>
          <w:tcPr>
            <w:tcW w:w="1638" w:type="dxa"/>
            <w:tcBorders>
              <w:top w:val="single" w:color="auto" w:sz="4" w:space="0"/>
              <w:left w:val="single" w:color="auto" w:sz="4" w:space="0"/>
              <w:bottom w:val="single" w:color="auto" w:sz="4" w:space="0"/>
              <w:right w:val="single" w:color="auto" w:sz="4" w:space="0"/>
            </w:tcBorders>
            <w:vAlign w:val="center"/>
          </w:tcPr>
          <w:p w14:paraId="7D51E3C9">
            <w:pPr>
              <w:widowControl w:val="0"/>
              <w:spacing w:line="360" w:lineRule="auto"/>
              <w:jc w:val="center"/>
              <w:rPr>
                <w:rFonts w:ascii="Times New Roman" w:hAnsi="Times New Roman"/>
                <w:sz w:val="24"/>
                <w:szCs w:val="24"/>
              </w:rPr>
            </w:pPr>
            <w:r>
              <w:rPr>
                <w:rFonts w:ascii="Times New Roman" w:hAnsi="Times New Roman"/>
                <w:sz w:val="24"/>
                <w:szCs w:val="24"/>
              </w:rPr>
              <w:t>11.52 ± 0.10</w:t>
            </w:r>
            <w:r>
              <w:rPr>
                <w:rFonts w:ascii="Times New Roman" w:hAnsi="Times New Roman"/>
                <w:sz w:val="24"/>
                <w:szCs w:val="24"/>
                <w:vertAlign w:val="superscript"/>
              </w:rPr>
              <w:t>A</w:t>
            </w:r>
            <w:r>
              <w:rPr>
                <w:rFonts w:ascii="Times New Roman" w:hAnsi="Times New Roman"/>
                <w:sz w:val="24"/>
                <w:szCs w:val="24"/>
              </w:rPr>
              <w:t xml:space="preserve"> </w:t>
            </w:r>
          </w:p>
        </w:tc>
      </w:tr>
      <w:tr w14:paraId="314EB3A6">
        <w:trPr>
          <w:trHeight w:val="691" w:hRule="atLeast"/>
        </w:trPr>
        <w:tc>
          <w:tcPr>
            <w:tcW w:w="0" w:type="auto"/>
            <w:vMerge w:val="continue"/>
            <w:tcBorders>
              <w:top w:val="nil"/>
              <w:left w:val="single" w:color="auto" w:sz="4" w:space="0"/>
              <w:bottom w:val="single" w:color="auto" w:sz="4" w:space="0"/>
              <w:right w:val="single" w:color="auto" w:sz="4" w:space="0"/>
            </w:tcBorders>
            <w:vAlign w:val="center"/>
          </w:tcPr>
          <w:p w14:paraId="16DFDE98">
            <w:pPr>
              <w:widowControl w:val="0"/>
              <w:spacing w:line="360" w:lineRule="auto"/>
              <w:jc w:val="both"/>
              <w:rPr>
                <w:rFonts w:ascii="Times New Roman Bold" w:hAnsi="Times New Roman Bold" w:cs="Times New Roman Bold"/>
                <w:b/>
                <w:bCs/>
                <w:sz w:val="24"/>
                <w:szCs w:val="24"/>
              </w:rPr>
            </w:pPr>
          </w:p>
        </w:tc>
        <w:tc>
          <w:tcPr>
            <w:tcW w:w="0" w:type="auto"/>
            <w:gridSpan w:val="2"/>
            <w:vMerge w:val="continue"/>
            <w:tcBorders>
              <w:top w:val="nil"/>
              <w:left w:val="single" w:color="auto" w:sz="4" w:space="0"/>
              <w:bottom w:val="single" w:color="auto" w:sz="4" w:space="0"/>
              <w:right w:val="single" w:color="auto" w:sz="4" w:space="0"/>
            </w:tcBorders>
            <w:vAlign w:val="center"/>
          </w:tcPr>
          <w:p w14:paraId="256B3800">
            <w:pPr>
              <w:widowControl w:val="0"/>
              <w:spacing w:line="360" w:lineRule="auto"/>
              <w:jc w:val="both"/>
              <w:rPr>
                <w:rFonts w:ascii="Times New Roman Bold" w:hAnsi="Times New Roman Bold" w:cs="Times New Roman Bold"/>
                <w:b/>
                <w:bCs/>
                <w:sz w:val="24"/>
                <w:szCs w:val="24"/>
              </w:rPr>
            </w:pPr>
          </w:p>
        </w:tc>
        <w:tc>
          <w:tcPr>
            <w:tcW w:w="1640" w:type="dxa"/>
            <w:tcBorders>
              <w:top w:val="single" w:color="auto" w:sz="4" w:space="0"/>
              <w:left w:val="single" w:color="auto" w:sz="4" w:space="0"/>
              <w:bottom w:val="single" w:color="auto" w:sz="4" w:space="0"/>
              <w:right w:val="single" w:color="auto" w:sz="4" w:space="0"/>
            </w:tcBorders>
            <w:vAlign w:val="center"/>
          </w:tcPr>
          <w:p w14:paraId="1D50161E">
            <w:pPr>
              <w:widowControl w:val="0"/>
              <w:spacing w:line="36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Group II</w:t>
            </w:r>
          </w:p>
          <w:p w14:paraId="246D46A1">
            <w:pPr>
              <w:widowControl w:val="0"/>
              <w:spacing w:line="360" w:lineRule="auto"/>
              <w:jc w:val="both"/>
              <w:rPr>
                <w:rFonts w:ascii="Times New Roman Bold" w:hAnsi="Times New Roman Bold" w:cs="Times New Roman Bold"/>
                <w:b/>
                <w:bCs/>
                <w:sz w:val="24"/>
                <w:szCs w:val="24"/>
              </w:rPr>
            </w:pPr>
          </w:p>
        </w:tc>
        <w:tc>
          <w:tcPr>
            <w:tcW w:w="1638" w:type="dxa"/>
            <w:tcBorders>
              <w:top w:val="single" w:color="auto" w:sz="4" w:space="0"/>
              <w:left w:val="single" w:color="auto" w:sz="4" w:space="0"/>
              <w:bottom w:val="single" w:color="auto" w:sz="4" w:space="0"/>
              <w:right w:val="single" w:color="auto" w:sz="4" w:space="0"/>
            </w:tcBorders>
            <w:vAlign w:val="center"/>
          </w:tcPr>
          <w:p w14:paraId="0F3B5E24">
            <w:pPr>
              <w:widowControl w:val="0"/>
              <w:spacing w:line="360" w:lineRule="auto"/>
              <w:jc w:val="center"/>
              <w:rPr>
                <w:rFonts w:ascii="Times New Roman" w:hAnsi="Times New Roman"/>
                <w:sz w:val="24"/>
                <w:szCs w:val="24"/>
              </w:rPr>
            </w:pPr>
            <w:r>
              <w:rPr>
                <w:rFonts w:ascii="Times New Roman" w:hAnsi="Times New Roman"/>
                <w:sz w:val="24"/>
                <w:szCs w:val="24"/>
              </w:rPr>
              <w:t>11.27</w:t>
            </w:r>
            <w:r>
              <w:rPr>
                <w:rFonts w:ascii="Times New Roman" w:hAnsi="Times New Roman"/>
                <w:sz w:val="24"/>
                <w:szCs w:val="24"/>
                <w:vertAlign w:val="superscript"/>
              </w:rPr>
              <w:t>a</w:t>
            </w:r>
            <w:r>
              <w:rPr>
                <w:rFonts w:ascii="Times New Roman" w:hAnsi="Times New Roman"/>
                <w:sz w:val="24"/>
                <w:szCs w:val="24"/>
              </w:rPr>
              <w:t xml:space="preserve"> ± 0.14</w:t>
            </w:r>
          </w:p>
        </w:tc>
        <w:tc>
          <w:tcPr>
            <w:tcW w:w="1638" w:type="dxa"/>
            <w:tcBorders>
              <w:top w:val="single" w:color="auto" w:sz="4" w:space="0"/>
              <w:left w:val="single" w:color="auto" w:sz="4" w:space="0"/>
              <w:bottom w:val="single" w:color="auto" w:sz="4" w:space="0"/>
              <w:right w:val="single" w:color="auto" w:sz="4" w:space="0"/>
            </w:tcBorders>
            <w:vAlign w:val="center"/>
          </w:tcPr>
          <w:p w14:paraId="739741C6">
            <w:pPr>
              <w:widowControl w:val="0"/>
              <w:spacing w:line="360" w:lineRule="auto"/>
              <w:jc w:val="center"/>
              <w:rPr>
                <w:rFonts w:ascii="Times New Roman" w:hAnsi="Times New Roman"/>
                <w:sz w:val="24"/>
                <w:szCs w:val="24"/>
              </w:rPr>
            </w:pPr>
            <w:r>
              <w:rPr>
                <w:rFonts w:ascii="Times New Roman" w:hAnsi="Times New Roman"/>
                <w:sz w:val="24"/>
                <w:szCs w:val="24"/>
              </w:rPr>
              <w:t>11.60</w:t>
            </w:r>
            <w:r>
              <w:rPr>
                <w:rFonts w:ascii="Times New Roman" w:hAnsi="Times New Roman"/>
                <w:sz w:val="24"/>
                <w:szCs w:val="24"/>
                <w:vertAlign w:val="superscript"/>
              </w:rPr>
              <w:t>a</w:t>
            </w:r>
            <w:r>
              <w:rPr>
                <w:rFonts w:ascii="Times New Roman" w:hAnsi="Times New Roman"/>
                <w:sz w:val="24"/>
                <w:szCs w:val="24"/>
              </w:rPr>
              <w:t xml:space="preserve"> ± 0.15</w:t>
            </w:r>
          </w:p>
        </w:tc>
        <w:tc>
          <w:tcPr>
            <w:tcW w:w="1638" w:type="dxa"/>
            <w:tcBorders>
              <w:top w:val="single" w:color="auto" w:sz="4" w:space="0"/>
              <w:left w:val="single" w:color="auto" w:sz="4" w:space="0"/>
              <w:bottom w:val="single" w:color="auto" w:sz="4" w:space="0"/>
              <w:right w:val="single" w:color="auto" w:sz="4" w:space="0"/>
            </w:tcBorders>
            <w:vAlign w:val="center"/>
          </w:tcPr>
          <w:p w14:paraId="0CC339B3">
            <w:pPr>
              <w:widowControl w:val="0"/>
              <w:spacing w:line="360" w:lineRule="auto"/>
              <w:jc w:val="center"/>
              <w:rPr>
                <w:rFonts w:ascii="Times New Roman" w:hAnsi="Times New Roman"/>
                <w:sz w:val="24"/>
                <w:szCs w:val="24"/>
              </w:rPr>
            </w:pPr>
            <w:r>
              <w:rPr>
                <w:rFonts w:ascii="Times New Roman" w:hAnsi="Times New Roman"/>
                <w:sz w:val="24"/>
                <w:szCs w:val="24"/>
              </w:rPr>
              <w:t>12.13</w:t>
            </w:r>
            <w:r>
              <w:rPr>
                <w:rFonts w:ascii="Times New Roman" w:hAnsi="Times New Roman"/>
                <w:sz w:val="24"/>
                <w:szCs w:val="24"/>
                <w:vertAlign w:val="superscript"/>
              </w:rPr>
              <w:t>b</w:t>
            </w:r>
            <w:r>
              <w:rPr>
                <w:rFonts w:ascii="Times New Roman" w:hAnsi="Times New Roman"/>
                <w:sz w:val="24"/>
                <w:szCs w:val="24"/>
              </w:rPr>
              <w:t xml:space="preserve"> ± 0.18</w:t>
            </w:r>
          </w:p>
        </w:tc>
        <w:tc>
          <w:tcPr>
            <w:tcW w:w="1638" w:type="dxa"/>
            <w:tcBorders>
              <w:top w:val="single" w:color="auto" w:sz="4" w:space="0"/>
              <w:left w:val="single" w:color="auto" w:sz="4" w:space="0"/>
              <w:bottom w:val="single" w:color="auto" w:sz="4" w:space="0"/>
              <w:right w:val="single" w:color="auto" w:sz="4" w:space="0"/>
            </w:tcBorders>
            <w:vAlign w:val="center"/>
          </w:tcPr>
          <w:p w14:paraId="388949BE">
            <w:pPr>
              <w:widowControl w:val="0"/>
              <w:spacing w:line="360" w:lineRule="auto"/>
              <w:jc w:val="center"/>
              <w:rPr>
                <w:rFonts w:ascii="Times New Roman" w:hAnsi="Times New Roman"/>
                <w:sz w:val="24"/>
                <w:szCs w:val="24"/>
              </w:rPr>
            </w:pPr>
            <w:r>
              <w:rPr>
                <w:rFonts w:ascii="Times New Roman" w:hAnsi="Times New Roman"/>
                <w:sz w:val="24"/>
                <w:szCs w:val="24"/>
              </w:rPr>
              <w:t>12.38</w:t>
            </w:r>
            <w:r>
              <w:rPr>
                <w:rFonts w:ascii="Times New Roman" w:hAnsi="Times New Roman"/>
                <w:sz w:val="24"/>
                <w:szCs w:val="24"/>
                <w:vertAlign w:val="superscript"/>
              </w:rPr>
              <w:t>b</w:t>
            </w:r>
            <w:r>
              <w:rPr>
                <w:rFonts w:ascii="Times New Roman" w:hAnsi="Times New Roman"/>
                <w:sz w:val="24"/>
                <w:szCs w:val="24"/>
              </w:rPr>
              <w:t xml:space="preserve"> ± 0.18</w:t>
            </w:r>
          </w:p>
        </w:tc>
        <w:tc>
          <w:tcPr>
            <w:tcW w:w="1639" w:type="dxa"/>
            <w:tcBorders>
              <w:top w:val="single" w:color="auto" w:sz="4" w:space="0"/>
              <w:left w:val="single" w:color="auto" w:sz="4" w:space="0"/>
              <w:bottom w:val="single" w:color="auto" w:sz="4" w:space="0"/>
              <w:right w:val="single" w:color="auto" w:sz="4" w:space="0"/>
            </w:tcBorders>
            <w:vAlign w:val="center"/>
          </w:tcPr>
          <w:p w14:paraId="05DEBCF8">
            <w:pPr>
              <w:widowControl w:val="0"/>
              <w:spacing w:line="360" w:lineRule="auto"/>
              <w:jc w:val="center"/>
              <w:rPr>
                <w:rFonts w:ascii="Times New Roman" w:hAnsi="Times New Roman"/>
                <w:sz w:val="24"/>
                <w:szCs w:val="24"/>
              </w:rPr>
            </w:pPr>
            <w:r>
              <w:rPr>
                <w:rFonts w:ascii="Times New Roman" w:hAnsi="Times New Roman"/>
                <w:sz w:val="24"/>
                <w:szCs w:val="24"/>
              </w:rPr>
              <w:t>12.55</w:t>
            </w:r>
            <w:r>
              <w:rPr>
                <w:rFonts w:ascii="Times New Roman" w:hAnsi="Times New Roman"/>
                <w:sz w:val="24"/>
                <w:szCs w:val="24"/>
                <w:vertAlign w:val="superscript"/>
              </w:rPr>
              <w:t>b</w:t>
            </w:r>
            <w:r>
              <w:rPr>
                <w:rFonts w:ascii="Times New Roman" w:hAnsi="Times New Roman"/>
                <w:sz w:val="24"/>
                <w:szCs w:val="24"/>
              </w:rPr>
              <w:t xml:space="preserve"> ± 0.19</w:t>
            </w:r>
          </w:p>
        </w:tc>
        <w:tc>
          <w:tcPr>
            <w:tcW w:w="1638" w:type="dxa"/>
            <w:tcBorders>
              <w:top w:val="single" w:color="auto" w:sz="4" w:space="0"/>
              <w:left w:val="single" w:color="auto" w:sz="4" w:space="0"/>
              <w:bottom w:val="single" w:color="auto" w:sz="4" w:space="0"/>
              <w:right w:val="single" w:color="auto" w:sz="4" w:space="0"/>
            </w:tcBorders>
            <w:vAlign w:val="center"/>
          </w:tcPr>
          <w:p w14:paraId="4D041962">
            <w:pPr>
              <w:widowControl w:val="0"/>
              <w:spacing w:line="360" w:lineRule="auto"/>
              <w:jc w:val="center"/>
              <w:rPr>
                <w:rFonts w:ascii="Times New Roman" w:hAnsi="Times New Roman"/>
                <w:sz w:val="24"/>
                <w:szCs w:val="24"/>
                <w:vertAlign w:val="superscript"/>
              </w:rPr>
            </w:pPr>
            <w:r>
              <w:rPr>
                <w:rFonts w:ascii="Times New Roman" w:hAnsi="Times New Roman"/>
                <w:sz w:val="24"/>
                <w:szCs w:val="24"/>
              </w:rPr>
              <w:t>11.99 ± 0.11</w:t>
            </w:r>
            <w:r>
              <w:rPr>
                <w:rFonts w:ascii="Times New Roman" w:hAnsi="Times New Roman"/>
                <w:sz w:val="24"/>
                <w:szCs w:val="24"/>
                <w:vertAlign w:val="superscript"/>
              </w:rPr>
              <w:t>B</w:t>
            </w:r>
          </w:p>
        </w:tc>
      </w:tr>
      <w:tr w14:paraId="1BE15E45">
        <w:trPr>
          <w:trHeight w:val="691" w:hRule="atLeast"/>
        </w:trPr>
        <w:tc>
          <w:tcPr>
            <w:tcW w:w="1125" w:type="dxa"/>
            <w:vMerge w:val="restart"/>
            <w:tcBorders>
              <w:top w:val="nil"/>
              <w:left w:val="single" w:color="auto" w:sz="4" w:space="0"/>
              <w:bottom w:val="single" w:color="auto" w:sz="4" w:space="0"/>
              <w:right w:val="single" w:color="auto" w:sz="4" w:space="0"/>
            </w:tcBorders>
            <w:vAlign w:val="center"/>
          </w:tcPr>
          <w:p w14:paraId="334EA220">
            <w:pPr>
              <w:widowControl w:val="0"/>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2</w:t>
            </w:r>
          </w:p>
        </w:tc>
        <w:tc>
          <w:tcPr>
            <w:tcW w:w="2184" w:type="dxa"/>
            <w:gridSpan w:val="2"/>
            <w:vMerge w:val="restart"/>
            <w:tcBorders>
              <w:top w:val="nil"/>
              <w:left w:val="single" w:color="auto" w:sz="4" w:space="0"/>
              <w:bottom w:val="single" w:color="auto" w:sz="4" w:space="0"/>
              <w:right w:val="single" w:color="auto" w:sz="4" w:space="0"/>
            </w:tcBorders>
            <w:vAlign w:val="center"/>
          </w:tcPr>
          <w:p w14:paraId="6AAE6FA7">
            <w:pPr>
              <w:widowControl w:val="0"/>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PCV (%)</w:t>
            </w:r>
          </w:p>
        </w:tc>
        <w:tc>
          <w:tcPr>
            <w:tcW w:w="1640" w:type="dxa"/>
            <w:tcBorders>
              <w:top w:val="single" w:color="auto" w:sz="4" w:space="0"/>
              <w:left w:val="single" w:color="auto" w:sz="4" w:space="0"/>
              <w:bottom w:val="single" w:color="auto" w:sz="4" w:space="0"/>
              <w:right w:val="single" w:color="auto" w:sz="4" w:space="0"/>
            </w:tcBorders>
            <w:vAlign w:val="center"/>
          </w:tcPr>
          <w:p w14:paraId="40FE4531">
            <w:pPr>
              <w:widowControl w:val="0"/>
              <w:spacing w:line="36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Group I</w:t>
            </w:r>
          </w:p>
          <w:p w14:paraId="75B13560">
            <w:pPr>
              <w:widowControl w:val="0"/>
              <w:spacing w:line="360" w:lineRule="auto"/>
              <w:jc w:val="both"/>
              <w:rPr>
                <w:rFonts w:ascii="Times New Roman Bold" w:hAnsi="Times New Roman Bold" w:cs="Times New Roman Bold"/>
                <w:b/>
                <w:bCs/>
                <w:sz w:val="24"/>
                <w:szCs w:val="24"/>
              </w:rPr>
            </w:pPr>
          </w:p>
        </w:tc>
        <w:tc>
          <w:tcPr>
            <w:tcW w:w="1638" w:type="dxa"/>
            <w:tcBorders>
              <w:top w:val="single" w:color="auto" w:sz="4" w:space="0"/>
              <w:left w:val="single" w:color="auto" w:sz="4" w:space="0"/>
              <w:bottom w:val="single" w:color="auto" w:sz="4" w:space="0"/>
              <w:right w:val="single" w:color="auto" w:sz="4" w:space="0"/>
            </w:tcBorders>
            <w:vAlign w:val="center"/>
          </w:tcPr>
          <w:p w14:paraId="2A599624">
            <w:pPr>
              <w:widowControl w:val="0"/>
              <w:spacing w:line="360" w:lineRule="auto"/>
              <w:jc w:val="center"/>
              <w:rPr>
                <w:rFonts w:ascii="Times New Roman" w:hAnsi="Times New Roman"/>
                <w:sz w:val="24"/>
                <w:szCs w:val="24"/>
              </w:rPr>
            </w:pPr>
            <w:r>
              <w:rPr>
                <w:rFonts w:ascii="Times New Roman" w:hAnsi="Times New Roman"/>
                <w:sz w:val="24"/>
                <w:szCs w:val="24"/>
              </w:rPr>
              <w:t>34.02</w:t>
            </w:r>
            <w:r>
              <w:rPr>
                <w:rFonts w:ascii="Times New Roman" w:hAnsi="Times New Roman"/>
                <w:sz w:val="24"/>
                <w:szCs w:val="24"/>
                <w:vertAlign w:val="superscript"/>
              </w:rPr>
              <w:t>a</w:t>
            </w:r>
            <w:r>
              <w:rPr>
                <w:rFonts w:ascii="Times New Roman" w:hAnsi="Times New Roman"/>
                <w:sz w:val="24"/>
                <w:szCs w:val="24"/>
              </w:rPr>
              <w:t xml:space="preserve"> ± 0.41</w:t>
            </w:r>
          </w:p>
        </w:tc>
        <w:tc>
          <w:tcPr>
            <w:tcW w:w="1638" w:type="dxa"/>
            <w:tcBorders>
              <w:top w:val="single" w:color="auto" w:sz="4" w:space="0"/>
              <w:left w:val="single" w:color="auto" w:sz="4" w:space="0"/>
              <w:bottom w:val="single" w:color="auto" w:sz="4" w:space="0"/>
              <w:right w:val="single" w:color="auto" w:sz="4" w:space="0"/>
            </w:tcBorders>
            <w:vAlign w:val="center"/>
          </w:tcPr>
          <w:p w14:paraId="49E1BD11">
            <w:pPr>
              <w:widowControl w:val="0"/>
              <w:spacing w:line="360" w:lineRule="auto"/>
              <w:jc w:val="center"/>
              <w:rPr>
                <w:rFonts w:ascii="Times New Roman" w:hAnsi="Times New Roman"/>
                <w:sz w:val="24"/>
                <w:szCs w:val="24"/>
              </w:rPr>
            </w:pPr>
            <w:r>
              <w:rPr>
                <w:rFonts w:ascii="Times New Roman" w:hAnsi="Times New Roman"/>
                <w:sz w:val="24"/>
                <w:szCs w:val="24"/>
              </w:rPr>
              <w:t>35.52</w:t>
            </w:r>
            <w:r>
              <w:rPr>
                <w:rFonts w:ascii="Times New Roman" w:hAnsi="Times New Roman"/>
                <w:sz w:val="24"/>
                <w:szCs w:val="24"/>
                <w:vertAlign w:val="superscript"/>
              </w:rPr>
              <w:t>b</w:t>
            </w:r>
            <w:r>
              <w:rPr>
                <w:rFonts w:ascii="Times New Roman" w:hAnsi="Times New Roman"/>
                <w:sz w:val="24"/>
                <w:szCs w:val="24"/>
              </w:rPr>
              <w:t xml:space="preserve"> ± 0.40</w:t>
            </w:r>
          </w:p>
        </w:tc>
        <w:tc>
          <w:tcPr>
            <w:tcW w:w="1638" w:type="dxa"/>
            <w:tcBorders>
              <w:top w:val="single" w:color="auto" w:sz="4" w:space="0"/>
              <w:left w:val="single" w:color="auto" w:sz="4" w:space="0"/>
              <w:bottom w:val="single" w:color="auto" w:sz="4" w:space="0"/>
              <w:right w:val="single" w:color="auto" w:sz="4" w:space="0"/>
            </w:tcBorders>
            <w:vAlign w:val="center"/>
          </w:tcPr>
          <w:p w14:paraId="741F14C8">
            <w:pPr>
              <w:widowControl w:val="0"/>
              <w:spacing w:line="360" w:lineRule="auto"/>
              <w:jc w:val="center"/>
              <w:rPr>
                <w:rFonts w:ascii="Times New Roman" w:hAnsi="Times New Roman"/>
                <w:sz w:val="24"/>
                <w:szCs w:val="24"/>
              </w:rPr>
            </w:pPr>
            <w:r>
              <w:rPr>
                <w:rFonts w:ascii="Times New Roman" w:hAnsi="Times New Roman"/>
                <w:sz w:val="24"/>
                <w:szCs w:val="24"/>
              </w:rPr>
              <w:t>37.72</w:t>
            </w:r>
            <w:r>
              <w:rPr>
                <w:rFonts w:ascii="Times New Roman" w:hAnsi="Times New Roman"/>
                <w:sz w:val="24"/>
                <w:szCs w:val="24"/>
                <w:vertAlign w:val="superscript"/>
              </w:rPr>
              <w:t>c</w:t>
            </w:r>
            <w:r>
              <w:rPr>
                <w:rFonts w:ascii="Times New Roman" w:hAnsi="Times New Roman"/>
                <w:sz w:val="24"/>
                <w:szCs w:val="24"/>
              </w:rPr>
              <w:t xml:space="preserve"> ± 0.46</w:t>
            </w:r>
          </w:p>
        </w:tc>
        <w:tc>
          <w:tcPr>
            <w:tcW w:w="1638" w:type="dxa"/>
            <w:tcBorders>
              <w:top w:val="single" w:color="auto" w:sz="4" w:space="0"/>
              <w:left w:val="single" w:color="auto" w:sz="4" w:space="0"/>
              <w:bottom w:val="single" w:color="auto" w:sz="4" w:space="0"/>
              <w:right w:val="single" w:color="auto" w:sz="4" w:space="0"/>
            </w:tcBorders>
            <w:vAlign w:val="center"/>
          </w:tcPr>
          <w:p w14:paraId="676D342A">
            <w:pPr>
              <w:widowControl w:val="0"/>
              <w:spacing w:line="360" w:lineRule="auto"/>
              <w:jc w:val="center"/>
              <w:rPr>
                <w:rFonts w:ascii="Times New Roman" w:hAnsi="Times New Roman"/>
                <w:sz w:val="24"/>
                <w:szCs w:val="24"/>
              </w:rPr>
            </w:pPr>
            <w:r>
              <w:rPr>
                <w:rFonts w:ascii="Times New Roman" w:hAnsi="Times New Roman"/>
                <w:sz w:val="24"/>
                <w:szCs w:val="24"/>
              </w:rPr>
              <w:t>39.55</w:t>
            </w:r>
            <w:r>
              <w:rPr>
                <w:rFonts w:ascii="Times New Roman" w:hAnsi="Times New Roman"/>
                <w:sz w:val="24"/>
                <w:szCs w:val="24"/>
                <w:vertAlign w:val="superscript"/>
              </w:rPr>
              <w:t>d</w:t>
            </w:r>
            <w:r>
              <w:rPr>
                <w:rFonts w:ascii="Times New Roman" w:hAnsi="Times New Roman"/>
                <w:sz w:val="24"/>
                <w:szCs w:val="24"/>
              </w:rPr>
              <w:t xml:space="preserve"> ± 0.27</w:t>
            </w:r>
          </w:p>
        </w:tc>
        <w:tc>
          <w:tcPr>
            <w:tcW w:w="1639" w:type="dxa"/>
            <w:tcBorders>
              <w:top w:val="single" w:color="auto" w:sz="4" w:space="0"/>
              <w:left w:val="single" w:color="auto" w:sz="4" w:space="0"/>
              <w:bottom w:val="single" w:color="auto" w:sz="4" w:space="0"/>
              <w:right w:val="single" w:color="auto" w:sz="4" w:space="0"/>
            </w:tcBorders>
            <w:vAlign w:val="center"/>
          </w:tcPr>
          <w:p w14:paraId="637724AB">
            <w:pPr>
              <w:widowControl w:val="0"/>
              <w:spacing w:line="360" w:lineRule="auto"/>
              <w:jc w:val="center"/>
              <w:rPr>
                <w:rFonts w:ascii="Times New Roman" w:hAnsi="Times New Roman"/>
                <w:sz w:val="24"/>
                <w:szCs w:val="24"/>
              </w:rPr>
            </w:pPr>
            <w:r>
              <w:rPr>
                <w:rFonts w:ascii="Times New Roman" w:hAnsi="Times New Roman"/>
                <w:sz w:val="24"/>
                <w:szCs w:val="24"/>
              </w:rPr>
              <w:t>40.99</w:t>
            </w:r>
            <w:r>
              <w:rPr>
                <w:rFonts w:ascii="Times New Roman" w:hAnsi="Times New Roman"/>
                <w:sz w:val="24"/>
                <w:szCs w:val="24"/>
                <w:vertAlign w:val="superscript"/>
              </w:rPr>
              <w:t>e</w:t>
            </w:r>
            <w:r>
              <w:rPr>
                <w:rFonts w:ascii="Times New Roman" w:hAnsi="Times New Roman"/>
                <w:sz w:val="24"/>
                <w:szCs w:val="24"/>
              </w:rPr>
              <w:t xml:space="preserve"> ± 0.28</w:t>
            </w:r>
          </w:p>
        </w:tc>
        <w:tc>
          <w:tcPr>
            <w:tcW w:w="1638" w:type="dxa"/>
            <w:tcBorders>
              <w:top w:val="single" w:color="auto" w:sz="4" w:space="0"/>
              <w:left w:val="single" w:color="auto" w:sz="4" w:space="0"/>
              <w:bottom w:val="single" w:color="auto" w:sz="4" w:space="0"/>
              <w:right w:val="single" w:color="auto" w:sz="4" w:space="0"/>
            </w:tcBorders>
            <w:vAlign w:val="center"/>
          </w:tcPr>
          <w:p w14:paraId="6CC6A629">
            <w:pPr>
              <w:widowControl w:val="0"/>
              <w:spacing w:line="360" w:lineRule="auto"/>
              <w:jc w:val="center"/>
              <w:rPr>
                <w:rFonts w:ascii="Times New Roman" w:hAnsi="Times New Roman"/>
                <w:strike/>
                <w:sz w:val="24"/>
                <w:szCs w:val="24"/>
                <w:vertAlign w:val="superscript"/>
              </w:rPr>
            </w:pPr>
            <w:r>
              <w:rPr>
                <w:rFonts w:ascii="Times New Roman" w:hAnsi="Times New Roman"/>
                <w:sz w:val="24"/>
                <w:szCs w:val="24"/>
              </w:rPr>
              <w:t>37.56 ± 0.50</w:t>
            </w:r>
            <w:r>
              <w:rPr>
                <w:rFonts w:ascii="Times New Roman" w:hAnsi="Times New Roman"/>
                <w:sz w:val="24"/>
                <w:szCs w:val="24"/>
                <w:vertAlign w:val="superscript"/>
              </w:rPr>
              <w:t>A</w:t>
            </w:r>
          </w:p>
        </w:tc>
      </w:tr>
      <w:tr w14:paraId="77634BC4">
        <w:trPr>
          <w:trHeight w:val="691" w:hRule="atLeast"/>
        </w:trPr>
        <w:tc>
          <w:tcPr>
            <w:tcW w:w="0" w:type="auto"/>
            <w:vMerge w:val="continue"/>
            <w:tcBorders>
              <w:top w:val="nil"/>
              <w:left w:val="single" w:color="auto" w:sz="4" w:space="0"/>
              <w:bottom w:val="single" w:color="auto" w:sz="4" w:space="0"/>
              <w:right w:val="single" w:color="auto" w:sz="4" w:space="0"/>
            </w:tcBorders>
            <w:vAlign w:val="center"/>
          </w:tcPr>
          <w:p w14:paraId="2FEA3BC8">
            <w:pPr>
              <w:widowControl w:val="0"/>
              <w:spacing w:line="360" w:lineRule="auto"/>
              <w:jc w:val="both"/>
              <w:rPr>
                <w:rFonts w:ascii="Times New Roman Bold" w:hAnsi="Times New Roman Bold" w:cs="Times New Roman Bold"/>
                <w:b/>
                <w:bCs/>
                <w:sz w:val="24"/>
                <w:szCs w:val="24"/>
              </w:rPr>
            </w:pPr>
          </w:p>
        </w:tc>
        <w:tc>
          <w:tcPr>
            <w:tcW w:w="0" w:type="auto"/>
            <w:gridSpan w:val="2"/>
            <w:vMerge w:val="continue"/>
            <w:tcBorders>
              <w:top w:val="nil"/>
              <w:left w:val="single" w:color="auto" w:sz="4" w:space="0"/>
              <w:bottom w:val="single" w:color="auto" w:sz="4" w:space="0"/>
              <w:right w:val="single" w:color="auto" w:sz="4" w:space="0"/>
            </w:tcBorders>
            <w:vAlign w:val="center"/>
          </w:tcPr>
          <w:p w14:paraId="480442C5">
            <w:pPr>
              <w:widowControl w:val="0"/>
              <w:spacing w:line="360" w:lineRule="auto"/>
              <w:jc w:val="both"/>
              <w:rPr>
                <w:rFonts w:ascii="Times New Roman Bold" w:hAnsi="Times New Roman Bold" w:cs="Times New Roman Bold"/>
                <w:b/>
                <w:bCs/>
                <w:sz w:val="24"/>
                <w:szCs w:val="24"/>
              </w:rPr>
            </w:pPr>
          </w:p>
        </w:tc>
        <w:tc>
          <w:tcPr>
            <w:tcW w:w="1640" w:type="dxa"/>
            <w:tcBorders>
              <w:top w:val="single" w:color="auto" w:sz="4" w:space="0"/>
              <w:left w:val="single" w:color="auto" w:sz="4" w:space="0"/>
              <w:bottom w:val="single" w:color="auto" w:sz="4" w:space="0"/>
              <w:right w:val="single" w:color="auto" w:sz="4" w:space="0"/>
            </w:tcBorders>
            <w:vAlign w:val="center"/>
          </w:tcPr>
          <w:p w14:paraId="6682549C">
            <w:pPr>
              <w:widowControl w:val="0"/>
              <w:spacing w:line="36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Group II</w:t>
            </w:r>
          </w:p>
          <w:p w14:paraId="30F4C4BB">
            <w:pPr>
              <w:widowControl w:val="0"/>
              <w:spacing w:line="360" w:lineRule="auto"/>
              <w:jc w:val="both"/>
              <w:rPr>
                <w:rFonts w:ascii="Times New Roman Bold" w:hAnsi="Times New Roman Bold" w:cs="Times New Roman Bold"/>
                <w:b/>
                <w:bCs/>
                <w:sz w:val="24"/>
                <w:szCs w:val="24"/>
              </w:rPr>
            </w:pPr>
          </w:p>
        </w:tc>
        <w:tc>
          <w:tcPr>
            <w:tcW w:w="1638" w:type="dxa"/>
            <w:tcBorders>
              <w:top w:val="single" w:color="auto" w:sz="4" w:space="0"/>
              <w:left w:val="single" w:color="auto" w:sz="4" w:space="0"/>
              <w:bottom w:val="single" w:color="auto" w:sz="4" w:space="0"/>
              <w:right w:val="single" w:color="auto" w:sz="4" w:space="0"/>
            </w:tcBorders>
            <w:vAlign w:val="center"/>
          </w:tcPr>
          <w:p w14:paraId="392C0E87">
            <w:pPr>
              <w:widowControl w:val="0"/>
              <w:spacing w:line="360" w:lineRule="auto"/>
              <w:jc w:val="center"/>
              <w:rPr>
                <w:rFonts w:ascii="Times New Roman" w:hAnsi="Times New Roman"/>
                <w:sz w:val="24"/>
                <w:szCs w:val="24"/>
              </w:rPr>
            </w:pPr>
            <w:r>
              <w:rPr>
                <w:rFonts w:ascii="Times New Roman" w:hAnsi="Times New Roman"/>
                <w:sz w:val="24"/>
                <w:szCs w:val="24"/>
              </w:rPr>
              <w:t>33.90</w:t>
            </w:r>
            <w:r>
              <w:rPr>
                <w:rFonts w:ascii="Times New Roman" w:hAnsi="Times New Roman"/>
                <w:sz w:val="24"/>
                <w:szCs w:val="24"/>
                <w:vertAlign w:val="superscript"/>
              </w:rPr>
              <w:t>a</w:t>
            </w:r>
            <w:r>
              <w:rPr>
                <w:rFonts w:ascii="Times New Roman" w:hAnsi="Times New Roman"/>
                <w:sz w:val="24"/>
                <w:szCs w:val="24"/>
              </w:rPr>
              <w:t xml:space="preserve"> ± 0.18</w:t>
            </w:r>
          </w:p>
        </w:tc>
        <w:tc>
          <w:tcPr>
            <w:tcW w:w="1638" w:type="dxa"/>
            <w:tcBorders>
              <w:top w:val="single" w:color="auto" w:sz="4" w:space="0"/>
              <w:left w:val="single" w:color="auto" w:sz="4" w:space="0"/>
              <w:bottom w:val="single" w:color="auto" w:sz="4" w:space="0"/>
              <w:right w:val="single" w:color="auto" w:sz="4" w:space="0"/>
            </w:tcBorders>
            <w:vAlign w:val="center"/>
          </w:tcPr>
          <w:p w14:paraId="6A362DA7">
            <w:pPr>
              <w:widowControl w:val="0"/>
              <w:spacing w:line="360" w:lineRule="auto"/>
              <w:jc w:val="center"/>
              <w:rPr>
                <w:rFonts w:ascii="Times New Roman" w:hAnsi="Times New Roman"/>
                <w:sz w:val="24"/>
                <w:szCs w:val="24"/>
              </w:rPr>
            </w:pPr>
            <w:r>
              <w:rPr>
                <w:rFonts w:ascii="Times New Roman" w:hAnsi="Times New Roman"/>
                <w:sz w:val="24"/>
                <w:szCs w:val="24"/>
              </w:rPr>
              <w:t>35.63</w:t>
            </w:r>
            <w:r>
              <w:rPr>
                <w:rFonts w:ascii="Times New Roman" w:hAnsi="Times New Roman"/>
                <w:sz w:val="24"/>
                <w:szCs w:val="24"/>
                <w:vertAlign w:val="superscript"/>
              </w:rPr>
              <w:t>b</w:t>
            </w:r>
            <w:r>
              <w:rPr>
                <w:rFonts w:ascii="Times New Roman" w:hAnsi="Times New Roman"/>
                <w:sz w:val="24"/>
                <w:szCs w:val="24"/>
              </w:rPr>
              <w:t xml:space="preserve"> ± 0.13</w:t>
            </w:r>
          </w:p>
        </w:tc>
        <w:tc>
          <w:tcPr>
            <w:tcW w:w="1638" w:type="dxa"/>
            <w:tcBorders>
              <w:top w:val="single" w:color="auto" w:sz="4" w:space="0"/>
              <w:left w:val="single" w:color="auto" w:sz="4" w:space="0"/>
              <w:bottom w:val="single" w:color="auto" w:sz="4" w:space="0"/>
              <w:right w:val="single" w:color="auto" w:sz="4" w:space="0"/>
            </w:tcBorders>
            <w:vAlign w:val="center"/>
          </w:tcPr>
          <w:p w14:paraId="3B824CFD">
            <w:pPr>
              <w:widowControl w:val="0"/>
              <w:spacing w:line="360" w:lineRule="auto"/>
              <w:jc w:val="center"/>
              <w:rPr>
                <w:rFonts w:ascii="Times New Roman" w:hAnsi="Times New Roman"/>
                <w:sz w:val="24"/>
                <w:szCs w:val="24"/>
              </w:rPr>
            </w:pPr>
            <w:r>
              <w:rPr>
                <w:rFonts w:ascii="Times New Roman" w:hAnsi="Times New Roman"/>
                <w:sz w:val="24"/>
                <w:szCs w:val="24"/>
              </w:rPr>
              <w:t>38.15</w:t>
            </w:r>
            <w:r>
              <w:rPr>
                <w:rFonts w:ascii="Times New Roman" w:hAnsi="Times New Roman"/>
                <w:sz w:val="24"/>
                <w:szCs w:val="24"/>
                <w:vertAlign w:val="superscript"/>
              </w:rPr>
              <w:t>c</w:t>
            </w:r>
            <w:r>
              <w:rPr>
                <w:rFonts w:ascii="Times New Roman" w:hAnsi="Times New Roman"/>
                <w:sz w:val="24"/>
                <w:szCs w:val="24"/>
              </w:rPr>
              <w:t xml:space="preserve"> ± 0.27</w:t>
            </w:r>
          </w:p>
        </w:tc>
        <w:tc>
          <w:tcPr>
            <w:tcW w:w="1638" w:type="dxa"/>
            <w:tcBorders>
              <w:top w:val="single" w:color="auto" w:sz="4" w:space="0"/>
              <w:left w:val="single" w:color="auto" w:sz="4" w:space="0"/>
              <w:bottom w:val="single" w:color="auto" w:sz="4" w:space="0"/>
              <w:right w:val="single" w:color="auto" w:sz="4" w:space="0"/>
            </w:tcBorders>
            <w:vAlign w:val="center"/>
          </w:tcPr>
          <w:p w14:paraId="10D06047">
            <w:pPr>
              <w:widowControl w:val="0"/>
              <w:spacing w:line="360" w:lineRule="auto"/>
              <w:jc w:val="center"/>
              <w:rPr>
                <w:rFonts w:ascii="Times New Roman" w:hAnsi="Times New Roman"/>
                <w:sz w:val="24"/>
                <w:szCs w:val="24"/>
              </w:rPr>
            </w:pPr>
            <w:r>
              <w:rPr>
                <w:rFonts w:ascii="Times New Roman" w:hAnsi="Times New Roman"/>
                <w:sz w:val="24"/>
                <w:szCs w:val="24"/>
              </w:rPr>
              <w:t>40.29</w:t>
            </w:r>
            <w:r>
              <w:rPr>
                <w:rFonts w:ascii="Times New Roman" w:hAnsi="Times New Roman"/>
                <w:sz w:val="24"/>
                <w:szCs w:val="24"/>
                <w:vertAlign w:val="superscript"/>
              </w:rPr>
              <w:t>d</w:t>
            </w:r>
            <w:r>
              <w:rPr>
                <w:rFonts w:ascii="Times New Roman" w:hAnsi="Times New Roman"/>
                <w:sz w:val="24"/>
                <w:szCs w:val="24"/>
              </w:rPr>
              <w:t xml:space="preserve"> ± 0.19</w:t>
            </w:r>
          </w:p>
        </w:tc>
        <w:tc>
          <w:tcPr>
            <w:tcW w:w="1639" w:type="dxa"/>
            <w:tcBorders>
              <w:top w:val="single" w:color="auto" w:sz="4" w:space="0"/>
              <w:left w:val="single" w:color="auto" w:sz="4" w:space="0"/>
              <w:bottom w:val="single" w:color="auto" w:sz="4" w:space="0"/>
              <w:right w:val="single" w:color="auto" w:sz="4" w:space="0"/>
            </w:tcBorders>
            <w:vAlign w:val="center"/>
          </w:tcPr>
          <w:p w14:paraId="250A3985">
            <w:pPr>
              <w:widowControl w:val="0"/>
              <w:spacing w:line="360" w:lineRule="auto"/>
              <w:jc w:val="center"/>
              <w:rPr>
                <w:rFonts w:ascii="Times New Roman" w:hAnsi="Times New Roman"/>
                <w:sz w:val="24"/>
                <w:szCs w:val="24"/>
              </w:rPr>
            </w:pPr>
            <w:r>
              <w:rPr>
                <w:rFonts w:ascii="Times New Roman" w:hAnsi="Times New Roman"/>
                <w:sz w:val="24"/>
                <w:szCs w:val="24"/>
              </w:rPr>
              <w:t>41.51</w:t>
            </w:r>
            <w:r>
              <w:rPr>
                <w:rFonts w:ascii="Times New Roman" w:hAnsi="Times New Roman"/>
                <w:sz w:val="24"/>
                <w:szCs w:val="24"/>
                <w:vertAlign w:val="superscript"/>
              </w:rPr>
              <w:t>e</w:t>
            </w:r>
            <w:r>
              <w:rPr>
                <w:rFonts w:ascii="Times New Roman" w:hAnsi="Times New Roman"/>
                <w:sz w:val="24"/>
                <w:szCs w:val="24"/>
              </w:rPr>
              <w:t xml:space="preserve"> ± 1.03</w:t>
            </w:r>
          </w:p>
        </w:tc>
        <w:tc>
          <w:tcPr>
            <w:tcW w:w="1638" w:type="dxa"/>
            <w:tcBorders>
              <w:top w:val="single" w:color="auto" w:sz="4" w:space="0"/>
              <w:left w:val="single" w:color="auto" w:sz="4" w:space="0"/>
              <w:bottom w:val="single" w:color="auto" w:sz="4" w:space="0"/>
              <w:right w:val="single" w:color="auto" w:sz="4" w:space="0"/>
            </w:tcBorders>
            <w:vAlign w:val="center"/>
          </w:tcPr>
          <w:p w14:paraId="144D5FDD">
            <w:pPr>
              <w:widowControl w:val="0"/>
              <w:spacing w:line="360" w:lineRule="auto"/>
              <w:jc w:val="center"/>
              <w:rPr>
                <w:rFonts w:ascii="Times New Roman" w:hAnsi="Times New Roman"/>
                <w:sz w:val="24"/>
                <w:szCs w:val="24"/>
              </w:rPr>
            </w:pPr>
            <w:r>
              <w:rPr>
                <w:rFonts w:ascii="Times New Roman" w:hAnsi="Times New Roman"/>
                <w:sz w:val="24"/>
                <w:szCs w:val="24"/>
              </w:rPr>
              <w:t>37.90 ± 0.54</w:t>
            </w:r>
            <w:r>
              <w:rPr>
                <w:rFonts w:ascii="Times New Roman" w:hAnsi="Times New Roman"/>
                <w:sz w:val="24"/>
                <w:szCs w:val="24"/>
                <w:vertAlign w:val="superscript"/>
              </w:rPr>
              <w:t>A</w:t>
            </w:r>
            <w:r>
              <w:rPr>
                <w:rFonts w:ascii="Times New Roman" w:hAnsi="Times New Roman"/>
                <w:sz w:val="24"/>
                <w:szCs w:val="24"/>
              </w:rPr>
              <w:t xml:space="preserve"> </w:t>
            </w:r>
          </w:p>
        </w:tc>
      </w:tr>
      <w:tr w14:paraId="4C45D76A">
        <w:trPr>
          <w:trHeight w:val="691" w:hRule="atLeast"/>
        </w:trPr>
        <w:tc>
          <w:tcPr>
            <w:tcW w:w="1125" w:type="dxa"/>
            <w:vMerge w:val="restart"/>
            <w:tcBorders>
              <w:top w:val="nil"/>
              <w:left w:val="single" w:color="auto" w:sz="4" w:space="0"/>
              <w:bottom w:val="single" w:color="auto" w:sz="4" w:space="0"/>
              <w:right w:val="single" w:color="auto" w:sz="4" w:space="0"/>
            </w:tcBorders>
            <w:vAlign w:val="center"/>
          </w:tcPr>
          <w:p w14:paraId="375E9E08">
            <w:pPr>
              <w:widowControl w:val="0"/>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3</w:t>
            </w:r>
          </w:p>
        </w:tc>
        <w:tc>
          <w:tcPr>
            <w:tcW w:w="2184" w:type="dxa"/>
            <w:gridSpan w:val="2"/>
            <w:vMerge w:val="restart"/>
            <w:tcBorders>
              <w:top w:val="nil"/>
              <w:left w:val="single" w:color="auto" w:sz="4" w:space="0"/>
              <w:bottom w:val="single" w:color="auto" w:sz="4" w:space="0"/>
              <w:right w:val="single" w:color="auto" w:sz="4" w:space="0"/>
            </w:tcBorders>
            <w:vAlign w:val="center"/>
          </w:tcPr>
          <w:p w14:paraId="43E16E40">
            <w:pPr>
              <w:widowControl w:val="0"/>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TLC (</w:t>
            </w:r>
            <w:r>
              <w:rPr>
                <w:rFonts w:ascii="Arial" w:hAnsi="Arial" w:cs="Arial"/>
                <w:b/>
                <w:bCs/>
                <w:sz w:val="24"/>
                <w:szCs w:val="24"/>
              </w:rPr>
              <w:t>×</w:t>
            </w:r>
            <w:r>
              <w:rPr>
                <w:rFonts w:ascii="Times New Roman Bold" w:hAnsi="Times New Roman Bold" w:cs="Times New Roman Bold"/>
                <w:b/>
                <w:bCs/>
                <w:sz w:val="24"/>
                <w:szCs w:val="24"/>
              </w:rPr>
              <w:t>10</w:t>
            </w:r>
            <w:r>
              <w:rPr>
                <w:rFonts w:ascii="Times New Roman Bold" w:hAnsi="Times New Roman Bold" w:cs="Times New Roman Bold"/>
                <w:b/>
                <w:bCs/>
                <w:sz w:val="24"/>
                <w:szCs w:val="24"/>
                <w:vertAlign w:val="superscript"/>
              </w:rPr>
              <w:t>3</w:t>
            </w:r>
            <w:r>
              <w:rPr>
                <w:rFonts w:ascii="Times New Roman Bold" w:hAnsi="Times New Roman Bold" w:cs="Times New Roman Bold"/>
                <w:b/>
                <w:bCs/>
                <w:sz w:val="24"/>
                <w:szCs w:val="24"/>
              </w:rPr>
              <w:t>/</w:t>
            </w:r>
            <w:r>
              <w:rPr>
                <w:rFonts w:ascii=".AppleSystemUIFont" w:hAnsi=".AppleSystemUIFont"/>
                <w:b/>
                <w:bCs/>
                <w:sz w:val="24"/>
                <w:szCs w:val="24"/>
              </w:rPr>
              <w:t>μ</w:t>
            </w:r>
            <w:r>
              <w:rPr>
                <w:rFonts w:ascii="Times New Roman Bold" w:hAnsi="Times New Roman Bold" w:cs="Times New Roman Bold"/>
                <w:b/>
                <w:bCs/>
                <w:sz w:val="24"/>
                <w:szCs w:val="24"/>
              </w:rPr>
              <w:t>L)</w:t>
            </w:r>
          </w:p>
        </w:tc>
        <w:tc>
          <w:tcPr>
            <w:tcW w:w="1640" w:type="dxa"/>
            <w:tcBorders>
              <w:top w:val="single" w:color="auto" w:sz="4" w:space="0"/>
              <w:left w:val="single" w:color="auto" w:sz="4" w:space="0"/>
              <w:bottom w:val="single" w:color="auto" w:sz="4" w:space="0"/>
              <w:right w:val="single" w:color="auto" w:sz="4" w:space="0"/>
            </w:tcBorders>
            <w:vAlign w:val="center"/>
          </w:tcPr>
          <w:p w14:paraId="3A4F62D2">
            <w:pPr>
              <w:widowControl w:val="0"/>
              <w:spacing w:line="36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Group I</w:t>
            </w:r>
          </w:p>
          <w:p w14:paraId="128ED667">
            <w:pPr>
              <w:widowControl w:val="0"/>
              <w:spacing w:line="360" w:lineRule="auto"/>
              <w:jc w:val="both"/>
              <w:rPr>
                <w:rFonts w:ascii="Times New Roman Bold" w:hAnsi="Times New Roman Bold" w:cs="Times New Roman Bold"/>
                <w:b/>
                <w:bCs/>
                <w:sz w:val="24"/>
                <w:szCs w:val="24"/>
              </w:rPr>
            </w:pPr>
          </w:p>
        </w:tc>
        <w:tc>
          <w:tcPr>
            <w:tcW w:w="1638" w:type="dxa"/>
            <w:tcBorders>
              <w:top w:val="single" w:color="auto" w:sz="4" w:space="0"/>
              <w:left w:val="single" w:color="auto" w:sz="4" w:space="0"/>
              <w:bottom w:val="single" w:color="auto" w:sz="4" w:space="0"/>
              <w:right w:val="single" w:color="auto" w:sz="4" w:space="0"/>
            </w:tcBorders>
            <w:vAlign w:val="center"/>
          </w:tcPr>
          <w:p w14:paraId="0CC3E52B">
            <w:pPr>
              <w:widowControl w:val="0"/>
              <w:spacing w:line="360" w:lineRule="auto"/>
              <w:jc w:val="center"/>
              <w:rPr>
                <w:rFonts w:ascii="Times New Roman" w:hAnsi="Times New Roman"/>
                <w:sz w:val="24"/>
                <w:szCs w:val="24"/>
              </w:rPr>
            </w:pPr>
            <w:r>
              <w:rPr>
                <w:rFonts w:ascii="Times New Roman" w:hAnsi="Times New Roman"/>
                <w:sz w:val="24"/>
                <w:szCs w:val="24"/>
              </w:rPr>
              <w:t>18.09</w:t>
            </w:r>
            <w:r>
              <w:rPr>
                <w:rFonts w:ascii="Times New Roman" w:hAnsi="Times New Roman"/>
                <w:sz w:val="24"/>
                <w:szCs w:val="24"/>
                <w:vertAlign w:val="superscript"/>
              </w:rPr>
              <w:t>a</w:t>
            </w:r>
            <w:r>
              <w:rPr>
                <w:rFonts w:ascii="Times New Roman" w:hAnsi="Times New Roman"/>
                <w:sz w:val="24"/>
                <w:szCs w:val="24"/>
              </w:rPr>
              <w:t xml:space="preserve"> ± 0.21</w:t>
            </w:r>
          </w:p>
        </w:tc>
        <w:tc>
          <w:tcPr>
            <w:tcW w:w="1638" w:type="dxa"/>
            <w:tcBorders>
              <w:top w:val="single" w:color="auto" w:sz="4" w:space="0"/>
              <w:left w:val="single" w:color="auto" w:sz="4" w:space="0"/>
              <w:bottom w:val="single" w:color="auto" w:sz="4" w:space="0"/>
              <w:right w:val="single" w:color="auto" w:sz="4" w:space="0"/>
            </w:tcBorders>
            <w:vAlign w:val="center"/>
          </w:tcPr>
          <w:p w14:paraId="523B5B7E">
            <w:pPr>
              <w:widowControl w:val="0"/>
              <w:spacing w:line="360" w:lineRule="auto"/>
              <w:jc w:val="center"/>
              <w:rPr>
                <w:rFonts w:ascii="Times New Roman" w:hAnsi="Times New Roman"/>
                <w:sz w:val="24"/>
                <w:szCs w:val="24"/>
              </w:rPr>
            </w:pPr>
            <w:r>
              <w:rPr>
                <w:rFonts w:ascii="Times New Roman" w:hAnsi="Times New Roman"/>
                <w:sz w:val="24"/>
                <w:szCs w:val="24"/>
              </w:rPr>
              <w:t>17.77</w:t>
            </w:r>
            <w:r>
              <w:rPr>
                <w:rFonts w:ascii="Times New Roman" w:hAnsi="Times New Roman"/>
                <w:sz w:val="24"/>
                <w:szCs w:val="24"/>
                <w:vertAlign w:val="superscript"/>
              </w:rPr>
              <w:t>b</w:t>
            </w:r>
            <w:r>
              <w:rPr>
                <w:rFonts w:ascii="Times New Roman" w:hAnsi="Times New Roman"/>
                <w:sz w:val="24"/>
                <w:szCs w:val="24"/>
              </w:rPr>
              <w:t xml:space="preserve"> ± 0.20</w:t>
            </w:r>
          </w:p>
        </w:tc>
        <w:tc>
          <w:tcPr>
            <w:tcW w:w="1638" w:type="dxa"/>
            <w:tcBorders>
              <w:top w:val="single" w:color="auto" w:sz="4" w:space="0"/>
              <w:left w:val="single" w:color="auto" w:sz="4" w:space="0"/>
              <w:bottom w:val="single" w:color="auto" w:sz="4" w:space="0"/>
              <w:right w:val="single" w:color="auto" w:sz="4" w:space="0"/>
            </w:tcBorders>
            <w:vAlign w:val="center"/>
          </w:tcPr>
          <w:p w14:paraId="4A31C571">
            <w:pPr>
              <w:widowControl w:val="0"/>
              <w:spacing w:line="360" w:lineRule="auto"/>
              <w:jc w:val="center"/>
              <w:rPr>
                <w:rFonts w:ascii="Times New Roman" w:hAnsi="Times New Roman"/>
                <w:sz w:val="24"/>
                <w:szCs w:val="24"/>
              </w:rPr>
            </w:pPr>
            <w:r>
              <w:rPr>
                <w:rFonts w:ascii="Times New Roman" w:hAnsi="Times New Roman"/>
                <w:sz w:val="24"/>
                <w:szCs w:val="24"/>
              </w:rPr>
              <w:t>15.82</w:t>
            </w:r>
            <w:r>
              <w:rPr>
                <w:rFonts w:ascii="Times New Roman" w:hAnsi="Times New Roman"/>
                <w:sz w:val="24"/>
                <w:szCs w:val="24"/>
                <w:vertAlign w:val="superscript"/>
              </w:rPr>
              <w:t>c</w:t>
            </w:r>
            <w:r>
              <w:rPr>
                <w:rFonts w:ascii="Times New Roman" w:hAnsi="Times New Roman"/>
                <w:sz w:val="24"/>
                <w:szCs w:val="24"/>
              </w:rPr>
              <w:t xml:space="preserve"> ± 0.23</w:t>
            </w:r>
          </w:p>
        </w:tc>
        <w:tc>
          <w:tcPr>
            <w:tcW w:w="1638" w:type="dxa"/>
            <w:tcBorders>
              <w:top w:val="single" w:color="auto" w:sz="4" w:space="0"/>
              <w:left w:val="single" w:color="auto" w:sz="4" w:space="0"/>
              <w:bottom w:val="single" w:color="auto" w:sz="4" w:space="0"/>
              <w:right w:val="single" w:color="auto" w:sz="4" w:space="0"/>
            </w:tcBorders>
            <w:vAlign w:val="center"/>
          </w:tcPr>
          <w:p w14:paraId="727063A1">
            <w:pPr>
              <w:widowControl w:val="0"/>
              <w:spacing w:line="360" w:lineRule="auto"/>
              <w:jc w:val="center"/>
              <w:rPr>
                <w:rFonts w:ascii="Times New Roman" w:hAnsi="Times New Roman"/>
                <w:sz w:val="24"/>
                <w:szCs w:val="24"/>
              </w:rPr>
            </w:pPr>
            <w:r>
              <w:rPr>
                <w:rFonts w:ascii="Times New Roman" w:hAnsi="Times New Roman"/>
                <w:sz w:val="24"/>
                <w:szCs w:val="24"/>
              </w:rPr>
              <w:t>14.20</w:t>
            </w:r>
            <w:r>
              <w:rPr>
                <w:rFonts w:ascii="Times New Roman" w:hAnsi="Times New Roman"/>
                <w:sz w:val="24"/>
                <w:szCs w:val="24"/>
                <w:vertAlign w:val="superscript"/>
              </w:rPr>
              <w:t>d</w:t>
            </w:r>
            <w:r>
              <w:rPr>
                <w:rFonts w:ascii="Times New Roman" w:hAnsi="Times New Roman"/>
                <w:sz w:val="24"/>
                <w:szCs w:val="24"/>
              </w:rPr>
              <w:t xml:space="preserve"> ± 0.22</w:t>
            </w:r>
          </w:p>
        </w:tc>
        <w:tc>
          <w:tcPr>
            <w:tcW w:w="1639" w:type="dxa"/>
            <w:tcBorders>
              <w:top w:val="single" w:color="auto" w:sz="4" w:space="0"/>
              <w:left w:val="single" w:color="auto" w:sz="4" w:space="0"/>
              <w:bottom w:val="single" w:color="auto" w:sz="4" w:space="0"/>
              <w:right w:val="single" w:color="auto" w:sz="4" w:space="0"/>
            </w:tcBorders>
            <w:vAlign w:val="center"/>
          </w:tcPr>
          <w:p w14:paraId="5CAB00B0">
            <w:pPr>
              <w:widowControl w:val="0"/>
              <w:spacing w:line="360" w:lineRule="auto"/>
              <w:jc w:val="center"/>
              <w:rPr>
                <w:rFonts w:ascii="Times New Roman" w:hAnsi="Times New Roman"/>
                <w:sz w:val="24"/>
                <w:szCs w:val="24"/>
              </w:rPr>
            </w:pPr>
            <w:r>
              <w:rPr>
                <w:rFonts w:ascii="Times New Roman" w:hAnsi="Times New Roman"/>
                <w:sz w:val="24"/>
                <w:szCs w:val="24"/>
              </w:rPr>
              <w:t>12.79</w:t>
            </w:r>
            <w:r>
              <w:rPr>
                <w:rFonts w:ascii="Times New Roman" w:hAnsi="Times New Roman"/>
                <w:sz w:val="24"/>
                <w:szCs w:val="24"/>
                <w:vertAlign w:val="superscript"/>
              </w:rPr>
              <w:t>d</w:t>
            </w:r>
            <w:r>
              <w:rPr>
                <w:rFonts w:ascii="Times New Roman" w:hAnsi="Times New Roman"/>
                <w:sz w:val="24"/>
                <w:szCs w:val="24"/>
              </w:rPr>
              <w:t xml:space="preserve"> ± 0.23</w:t>
            </w:r>
          </w:p>
        </w:tc>
        <w:tc>
          <w:tcPr>
            <w:tcW w:w="1638" w:type="dxa"/>
            <w:tcBorders>
              <w:top w:val="single" w:color="auto" w:sz="4" w:space="0"/>
              <w:left w:val="single" w:color="auto" w:sz="4" w:space="0"/>
              <w:bottom w:val="single" w:color="auto" w:sz="4" w:space="0"/>
              <w:right w:val="single" w:color="auto" w:sz="4" w:space="0"/>
            </w:tcBorders>
            <w:vAlign w:val="center"/>
          </w:tcPr>
          <w:p w14:paraId="27463AAD">
            <w:pPr>
              <w:widowControl w:val="0"/>
              <w:spacing w:line="360" w:lineRule="auto"/>
              <w:jc w:val="center"/>
              <w:rPr>
                <w:rFonts w:ascii="Times New Roman" w:hAnsi="Times New Roman"/>
                <w:sz w:val="24"/>
                <w:szCs w:val="24"/>
                <w:vertAlign w:val="superscript"/>
              </w:rPr>
            </w:pPr>
            <w:r>
              <w:rPr>
                <w:rFonts w:ascii="Times New Roman" w:hAnsi="Times New Roman"/>
                <w:sz w:val="24"/>
                <w:szCs w:val="24"/>
              </w:rPr>
              <w:t>15.73 ± 0.39</w:t>
            </w:r>
            <w:r>
              <w:rPr>
                <w:rFonts w:ascii="Times New Roman" w:hAnsi="Times New Roman"/>
                <w:sz w:val="24"/>
                <w:szCs w:val="24"/>
                <w:vertAlign w:val="superscript"/>
              </w:rPr>
              <w:t>A</w:t>
            </w:r>
          </w:p>
        </w:tc>
      </w:tr>
      <w:tr w14:paraId="45CDA8D2">
        <w:trPr>
          <w:trHeight w:val="691" w:hRule="atLeast"/>
        </w:trPr>
        <w:tc>
          <w:tcPr>
            <w:tcW w:w="0" w:type="auto"/>
            <w:vMerge w:val="continue"/>
            <w:tcBorders>
              <w:top w:val="nil"/>
              <w:left w:val="single" w:color="auto" w:sz="4" w:space="0"/>
              <w:bottom w:val="single" w:color="auto" w:sz="4" w:space="0"/>
              <w:right w:val="single" w:color="auto" w:sz="4" w:space="0"/>
            </w:tcBorders>
            <w:vAlign w:val="center"/>
          </w:tcPr>
          <w:p w14:paraId="2E65CBCF">
            <w:pPr>
              <w:widowControl w:val="0"/>
              <w:spacing w:line="360" w:lineRule="auto"/>
              <w:jc w:val="both"/>
              <w:rPr>
                <w:rFonts w:ascii="Times New Roman Bold" w:hAnsi="Times New Roman Bold" w:cs="Times New Roman Bold"/>
                <w:b/>
                <w:bCs/>
                <w:sz w:val="24"/>
                <w:szCs w:val="24"/>
              </w:rPr>
            </w:pPr>
          </w:p>
        </w:tc>
        <w:tc>
          <w:tcPr>
            <w:tcW w:w="0" w:type="auto"/>
            <w:gridSpan w:val="2"/>
            <w:vMerge w:val="continue"/>
            <w:tcBorders>
              <w:top w:val="nil"/>
              <w:left w:val="single" w:color="auto" w:sz="4" w:space="0"/>
              <w:bottom w:val="single" w:color="auto" w:sz="4" w:space="0"/>
              <w:right w:val="single" w:color="auto" w:sz="4" w:space="0"/>
            </w:tcBorders>
            <w:vAlign w:val="center"/>
          </w:tcPr>
          <w:p w14:paraId="124896EC">
            <w:pPr>
              <w:widowControl w:val="0"/>
              <w:spacing w:line="360" w:lineRule="auto"/>
              <w:jc w:val="both"/>
              <w:rPr>
                <w:rFonts w:ascii="Times New Roman Bold" w:hAnsi="Times New Roman Bold" w:cs="Times New Roman Bold"/>
                <w:b/>
                <w:bCs/>
                <w:sz w:val="24"/>
                <w:szCs w:val="24"/>
              </w:rPr>
            </w:pPr>
          </w:p>
        </w:tc>
        <w:tc>
          <w:tcPr>
            <w:tcW w:w="1640" w:type="dxa"/>
            <w:tcBorders>
              <w:top w:val="single" w:color="auto" w:sz="4" w:space="0"/>
              <w:left w:val="single" w:color="auto" w:sz="4" w:space="0"/>
              <w:bottom w:val="single" w:color="auto" w:sz="4" w:space="0"/>
              <w:right w:val="single" w:color="auto" w:sz="4" w:space="0"/>
            </w:tcBorders>
            <w:vAlign w:val="center"/>
          </w:tcPr>
          <w:p w14:paraId="05D2A398">
            <w:pPr>
              <w:widowControl w:val="0"/>
              <w:spacing w:line="36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Group II</w:t>
            </w:r>
          </w:p>
          <w:p w14:paraId="7CDAB91C">
            <w:pPr>
              <w:widowControl w:val="0"/>
              <w:spacing w:line="360" w:lineRule="auto"/>
              <w:jc w:val="both"/>
              <w:rPr>
                <w:rFonts w:ascii="Times New Roman Bold" w:hAnsi="Times New Roman Bold" w:cs="Times New Roman Bold"/>
                <w:b/>
                <w:bCs/>
                <w:sz w:val="24"/>
                <w:szCs w:val="24"/>
              </w:rPr>
            </w:pPr>
          </w:p>
        </w:tc>
        <w:tc>
          <w:tcPr>
            <w:tcW w:w="1638" w:type="dxa"/>
            <w:tcBorders>
              <w:top w:val="single" w:color="auto" w:sz="4" w:space="0"/>
              <w:left w:val="single" w:color="auto" w:sz="4" w:space="0"/>
              <w:bottom w:val="single" w:color="auto" w:sz="4" w:space="0"/>
              <w:right w:val="single" w:color="auto" w:sz="4" w:space="0"/>
            </w:tcBorders>
            <w:vAlign w:val="center"/>
          </w:tcPr>
          <w:p w14:paraId="6DFC5E88">
            <w:pPr>
              <w:widowControl w:val="0"/>
              <w:spacing w:line="360" w:lineRule="auto"/>
              <w:jc w:val="center"/>
              <w:rPr>
                <w:rFonts w:ascii="Times New Roman" w:hAnsi="Times New Roman"/>
                <w:sz w:val="24"/>
                <w:szCs w:val="24"/>
              </w:rPr>
            </w:pPr>
            <w:r>
              <w:rPr>
                <w:rFonts w:ascii="Times New Roman" w:hAnsi="Times New Roman"/>
                <w:sz w:val="24"/>
                <w:szCs w:val="24"/>
              </w:rPr>
              <w:t>17.98</w:t>
            </w:r>
            <w:r>
              <w:rPr>
                <w:rFonts w:ascii="Times New Roman" w:hAnsi="Times New Roman"/>
                <w:sz w:val="24"/>
                <w:szCs w:val="24"/>
                <w:vertAlign w:val="superscript"/>
              </w:rPr>
              <w:t>a</w:t>
            </w:r>
            <w:r>
              <w:rPr>
                <w:rFonts w:ascii="Times New Roman" w:hAnsi="Times New Roman"/>
                <w:sz w:val="24"/>
                <w:szCs w:val="24"/>
              </w:rPr>
              <w:t xml:space="preserve"> ± 0.25</w:t>
            </w:r>
          </w:p>
        </w:tc>
        <w:tc>
          <w:tcPr>
            <w:tcW w:w="1638" w:type="dxa"/>
            <w:tcBorders>
              <w:top w:val="single" w:color="auto" w:sz="4" w:space="0"/>
              <w:left w:val="single" w:color="auto" w:sz="4" w:space="0"/>
              <w:bottom w:val="single" w:color="auto" w:sz="4" w:space="0"/>
              <w:right w:val="single" w:color="auto" w:sz="4" w:space="0"/>
            </w:tcBorders>
            <w:vAlign w:val="center"/>
          </w:tcPr>
          <w:p w14:paraId="05C36EE3">
            <w:pPr>
              <w:widowControl w:val="0"/>
              <w:spacing w:line="360" w:lineRule="auto"/>
              <w:jc w:val="center"/>
              <w:rPr>
                <w:rFonts w:ascii="Times New Roman" w:hAnsi="Times New Roman"/>
                <w:sz w:val="24"/>
                <w:szCs w:val="24"/>
              </w:rPr>
            </w:pPr>
            <w:r>
              <w:rPr>
                <w:rFonts w:ascii="Times New Roman" w:hAnsi="Times New Roman"/>
                <w:sz w:val="24"/>
                <w:szCs w:val="24"/>
              </w:rPr>
              <w:t>16.98</w:t>
            </w:r>
            <w:r>
              <w:rPr>
                <w:rFonts w:ascii="Times New Roman" w:hAnsi="Times New Roman"/>
                <w:sz w:val="24"/>
                <w:szCs w:val="24"/>
                <w:vertAlign w:val="superscript"/>
              </w:rPr>
              <w:t>b</w:t>
            </w:r>
            <w:r>
              <w:rPr>
                <w:rFonts w:ascii="Times New Roman" w:hAnsi="Times New Roman"/>
                <w:sz w:val="24"/>
                <w:szCs w:val="24"/>
              </w:rPr>
              <w:t xml:space="preserve"> ± 0.28</w:t>
            </w:r>
          </w:p>
        </w:tc>
        <w:tc>
          <w:tcPr>
            <w:tcW w:w="1638" w:type="dxa"/>
            <w:tcBorders>
              <w:top w:val="single" w:color="auto" w:sz="4" w:space="0"/>
              <w:left w:val="single" w:color="auto" w:sz="4" w:space="0"/>
              <w:bottom w:val="single" w:color="auto" w:sz="4" w:space="0"/>
              <w:right w:val="single" w:color="auto" w:sz="4" w:space="0"/>
            </w:tcBorders>
            <w:vAlign w:val="center"/>
          </w:tcPr>
          <w:p w14:paraId="3581A819">
            <w:pPr>
              <w:widowControl w:val="0"/>
              <w:spacing w:line="360" w:lineRule="auto"/>
              <w:jc w:val="center"/>
              <w:rPr>
                <w:rFonts w:ascii="Times New Roman" w:hAnsi="Times New Roman"/>
                <w:sz w:val="24"/>
                <w:szCs w:val="24"/>
              </w:rPr>
            </w:pPr>
            <w:r>
              <w:rPr>
                <w:rFonts w:ascii="Times New Roman" w:hAnsi="Times New Roman"/>
                <w:sz w:val="24"/>
                <w:szCs w:val="24"/>
              </w:rPr>
              <w:t>14.92</w:t>
            </w:r>
            <w:r>
              <w:rPr>
                <w:rFonts w:ascii="Times New Roman" w:hAnsi="Times New Roman"/>
                <w:sz w:val="24"/>
                <w:szCs w:val="24"/>
                <w:vertAlign w:val="superscript"/>
              </w:rPr>
              <w:t>c</w:t>
            </w:r>
            <w:r>
              <w:rPr>
                <w:rFonts w:ascii="Times New Roman" w:hAnsi="Times New Roman"/>
                <w:sz w:val="24"/>
                <w:szCs w:val="24"/>
              </w:rPr>
              <w:t xml:space="preserve"> ± 0.29</w:t>
            </w:r>
          </w:p>
        </w:tc>
        <w:tc>
          <w:tcPr>
            <w:tcW w:w="1638" w:type="dxa"/>
            <w:tcBorders>
              <w:top w:val="single" w:color="auto" w:sz="4" w:space="0"/>
              <w:left w:val="single" w:color="auto" w:sz="4" w:space="0"/>
              <w:bottom w:val="single" w:color="auto" w:sz="4" w:space="0"/>
              <w:right w:val="single" w:color="auto" w:sz="4" w:space="0"/>
            </w:tcBorders>
            <w:vAlign w:val="center"/>
          </w:tcPr>
          <w:p w14:paraId="4A1A924F">
            <w:pPr>
              <w:widowControl w:val="0"/>
              <w:spacing w:line="360" w:lineRule="auto"/>
              <w:jc w:val="center"/>
              <w:rPr>
                <w:rFonts w:ascii="Times New Roman" w:hAnsi="Times New Roman"/>
                <w:sz w:val="24"/>
                <w:szCs w:val="24"/>
              </w:rPr>
            </w:pPr>
            <w:r>
              <w:rPr>
                <w:rFonts w:ascii="Times New Roman" w:hAnsi="Times New Roman"/>
                <w:sz w:val="24"/>
                <w:szCs w:val="24"/>
              </w:rPr>
              <w:t>13.52</w:t>
            </w:r>
            <w:r>
              <w:rPr>
                <w:rFonts w:ascii="Times New Roman" w:hAnsi="Times New Roman"/>
                <w:sz w:val="24"/>
                <w:szCs w:val="24"/>
                <w:vertAlign w:val="superscript"/>
              </w:rPr>
              <w:t>d</w:t>
            </w:r>
            <w:r>
              <w:rPr>
                <w:rFonts w:ascii="Times New Roman" w:hAnsi="Times New Roman"/>
                <w:sz w:val="24"/>
                <w:szCs w:val="24"/>
              </w:rPr>
              <w:t xml:space="preserve"> ± 0.16</w:t>
            </w:r>
          </w:p>
        </w:tc>
        <w:tc>
          <w:tcPr>
            <w:tcW w:w="1639" w:type="dxa"/>
            <w:tcBorders>
              <w:top w:val="single" w:color="auto" w:sz="4" w:space="0"/>
              <w:left w:val="single" w:color="auto" w:sz="4" w:space="0"/>
              <w:bottom w:val="single" w:color="auto" w:sz="4" w:space="0"/>
              <w:right w:val="single" w:color="auto" w:sz="4" w:space="0"/>
            </w:tcBorders>
            <w:vAlign w:val="center"/>
          </w:tcPr>
          <w:p w14:paraId="786BC89F">
            <w:pPr>
              <w:widowControl w:val="0"/>
              <w:spacing w:line="360" w:lineRule="auto"/>
              <w:jc w:val="center"/>
              <w:rPr>
                <w:rFonts w:ascii="Times New Roman" w:hAnsi="Times New Roman"/>
                <w:sz w:val="24"/>
                <w:szCs w:val="24"/>
              </w:rPr>
            </w:pPr>
            <w:r>
              <w:rPr>
                <w:rFonts w:ascii="Times New Roman" w:hAnsi="Times New Roman"/>
                <w:sz w:val="24"/>
                <w:szCs w:val="24"/>
              </w:rPr>
              <w:t>12.18</w:t>
            </w:r>
            <w:r>
              <w:rPr>
                <w:rFonts w:ascii="Times New Roman" w:hAnsi="Times New Roman"/>
                <w:sz w:val="24"/>
                <w:szCs w:val="24"/>
                <w:vertAlign w:val="superscript"/>
              </w:rPr>
              <w:t>e</w:t>
            </w:r>
            <w:r>
              <w:rPr>
                <w:rFonts w:ascii="Times New Roman" w:hAnsi="Times New Roman"/>
                <w:sz w:val="24"/>
                <w:szCs w:val="24"/>
              </w:rPr>
              <w:t xml:space="preserve"> ± 0.20</w:t>
            </w:r>
          </w:p>
        </w:tc>
        <w:tc>
          <w:tcPr>
            <w:tcW w:w="1638" w:type="dxa"/>
            <w:tcBorders>
              <w:top w:val="single" w:color="auto" w:sz="4" w:space="0"/>
              <w:left w:val="single" w:color="auto" w:sz="4" w:space="0"/>
              <w:bottom w:val="single" w:color="auto" w:sz="4" w:space="0"/>
              <w:right w:val="single" w:color="auto" w:sz="4" w:space="0"/>
            </w:tcBorders>
            <w:vAlign w:val="center"/>
          </w:tcPr>
          <w:p w14:paraId="59FC797D">
            <w:pPr>
              <w:widowControl w:val="0"/>
              <w:spacing w:line="360" w:lineRule="auto"/>
              <w:jc w:val="center"/>
              <w:rPr>
                <w:rFonts w:ascii="Times New Roman" w:hAnsi="Times New Roman"/>
                <w:sz w:val="24"/>
                <w:szCs w:val="24"/>
              </w:rPr>
            </w:pPr>
            <w:r>
              <w:rPr>
                <w:rFonts w:ascii="Times New Roman" w:hAnsi="Times New Roman"/>
                <w:sz w:val="24"/>
                <w:szCs w:val="24"/>
              </w:rPr>
              <w:t>15.12 ± 0.41</w:t>
            </w:r>
            <w:r>
              <w:rPr>
                <w:rFonts w:ascii="Times New Roman" w:hAnsi="Times New Roman"/>
                <w:sz w:val="24"/>
                <w:szCs w:val="24"/>
                <w:vertAlign w:val="superscript"/>
              </w:rPr>
              <w:t>A</w:t>
            </w:r>
            <w:r>
              <w:rPr>
                <w:rFonts w:ascii="Times New Roman" w:hAnsi="Times New Roman"/>
                <w:sz w:val="24"/>
                <w:szCs w:val="24"/>
              </w:rPr>
              <w:t xml:space="preserve"> </w:t>
            </w:r>
          </w:p>
        </w:tc>
      </w:tr>
      <w:tr w14:paraId="49590CC9">
        <w:trPr>
          <w:trHeight w:val="691" w:hRule="atLeast"/>
        </w:trPr>
        <w:tc>
          <w:tcPr>
            <w:tcW w:w="1125" w:type="dxa"/>
            <w:vMerge w:val="restart"/>
            <w:tcBorders>
              <w:top w:val="nil"/>
              <w:left w:val="single" w:color="auto" w:sz="4" w:space="0"/>
              <w:bottom w:val="single" w:color="auto" w:sz="4" w:space="0"/>
              <w:right w:val="single" w:color="auto" w:sz="4" w:space="0"/>
            </w:tcBorders>
            <w:vAlign w:val="center"/>
          </w:tcPr>
          <w:p w14:paraId="7DD25627">
            <w:pPr>
              <w:widowControl w:val="0"/>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4</w:t>
            </w:r>
          </w:p>
        </w:tc>
        <w:tc>
          <w:tcPr>
            <w:tcW w:w="2184" w:type="dxa"/>
            <w:gridSpan w:val="2"/>
            <w:vMerge w:val="restart"/>
            <w:tcBorders>
              <w:top w:val="nil"/>
              <w:left w:val="single" w:color="auto" w:sz="4" w:space="0"/>
              <w:bottom w:val="single" w:color="auto" w:sz="4" w:space="0"/>
              <w:right w:val="single" w:color="auto" w:sz="4" w:space="0"/>
            </w:tcBorders>
            <w:vAlign w:val="center"/>
          </w:tcPr>
          <w:p w14:paraId="09401C85">
            <w:pPr>
              <w:widowControl w:val="0"/>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Neutrophil (%)</w:t>
            </w:r>
          </w:p>
        </w:tc>
        <w:tc>
          <w:tcPr>
            <w:tcW w:w="1640" w:type="dxa"/>
            <w:tcBorders>
              <w:top w:val="single" w:color="auto" w:sz="4" w:space="0"/>
              <w:left w:val="single" w:color="auto" w:sz="4" w:space="0"/>
              <w:bottom w:val="single" w:color="auto" w:sz="4" w:space="0"/>
              <w:right w:val="single" w:color="auto" w:sz="4" w:space="0"/>
            </w:tcBorders>
            <w:vAlign w:val="center"/>
          </w:tcPr>
          <w:p w14:paraId="7B92C1A7">
            <w:pPr>
              <w:widowControl w:val="0"/>
              <w:spacing w:line="36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Group I</w:t>
            </w:r>
          </w:p>
          <w:p w14:paraId="481C0B5E">
            <w:pPr>
              <w:widowControl w:val="0"/>
              <w:spacing w:line="360" w:lineRule="auto"/>
              <w:jc w:val="both"/>
              <w:rPr>
                <w:rFonts w:ascii="Times New Roman Bold" w:hAnsi="Times New Roman Bold" w:cs="Times New Roman Bold"/>
                <w:b/>
                <w:bCs/>
                <w:sz w:val="24"/>
                <w:szCs w:val="24"/>
              </w:rPr>
            </w:pPr>
          </w:p>
        </w:tc>
        <w:tc>
          <w:tcPr>
            <w:tcW w:w="1638" w:type="dxa"/>
            <w:tcBorders>
              <w:top w:val="single" w:color="auto" w:sz="4" w:space="0"/>
              <w:left w:val="single" w:color="auto" w:sz="4" w:space="0"/>
              <w:bottom w:val="single" w:color="auto" w:sz="4" w:space="0"/>
              <w:right w:val="single" w:color="auto" w:sz="4" w:space="0"/>
            </w:tcBorders>
            <w:vAlign w:val="center"/>
          </w:tcPr>
          <w:p w14:paraId="76ECFDF8">
            <w:pPr>
              <w:widowControl w:val="0"/>
              <w:spacing w:line="360" w:lineRule="auto"/>
              <w:jc w:val="center"/>
              <w:rPr>
                <w:rFonts w:ascii="Times New Roman" w:hAnsi="Times New Roman"/>
                <w:sz w:val="24"/>
                <w:szCs w:val="24"/>
              </w:rPr>
            </w:pPr>
            <w:r>
              <w:rPr>
                <w:rFonts w:ascii="Times New Roman" w:hAnsi="Times New Roman"/>
                <w:sz w:val="24"/>
                <w:szCs w:val="24"/>
              </w:rPr>
              <w:t>81.42</w:t>
            </w:r>
            <w:r>
              <w:rPr>
                <w:rFonts w:ascii="Times New Roman" w:hAnsi="Times New Roman"/>
                <w:sz w:val="24"/>
                <w:szCs w:val="24"/>
                <w:vertAlign w:val="superscript"/>
              </w:rPr>
              <w:t>a</w:t>
            </w:r>
            <w:r>
              <w:rPr>
                <w:rFonts w:ascii="Times New Roman" w:hAnsi="Times New Roman"/>
                <w:sz w:val="24"/>
                <w:szCs w:val="24"/>
              </w:rPr>
              <w:t xml:space="preserve"> ± 0.43</w:t>
            </w:r>
          </w:p>
        </w:tc>
        <w:tc>
          <w:tcPr>
            <w:tcW w:w="1638" w:type="dxa"/>
            <w:tcBorders>
              <w:top w:val="single" w:color="auto" w:sz="4" w:space="0"/>
              <w:left w:val="single" w:color="auto" w:sz="4" w:space="0"/>
              <w:bottom w:val="single" w:color="auto" w:sz="4" w:space="0"/>
              <w:right w:val="single" w:color="auto" w:sz="4" w:space="0"/>
            </w:tcBorders>
            <w:vAlign w:val="center"/>
          </w:tcPr>
          <w:p w14:paraId="7CD817B7">
            <w:pPr>
              <w:widowControl w:val="0"/>
              <w:spacing w:line="360" w:lineRule="auto"/>
              <w:jc w:val="center"/>
              <w:rPr>
                <w:rFonts w:ascii="Times New Roman" w:hAnsi="Times New Roman"/>
                <w:sz w:val="24"/>
                <w:szCs w:val="24"/>
              </w:rPr>
            </w:pPr>
            <w:r>
              <w:rPr>
                <w:rFonts w:ascii="Times New Roman" w:hAnsi="Times New Roman"/>
                <w:sz w:val="24"/>
                <w:szCs w:val="24"/>
              </w:rPr>
              <w:t>80.10</w:t>
            </w:r>
            <w:r>
              <w:rPr>
                <w:rFonts w:ascii="Times New Roman" w:hAnsi="Times New Roman"/>
                <w:sz w:val="24"/>
                <w:szCs w:val="24"/>
                <w:vertAlign w:val="superscript"/>
              </w:rPr>
              <w:t>b</w:t>
            </w:r>
            <w:r>
              <w:rPr>
                <w:rFonts w:ascii="Times New Roman" w:hAnsi="Times New Roman"/>
                <w:sz w:val="24"/>
                <w:szCs w:val="24"/>
              </w:rPr>
              <w:t xml:space="preserve"> ± 0.45</w:t>
            </w:r>
          </w:p>
        </w:tc>
        <w:tc>
          <w:tcPr>
            <w:tcW w:w="1638" w:type="dxa"/>
            <w:tcBorders>
              <w:top w:val="single" w:color="auto" w:sz="4" w:space="0"/>
              <w:left w:val="single" w:color="auto" w:sz="4" w:space="0"/>
              <w:bottom w:val="single" w:color="auto" w:sz="4" w:space="0"/>
              <w:right w:val="single" w:color="auto" w:sz="4" w:space="0"/>
            </w:tcBorders>
            <w:vAlign w:val="center"/>
          </w:tcPr>
          <w:p w14:paraId="0912B4CE">
            <w:pPr>
              <w:widowControl w:val="0"/>
              <w:spacing w:line="360" w:lineRule="auto"/>
              <w:jc w:val="center"/>
              <w:rPr>
                <w:rFonts w:ascii="Times New Roman" w:hAnsi="Times New Roman"/>
                <w:sz w:val="24"/>
                <w:szCs w:val="24"/>
              </w:rPr>
            </w:pPr>
            <w:r>
              <w:rPr>
                <w:rFonts w:ascii="Times New Roman" w:hAnsi="Times New Roman"/>
                <w:sz w:val="24"/>
                <w:szCs w:val="24"/>
              </w:rPr>
              <w:t>78.10</w:t>
            </w:r>
            <w:r>
              <w:rPr>
                <w:rFonts w:ascii="Times New Roman" w:hAnsi="Times New Roman"/>
                <w:sz w:val="24"/>
                <w:szCs w:val="24"/>
                <w:vertAlign w:val="superscript"/>
              </w:rPr>
              <w:t>c</w:t>
            </w:r>
            <w:r>
              <w:rPr>
                <w:rFonts w:ascii="Times New Roman" w:hAnsi="Times New Roman"/>
                <w:sz w:val="24"/>
                <w:szCs w:val="24"/>
              </w:rPr>
              <w:t xml:space="preserve"> ± 0.35</w:t>
            </w:r>
          </w:p>
        </w:tc>
        <w:tc>
          <w:tcPr>
            <w:tcW w:w="1638" w:type="dxa"/>
            <w:tcBorders>
              <w:top w:val="single" w:color="auto" w:sz="4" w:space="0"/>
              <w:left w:val="single" w:color="auto" w:sz="4" w:space="0"/>
              <w:bottom w:val="single" w:color="auto" w:sz="4" w:space="0"/>
              <w:right w:val="single" w:color="auto" w:sz="4" w:space="0"/>
            </w:tcBorders>
            <w:vAlign w:val="center"/>
          </w:tcPr>
          <w:p w14:paraId="2DAEF6EA">
            <w:pPr>
              <w:widowControl w:val="0"/>
              <w:spacing w:line="360" w:lineRule="auto"/>
              <w:jc w:val="center"/>
              <w:rPr>
                <w:rFonts w:ascii="Times New Roman" w:hAnsi="Times New Roman"/>
                <w:sz w:val="24"/>
                <w:szCs w:val="24"/>
              </w:rPr>
            </w:pPr>
            <w:r>
              <w:rPr>
                <w:rFonts w:ascii="Times New Roman" w:hAnsi="Times New Roman"/>
                <w:sz w:val="24"/>
                <w:szCs w:val="24"/>
              </w:rPr>
              <w:t>76.67</w:t>
            </w:r>
            <w:r>
              <w:rPr>
                <w:rFonts w:ascii="Times New Roman" w:hAnsi="Times New Roman"/>
                <w:sz w:val="24"/>
                <w:szCs w:val="24"/>
                <w:vertAlign w:val="superscript"/>
              </w:rPr>
              <w:t>d</w:t>
            </w:r>
            <w:r>
              <w:rPr>
                <w:rFonts w:ascii="Times New Roman" w:hAnsi="Times New Roman"/>
                <w:sz w:val="24"/>
                <w:szCs w:val="24"/>
              </w:rPr>
              <w:t xml:space="preserve"> ± 0.34</w:t>
            </w:r>
          </w:p>
        </w:tc>
        <w:tc>
          <w:tcPr>
            <w:tcW w:w="1639" w:type="dxa"/>
            <w:tcBorders>
              <w:top w:val="single" w:color="auto" w:sz="4" w:space="0"/>
              <w:left w:val="single" w:color="auto" w:sz="4" w:space="0"/>
              <w:bottom w:val="single" w:color="auto" w:sz="4" w:space="0"/>
              <w:right w:val="single" w:color="auto" w:sz="4" w:space="0"/>
            </w:tcBorders>
            <w:vAlign w:val="center"/>
          </w:tcPr>
          <w:p w14:paraId="2C432BB4">
            <w:pPr>
              <w:widowControl w:val="0"/>
              <w:spacing w:line="360" w:lineRule="auto"/>
              <w:jc w:val="center"/>
              <w:rPr>
                <w:rFonts w:ascii="Times New Roman" w:hAnsi="Times New Roman"/>
                <w:sz w:val="24"/>
                <w:szCs w:val="24"/>
              </w:rPr>
            </w:pPr>
            <w:r>
              <w:rPr>
                <w:rFonts w:ascii="Times New Roman" w:hAnsi="Times New Roman"/>
                <w:sz w:val="24"/>
                <w:szCs w:val="24"/>
              </w:rPr>
              <w:t>74.13</w:t>
            </w:r>
            <w:r>
              <w:rPr>
                <w:rFonts w:ascii="Times New Roman" w:hAnsi="Times New Roman"/>
                <w:sz w:val="24"/>
                <w:szCs w:val="24"/>
                <w:vertAlign w:val="superscript"/>
              </w:rPr>
              <w:t>e</w:t>
            </w:r>
            <w:r>
              <w:rPr>
                <w:rFonts w:ascii="Times New Roman" w:hAnsi="Times New Roman"/>
                <w:sz w:val="24"/>
                <w:szCs w:val="24"/>
              </w:rPr>
              <w:t xml:space="preserve"> ± 0.32</w:t>
            </w:r>
          </w:p>
        </w:tc>
        <w:tc>
          <w:tcPr>
            <w:tcW w:w="1638" w:type="dxa"/>
            <w:tcBorders>
              <w:top w:val="single" w:color="auto" w:sz="4" w:space="0"/>
              <w:left w:val="single" w:color="auto" w:sz="4" w:space="0"/>
              <w:bottom w:val="single" w:color="auto" w:sz="4" w:space="0"/>
              <w:right w:val="single" w:color="auto" w:sz="4" w:space="0"/>
            </w:tcBorders>
            <w:vAlign w:val="center"/>
          </w:tcPr>
          <w:p w14:paraId="27F050D0">
            <w:pPr>
              <w:widowControl w:val="0"/>
              <w:spacing w:line="360" w:lineRule="auto"/>
              <w:jc w:val="center"/>
              <w:rPr>
                <w:rFonts w:ascii="Times New Roman" w:hAnsi="Times New Roman"/>
                <w:sz w:val="24"/>
                <w:szCs w:val="24"/>
                <w:vertAlign w:val="superscript"/>
              </w:rPr>
            </w:pPr>
            <w:r>
              <w:rPr>
                <w:rFonts w:ascii="Times New Roman" w:hAnsi="Times New Roman"/>
                <w:sz w:val="24"/>
                <w:szCs w:val="24"/>
              </w:rPr>
              <w:t>78.07 ± 0.50</w:t>
            </w:r>
            <w:r>
              <w:rPr>
                <w:rFonts w:ascii="Times New Roman" w:hAnsi="Times New Roman"/>
                <w:sz w:val="24"/>
                <w:szCs w:val="24"/>
                <w:vertAlign w:val="superscript"/>
              </w:rPr>
              <w:t>A</w:t>
            </w:r>
          </w:p>
        </w:tc>
      </w:tr>
      <w:tr w14:paraId="096AA45A">
        <w:trPr>
          <w:trHeight w:val="703" w:hRule="atLeast"/>
        </w:trPr>
        <w:tc>
          <w:tcPr>
            <w:tcW w:w="0" w:type="auto"/>
            <w:vMerge w:val="continue"/>
            <w:tcBorders>
              <w:top w:val="nil"/>
              <w:left w:val="single" w:color="auto" w:sz="4" w:space="0"/>
              <w:bottom w:val="single" w:color="auto" w:sz="4" w:space="0"/>
              <w:right w:val="single" w:color="auto" w:sz="4" w:space="0"/>
            </w:tcBorders>
            <w:vAlign w:val="center"/>
          </w:tcPr>
          <w:p w14:paraId="784C50F6">
            <w:pPr>
              <w:widowControl w:val="0"/>
              <w:spacing w:line="360" w:lineRule="auto"/>
              <w:jc w:val="both"/>
              <w:rPr>
                <w:rFonts w:ascii="Times New Roman Bold" w:hAnsi="Times New Roman Bold" w:cs="Times New Roman Bold"/>
                <w:b/>
                <w:bCs/>
                <w:sz w:val="24"/>
                <w:szCs w:val="24"/>
              </w:rPr>
            </w:pPr>
          </w:p>
        </w:tc>
        <w:tc>
          <w:tcPr>
            <w:tcW w:w="0" w:type="auto"/>
            <w:gridSpan w:val="2"/>
            <w:vMerge w:val="continue"/>
            <w:tcBorders>
              <w:top w:val="nil"/>
              <w:left w:val="single" w:color="auto" w:sz="4" w:space="0"/>
              <w:bottom w:val="single" w:color="auto" w:sz="4" w:space="0"/>
              <w:right w:val="single" w:color="auto" w:sz="4" w:space="0"/>
            </w:tcBorders>
            <w:vAlign w:val="center"/>
          </w:tcPr>
          <w:p w14:paraId="22CAD452">
            <w:pPr>
              <w:widowControl w:val="0"/>
              <w:spacing w:line="360" w:lineRule="auto"/>
              <w:jc w:val="both"/>
              <w:rPr>
                <w:rFonts w:ascii="Times New Roman Bold" w:hAnsi="Times New Roman Bold" w:cs="Times New Roman Bold"/>
                <w:b/>
                <w:bCs/>
                <w:sz w:val="24"/>
                <w:szCs w:val="24"/>
              </w:rPr>
            </w:pPr>
          </w:p>
        </w:tc>
        <w:tc>
          <w:tcPr>
            <w:tcW w:w="1640" w:type="dxa"/>
            <w:tcBorders>
              <w:top w:val="single" w:color="auto" w:sz="4" w:space="0"/>
              <w:left w:val="single" w:color="auto" w:sz="4" w:space="0"/>
              <w:bottom w:val="single" w:color="auto" w:sz="4" w:space="0"/>
              <w:right w:val="single" w:color="auto" w:sz="4" w:space="0"/>
            </w:tcBorders>
            <w:vAlign w:val="center"/>
          </w:tcPr>
          <w:p w14:paraId="5A401771">
            <w:pPr>
              <w:widowControl w:val="0"/>
              <w:spacing w:line="36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Group II</w:t>
            </w:r>
          </w:p>
          <w:p w14:paraId="67D03918">
            <w:pPr>
              <w:widowControl w:val="0"/>
              <w:spacing w:line="360" w:lineRule="auto"/>
              <w:jc w:val="both"/>
              <w:rPr>
                <w:rFonts w:ascii="Times New Roman Bold" w:hAnsi="Times New Roman Bold" w:cs="Times New Roman Bold"/>
                <w:b/>
                <w:bCs/>
                <w:sz w:val="24"/>
                <w:szCs w:val="24"/>
              </w:rPr>
            </w:pPr>
          </w:p>
        </w:tc>
        <w:tc>
          <w:tcPr>
            <w:tcW w:w="1638" w:type="dxa"/>
            <w:tcBorders>
              <w:top w:val="single" w:color="auto" w:sz="4" w:space="0"/>
              <w:left w:val="single" w:color="auto" w:sz="4" w:space="0"/>
              <w:bottom w:val="single" w:color="auto" w:sz="4" w:space="0"/>
              <w:right w:val="single" w:color="auto" w:sz="4" w:space="0"/>
            </w:tcBorders>
            <w:vAlign w:val="center"/>
          </w:tcPr>
          <w:p w14:paraId="3A2B2EE7">
            <w:pPr>
              <w:widowControl w:val="0"/>
              <w:spacing w:line="360" w:lineRule="auto"/>
              <w:jc w:val="center"/>
              <w:rPr>
                <w:rFonts w:ascii="Times New Roman" w:hAnsi="Times New Roman"/>
                <w:sz w:val="24"/>
                <w:szCs w:val="24"/>
              </w:rPr>
            </w:pPr>
            <w:r>
              <w:rPr>
                <w:rFonts w:ascii="Times New Roman" w:hAnsi="Times New Roman"/>
                <w:sz w:val="24"/>
                <w:szCs w:val="24"/>
              </w:rPr>
              <w:t>82.03</w:t>
            </w:r>
            <w:r>
              <w:rPr>
                <w:rFonts w:ascii="Times New Roman" w:hAnsi="Times New Roman"/>
                <w:sz w:val="24"/>
                <w:szCs w:val="24"/>
                <w:vertAlign w:val="superscript"/>
              </w:rPr>
              <w:t>a</w:t>
            </w:r>
            <w:r>
              <w:rPr>
                <w:rFonts w:ascii="Times New Roman" w:hAnsi="Times New Roman"/>
                <w:sz w:val="24"/>
                <w:szCs w:val="24"/>
              </w:rPr>
              <w:t xml:space="preserve"> ± 0.34</w:t>
            </w:r>
          </w:p>
        </w:tc>
        <w:tc>
          <w:tcPr>
            <w:tcW w:w="1638" w:type="dxa"/>
            <w:tcBorders>
              <w:top w:val="single" w:color="auto" w:sz="4" w:space="0"/>
              <w:left w:val="single" w:color="auto" w:sz="4" w:space="0"/>
              <w:bottom w:val="single" w:color="auto" w:sz="4" w:space="0"/>
              <w:right w:val="single" w:color="auto" w:sz="4" w:space="0"/>
            </w:tcBorders>
            <w:vAlign w:val="center"/>
          </w:tcPr>
          <w:p w14:paraId="25B31DF3">
            <w:pPr>
              <w:widowControl w:val="0"/>
              <w:spacing w:line="360" w:lineRule="auto"/>
              <w:jc w:val="center"/>
              <w:rPr>
                <w:rFonts w:ascii="Times New Roman" w:hAnsi="Times New Roman"/>
                <w:sz w:val="24"/>
                <w:szCs w:val="24"/>
              </w:rPr>
            </w:pPr>
            <w:r>
              <w:rPr>
                <w:rFonts w:ascii="Times New Roman" w:hAnsi="Times New Roman"/>
                <w:sz w:val="24"/>
                <w:szCs w:val="24"/>
              </w:rPr>
              <w:t>79.49</w:t>
            </w:r>
            <w:r>
              <w:rPr>
                <w:rFonts w:ascii="Times New Roman" w:hAnsi="Times New Roman"/>
                <w:sz w:val="24"/>
                <w:szCs w:val="24"/>
                <w:vertAlign w:val="superscript"/>
              </w:rPr>
              <w:t>b</w:t>
            </w:r>
            <w:r>
              <w:rPr>
                <w:rFonts w:ascii="Times New Roman" w:hAnsi="Times New Roman"/>
                <w:sz w:val="24"/>
                <w:szCs w:val="24"/>
              </w:rPr>
              <w:t xml:space="preserve"> ± 0.31</w:t>
            </w:r>
          </w:p>
        </w:tc>
        <w:tc>
          <w:tcPr>
            <w:tcW w:w="1638" w:type="dxa"/>
            <w:tcBorders>
              <w:top w:val="single" w:color="auto" w:sz="4" w:space="0"/>
              <w:left w:val="single" w:color="auto" w:sz="4" w:space="0"/>
              <w:bottom w:val="single" w:color="auto" w:sz="4" w:space="0"/>
              <w:right w:val="single" w:color="auto" w:sz="4" w:space="0"/>
            </w:tcBorders>
            <w:vAlign w:val="center"/>
          </w:tcPr>
          <w:p w14:paraId="6390B86F">
            <w:pPr>
              <w:widowControl w:val="0"/>
              <w:spacing w:line="360" w:lineRule="auto"/>
              <w:jc w:val="center"/>
              <w:rPr>
                <w:rFonts w:ascii="Times New Roman" w:hAnsi="Times New Roman"/>
                <w:sz w:val="24"/>
                <w:szCs w:val="24"/>
              </w:rPr>
            </w:pPr>
            <w:r>
              <w:rPr>
                <w:rFonts w:ascii="Times New Roman" w:hAnsi="Times New Roman"/>
                <w:sz w:val="24"/>
                <w:szCs w:val="24"/>
              </w:rPr>
              <w:t>76.69</w:t>
            </w:r>
            <w:r>
              <w:rPr>
                <w:rFonts w:ascii="Times New Roman" w:hAnsi="Times New Roman"/>
                <w:sz w:val="24"/>
                <w:szCs w:val="24"/>
                <w:vertAlign w:val="superscript"/>
              </w:rPr>
              <w:t>c</w:t>
            </w:r>
            <w:r>
              <w:rPr>
                <w:rFonts w:ascii="Times New Roman" w:hAnsi="Times New Roman"/>
                <w:sz w:val="24"/>
                <w:szCs w:val="24"/>
              </w:rPr>
              <w:t xml:space="preserve"> ± 0.42</w:t>
            </w:r>
          </w:p>
        </w:tc>
        <w:tc>
          <w:tcPr>
            <w:tcW w:w="1638" w:type="dxa"/>
            <w:tcBorders>
              <w:top w:val="single" w:color="auto" w:sz="4" w:space="0"/>
              <w:left w:val="single" w:color="auto" w:sz="4" w:space="0"/>
              <w:bottom w:val="single" w:color="auto" w:sz="4" w:space="0"/>
              <w:right w:val="single" w:color="auto" w:sz="4" w:space="0"/>
            </w:tcBorders>
            <w:vAlign w:val="center"/>
          </w:tcPr>
          <w:p w14:paraId="42006D44">
            <w:pPr>
              <w:widowControl w:val="0"/>
              <w:spacing w:line="360" w:lineRule="auto"/>
              <w:jc w:val="center"/>
              <w:rPr>
                <w:rFonts w:ascii="Times New Roman" w:hAnsi="Times New Roman"/>
                <w:sz w:val="24"/>
                <w:szCs w:val="24"/>
              </w:rPr>
            </w:pPr>
            <w:r>
              <w:rPr>
                <w:rFonts w:ascii="Times New Roman" w:hAnsi="Times New Roman"/>
                <w:sz w:val="24"/>
                <w:szCs w:val="24"/>
              </w:rPr>
              <w:t>75.03</w:t>
            </w:r>
            <w:r>
              <w:rPr>
                <w:rFonts w:ascii="Times New Roman" w:hAnsi="Times New Roman"/>
                <w:sz w:val="24"/>
                <w:szCs w:val="24"/>
                <w:vertAlign w:val="superscript"/>
              </w:rPr>
              <w:t>d</w:t>
            </w:r>
            <w:r>
              <w:rPr>
                <w:rFonts w:ascii="Times New Roman" w:hAnsi="Times New Roman"/>
                <w:sz w:val="24"/>
                <w:szCs w:val="24"/>
              </w:rPr>
              <w:t xml:space="preserve"> ± 0.20 </w:t>
            </w:r>
          </w:p>
        </w:tc>
        <w:tc>
          <w:tcPr>
            <w:tcW w:w="1639" w:type="dxa"/>
            <w:tcBorders>
              <w:top w:val="single" w:color="auto" w:sz="4" w:space="0"/>
              <w:left w:val="single" w:color="auto" w:sz="4" w:space="0"/>
              <w:bottom w:val="single" w:color="auto" w:sz="4" w:space="0"/>
              <w:right w:val="single" w:color="auto" w:sz="4" w:space="0"/>
            </w:tcBorders>
            <w:vAlign w:val="center"/>
          </w:tcPr>
          <w:p w14:paraId="256C959C">
            <w:pPr>
              <w:widowControl w:val="0"/>
              <w:spacing w:line="360" w:lineRule="auto"/>
              <w:jc w:val="center"/>
              <w:rPr>
                <w:rFonts w:ascii="Times New Roman" w:hAnsi="Times New Roman"/>
                <w:sz w:val="24"/>
                <w:szCs w:val="24"/>
              </w:rPr>
            </w:pPr>
            <w:r>
              <w:rPr>
                <w:rFonts w:ascii="Times New Roman" w:hAnsi="Times New Roman"/>
                <w:sz w:val="24"/>
                <w:szCs w:val="24"/>
              </w:rPr>
              <w:t>73.38</w:t>
            </w:r>
            <w:r>
              <w:rPr>
                <w:rFonts w:ascii="Times New Roman" w:hAnsi="Times New Roman"/>
                <w:sz w:val="24"/>
                <w:szCs w:val="24"/>
                <w:vertAlign w:val="superscript"/>
              </w:rPr>
              <w:t>e</w:t>
            </w:r>
            <w:r>
              <w:rPr>
                <w:rFonts w:ascii="Times New Roman" w:hAnsi="Times New Roman"/>
                <w:sz w:val="24"/>
                <w:szCs w:val="24"/>
              </w:rPr>
              <w:t xml:space="preserve"> ± 0.10</w:t>
            </w:r>
          </w:p>
        </w:tc>
        <w:tc>
          <w:tcPr>
            <w:tcW w:w="1638" w:type="dxa"/>
            <w:tcBorders>
              <w:top w:val="single" w:color="auto" w:sz="4" w:space="0"/>
              <w:left w:val="single" w:color="auto" w:sz="4" w:space="0"/>
              <w:bottom w:val="single" w:color="auto" w:sz="4" w:space="0"/>
              <w:right w:val="single" w:color="auto" w:sz="4" w:space="0"/>
            </w:tcBorders>
            <w:vAlign w:val="center"/>
          </w:tcPr>
          <w:p w14:paraId="51B43539">
            <w:pPr>
              <w:widowControl w:val="0"/>
              <w:spacing w:line="360" w:lineRule="auto"/>
              <w:jc w:val="center"/>
              <w:rPr>
                <w:rFonts w:ascii="Times New Roman" w:hAnsi="Times New Roman"/>
                <w:sz w:val="24"/>
                <w:szCs w:val="24"/>
              </w:rPr>
            </w:pPr>
            <w:r>
              <w:rPr>
                <w:rFonts w:ascii="Times New Roman" w:hAnsi="Times New Roman"/>
                <w:sz w:val="24"/>
                <w:szCs w:val="24"/>
              </w:rPr>
              <w:t>77.33 ± 0.59</w:t>
            </w:r>
            <w:r>
              <w:rPr>
                <w:rFonts w:ascii="Times New Roman" w:hAnsi="Times New Roman"/>
                <w:sz w:val="24"/>
                <w:szCs w:val="24"/>
                <w:vertAlign w:val="superscript"/>
              </w:rPr>
              <w:t>A</w:t>
            </w:r>
            <w:r>
              <w:rPr>
                <w:rFonts w:ascii="Times New Roman" w:hAnsi="Times New Roman"/>
                <w:sz w:val="24"/>
                <w:szCs w:val="24"/>
              </w:rPr>
              <w:t xml:space="preserve"> </w:t>
            </w:r>
          </w:p>
        </w:tc>
      </w:tr>
    </w:tbl>
    <w:p w14:paraId="5B2FBF99">
      <w:pPr>
        <w:spacing w:line="360" w:lineRule="auto"/>
        <w:rPr>
          <w:rFonts w:ascii="Times New Roman Regular" w:hAnsi="Times New Roman Regular" w:cs="Times New Roman Regular"/>
          <w:sz w:val="24"/>
          <w:szCs w:val="24"/>
        </w:rPr>
      </w:pPr>
    </w:p>
    <w:tbl>
      <w:tblPr>
        <w:tblStyle w:val="9"/>
        <w:tblpPr w:leftFromText="180" w:rightFromText="180" w:vertAnchor="text" w:horzAnchor="page" w:tblpX="1455" w:tblpY="744"/>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2210"/>
        <w:gridCol w:w="1483"/>
        <w:gridCol w:w="1603"/>
        <w:gridCol w:w="1526"/>
        <w:gridCol w:w="1552"/>
        <w:gridCol w:w="1526"/>
        <w:gridCol w:w="1603"/>
        <w:gridCol w:w="1526"/>
      </w:tblGrid>
      <w:tr w14:paraId="743C6695">
        <w:trPr>
          <w:trHeight w:val="716" w:hRule="atLeast"/>
        </w:trPr>
        <w:tc>
          <w:tcPr>
            <w:tcW w:w="401" w:type="pct"/>
            <w:vMerge w:val="restart"/>
            <w:tcBorders>
              <w:top w:val="nil"/>
              <w:left w:val="single" w:color="auto" w:sz="4" w:space="0"/>
              <w:bottom w:val="single" w:color="auto" w:sz="4" w:space="0"/>
              <w:right w:val="single" w:color="auto" w:sz="4" w:space="0"/>
            </w:tcBorders>
          </w:tcPr>
          <w:p w14:paraId="51D6458B">
            <w:pPr>
              <w:widowControl w:val="0"/>
              <w:spacing w:line="360" w:lineRule="auto"/>
              <w:jc w:val="center"/>
              <w:rPr>
                <w:rFonts w:ascii="Times New Roman Bold" w:hAnsi="Times New Roman Bold" w:cs="Times New Roman Bold"/>
                <w:b/>
                <w:bCs/>
                <w:sz w:val="24"/>
                <w:szCs w:val="24"/>
              </w:rPr>
            </w:pPr>
          </w:p>
          <w:p w14:paraId="2436D418">
            <w:pPr>
              <w:widowControl w:val="0"/>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5</w:t>
            </w:r>
          </w:p>
        </w:tc>
        <w:tc>
          <w:tcPr>
            <w:tcW w:w="779" w:type="pct"/>
            <w:vMerge w:val="restart"/>
            <w:tcBorders>
              <w:top w:val="nil"/>
              <w:left w:val="single" w:color="auto" w:sz="4" w:space="0"/>
              <w:bottom w:val="single" w:color="auto" w:sz="4" w:space="0"/>
              <w:right w:val="single" w:color="auto" w:sz="4" w:space="0"/>
            </w:tcBorders>
          </w:tcPr>
          <w:p w14:paraId="66735417">
            <w:pPr>
              <w:widowControl w:val="0"/>
              <w:spacing w:line="360" w:lineRule="auto"/>
              <w:jc w:val="center"/>
              <w:rPr>
                <w:rFonts w:ascii="Times New Roman Bold" w:hAnsi="Times New Roman Bold" w:cs="Times New Roman Bold"/>
                <w:b/>
                <w:bCs/>
                <w:sz w:val="24"/>
                <w:szCs w:val="24"/>
              </w:rPr>
            </w:pPr>
          </w:p>
          <w:p w14:paraId="716DD91C">
            <w:pPr>
              <w:widowControl w:val="0"/>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Lymphocyte (%)</w:t>
            </w:r>
          </w:p>
        </w:tc>
        <w:tc>
          <w:tcPr>
            <w:tcW w:w="523" w:type="pct"/>
            <w:tcBorders>
              <w:top w:val="single" w:color="auto" w:sz="4" w:space="0"/>
              <w:left w:val="single" w:color="auto" w:sz="4" w:space="0"/>
              <w:bottom w:val="single" w:color="auto" w:sz="4" w:space="0"/>
              <w:right w:val="single" w:color="auto" w:sz="4" w:space="0"/>
            </w:tcBorders>
            <w:vAlign w:val="center"/>
          </w:tcPr>
          <w:p w14:paraId="1E2EF073">
            <w:pPr>
              <w:widowControl w:val="0"/>
              <w:spacing w:line="36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Group I</w:t>
            </w:r>
          </w:p>
          <w:p w14:paraId="09CB2733">
            <w:pPr>
              <w:widowControl w:val="0"/>
              <w:spacing w:line="360" w:lineRule="auto"/>
              <w:jc w:val="both"/>
              <w:rPr>
                <w:rFonts w:ascii="Times New Roman Bold" w:hAnsi="Times New Roman Bold" w:cs="Times New Roman Bold"/>
                <w:b/>
                <w:bCs/>
                <w:sz w:val="24"/>
                <w:szCs w:val="24"/>
              </w:rPr>
            </w:pPr>
          </w:p>
        </w:tc>
        <w:tc>
          <w:tcPr>
            <w:tcW w:w="565" w:type="pct"/>
            <w:tcBorders>
              <w:top w:val="single" w:color="auto" w:sz="4" w:space="0"/>
              <w:left w:val="single" w:color="auto" w:sz="4" w:space="0"/>
              <w:bottom w:val="single" w:color="auto" w:sz="4" w:space="0"/>
              <w:right w:val="single" w:color="auto" w:sz="4" w:space="0"/>
            </w:tcBorders>
            <w:vAlign w:val="center"/>
          </w:tcPr>
          <w:p w14:paraId="51AB8493">
            <w:pPr>
              <w:widowControl w:val="0"/>
              <w:spacing w:line="360" w:lineRule="auto"/>
              <w:jc w:val="center"/>
              <w:rPr>
                <w:rFonts w:ascii="Times New Roman" w:hAnsi="Times New Roman"/>
                <w:sz w:val="24"/>
                <w:szCs w:val="24"/>
              </w:rPr>
            </w:pPr>
            <w:r>
              <w:rPr>
                <w:rFonts w:ascii="Times New Roman" w:hAnsi="Times New Roman"/>
                <w:sz w:val="24"/>
                <w:szCs w:val="24"/>
              </w:rPr>
              <w:t>13.45</w:t>
            </w:r>
            <w:r>
              <w:rPr>
                <w:rFonts w:ascii="Times New Roman" w:hAnsi="Times New Roman"/>
                <w:sz w:val="24"/>
                <w:szCs w:val="24"/>
                <w:vertAlign w:val="superscript"/>
              </w:rPr>
              <w:t>a</w:t>
            </w:r>
            <w:r>
              <w:rPr>
                <w:rFonts w:ascii="Times New Roman" w:hAnsi="Times New Roman"/>
                <w:sz w:val="24"/>
                <w:szCs w:val="24"/>
              </w:rPr>
              <w:t xml:space="preserve"> ± 0.18</w:t>
            </w:r>
          </w:p>
        </w:tc>
        <w:tc>
          <w:tcPr>
            <w:tcW w:w="538" w:type="pct"/>
            <w:tcBorders>
              <w:top w:val="single" w:color="auto" w:sz="4" w:space="0"/>
              <w:left w:val="single" w:color="auto" w:sz="4" w:space="0"/>
              <w:bottom w:val="single" w:color="auto" w:sz="4" w:space="0"/>
              <w:right w:val="single" w:color="auto" w:sz="4" w:space="0"/>
            </w:tcBorders>
            <w:vAlign w:val="center"/>
          </w:tcPr>
          <w:p w14:paraId="3C09EC52">
            <w:pPr>
              <w:widowControl w:val="0"/>
              <w:spacing w:line="360" w:lineRule="auto"/>
              <w:jc w:val="center"/>
              <w:rPr>
                <w:rFonts w:ascii="Times New Roman" w:hAnsi="Times New Roman"/>
                <w:sz w:val="24"/>
                <w:szCs w:val="24"/>
              </w:rPr>
            </w:pPr>
            <w:r>
              <w:rPr>
                <w:rFonts w:ascii="Times New Roman" w:hAnsi="Times New Roman"/>
                <w:sz w:val="24"/>
                <w:szCs w:val="24"/>
              </w:rPr>
              <w:t>15.44</w:t>
            </w:r>
            <w:r>
              <w:rPr>
                <w:rFonts w:ascii="Times New Roman" w:hAnsi="Times New Roman"/>
                <w:sz w:val="24"/>
                <w:szCs w:val="24"/>
                <w:vertAlign w:val="superscript"/>
              </w:rPr>
              <w:t>b</w:t>
            </w:r>
            <w:r>
              <w:rPr>
                <w:rFonts w:ascii="Times New Roman" w:hAnsi="Times New Roman"/>
                <w:sz w:val="24"/>
                <w:szCs w:val="24"/>
              </w:rPr>
              <w:t xml:space="preserve"> ± 0.16</w:t>
            </w:r>
          </w:p>
        </w:tc>
        <w:tc>
          <w:tcPr>
            <w:tcW w:w="547" w:type="pct"/>
            <w:tcBorders>
              <w:top w:val="single" w:color="auto" w:sz="4" w:space="0"/>
              <w:left w:val="single" w:color="auto" w:sz="4" w:space="0"/>
              <w:bottom w:val="single" w:color="auto" w:sz="4" w:space="0"/>
              <w:right w:val="single" w:color="auto" w:sz="4" w:space="0"/>
            </w:tcBorders>
            <w:vAlign w:val="center"/>
          </w:tcPr>
          <w:p w14:paraId="63BBD55C">
            <w:pPr>
              <w:widowControl w:val="0"/>
              <w:spacing w:line="360" w:lineRule="auto"/>
              <w:jc w:val="center"/>
              <w:rPr>
                <w:rFonts w:ascii="Times New Roman" w:hAnsi="Times New Roman"/>
                <w:sz w:val="24"/>
                <w:szCs w:val="24"/>
              </w:rPr>
            </w:pPr>
            <w:r>
              <w:rPr>
                <w:rFonts w:ascii="Times New Roman" w:hAnsi="Times New Roman"/>
                <w:sz w:val="24"/>
                <w:szCs w:val="24"/>
              </w:rPr>
              <w:t>16.98</w:t>
            </w:r>
            <w:r>
              <w:rPr>
                <w:rFonts w:ascii="Times New Roman" w:hAnsi="Times New Roman"/>
                <w:sz w:val="24"/>
                <w:szCs w:val="24"/>
                <w:vertAlign w:val="superscript"/>
              </w:rPr>
              <w:t>c</w:t>
            </w:r>
            <w:r>
              <w:rPr>
                <w:rFonts w:ascii="Times New Roman" w:hAnsi="Times New Roman"/>
                <w:sz w:val="24"/>
                <w:szCs w:val="24"/>
              </w:rPr>
              <w:t xml:space="preserve"> ± 0.11</w:t>
            </w:r>
          </w:p>
        </w:tc>
        <w:tc>
          <w:tcPr>
            <w:tcW w:w="538" w:type="pct"/>
            <w:tcBorders>
              <w:top w:val="single" w:color="auto" w:sz="4" w:space="0"/>
              <w:left w:val="single" w:color="auto" w:sz="4" w:space="0"/>
              <w:bottom w:val="single" w:color="auto" w:sz="4" w:space="0"/>
              <w:right w:val="single" w:color="auto" w:sz="4" w:space="0"/>
            </w:tcBorders>
            <w:vAlign w:val="center"/>
          </w:tcPr>
          <w:p w14:paraId="37F526E1">
            <w:pPr>
              <w:widowControl w:val="0"/>
              <w:spacing w:line="360" w:lineRule="auto"/>
              <w:jc w:val="center"/>
              <w:rPr>
                <w:rFonts w:ascii="Times New Roman" w:hAnsi="Times New Roman"/>
                <w:sz w:val="24"/>
                <w:szCs w:val="24"/>
              </w:rPr>
            </w:pPr>
            <w:r>
              <w:rPr>
                <w:rFonts w:ascii="Times New Roman" w:hAnsi="Times New Roman"/>
                <w:sz w:val="24"/>
                <w:szCs w:val="24"/>
              </w:rPr>
              <w:t>17.81</w:t>
            </w:r>
            <w:r>
              <w:rPr>
                <w:rFonts w:ascii="Times New Roman" w:hAnsi="Times New Roman"/>
                <w:sz w:val="24"/>
                <w:szCs w:val="24"/>
                <w:vertAlign w:val="superscript"/>
              </w:rPr>
              <w:t>d</w:t>
            </w:r>
            <w:r>
              <w:rPr>
                <w:rFonts w:ascii="Times New Roman" w:hAnsi="Times New Roman"/>
                <w:sz w:val="24"/>
                <w:szCs w:val="24"/>
              </w:rPr>
              <w:t xml:space="preserve"> ± 0.19</w:t>
            </w:r>
          </w:p>
        </w:tc>
        <w:tc>
          <w:tcPr>
            <w:tcW w:w="565" w:type="pct"/>
            <w:tcBorders>
              <w:top w:val="single" w:color="auto" w:sz="4" w:space="0"/>
              <w:left w:val="single" w:color="auto" w:sz="4" w:space="0"/>
              <w:bottom w:val="single" w:color="auto" w:sz="4" w:space="0"/>
              <w:right w:val="single" w:color="auto" w:sz="4" w:space="0"/>
            </w:tcBorders>
            <w:vAlign w:val="center"/>
          </w:tcPr>
          <w:p w14:paraId="52E15443">
            <w:pPr>
              <w:widowControl w:val="0"/>
              <w:spacing w:line="360" w:lineRule="auto"/>
              <w:jc w:val="center"/>
              <w:rPr>
                <w:rFonts w:ascii="Times New Roman" w:hAnsi="Times New Roman"/>
                <w:sz w:val="24"/>
                <w:szCs w:val="24"/>
              </w:rPr>
            </w:pPr>
            <w:r>
              <w:rPr>
                <w:rFonts w:ascii="Times New Roman" w:hAnsi="Times New Roman"/>
                <w:sz w:val="24"/>
                <w:szCs w:val="24"/>
              </w:rPr>
              <w:t>18.35</w:t>
            </w:r>
            <w:r>
              <w:rPr>
                <w:rFonts w:ascii="Times New Roman" w:hAnsi="Times New Roman"/>
                <w:sz w:val="24"/>
                <w:szCs w:val="24"/>
                <w:vertAlign w:val="superscript"/>
              </w:rPr>
              <w:t>e</w:t>
            </w:r>
            <w:r>
              <w:rPr>
                <w:rFonts w:ascii="Times New Roman" w:hAnsi="Times New Roman"/>
                <w:sz w:val="24"/>
                <w:szCs w:val="24"/>
              </w:rPr>
              <w:t xml:space="preserve"> ± 0.12</w:t>
            </w:r>
          </w:p>
        </w:tc>
        <w:tc>
          <w:tcPr>
            <w:tcW w:w="538" w:type="pct"/>
            <w:tcBorders>
              <w:top w:val="single" w:color="auto" w:sz="4" w:space="0"/>
              <w:left w:val="single" w:color="auto" w:sz="4" w:space="0"/>
              <w:bottom w:val="single" w:color="auto" w:sz="4" w:space="0"/>
              <w:right w:val="single" w:color="auto" w:sz="4" w:space="0"/>
            </w:tcBorders>
            <w:vAlign w:val="center"/>
          </w:tcPr>
          <w:p w14:paraId="296A75F8">
            <w:pPr>
              <w:widowControl w:val="0"/>
              <w:spacing w:line="360" w:lineRule="auto"/>
              <w:jc w:val="center"/>
              <w:rPr>
                <w:rFonts w:ascii="Times New Roman" w:hAnsi="Times New Roman"/>
                <w:sz w:val="24"/>
                <w:szCs w:val="24"/>
              </w:rPr>
            </w:pPr>
            <w:r>
              <w:rPr>
                <w:rFonts w:ascii="Times New Roman" w:hAnsi="Times New Roman"/>
                <w:sz w:val="24"/>
                <w:szCs w:val="24"/>
              </w:rPr>
              <w:t>16.41 ± 0.34</w:t>
            </w:r>
            <w:r>
              <w:rPr>
                <w:rFonts w:ascii="Times New Roman" w:hAnsi="Times New Roman"/>
                <w:sz w:val="24"/>
                <w:szCs w:val="24"/>
                <w:vertAlign w:val="superscript"/>
              </w:rPr>
              <w:t>A</w:t>
            </w:r>
            <w:r>
              <w:rPr>
                <w:rFonts w:ascii="Times New Roman" w:hAnsi="Times New Roman"/>
                <w:sz w:val="24"/>
                <w:szCs w:val="24"/>
              </w:rPr>
              <w:t xml:space="preserve"> </w:t>
            </w:r>
          </w:p>
        </w:tc>
      </w:tr>
      <w:tr w14:paraId="6BA22CC4">
        <w:trPr>
          <w:trHeight w:val="716" w:hRule="atLeast"/>
        </w:trPr>
        <w:tc>
          <w:tcPr>
            <w:tcW w:w="401" w:type="pct"/>
            <w:vMerge w:val="continue"/>
            <w:tcBorders>
              <w:top w:val="nil"/>
              <w:left w:val="single" w:color="auto" w:sz="4" w:space="0"/>
              <w:bottom w:val="single" w:color="auto" w:sz="4" w:space="0"/>
              <w:right w:val="single" w:color="auto" w:sz="4" w:space="0"/>
            </w:tcBorders>
            <w:vAlign w:val="center"/>
          </w:tcPr>
          <w:p w14:paraId="4C386ADF">
            <w:pPr>
              <w:widowControl w:val="0"/>
              <w:spacing w:line="360" w:lineRule="auto"/>
              <w:jc w:val="both"/>
              <w:rPr>
                <w:rFonts w:ascii="Times New Roman Bold" w:hAnsi="Times New Roman Bold" w:cs="Times New Roman Bold"/>
                <w:b/>
                <w:bCs/>
                <w:sz w:val="24"/>
                <w:szCs w:val="24"/>
              </w:rPr>
            </w:pPr>
          </w:p>
        </w:tc>
        <w:tc>
          <w:tcPr>
            <w:tcW w:w="779" w:type="pct"/>
            <w:vMerge w:val="continue"/>
            <w:tcBorders>
              <w:top w:val="nil"/>
              <w:left w:val="single" w:color="auto" w:sz="4" w:space="0"/>
              <w:bottom w:val="single" w:color="auto" w:sz="4" w:space="0"/>
              <w:right w:val="single" w:color="auto" w:sz="4" w:space="0"/>
            </w:tcBorders>
            <w:vAlign w:val="center"/>
          </w:tcPr>
          <w:p w14:paraId="2B68D9E2">
            <w:pPr>
              <w:widowControl w:val="0"/>
              <w:spacing w:line="360" w:lineRule="auto"/>
              <w:jc w:val="both"/>
              <w:rPr>
                <w:rFonts w:ascii="Times New Roman Bold" w:hAnsi="Times New Roman Bold" w:cs="Times New Roman Bold"/>
                <w:b/>
                <w:bCs/>
                <w:sz w:val="24"/>
                <w:szCs w:val="24"/>
              </w:rPr>
            </w:pPr>
          </w:p>
        </w:tc>
        <w:tc>
          <w:tcPr>
            <w:tcW w:w="523" w:type="pct"/>
            <w:tcBorders>
              <w:top w:val="single" w:color="auto" w:sz="4" w:space="0"/>
              <w:left w:val="single" w:color="auto" w:sz="4" w:space="0"/>
              <w:bottom w:val="single" w:color="auto" w:sz="4" w:space="0"/>
              <w:right w:val="single" w:color="auto" w:sz="4" w:space="0"/>
            </w:tcBorders>
            <w:vAlign w:val="center"/>
          </w:tcPr>
          <w:p w14:paraId="707B8A04">
            <w:pPr>
              <w:widowControl w:val="0"/>
              <w:spacing w:line="36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Group II</w:t>
            </w:r>
          </w:p>
          <w:p w14:paraId="4E6AB044">
            <w:pPr>
              <w:widowControl w:val="0"/>
              <w:spacing w:line="360" w:lineRule="auto"/>
              <w:jc w:val="both"/>
              <w:rPr>
                <w:rFonts w:ascii="Times New Roman Bold" w:hAnsi="Times New Roman Bold" w:cs="Times New Roman Bold"/>
                <w:b/>
                <w:bCs/>
                <w:sz w:val="24"/>
                <w:szCs w:val="24"/>
              </w:rPr>
            </w:pPr>
          </w:p>
        </w:tc>
        <w:tc>
          <w:tcPr>
            <w:tcW w:w="565" w:type="pct"/>
            <w:tcBorders>
              <w:top w:val="single" w:color="auto" w:sz="4" w:space="0"/>
              <w:left w:val="single" w:color="auto" w:sz="4" w:space="0"/>
              <w:bottom w:val="single" w:color="auto" w:sz="4" w:space="0"/>
              <w:right w:val="single" w:color="auto" w:sz="4" w:space="0"/>
            </w:tcBorders>
            <w:vAlign w:val="center"/>
          </w:tcPr>
          <w:p w14:paraId="6DF9016F">
            <w:pPr>
              <w:widowControl w:val="0"/>
              <w:spacing w:line="360" w:lineRule="auto"/>
              <w:jc w:val="center"/>
              <w:rPr>
                <w:rFonts w:ascii="Times New Roman" w:hAnsi="Times New Roman"/>
                <w:sz w:val="24"/>
                <w:szCs w:val="24"/>
              </w:rPr>
            </w:pPr>
            <w:r>
              <w:rPr>
                <w:rFonts w:ascii="Times New Roman" w:hAnsi="Times New Roman"/>
                <w:sz w:val="24"/>
                <w:szCs w:val="24"/>
              </w:rPr>
              <w:t>13.60</w:t>
            </w:r>
            <w:r>
              <w:rPr>
                <w:rFonts w:ascii="Times New Roman" w:hAnsi="Times New Roman"/>
                <w:sz w:val="24"/>
                <w:szCs w:val="24"/>
                <w:vertAlign w:val="superscript"/>
              </w:rPr>
              <w:t>a</w:t>
            </w:r>
            <w:r>
              <w:rPr>
                <w:rFonts w:ascii="Times New Roman" w:hAnsi="Times New Roman"/>
                <w:sz w:val="24"/>
                <w:szCs w:val="24"/>
              </w:rPr>
              <w:t xml:space="preserve"> ± 0.41</w:t>
            </w:r>
          </w:p>
        </w:tc>
        <w:tc>
          <w:tcPr>
            <w:tcW w:w="538" w:type="pct"/>
            <w:tcBorders>
              <w:top w:val="single" w:color="auto" w:sz="4" w:space="0"/>
              <w:left w:val="single" w:color="auto" w:sz="4" w:space="0"/>
              <w:bottom w:val="single" w:color="auto" w:sz="4" w:space="0"/>
              <w:right w:val="single" w:color="auto" w:sz="4" w:space="0"/>
            </w:tcBorders>
            <w:vAlign w:val="center"/>
          </w:tcPr>
          <w:p w14:paraId="04B8EC46">
            <w:pPr>
              <w:widowControl w:val="0"/>
              <w:spacing w:line="360" w:lineRule="auto"/>
              <w:jc w:val="center"/>
              <w:rPr>
                <w:rFonts w:ascii="Times New Roman" w:hAnsi="Times New Roman"/>
                <w:sz w:val="24"/>
                <w:szCs w:val="24"/>
              </w:rPr>
            </w:pPr>
            <w:r>
              <w:rPr>
                <w:rFonts w:ascii="Times New Roman" w:hAnsi="Times New Roman"/>
                <w:sz w:val="24"/>
                <w:szCs w:val="24"/>
              </w:rPr>
              <w:t>15.96</w:t>
            </w:r>
            <w:r>
              <w:rPr>
                <w:rFonts w:ascii="Times New Roman" w:hAnsi="Times New Roman"/>
                <w:sz w:val="24"/>
                <w:szCs w:val="24"/>
                <w:vertAlign w:val="superscript"/>
              </w:rPr>
              <w:t>b</w:t>
            </w:r>
            <w:r>
              <w:rPr>
                <w:rFonts w:ascii="Times New Roman" w:hAnsi="Times New Roman"/>
                <w:sz w:val="24"/>
                <w:szCs w:val="24"/>
              </w:rPr>
              <w:t xml:space="preserve"> ± 0.20</w:t>
            </w:r>
          </w:p>
        </w:tc>
        <w:tc>
          <w:tcPr>
            <w:tcW w:w="547" w:type="pct"/>
            <w:tcBorders>
              <w:top w:val="single" w:color="auto" w:sz="4" w:space="0"/>
              <w:left w:val="single" w:color="auto" w:sz="4" w:space="0"/>
              <w:bottom w:val="single" w:color="auto" w:sz="4" w:space="0"/>
              <w:right w:val="single" w:color="auto" w:sz="4" w:space="0"/>
            </w:tcBorders>
            <w:vAlign w:val="center"/>
          </w:tcPr>
          <w:p w14:paraId="454CF11A">
            <w:pPr>
              <w:widowControl w:val="0"/>
              <w:spacing w:line="360" w:lineRule="auto"/>
              <w:jc w:val="center"/>
              <w:rPr>
                <w:rFonts w:ascii="Times New Roman" w:hAnsi="Times New Roman"/>
                <w:sz w:val="24"/>
                <w:szCs w:val="24"/>
              </w:rPr>
            </w:pPr>
            <w:r>
              <w:rPr>
                <w:rFonts w:ascii="Times New Roman" w:hAnsi="Times New Roman"/>
                <w:sz w:val="24"/>
                <w:szCs w:val="24"/>
              </w:rPr>
              <w:t>17.54</w:t>
            </w:r>
            <w:r>
              <w:rPr>
                <w:rFonts w:ascii="Times New Roman" w:hAnsi="Times New Roman"/>
                <w:sz w:val="24"/>
                <w:szCs w:val="24"/>
                <w:vertAlign w:val="superscript"/>
              </w:rPr>
              <w:t>c</w:t>
            </w:r>
            <w:r>
              <w:rPr>
                <w:rFonts w:ascii="Times New Roman" w:hAnsi="Times New Roman"/>
                <w:sz w:val="24"/>
                <w:szCs w:val="24"/>
              </w:rPr>
              <w:t xml:space="preserve"> ± 0.13</w:t>
            </w:r>
          </w:p>
        </w:tc>
        <w:tc>
          <w:tcPr>
            <w:tcW w:w="538" w:type="pct"/>
            <w:tcBorders>
              <w:top w:val="single" w:color="auto" w:sz="4" w:space="0"/>
              <w:left w:val="single" w:color="auto" w:sz="4" w:space="0"/>
              <w:bottom w:val="single" w:color="auto" w:sz="4" w:space="0"/>
              <w:right w:val="single" w:color="auto" w:sz="4" w:space="0"/>
            </w:tcBorders>
            <w:vAlign w:val="center"/>
          </w:tcPr>
          <w:p w14:paraId="33CA4AB6">
            <w:pPr>
              <w:widowControl w:val="0"/>
              <w:spacing w:line="360" w:lineRule="auto"/>
              <w:jc w:val="center"/>
              <w:rPr>
                <w:rFonts w:ascii="Times New Roman" w:hAnsi="Times New Roman"/>
                <w:sz w:val="24"/>
                <w:szCs w:val="24"/>
              </w:rPr>
            </w:pPr>
            <w:r>
              <w:rPr>
                <w:rFonts w:ascii="Times New Roman" w:hAnsi="Times New Roman"/>
                <w:sz w:val="24"/>
                <w:szCs w:val="24"/>
              </w:rPr>
              <w:t>18.26</w:t>
            </w:r>
            <w:r>
              <w:rPr>
                <w:rFonts w:ascii="Times New Roman" w:hAnsi="Times New Roman"/>
                <w:sz w:val="24"/>
                <w:szCs w:val="24"/>
                <w:vertAlign w:val="superscript"/>
              </w:rPr>
              <w:t>d</w:t>
            </w:r>
            <w:r>
              <w:rPr>
                <w:rFonts w:ascii="Times New Roman" w:hAnsi="Times New Roman"/>
                <w:sz w:val="24"/>
                <w:szCs w:val="24"/>
              </w:rPr>
              <w:t xml:space="preserve"> ± 0.72</w:t>
            </w:r>
          </w:p>
        </w:tc>
        <w:tc>
          <w:tcPr>
            <w:tcW w:w="565" w:type="pct"/>
            <w:tcBorders>
              <w:top w:val="single" w:color="auto" w:sz="4" w:space="0"/>
              <w:left w:val="single" w:color="auto" w:sz="4" w:space="0"/>
              <w:bottom w:val="single" w:color="auto" w:sz="4" w:space="0"/>
              <w:right w:val="single" w:color="auto" w:sz="4" w:space="0"/>
            </w:tcBorders>
            <w:vAlign w:val="center"/>
          </w:tcPr>
          <w:p w14:paraId="72A100E8">
            <w:pPr>
              <w:widowControl w:val="0"/>
              <w:spacing w:line="360" w:lineRule="auto"/>
              <w:jc w:val="center"/>
              <w:rPr>
                <w:rFonts w:ascii="Times New Roman" w:hAnsi="Times New Roman"/>
                <w:sz w:val="24"/>
                <w:szCs w:val="24"/>
              </w:rPr>
            </w:pPr>
            <w:r>
              <w:rPr>
                <w:rFonts w:ascii="Times New Roman" w:hAnsi="Times New Roman"/>
                <w:sz w:val="24"/>
                <w:szCs w:val="24"/>
              </w:rPr>
              <w:t>18.76</w:t>
            </w:r>
            <w:r>
              <w:rPr>
                <w:rFonts w:ascii="Times New Roman" w:hAnsi="Times New Roman"/>
                <w:sz w:val="24"/>
                <w:szCs w:val="24"/>
                <w:vertAlign w:val="superscript"/>
              </w:rPr>
              <w:t>e</w:t>
            </w:r>
            <w:r>
              <w:rPr>
                <w:rFonts w:ascii="Times New Roman" w:hAnsi="Times New Roman"/>
                <w:sz w:val="24"/>
                <w:szCs w:val="24"/>
              </w:rPr>
              <w:t xml:space="preserve"> ± 0.70</w:t>
            </w:r>
          </w:p>
        </w:tc>
        <w:tc>
          <w:tcPr>
            <w:tcW w:w="538" w:type="pct"/>
            <w:tcBorders>
              <w:top w:val="single" w:color="auto" w:sz="4" w:space="0"/>
              <w:left w:val="single" w:color="auto" w:sz="4" w:space="0"/>
              <w:bottom w:val="single" w:color="auto" w:sz="4" w:space="0"/>
              <w:right w:val="single" w:color="auto" w:sz="4" w:space="0"/>
            </w:tcBorders>
            <w:vAlign w:val="center"/>
          </w:tcPr>
          <w:p w14:paraId="25ACA77D">
            <w:pPr>
              <w:widowControl w:val="0"/>
              <w:spacing w:line="360" w:lineRule="auto"/>
              <w:jc w:val="center"/>
              <w:rPr>
                <w:rFonts w:ascii="Times New Roman" w:hAnsi="Times New Roman"/>
                <w:sz w:val="24"/>
                <w:szCs w:val="24"/>
                <w:vertAlign w:val="superscript"/>
              </w:rPr>
            </w:pPr>
            <w:r>
              <w:rPr>
                <w:rFonts w:ascii="Times New Roman" w:hAnsi="Times New Roman"/>
                <w:sz w:val="24"/>
                <w:szCs w:val="24"/>
              </w:rPr>
              <w:t>16.82 ± 0.35</w:t>
            </w:r>
            <w:r>
              <w:rPr>
                <w:rFonts w:ascii="Times New Roman" w:hAnsi="Times New Roman"/>
                <w:sz w:val="24"/>
                <w:szCs w:val="24"/>
                <w:vertAlign w:val="superscript"/>
              </w:rPr>
              <w:t>A</w:t>
            </w:r>
          </w:p>
        </w:tc>
      </w:tr>
      <w:tr w14:paraId="4F7ED07E">
        <w:trPr>
          <w:trHeight w:val="716" w:hRule="atLeast"/>
        </w:trPr>
        <w:tc>
          <w:tcPr>
            <w:tcW w:w="401" w:type="pct"/>
            <w:vMerge w:val="restart"/>
            <w:tcBorders>
              <w:top w:val="nil"/>
              <w:left w:val="single" w:color="auto" w:sz="4" w:space="0"/>
              <w:bottom w:val="single" w:color="auto" w:sz="4" w:space="0"/>
              <w:right w:val="single" w:color="auto" w:sz="4" w:space="0"/>
            </w:tcBorders>
            <w:vAlign w:val="center"/>
          </w:tcPr>
          <w:p w14:paraId="479C4A8C">
            <w:pPr>
              <w:widowControl w:val="0"/>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6</w:t>
            </w:r>
          </w:p>
          <w:p w14:paraId="51E4B3B3">
            <w:pPr>
              <w:widowControl w:val="0"/>
              <w:spacing w:line="360" w:lineRule="auto"/>
              <w:jc w:val="center"/>
              <w:rPr>
                <w:rFonts w:ascii="Times New Roman Bold" w:hAnsi="Times New Roman Bold" w:cs="Times New Roman Bold"/>
                <w:b/>
                <w:bCs/>
                <w:sz w:val="24"/>
                <w:szCs w:val="24"/>
              </w:rPr>
            </w:pPr>
          </w:p>
        </w:tc>
        <w:tc>
          <w:tcPr>
            <w:tcW w:w="779" w:type="pct"/>
            <w:vMerge w:val="restart"/>
            <w:tcBorders>
              <w:top w:val="nil"/>
              <w:left w:val="single" w:color="auto" w:sz="4" w:space="0"/>
              <w:bottom w:val="single" w:color="auto" w:sz="4" w:space="0"/>
              <w:right w:val="single" w:color="auto" w:sz="4" w:space="0"/>
            </w:tcBorders>
            <w:vAlign w:val="center"/>
          </w:tcPr>
          <w:p w14:paraId="4DCEC7DF">
            <w:pPr>
              <w:widowControl w:val="0"/>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Monocyte (%)</w:t>
            </w:r>
          </w:p>
          <w:p w14:paraId="10D69ACB">
            <w:pPr>
              <w:widowControl w:val="0"/>
              <w:spacing w:line="360" w:lineRule="auto"/>
              <w:jc w:val="center"/>
              <w:rPr>
                <w:rFonts w:ascii="Times New Roman Bold" w:hAnsi="Times New Roman Bold" w:cs="Times New Roman Bold"/>
                <w:b/>
                <w:bCs/>
                <w:sz w:val="24"/>
                <w:szCs w:val="24"/>
              </w:rPr>
            </w:pPr>
          </w:p>
        </w:tc>
        <w:tc>
          <w:tcPr>
            <w:tcW w:w="523" w:type="pct"/>
            <w:tcBorders>
              <w:top w:val="single" w:color="auto" w:sz="4" w:space="0"/>
              <w:left w:val="single" w:color="auto" w:sz="4" w:space="0"/>
              <w:bottom w:val="single" w:color="auto" w:sz="4" w:space="0"/>
              <w:right w:val="single" w:color="auto" w:sz="4" w:space="0"/>
            </w:tcBorders>
            <w:vAlign w:val="center"/>
          </w:tcPr>
          <w:p w14:paraId="13FD1CFD">
            <w:pPr>
              <w:widowControl w:val="0"/>
              <w:spacing w:line="36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Group I</w:t>
            </w:r>
          </w:p>
          <w:p w14:paraId="704DD512">
            <w:pPr>
              <w:widowControl w:val="0"/>
              <w:spacing w:line="360" w:lineRule="auto"/>
              <w:jc w:val="both"/>
              <w:rPr>
                <w:rFonts w:ascii="Times New Roman Bold" w:hAnsi="Times New Roman Bold" w:cs="Times New Roman Bold"/>
                <w:b/>
                <w:bCs/>
                <w:sz w:val="24"/>
                <w:szCs w:val="24"/>
              </w:rPr>
            </w:pPr>
          </w:p>
        </w:tc>
        <w:tc>
          <w:tcPr>
            <w:tcW w:w="565" w:type="pct"/>
            <w:tcBorders>
              <w:top w:val="single" w:color="auto" w:sz="4" w:space="0"/>
              <w:left w:val="single" w:color="auto" w:sz="4" w:space="0"/>
              <w:bottom w:val="single" w:color="auto" w:sz="4" w:space="0"/>
              <w:right w:val="single" w:color="auto" w:sz="4" w:space="0"/>
            </w:tcBorders>
            <w:vAlign w:val="center"/>
          </w:tcPr>
          <w:p w14:paraId="74F41875">
            <w:pPr>
              <w:widowControl w:val="0"/>
              <w:spacing w:line="360" w:lineRule="auto"/>
              <w:jc w:val="center"/>
              <w:rPr>
                <w:rFonts w:ascii="Times New Roman" w:hAnsi="Times New Roman"/>
                <w:sz w:val="24"/>
                <w:szCs w:val="24"/>
              </w:rPr>
            </w:pPr>
            <w:r>
              <w:rPr>
                <w:rFonts w:ascii="Times New Roman" w:hAnsi="Times New Roman"/>
                <w:sz w:val="24"/>
                <w:szCs w:val="24"/>
              </w:rPr>
              <w:t>2.11</w:t>
            </w:r>
            <w:r>
              <w:rPr>
                <w:rFonts w:ascii="Times New Roman" w:hAnsi="Times New Roman"/>
                <w:sz w:val="24"/>
                <w:szCs w:val="24"/>
                <w:vertAlign w:val="superscript"/>
              </w:rPr>
              <w:t>a</w:t>
            </w:r>
            <w:r>
              <w:rPr>
                <w:rFonts w:ascii="Times New Roman" w:hAnsi="Times New Roman"/>
                <w:sz w:val="24"/>
                <w:szCs w:val="24"/>
              </w:rPr>
              <w:t xml:space="preserve"> ± 0.09</w:t>
            </w:r>
          </w:p>
        </w:tc>
        <w:tc>
          <w:tcPr>
            <w:tcW w:w="538" w:type="pct"/>
            <w:tcBorders>
              <w:top w:val="single" w:color="auto" w:sz="4" w:space="0"/>
              <w:left w:val="single" w:color="auto" w:sz="4" w:space="0"/>
              <w:bottom w:val="single" w:color="auto" w:sz="4" w:space="0"/>
              <w:right w:val="single" w:color="auto" w:sz="4" w:space="0"/>
            </w:tcBorders>
            <w:vAlign w:val="center"/>
          </w:tcPr>
          <w:p w14:paraId="535B49B2">
            <w:pPr>
              <w:widowControl w:val="0"/>
              <w:spacing w:line="360" w:lineRule="auto"/>
              <w:jc w:val="center"/>
              <w:rPr>
                <w:rFonts w:ascii="Times New Roman" w:hAnsi="Times New Roman"/>
                <w:sz w:val="24"/>
                <w:szCs w:val="24"/>
              </w:rPr>
            </w:pPr>
            <w:r>
              <w:rPr>
                <w:rFonts w:ascii="Times New Roman" w:hAnsi="Times New Roman"/>
                <w:sz w:val="24"/>
                <w:szCs w:val="24"/>
              </w:rPr>
              <w:t>2.19</w:t>
            </w:r>
            <w:r>
              <w:rPr>
                <w:rFonts w:ascii="Times New Roman" w:hAnsi="Times New Roman"/>
                <w:sz w:val="24"/>
                <w:szCs w:val="24"/>
                <w:vertAlign w:val="superscript"/>
              </w:rPr>
              <w:t>ab</w:t>
            </w:r>
            <w:r>
              <w:rPr>
                <w:rFonts w:ascii="Times New Roman" w:hAnsi="Times New Roman"/>
                <w:sz w:val="24"/>
                <w:szCs w:val="24"/>
              </w:rPr>
              <w:t xml:space="preserve"> ± 0.10</w:t>
            </w:r>
          </w:p>
        </w:tc>
        <w:tc>
          <w:tcPr>
            <w:tcW w:w="547" w:type="pct"/>
            <w:tcBorders>
              <w:top w:val="single" w:color="auto" w:sz="4" w:space="0"/>
              <w:left w:val="single" w:color="auto" w:sz="4" w:space="0"/>
              <w:bottom w:val="single" w:color="auto" w:sz="4" w:space="0"/>
              <w:right w:val="single" w:color="auto" w:sz="4" w:space="0"/>
            </w:tcBorders>
            <w:vAlign w:val="center"/>
          </w:tcPr>
          <w:p w14:paraId="702721FB">
            <w:pPr>
              <w:widowControl w:val="0"/>
              <w:spacing w:line="360" w:lineRule="auto"/>
              <w:jc w:val="center"/>
              <w:rPr>
                <w:rFonts w:ascii="Times New Roman" w:hAnsi="Times New Roman"/>
                <w:sz w:val="24"/>
                <w:szCs w:val="24"/>
              </w:rPr>
            </w:pPr>
            <w:r>
              <w:rPr>
                <w:rFonts w:ascii="Times New Roman" w:hAnsi="Times New Roman"/>
                <w:sz w:val="24"/>
                <w:szCs w:val="24"/>
              </w:rPr>
              <w:t>2.22</w:t>
            </w:r>
            <w:r>
              <w:rPr>
                <w:rFonts w:ascii="Times New Roman" w:hAnsi="Times New Roman"/>
                <w:sz w:val="24"/>
                <w:szCs w:val="24"/>
                <w:vertAlign w:val="superscript"/>
              </w:rPr>
              <w:t>ab</w:t>
            </w:r>
            <w:r>
              <w:rPr>
                <w:rFonts w:ascii="Times New Roman" w:hAnsi="Times New Roman"/>
                <w:sz w:val="24"/>
                <w:szCs w:val="24"/>
              </w:rPr>
              <w:t xml:space="preserve"> ± 0.11</w:t>
            </w:r>
          </w:p>
        </w:tc>
        <w:tc>
          <w:tcPr>
            <w:tcW w:w="538" w:type="pct"/>
            <w:tcBorders>
              <w:top w:val="single" w:color="auto" w:sz="4" w:space="0"/>
              <w:left w:val="single" w:color="auto" w:sz="4" w:space="0"/>
              <w:bottom w:val="single" w:color="auto" w:sz="4" w:space="0"/>
              <w:right w:val="single" w:color="auto" w:sz="4" w:space="0"/>
            </w:tcBorders>
            <w:vAlign w:val="center"/>
          </w:tcPr>
          <w:p w14:paraId="284F7EBD">
            <w:pPr>
              <w:widowControl w:val="0"/>
              <w:spacing w:line="360" w:lineRule="auto"/>
              <w:jc w:val="center"/>
              <w:rPr>
                <w:rFonts w:ascii="Times New Roman" w:hAnsi="Times New Roman"/>
                <w:sz w:val="24"/>
                <w:szCs w:val="24"/>
              </w:rPr>
            </w:pPr>
            <w:r>
              <w:rPr>
                <w:rFonts w:ascii="Times New Roman" w:hAnsi="Times New Roman"/>
                <w:sz w:val="24"/>
                <w:szCs w:val="24"/>
              </w:rPr>
              <w:t>2.26</w:t>
            </w:r>
            <w:r>
              <w:rPr>
                <w:rFonts w:ascii="Times New Roman" w:hAnsi="Times New Roman"/>
                <w:sz w:val="24"/>
                <w:szCs w:val="24"/>
                <w:vertAlign w:val="superscript"/>
              </w:rPr>
              <w:t>ab</w:t>
            </w:r>
            <w:r>
              <w:rPr>
                <w:rFonts w:ascii="Times New Roman" w:hAnsi="Times New Roman"/>
                <w:sz w:val="24"/>
                <w:szCs w:val="24"/>
              </w:rPr>
              <w:t xml:space="preserve"> ± 0.10</w:t>
            </w:r>
          </w:p>
        </w:tc>
        <w:tc>
          <w:tcPr>
            <w:tcW w:w="565" w:type="pct"/>
            <w:tcBorders>
              <w:top w:val="single" w:color="auto" w:sz="4" w:space="0"/>
              <w:left w:val="single" w:color="auto" w:sz="4" w:space="0"/>
              <w:bottom w:val="single" w:color="auto" w:sz="4" w:space="0"/>
              <w:right w:val="single" w:color="auto" w:sz="4" w:space="0"/>
            </w:tcBorders>
            <w:vAlign w:val="center"/>
          </w:tcPr>
          <w:p w14:paraId="0CBDE983">
            <w:pPr>
              <w:widowControl w:val="0"/>
              <w:spacing w:line="360" w:lineRule="auto"/>
              <w:jc w:val="center"/>
              <w:rPr>
                <w:rFonts w:ascii="Times New Roman" w:hAnsi="Times New Roman"/>
                <w:sz w:val="24"/>
                <w:szCs w:val="24"/>
              </w:rPr>
            </w:pPr>
            <w:r>
              <w:rPr>
                <w:rFonts w:ascii="Times New Roman" w:hAnsi="Times New Roman"/>
                <w:sz w:val="24"/>
                <w:szCs w:val="24"/>
              </w:rPr>
              <w:t>2.42</w:t>
            </w:r>
            <w:r>
              <w:rPr>
                <w:rFonts w:ascii="Times New Roman" w:hAnsi="Times New Roman"/>
                <w:sz w:val="24"/>
                <w:szCs w:val="24"/>
                <w:vertAlign w:val="superscript"/>
              </w:rPr>
              <w:t>ab</w:t>
            </w:r>
            <w:r>
              <w:rPr>
                <w:rFonts w:ascii="Times New Roman" w:hAnsi="Times New Roman"/>
                <w:sz w:val="24"/>
                <w:szCs w:val="24"/>
              </w:rPr>
              <w:t xml:space="preserve"> ± 0.09</w:t>
            </w:r>
          </w:p>
        </w:tc>
        <w:tc>
          <w:tcPr>
            <w:tcW w:w="538" w:type="pct"/>
            <w:tcBorders>
              <w:top w:val="single" w:color="auto" w:sz="4" w:space="0"/>
              <w:left w:val="single" w:color="auto" w:sz="4" w:space="0"/>
              <w:bottom w:val="single" w:color="auto" w:sz="4" w:space="0"/>
              <w:right w:val="single" w:color="auto" w:sz="4" w:space="0"/>
            </w:tcBorders>
            <w:vAlign w:val="center"/>
          </w:tcPr>
          <w:p w14:paraId="6CB3F9B0">
            <w:pPr>
              <w:widowControl w:val="0"/>
              <w:spacing w:line="360" w:lineRule="auto"/>
              <w:jc w:val="center"/>
              <w:rPr>
                <w:rFonts w:ascii="Times New Roman" w:hAnsi="Times New Roman"/>
                <w:sz w:val="24"/>
                <w:szCs w:val="24"/>
                <w:vertAlign w:val="superscript"/>
              </w:rPr>
            </w:pPr>
            <w:r>
              <w:rPr>
                <w:rFonts w:ascii="Times New Roman" w:hAnsi="Times New Roman"/>
                <w:sz w:val="24"/>
                <w:szCs w:val="24"/>
              </w:rPr>
              <w:t>2.24 ± 0.04</w:t>
            </w:r>
            <w:r>
              <w:rPr>
                <w:rFonts w:ascii="Times New Roman" w:hAnsi="Times New Roman"/>
                <w:sz w:val="24"/>
                <w:szCs w:val="24"/>
                <w:vertAlign w:val="superscript"/>
              </w:rPr>
              <w:t>A</w:t>
            </w:r>
          </w:p>
        </w:tc>
      </w:tr>
      <w:tr w14:paraId="277D2D7F">
        <w:trPr>
          <w:trHeight w:val="716" w:hRule="atLeast"/>
        </w:trPr>
        <w:tc>
          <w:tcPr>
            <w:tcW w:w="401" w:type="pct"/>
            <w:vMerge w:val="continue"/>
            <w:tcBorders>
              <w:top w:val="nil"/>
              <w:left w:val="single" w:color="auto" w:sz="4" w:space="0"/>
              <w:bottom w:val="single" w:color="auto" w:sz="4" w:space="0"/>
              <w:right w:val="single" w:color="auto" w:sz="4" w:space="0"/>
            </w:tcBorders>
            <w:vAlign w:val="center"/>
          </w:tcPr>
          <w:p w14:paraId="4F115FD8">
            <w:pPr>
              <w:widowControl w:val="0"/>
              <w:spacing w:line="480" w:lineRule="auto"/>
              <w:jc w:val="both"/>
              <w:rPr>
                <w:rFonts w:ascii="Times New Roman Bold" w:hAnsi="Times New Roman Bold" w:cs="Times New Roman Bold"/>
                <w:b/>
                <w:bCs/>
                <w:sz w:val="24"/>
                <w:szCs w:val="24"/>
              </w:rPr>
            </w:pPr>
          </w:p>
        </w:tc>
        <w:tc>
          <w:tcPr>
            <w:tcW w:w="779" w:type="pct"/>
            <w:vMerge w:val="continue"/>
            <w:tcBorders>
              <w:top w:val="nil"/>
              <w:left w:val="single" w:color="auto" w:sz="4" w:space="0"/>
              <w:bottom w:val="single" w:color="auto" w:sz="4" w:space="0"/>
              <w:right w:val="single" w:color="auto" w:sz="4" w:space="0"/>
            </w:tcBorders>
            <w:vAlign w:val="center"/>
          </w:tcPr>
          <w:p w14:paraId="6896B4C9">
            <w:pPr>
              <w:widowControl w:val="0"/>
              <w:spacing w:line="480" w:lineRule="auto"/>
              <w:jc w:val="both"/>
              <w:rPr>
                <w:rFonts w:ascii="Times New Roman Bold" w:hAnsi="Times New Roman Bold" w:cs="Times New Roman Bold"/>
                <w:b/>
                <w:bCs/>
                <w:sz w:val="24"/>
                <w:szCs w:val="24"/>
              </w:rPr>
            </w:pPr>
          </w:p>
        </w:tc>
        <w:tc>
          <w:tcPr>
            <w:tcW w:w="523" w:type="pct"/>
            <w:tcBorders>
              <w:top w:val="single" w:color="auto" w:sz="4" w:space="0"/>
              <w:left w:val="single" w:color="auto" w:sz="4" w:space="0"/>
              <w:bottom w:val="single" w:color="auto" w:sz="4" w:space="0"/>
              <w:right w:val="single" w:color="auto" w:sz="4" w:space="0"/>
            </w:tcBorders>
            <w:vAlign w:val="center"/>
          </w:tcPr>
          <w:p w14:paraId="78A2829F">
            <w:pPr>
              <w:widowControl w:val="0"/>
              <w:spacing w:line="36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Group II</w:t>
            </w:r>
          </w:p>
          <w:p w14:paraId="0D79F46B">
            <w:pPr>
              <w:widowControl w:val="0"/>
              <w:spacing w:line="360" w:lineRule="auto"/>
              <w:jc w:val="both"/>
              <w:rPr>
                <w:rFonts w:ascii="Times New Roman Bold" w:hAnsi="Times New Roman Bold" w:cs="Times New Roman Bold"/>
                <w:b/>
                <w:bCs/>
                <w:sz w:val="24"/>
                <w:szCs w:val="24"/>
              </w:rPr>
            </w:pPr>
          </w:p>
        </w:tc>
        <w:tc>
          <w:tcPr>
            <w:tcW w:w="565" w:type="pct"/>
            <w:tcBorders>
              <w:top w:val="single" w:color="auto" w:sz="4" w:space="0"/>
              <w:left w:val="single" w:color="auto" w:sz="4" w:space="0"/>
              <w:bottom w:val="single" w:color="auto" w:sz="4" w:space="0"/>
              <w:right w:val="single" w:color="auto" w:sz="4" w:space="0"/>
            </w:tcBorders>
            <w:vAlign w:val="center"/>
          </w:tcPr>
          <w:p w14:paraId="1AA25AA8">
            <w:pPr>
              <w:widowControl w:val="0"/>
              <w:spacing w:line="360" w:lineRule="auto"/>
              <w:jc w:val="center"/>
              <w:rPr>
                <w:rFonts w:ascii="Times New Roman" w:hAnsi="Times New Roman"/>
                <w:sz w:val="24"/>
                <w:szCs w:val="24"/>
              </w:rPr>
            </w:pPr>
            <w:r>
              <w:rPr>
                <w:rFonts w:ascii="Times New Roman" w:hAnsi="Times New Roman"/>
                <w:sz w:val="24"/>
                <w:szCs w:val="24"/>
              </w:rPr>
              <w:t>2.17</w:t>
            </w:r>
            <w:r>
              <w:rPr>
                <w:rFonts w:ascii="Times New Roman" w:hAnsi="Times New Roman"/>
                <w:sz w:val="24"/>
                <w:szCs w:val="24"/>
                <w:vertAlign w:val="superscript"/>
              </w:rPr>
              <w:t>a</w:t>
            </w:r>
            <w:r>
              <w:rPr>
                <w:rFonts w:ascii="Times New Roman" w:hAnsi="Times New Roman"/>
                <w:sz w:val="24"/>
                <w:szCs w:val="24"/>
              </w:rPr>
              <w:t xml:space="preserve"> ± 0.12</w:t>
            </w:r>
          </w:p>
        </w:tc>
        <w:tc>
          <w:tcPr>
            <w:tcW w:w="538" w:type="pct"/>
            <w:tcBorders>
              <w:top w:val="single" w:color="auto" w:sz="4" w:space="0"/>
              <w:left w:val="single" w:color="auto" w:sz="4" w:space="0"/>
              <w:bottom w:val="single" w:color="auto" w:sz="4" w:space="0"/>
              <w:right w:val="single" w:color="auto" w:sz="4" w:space="0"/>
            </w:tcBorders>
            <w:vAlign w:val="center"/>
          </w:tcPr>
          <w:p w14:paraId="617C91D5">
            <w:pPr>
              <w:widowControl w:val="0"/>
              <w:spacing w:line="360" w:lineRule="auto"/>
              <w:jc w:val="center"/>
              <w:rPr>
                <w:rFonts w:ascii="Times New Roman" w:hAnsi="Times New Roman"/>
                <w:sz w:val="24"/>
                <w:szCs w:val="24"/>
              </w:rPr>
            </w:pPr>
            <w:r>
              <w:rPr>
                <w:rFonts w:ascii="Times New Roman" w:hAnsi="Times New Roman"/>
                <w:sz w:val="24"/>
                <w:szCs w:val="24"/>
              </w:rPr>
              <w:t>2.20</w:t>
            </w:r>
            <w:r>
              <w:rPr>
                <w:rFonts w:ascii="Times New Roman" w:hAnsi="Times New Roman"/>
                <w:sz w:val="24"/>
                <w:szCs w:val="24"/>
                <w:vertAlign w:val="superscript"/>
              </w:rPr>
              <w:t>a</w:t>
            </w:r>
            <w:r>
              <w:rPr>
                <w:rFonts w:ascii="Times New Roman" w:hAnsi="Times New Roman"/>
                <w:sz w:val="24"/>
                <w:szCs w:val="24"/>
              </w:rPr>
              <w:t xml:space="preserve"> ± 0.12</w:t>
            </w:r>
          </w:p>
        </w:tc>
        <w:tc>
          <w:tcPr>
            <w:tcW w:w="547" w:type="pct"/>
            <w:tcBorders>
              <w:top w:val="single" w:color="auto" w:sz="4" w:space="0"/>
              <w:left w:val="single" w:color="auto" w:sz="4" w:space="0"/>
              <w:bottom w:val="single" w:color="auto" w:sz="4" w:space="0"/>
              <w:right w:val="single" w:color="auto" w:sz="4" w:space="0"/>
            </w:tcBorders>
            <w:vAlign w:val="center"/>
          </w:tcPr>
          <w:p w14:paraId="02F37811">
            <w:pPr>
              <w:widowControl w:val="0"/>
              <w:spacing w:line="360" w:lineRule="auto"/>
              <w:jc w:val="center"/>
              <w:rPr>
                <w:rFonts w:ascii="Times New Roman" w:hAnsi="Times New Roman"/>
                <w:sz w:val="24"/>
                <w:szCs w:val="24"/>
              </w:rPr>
            </w:pPr>
            <w:r>
              <w:rPr>
                <w:rFonts w:ascii="Times New Roman" w:hAnsi="Times New Roman"/>
                <w:sz w:val="24"/>
                <w:szCs w:val="24"/>
              </w:rPr>
              <w:t>2.23</w:t>
            </w:r>
            <w:r>
              <w:rPr>
                <w:rFonts w:ascii="Times New Roman" w:hAnsi="Times New Roman"/>
                <w:sz w:val="24"/>
                <w:szCs w:val="24"/>
                <w:vertAlign w:val="superscript"/>
              </w:rPr>
              <w:t>a</w:t>
            </w:r>
            <w:r>
              <w:rPr>
                <w:rFonts w:ascii="Times New Roman" w:hAnsi="Times New Roman"/>
                <w:sz w:val="24"/>
                <w:szCs w:val="24"/>
              </w:rPr>
              <w:t xml:space="preserve"> ± 0.12</w:t>
            </w:r>
          </w:p>
        </w:tc>
        <w:tc>
          <w:tcPr>
            <w:tcW w:w="538" w:type="pct"/>
            <w:tcBorders>
              <w:top w:val="single" w:color="auto" w:sz="4" w:space="0"/>
              <w:left w:val="single" w:color="auto" w:sz="4" w:space="0"/>
              <w:bottom w:val="single" w:color="auto" w:sz="4" w:space="0"/>
              <w:right w:val="single" w:color="auto" w:sz="4" w:space="0"/>
            </w:tcBorders>
            <w:vAlign w:val="center"/>
          </w:tcPr>
          <w:p w14:paraId="5151D5ED">
            <w:pPr>
              <w:widowControl w:val="0"/>
              <w:spacing w:line="360" w:lineRule="auto"/>
              <w:jc w:val="center"/>
              <w:rPr>
                <w:rFonts w:ascii="Times New Roman" w:hAnsi="Times New Roman"/>
                <w:sz w:val="24"/>
                <w:szCs w:val="24"/>
              </w:rPr>
            </w:pPr>
            <w:r>
              <w:rPr>
                <w:rFonts w:ascii="Times New Roman" w:hAnsi="Times New Roman"/>
                <w:sz w:val="24"/>
                <w:szCs w:val="24"/>
              </w:rPr>
              <w:t>2.27</w:t>
            </w:r>
            <w:r>
              <w:rPr>
                <w:rFonts w:ascii="Times New Roman" w:hAnsi="Times New Roman"/>
                <w:sz w:val="24"/>
                <w:szCs w:val="24"/>
                <w:vertAlign w:val="superscript"/>
              </w:rPr>
              <w:t>a</w:t>
            </w:r>
            <w:r>
              <w:rPr>
                <w:rFonts w:ascii="Times New Roman" w:hAnsi="Times New Roman"/>
                <w:sz w:val="24"/>
                <w:szCs w:val="24"/>
              </w:rPr>
              <w:t xml:space="preserve"> ± 0.11</w:t>
            </w:r>
          </w:p>
        </w:tc>
        <w:tc>
          <w:tcPr>
            <w:tcW w:w="565" w:type="pct"/>
            <w:tcBorders>
              <w:top w:val="single" w:color="auto" w:sz="4" w:space="0"/>
              <w:left w:val="single" w:color="auto" w:sz="4" w:space="0"/>
              <w:bottom w:val="single" w:color="auto" w:sz="4" w:space="0"/>
              <w:right w:val="single" w:color="auto" w:sz="4" w:space="0"/>
            </w:tcBorders>
            <w:vAlign w:val="center"/>
          </w:tcPr>
          <w:p w14:paraId="4B88D651">
            <w:pPr>
              <w:widowControl w:val="0"/>
              <w:spacing w:line="360" w:lineRule="auto"/>
              <w:jc w:val="center"/>
              <w:rPr>
                <w:rFonts w:ascii="Times New Roman" w:hAnsi="Times New Roman"/>
                <w:sz w:val="24"/>
                <w:szCs w:val="24"/>
              </w:rPr>
            </w:pPr>
            <w:r>
              <w:rPr>
                <w:rFonts w:ascii="Times New Roman" w:hAnsi="Times New Roman"/>
                <w:sz w:val="24"/>
                <w:szCs w:val="24"/>
              </w:rPr>
              <w:t>2.44</w:t>
            </w:r>
            <w:r>
              <w:rPr>
                <w:rFonts w:ascii="Times New Roman" w:hAnsi="Times New Roman"/>
                <w:sz w:val="24"/>
                <w:szCs w:val="24"/>
                <w:vertAlign w:val="superscript"/>
              </w:rPr>
              <w:t>a</w:t>
            </w:r>
            <w:r>
              <w:rPr>
                <w:rFonts w:ascii="Times New Roman" w:hAnsi="Times New Roman"/>
                <w:sz w:val="24"/>
                <w:szCs w:val="24"/>
              </w:rPr>
              <w:t xml:space="preserve"> ± 0.11</w:t>
            </w:r>
          </w:p>
        </w:tc>
        <w:tc>
          <w:tcPr>
            <w:tcW w:w="538" w:type="pct"/>
            <w:tcBorders>
              <w:top w:val="single" w:color="auto" w:sz="4" w:space="0"/>
              <w:left w:val="single" w:color="auto" w:sz="4" w:space="0"/>
              <w:bottom w:val="single" w:color="auto" w:sz="4" w:space="0"/>
              <w:right w:val="single" w:color="auto" w:sz="4" w:space="0"/>
            </w:tcBorders>
            <w:vAlign w:val="center"/>
          </w:tcPr>
          <w:p w14:paraId="5B92BD83">
            <w:pPr>
              <w:widowControl w:val="0"/>
              <w:spacing w:line="360" w:lineRule="auto"/>
              <w:jc w:val="center"/>
              <w:rPr>
                <w:rFonts w:ascii="Times New Roman" w:hAnsi="Times New Roman"/>
                <w:sz w:val="24"/>
                <w:szCs w:val="24"/>
              </w:rPr>
            </w:pPr>
            <w:r>
              <w:rPr>
                <w:rFonts w:ascii="Times New Roman" w:hAnsi="Times New Roman"/>
                <w:sz w:val="24"/>
                <w:szCs w:val="24"/>
              </w:rPr>
              <w:t>2.26 ± 0.05</w:t>
            </w:r>
            <w:r>
              <w:rPr>
                <w:rFonts w:ascii="Times New Roman" w:hAnsi="Times New Roman"/>
                <w:sz w:val="24"/>
                <w:szCs w:val="24"/>
                <w:vertAlign w:val="superscript"/>
              </w:rPr>
              <w:t>A</w:t>
            </w:r>
            <w:r>
              <w:rPr>
                <w:rFonts w:ascii="Times New Roman" w:hAnsi="Times New Roman"/>
                <w:sz w:val="24"/>
                <w:szCs w:val="24"/>
              </w:rPr>
              <w:t xml:space="preserve"> </w:t>
            </w:r>
          </w:p>
        </w:tc>
      </w:tr>
      <w:tr w14:paraId="0832F3F4">
        <w:trPr>
          <w:trHeight w:val="716" w:hRule="atLeast"/>
        </w:trPr>
        <w:tc>
          <w:tcPr>
            <w:tcW w:w="401" w:type="pct"/>
            <w:vMerge w:val="restart"/>
            <w:tcBorders>
              <w:top w:val="nil"/>
              <w:left w:val="single" w:color="auto" w:sz="4" w:space="0"/>
              <w:bottom w:val="single" w:color="auto" w:sz="4" w:space="0"/>
              <w:right w:val="single" w:color="auto" w:sz="4" w:space="0"/>
            </w:tcBorders>
            <w:vAlign w:val="center"/>
          </w:tcPr>
          <w:p w14:paraId="084731FD">
            <w:pPr>
              <w:widowControl w:val="0"/>
              <w:spacing w:line="48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7</w:t>
            </w:r>
          </w:p>
        </w:tc>
        <w:tc>
          <w:tcPr>
            <w:tcW w:w="779" w:type="pct"/>
            <w:vMerge w:val="restart"/>
            <w:tcBorders>
              <w:top w:val="nil"/>
              <w:left w:val="single" w:color="auto" w:sz="4" w:space="0"/>
              <w:bottom w:val="single" w:color="auto" w:sz="4" w:space="0"/>
              <w:right w:val="single" w:color="auto" w:sz="4" w:space="0"/>
            </w:tcBorders>
            <w:vAlign w:val="center"/>
          </w:tcPr>
          <w:p w14:paraId="2E556A03">
            <w:pPr>
              <w:widowControl w:val="0"/>
              <w:spacing w:line="48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Eosinophil (%)</w:t>
            </w:r>
          </w:p>
        </w:tc>
        <w:tc>
          <w:tcPr>
            <w:tcW w:w="523" w:type="pct"/>
            <w:tcBorders>
              <w:top w:val="single" w:color="auto" w:sz="4" w:space="0"/>
              <w:left w:val="single" w:color="auto" w:sz="4" w:space="0"/>
              <w:bottom w:val="single" w:color="auto" w:sz="4" w:space="0"/>
              <w:right w:val="single" w:color="auto" w:sz="4" w:space="0"/>
            </w:tcBorders>
            <w:vAlign w:val="center"/>
          </w:tcPr>
          <w:p w14:paraId="1DD0CA49">
            <w:pPr>
              <w:widowControl w:val="0"/>
              <w:spacing w:line="36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Group I</w:t>
            </w:r>
          </w:p>
          <w:p w14:paraId="6DED1A26">
            <w:pPr>
              <w:widowControl w:val="0"/>
              <w:spacing w:line="360" w:lineRule="auto"/>
              <w:jc w:val="both"/>
              <w:rPr>
                <w:rFonts w:ascii="Times New Roman Bold" w:hAnsi="Times New Roman Bold" w:cs="Times New Roman Bold"/>
                <w:b/>
                <w:bCs/>
                <w:sz w:val="24"/>
                <w:szCs w:val="24"/>
              </w:rPr>
            </w:pPr>
          </w:p>
        </w:tc>
        <w:tc>
          <w:tcPr>
            <w:tcW w:w="565" w:type="pct"/>
            <w:tcBorders>
              <w:top w:val="single" w:color="auto" w:sz="4" w:space="0"/>
              <w:left w:val="single" w:color="auto" w:sz="4" w:space="0"/>
              <w:bottom w:val="single" w:color="auto" w:sz="4" w:space="0"/>
              <w:right w:val="single" w:color="auto" w:sz="4" w:space="0"/>
            </w:tcBorders>
            <w:vAlign w:val="center"/>
          </w:tcPr>
          <w:p w14:paraId="3C111685">
            <w:pPr>
              <w:widowControl w:val="0"/>
              <w:spacing w:line="360" w:lineRule="auto"/>
              <w:jc w:val="center"/>
              <w:rPr>
                <w:rFonts w:ascii="Times New Roman" w:hAnsi="Times New Roman"/>
                <w:sz w:val="24"/>
                <w:szCs w:val="24"/>
              </w:rPr>
            </w:pPr>
            <w:r>
              <w:rPr>
                <w:rFonts w:ascii="Times New Roman" w:hAnsi="Times New Roman"/>
                <w:sz w:val="24"/>
                <w:szCs w:val="24"/>
              </w:rPr>
              <w:t>1.58</w:t>
            </w:r>
            <w:r>
              <w:rPr>
                <w:rFonts w:ascii="Times New Roman" w:hAnsi="Times New Roman"/>
                <w:sz w:val="24"/>
                <w:szCs w:val="24"/>
                <w:vertAlign w:val="superscript"/>
              </w:rPr>
              <w:t>a</w:t>
            </w:r>
            <w:r>
              <w:rPr>
                <w:rFonts w:ascii="Times New Roman" w:hAnsi="Times New Roman"/>
                <w:sz w:val="24"/>
                <w:szCs w:val="24"/>
              </w:rPr>
              <w:t xml:space="preserve"> ± 0.14</w:t>
            </w:r>
          </w:p>
        </w:tc>
        <w:tc>
          <w:tcPr>
            <w:tcW w:w="538" w:type="pct"/>
            <w:tcBorders>
              <w:top w:val="single" w:color="auto" w:sz="4" w:space="0"/>
              <w:left w:val="single" w:color="auto" w:sz="4" w:space="0"/>
              <w:bottom w:val="single" w:color="auto" w:sz="4" w:space="0"/>
              <w:right w:val="single" w:color="auto" w:sz="4" w:space="0"/>
            </w:tcBorders>
            <w:vAlign w:val="center"/>
          </w:tcPr>
          <w:p w14:paraId="7699C9C0">
            <w:pPr>
              <w:widowControl w:val="0"/>
              <w:spacing w:line="360" w:lineRule="auto"/>
              <w:jc w:val="center"/>
              <w:rPr>
                <w:rFonts w:ascii="Times New Roman" w:hAnsi="Times New Roman"/>
                <w:sz w:val="24"/>
                <w:szCs w:val="24"/>
              </w:rPr>
            </w:pPr>
            <w:r>
              <w:rPr>
                <w:rFonts w:ascii="Times New Roman" w:hAnsi="Times New Roman"/>
                <w:sz w:val="24"/>
                <w:szCs w:val="24"/>
              </w:rPr>
              <w:t>1.59</w:t>
            </w:r>
            <w:r>
              <w:rPr>
                <w:rFonts w:ascii="Times New Roman" w:hAnsi="Times New Roman"/>
                <w:sz w:val="24"/>
                <w:szCs w:val="24"/>
                <w:vertAlign w:val="superscript"/>
              </w:rPr>
              <w:t>a</w:t>
            </w:r>
            <w:r>
              <w:rPr>
                <w:rFonts w:ascii="Times New Roman" w:hAnsi="Times New Roman"/>
                <w:sz w:val="24"/>
                <w:szCs w:val="24"/>
              </w:rPr>
              <w:t xml:space="preserve"> ± 0.14</w:t>
            </w:r>
          </w:p>
        </w:tc>
        <w:tc>
          <w:tcPr>
            <w:tcW w:w="547" w:type="pct"/>
            <w:tcBorders>
              <w:top w:val="single" w:color="auto" w:sz="4" w:space="0"/>
              <w:left w:val="single" w:color="auto" w:sz="4" w:space="0"/>
              <w:bottom w:val="single" w:color="auto" w:sz="4" w:space="0"/>
              <w:right w:val="single" w:color="auto" w:sz="4" w:space="0"/>
            </w:tcBorders>
            <w:vAlign w:val="center"/>
          </w:tcPr>
          <w:p w14:paraId="04DDB800">
            <w:pPr>
              <w:widowControl w:val="0"/>
              <w:spacing w:line="360" w:lineRule="auto"/>
              <w:jc w:val="center"/>
              <w:rPr>
                <w:rFonts w:ascii="Times New Roman" w:hAnsi="Times New Roman"/>
                <w:sz w:val="24"/>
                <w:szCs w:val="24"/>
              </w:rPr>
            </w:pPr>
            <w:r>
              <w:rPr>
                <w:rFonts w:ascii="Times New Roman" w:hAnsi="Times New Roman"/>
                <w:sz w:val="24"/>
                <w:szCs w:val="24"/>
              </w:rPr>
              <w:t>1.61</w:t>
            </w:r>
            <w:r>
              <w:rPr>
                <w:rFonts w:ascii="Times New Roman" w:hAnsi="Times New Roman"/>
                <w:sz w:val="24"/>
                <w:szCs w:val="24"/>
                <w:vertAlign w:val="superscript"/>
              </w:rPr>
              <w:t>a</w:t>
            </w:r>
            <w:r>
              <w:rPr>
                <w:rFonts w:ascii="Times New Roman" w:hAnsi="Times New Roman"/>
                <w:sz w:val="24"/>
                <w:szCs w:val="24"/>
              </w:rPr>
              <w:t xml:space="preserve"> ± 0.13</w:t>
            </w:r>
          </w:p>
        </w:tc>
        <w:tc>
          <w:tcPr>
            <w:tcW w:w="538" w:type="pct"/>
            <w:tcBorders>
              <w:top w:val="single" w:color="auto" w:sz="4" w:space="0"/>
              <w:left w:val="single" w:color="auto" w:sz="4" w:space="0"/>
              <w:bottom w:val="single" w:color="auto" w:sz="4" w:space="0"/>
              <w:right w:val="single" w:color="auto" w:sz="4" w:space="0"/>
            </w:tcBorders>
            <w:vAlign w:val="center"/>
          </w:tcPr>
          <w:p w14:paraId="48E8852E">
            <w:pPr>
              <w:widowControl w:val="0"/>
              <w:spacing w:line="360" w:lineRule="auto"/>
              <w:jc w:val="center"/>
              <w:rPr>
                <w:rFonts w:ascii="Times New Roman" w:hAnsi="Times New Roman"/>
                <w:sz w:val="24"/>
                <w:szCs w:val="24"/>
              </w:rPr>
            </w:pPr>
            <w:r>
              <w:rPr>
                <w:rFonts w:ascii="Times New Roman" w:hAnsi="Times New Roman"/>
                <w:sz w:val="24"/>
                <w:szCs w:val="24"/>
              </w:rPr>
              <w:t>1.60</w:t>
            </w:r>
            <w:r>
              <w:rPr>
                <w:rFonts w:ascii="Times New Roman" w:hAnsi="Times New Roman"/>
                <w:sz w:val="24"/>
                <w:szCs w:val="24"/>
                <w:vertAlign w:val="superscript"/>
              </w:rPr>
              <w:t>a</w:t>
            </w:r>
            <w:r>
              <w:rPr>
                <w:rFonts w:ascii="Times New Roman" w:hAnsi="Times New Roman"/>
                <w:sz w:val="24"/>
                <w:szCs w:val="24"/>
              </w:rPr>
              <w:t xml:space="preserve"> ± 0.14</w:t>
            </w:r>
          </w:p>
        </w:tc>
        <w:tc>
          <w:tcPr>
            <w:tcW w:w="565" w:type="pct"/>
            <w:tcBorders>
              <w:top w:val="single" w:color="auto" w:sz="4" w:space="0"/>
              <w:left w:val="single" w:color="auto" w:sz="4" w:space="0"/>
              <w:bottom w:val="single" w:color="auto" w:sz="4" w:space="0"/>
              <w:right w:val="single" w:color="auto" w:sz="4" w:space="0"/>
            </w:tcBorders>
            <w:vAlign w:val="center"/>
          </w:tcPr>
          <w:p w14:paraId="1B4A23DC">
            <w:pPr>
              <w:widowControl w:val="0"/>
              <w:spacing w:line="360" w:lineRule="auto"/>
              <w:jc w:val="center"/>
              <w:rPr>
                <w:rFonts w:ascii="Times New Roman" w:hAnsi="Times New Roman"/>
                <w:sz w:val="24"/>
                <w:szCs w:val="24"/>
              </w:rPr>
            </w:pPr>
            <w:r>
              <w:rPr>
                <w:rFonts w:ascii="Times New Roman" w:hAnsi="Times New Roman"/>
                <w:sz w:val="24"/>
                <w:szCs w:val="24"/>
              </w:rPr>
              <w:t>1.59</w:t>
            </w:r>
            <w:r>
              <w:rPr>
                <w:rFonts w:ascii="Times New Roman" w:hAnsi="Times New Roman"/>
                <w:sz w:val="24"/>
                <w:szCs w:val="24"/>
                <w:vertAlign w:val="superscript"/>
              </w:rPr>
              <w:t>a</w:t>
            </w:r>
            <w:r>
              <w:rPr>
                <w:rFonts w:ascii="Times New Roman" w:hAnsi="Times New Roman"/>
                <w:sz w:val="24"/>
                <w:szCs w:val="24"/>
              </w:rPr>
              <w:t xml:space="preserve"> ± 0.14</w:t>
            </w:r>
          </w:p>
        </w:tc>
        <w:tc>
          <w:tcPr>
            <w:tcW w:w="538" w:type="pct"/>
            <w:tcBorders>
              <w:top w:val="single" w:color="auto" w:sz="4" w:space="0"/>
              <w:left w:val="single" w:color="auto" w:sz="4" w:space="0"/>
              <w:bottom w:val="single" w:color="auto" w:sz="4" w:space="0"/>
              <w:right w:val="single" w:color="auto" w:sz="4" w:space="0"/>
            </w:tcBorders>
            <w:vAlign w:val="center"/>
          </w:tcPr>
          <w:p w14:paraId="064E62DA">
            <w:pPr>
              <w:widowControl w:val="0"/>
              <w:spacing w:line="360" w:lineRule="auto"/>
              <w:jc w:val="center"/>
              <w:rPr>
                <w:rFonts w:ascii="Times New Roman" w:hAnsi="Times New Roman"/>
                <w:sz w:val="24"/>
                <w:szCs w:val="24"/>
              </w:rPr>
            </w:pPr>
            <w:r>
              <w:rPr>
                <w:rFonts w:ascii="Times New Roman" w:hAnsi="Times New Roman"/>
                <w:sz w:val="24"/>
                <w:szCs w:val="24"/>
              </w:rPr>
              <w:t>1.60 ± 0.06</w:t>
            </w:r>
            <w:r>
              <w:rPr>
                <w:rFonts w:ascii="Times New Roman" w:hAnsi="Times New Roman"/>
                <w:sz w:val="24"/>
                <w:szCs w:val="24"/>
                <w:vertAlign w:val="superscript"/>
              </w:rPr>
              <w:t>A</w:t>
            </w:r>
            <w:r>
              <w:rPr>
                <w:rFonts w:ascii="Times New Roman" w:hAnsi="Times New Roman"/>
                <w:sz w:val="24"/>
                <w:szCs w:val="24"/>
              </w:rPr>
              <w:t xml:space="preserve"> </w:t>
            </w:r>
          </w:p>
        </w:tc>
      </w:tr>
      <w:tr w14:paraId="5CD40539">
        <w:trPr>
          <w:trHeight w:val="728" w:hRule="atLeast"/>
        </w:trPr>
        <w:tc>
          <w:tcPr>
            <w:tcW w:w="401" w:type="pct"/>
            <w:vMerge w:val="continue"/>
            <w:tcBorders>
              <w:top w:val="nil"/>
              <w:left w:val="single" w:color="auto" w:sz="4" w:space="0"/>
              <w:bottom w:val="single" w:color="auto" w:sz="4" w:space="0"/>
              <w:right w:val="single" w:color="auto" w:sz="4" w:space="0"/>
            </w:tcBorders>
            <w:vAlign w:val="center"/>
          </w:tcPr>
          <w:p w14:paraId="25C5984E">
            <w:pPr>
              <w:widowControl w:val="0"/>
              <w:spacing w:line="480" w:lineRule="auto"/>
              <w:jc w:val="both"/>
              <w:rPr>
                <w:rFonts w:ascii="Times New Roman Bold" w:hAnsi="Times New Roman Bold" w:cs="Times New Roman Bold"/>
                <w:b/>
                <w:bCs/>
                <w:sz w:val="24"/>
                <w:szCs w:val="24"/>
              </w:rPr>
            </w:pPr>
          </w:p>
        </w:tc>
        <w:tc>
          <w:tcPr>
            <w:tcW w:w="779" w:type="pct"/>
            <w:vMerge w:val="continue"/>
            <w:tcBorders>
              <w:top w:val="nil"/>
              <w:left w:val="single" w:color="auto" w:sz="4" w:space="0"/>
              <w:bottom w:val="single" w:color="auto" w:sz="4" w:space="0"/>
              <w:right w:val="single" w:color="auto" w:sz="4" w:space="0"/>
            </w:tcBorders>
            <w:vAlign w:val="center"/>
          </w:tcPr>
          <w:p w14:paraId="2870B8D0">
            <w:pPr>
              <w:widowControl w:val="0"/>
              <w:spacing w:line="480" w:lineRule="auto"/>
              <w:jc w:val="both"/>
              <w:rPr>
                <w:rFonts w:ascii="Times New Roman Bold" w:hAnsi="Times New Roman Bold" w:cs="Times New Roman Bold"/>
                <w:b/>
                <w:bCs/>
                <w:sz w:val="24"/>
                <w:szCs w:val="24"/>
              </w:rPr>
            </w:pPr>
          </w:p>
        </w:tc>
        <w:tc>
          <w:tcPr>
            <w:tcW w:w="523" w:type="pct"/>
            <w:tcBorders>
              <w:top w:val="single" w:color="auto" w:sz="4" w:space="0"/>
              <w:left w:val="single" w:color="auto" w:sz="4" w:space="0"/>
              <w:bottom w:val="single" w:color="auto" w:sz="4" w:space="0"/>
              <w:right w:val="single" w:color="auto" w:sz="4" w:space="0"/>
            </w:tcBorders>
            <w:vAlign w:val="center"/>
          </w:tcPr>
          <w:p w14:paraId="076EBA30">
            <w:pPr>
              <w:widowControl w:val="0"/>
              <w:spacing w:line="36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Group II</w:t>
            </w:r>
          </w:p>
          <w:p w14:paraId="3DE986E0">
            <w:pPr>
              <w:widowControl w:val="0"/>
              <w:spacing w:line="360" w:lineRule="auto"/>
              <w:jc w:val="both"/>
              <w:rPr>
                <w:rFonts w:ascii="Times New Roman Bold" w:hAnsi="Times New Roman Bold" w:cs="Times New Roman Bold"/>
                <w:b/>
                <w:bCs/>
                <w:sz w:val="24"/>
                <w:szCs w:val="24"/>
              </w:rPr>
            </w:pPr>
          </w:p>
        </w:tc>
        <w:tc>
          <w:tcPr>
            <w:tcW w:w="565" w:type="pct"/>
            <w:tcBorders>
              <w:top w:val="single" w:color="auto" w:sz="4" w:space="0"/>
              <w:left w:val="single" w:color="auto" w:sz="4" w:space="0"/>
              <w:bottom w:val="single" w:color="auto" w:sz="4" w:space="0"/>
              <w:right w:val="single" w:color="auto" w:sz="4" w:space="0"/>
            </w:tcBorders>
            <w:vAlign w:val="center"/>
          </w:tcPr>
          <w:p w14:paraId="42E80522">
            <w:pPr>
              <w:widowControl w:val="0"/>
              <w:spacing w:line="360" w:lineRule="auto"/>
              <w:jc w:val="center"/>
              <w:rPr>
                <w:rFonts w:ascii="Times New Roman" w:hAnsi="Times New Roman"/>
                <w:sz w:val="24"/>
                <w:szCs w:val="24"/>
              </w:rPr>
            </w:pPr>
            <w:r>
              <w:rPr>
                <w:rFonts w:ascii="Times New Roman" w:hAnsi="Times New Roman"/>
                <w:sz w:val="24"/>
                <w:szCs w:val="24"/>
              </w:rPr>
              <w:t>1.61</w:t>
            </w:r>
            <w:r>
              <w:rPr>
                <w:rFonts w:ascii="Times New Roman" w:hAnsi="Times New Roman"/>
                <w:sz w:val="24"/>
                <w:szCs w:val="24"/>
                <w:vertAlign w:val="superscript"/>
              </w:rPr>
              <w:t>a</w:t>
            </w:r>
            <w:r>
              <w:rPr>
                <w:rFonts w:ascii="Times New Roman" w:hAnsi="Times New Roman"/>
                <w:sz w:val="24"/>
                <w:szCs w:val="24"/>
              </w:rPr>
              <w:t xml:space="preserve"> ± 0.10</w:t>
            </w:r>
          </w:p>
        </w:tc>
        <w:tc>
          <w:tcPr>
            <w:tcW w:w="538" w:type="pct"/>
            <w:tcBorders>
              <w:top w:val="single" w:color="auto" w:sz="4" w:space="0"/>
              <w:left w:val="single" w:color="auto" w:sz="4" w:space="0"/>
              <w:bottom w:val="single" w:color="auto" w:sz="4" w:space="0"/>
              <w:right w:val="single" w:color="auto" w:sz="4" w:space="0"/>
            </w:tcBorders>
            <w:vAlign w:val="center"/>
          </w:tcPr>
          <w:p w14:paraId="5A19C74F">
            <w:pPr>
              <w:widowControl w:val="0"/>
              <w:spacing w:line="360" w:lineRule="auto"/>
              <w:jc w:val="center"/>
              <w:rPr>
                <w:rFonts w:ascii="Times New Roman" w:hAnsi="Times New Roman"/>
                <w:sz w:val="24"/>
                <w:szCs w:val="24"/>
              </w:rPr>
            </w:pPr>
            <w:r>
              <w:rPr>
                <w:rFonts w:ascii="Times New Roman" w:hAnsi="Times New Roman"/>
                <w:sz w:val="24"/>
                <w:szCs w:val="24"/>
              </w:rPr>
              <w:t>1.62</w:t>
            </w:r>
            <w:r>
              <w:rPr>
                <w:rFonts w:ascii="Times New Roman" w:hAnsi="Times New Roman"/>
                <w:sz w:val="24"/>
                <w:szCs w:val="24"/>
                <w:vertAlign w:val="superscript"/>
              </w:rPr>
              <w:t>a</w:t>
            </w:r>
            <w:r>
              <w:rPr>
                <w:rFonts w:ascii="Times New Roman" w:hAnsi="Times New Roman"/>
                <w:sz w:val="24"/>
                <w:szCs w:val="24"/>
              </w:rPr>
              <w:t xml:space="preserve"> ± 0.10</w:t>
            </w:r>
          </w:p>
        </w:tc>
        <w:tc>
          <w:tcPr>
            <w:tcW w:w="547" w:type="pct"/>
            <w:tcBorders>
              <w:top w:val="single" w:color="auto" w:sz="4" w:space="0"/>
              <w:left w:val="single" w:color="auto" w:sz="4" w:space="0"/>
              <w:bottom w:val="single" w:color="auto" w:sz="4" w:space="0"/>
              <w:right w:val="single" w:color="auto" w:sz="4" w:space="0"/>
            </w:tcBorders>
            <w:vAlign w:val="center"/>
          </w:tcPr>
          <w:p w14:paraId="2A00195D">
            <w:pPr>
              <w:widowControl w:val="0"/>
              <w:spacing w:line="360" w:lineRule="auto"/>
              <w:jc w:val="center"/>
              <w:rPr>
                <w:rFonts w:ascii="Times New Roman" w:hAnsi="Times New Roman"/>
                <w:sz w:val="24"/>
                <w:szCs w:val="24"/>
              </w:rPr>
            </w:pPr>
            <w:r>
              <w:rPr>
                <w:rFonts w:ascii="Times New Roman" w:hAnsi="Times New Roman"/>
                <w:sz w:val="24"/>
                <w:szCs w:val="24"/>
              </w:rPr>
              <w:t>1.63</w:t>
            </w:r>
            <w:r>
              <w:rPr>
                <w:rFonts w:ascii="Times New Roman" w:hAnsi="Times New Roman"/>
                <w:sz w:val="24"/>
                <w:szCs w:val="24"/>
                <w:vertAlign w:val="superscript"/>
              </w:rPr>
              <w:t>a</w:t>
            </w:r>
            <w:r>
              <w:rPr>
                <w:rFonts w:ascii="Times New Roman" w:hAnsi="Times New Roman"/>
                <w:sz w:val="24"/>
                <w:szCs w:val="24"/>
              </w:rPr>
              <w:t xml:space="preserve"> ± 0.11</w:t>
            </w:r>
          </w:p>
        </w:tc>
        <w:tc>
          <w:tcPr>
            <w:tcW w:w="538" w:type="pct"/>
            <w:tcBorders>
              <w:top w:val="single" w:color="auto" w:sz="4" w:space="0"/>
              <w:left w:val="single" w:color="auto" w:sz="4" w:space="0"/>
              <w:bottom w:val="single" w:color="auto" w:sz="4" w:space="0"/>
              <w:right w:val="single" w:color="auto" w:sz="4" w:space="0"/>
            </w:tcBorders>
            <w:vAlign w:val="center"/>
          </w:tcPr>
          <w:p w14:paraId="60D9BB55">
            <w:pPr>
              <w:widowControl w:val="0"/>
              <w:spacing w:line="360" w:lineRule="auto"/>
              <w:jc w:val="center"/>
              <w:rPr>
                <w:rFonts w:ascii="Times New Roman" w:hAnsi="Times New Roman"/>
                <w:sz w:val="24"/>
                <w:szCs w:val="24"/>
              </w:rPr>
            </w:pPr>
            <w:r>
              <w:rPr>
                <w:rFonts w:ascii="Times New Roman" w:hAnsi="Times New Roman"/>
                <w:sz w:val="24"/>
                <w:szCs w:val="24"/>
              </w:rPr>
              <w:t>1.60</w:t>
            </w:r>
            <w:r>
              <w:rPr>
                <w:rFonts w:ascii="Times New Roman" w:hAnsi="Times New Roman"/>
                <w:sz w:val="24"/>
                <w:szCs w:val="24"/>
                <w:vertAlign w:val="superscript"/>
              </w:rPr>
              <w:t>a</w:t>
            </w:r>
            <w:r>
              <w:rPr>
                <w:rFonts w:ascii="Times New Roman" w:hAnsi="Times New Roman"/>
                <w:sz w:val="24"/>
                <w:szCs w:val="24"/>
              </w:rPr>
              <w:t xml:space="preserve"> ± 0.10</w:t>
            </w:r>
          </w:p>
        </w:tc>
        <w:tc>
          <w:tcPr>
            <w:tcW w:w="565" w:type="pct"/>
            <w:tcBorders>
              <w:top w:val="single" w:color="auto" w:sz="4" w:space="0"/>
              <w:left w:val="single" w:color="auto" w:sz="4" w:space="0"/>
              <w:bottom w:val="single" w:color="auto" w:sz="4" w:space="0"/>
              <w:right w:val="single" w:color="auto" w:sz="4" w:space="0"/>
            </w:tcBorders>
            <w:vAlign w:val="center"/>
          </w:tcPr>
          <w:p w14:paraId="1BF48EB6">
            <w:pPr>
              <w:widowControl w:val="0"/>
              <w:spacing w:line="360" w:lineRule="auto"/>
              <w:jc w:val="center"/>
              <w:rPr>
                <w:rFonts w:ascii="Times New Roman" w:hAnsi="Times New Roman"/>
                <w:sz w:val="24"/>
                <w:szCs w:val="24"/>
              </w:rPr>
            </w:pPr>
            <w:r>
              <w:rPr>
                <w:rFonts w:ascii="Times New Roman" w:hAnsi="Times New Roman"/>
                <w:sz w:val="24"/>
                <w:szCs w:val="24"/>
              </w:rPr>
              <w:t>1.61</w:t>
            </w:r>
            <w:r>
              <w:rPr>
                <w:rFonts w:ascii="Times New Roman" w:hAnsi="Times New Roman"/>
                <w:sz w:val="24"/>
                <w:szCs w:val="24"/>
                <w:vertAlign w:val="superscript"/>
              </w:rPr>
              <w:t>a</w:t>
            </w:r>
            <w:r>
              <w:rPr>
                <w:rFonts w:ascii="Times New Roman" w:hAnsi="Times New Roman"/>
                <w:sz w:val="24"/>
                <w:szCs w:val="24"/>
              </w:rPr>
              <w:t xml:space="preserve"> ± 0.04</w:t>
            </w:r>
          </w:p>
        </w:tc>
        <w:tc>
          <w:tcPr>
            <w:tcW w:w="538" w:type="pct"/>
            <w:tcBorders>
              <w:top w:val="single" w:color="auto" w:sz="4" w:space="0"/>
              <w:left w:val="single" w:color="auto" w:sz="4" w:space="0"/>
              <w:bottom w:val="single" w:color="auto" w:sz="4" w:space="0"/>
              <w:right w:val="single" w:color="auto" w:sz="4" w:space="0"/>
            </w:tcBorders>
            <w:vAlign w:val="center"/>
          </w:tcPr>
          <w:p w14:paraId="1013A600">
            <w:pPr>
              <w:widowControl w:val="0"/>
              <w:spacing w:line="360" w:lineRule="auto"/>
              <w:jc w:val="center"/>
              <w:rPr>
                <w:rFonts w:ascii="Times New Roman" w:hAnsi="Times New Roman"/>
                <w:sz w:val="24"/>
                <w:szCs w:val="24"/>
                <w:vertAlign w:val="superscript"/>
              </w:rPr>
            </w:pPr>
            <w:r>
              <w:rPr>
                <w:rFonts w:ascii="Times New Roman" w:hAnsi="Times New Roman"/>
                <w:sz w:val="24"/>
                <w:szCs w:val="24"/>
              </w:rPr>
              <w:t>1.61 ± 0.04</w:t>
            </w:r>
            <w:r>
              <w:rPr>
                <w:rFonts w:ascii="Times New Roman" w:hAnsi="Times New Roman"/>
                <w:sz w:val="24"/>
                <w:szCs w:val="24"/>
                <w:vertAlign w:val="superscript"/>
              </w:rPr>
              <w:t>A</w:t>
            </w:r>
          </w:p>
        </w:tc>
      </w:tr>
    </w:tbl>
    <w:p w14:paraId="4CD93087">
      <w:pPr>
        <w:spacing w:line="480" w:lineRule="auto"/>
        <w:rPr>
          <w:rFonts w:ascii="Times New Roman Regular" w:hAnsi="Times New Roman Regular" w:cs="Times New Roman Regular"/>
        </w:rPr>
      </w:pPr>
    </w:p>
    <w:p w14:paraId="43277632">
      <w:pPr>
        <w:spacing w:line="480" w:lineRule="auto"/>
        <w:rPr>
          <w:rFonts w:ascii="Times New Roman" w:hAnsi="Times New Roman"/>
          <w:sz w:val="24"/>
          <w:szCs w:val="24"/>
        </w:rPr>
      </w:pPr>
      <w:r>
        <w:rPr>
          <w:rFonts w:ascii="Times New Roman" w:hAnsi="Times New Roman"/>
          <w:sz w:val="24"/>
          <w:szCs w:val="24"/>
        </w:rPr>
        <w:t>Means bearing different superscripts (a,d,c,d,e) within a row differ significantly (p&lt;0.05)</w:t>
      </w:r>
    </w:p>
    <w:p w14:paraId="5BEE3D1F">
      <w:pPr>
        <w:spacing w:line="480" w:lineRule="auto"/>
        <w:rPr>
          <w:rFonts w:ascii="Times New Roman Bold" w:hAnsi="Times New Roman Bold" w:cs="Times New Roman Bold"/>
          <w:b/>
          <w:bCs/>
          <w:sz w:val="24"/>
          <w:szCs w:val="24"/>
        </w:rPr>
      </w:pPr>
      <w:r>
        <w:rPr>
          <w:rFonts w:ascii="Times New Roman" w:hAnsi="Times New Roman"/>
          <w:sz w:val="24"/>
          <w:szCs w:val="24"/>
        </w:rPr>
        <w:t xml:space="preserve">Means bearing different superscripts (A,B,C,D) within a column differ significantly (p&lt;0.05). </w:t>
      </w:r>
    </w:p>
    <w:p w14:paraId="5DABA9BF">
      <w:pPr>
        <w:spacing w:line="480" w:lineRule="auto"/>
        <w:ind w:firstLine="720" w:firstLineChars="300"/>
        <w:jc w:val="both"/>
        <w:rPr>
          <w:rFonts w:ascii="Times New Roman Regular" w:hAnsi="Times New Roman Regular" w:cs="Times New Roman Regular"/>
        </w:rPr>
      </w:pPr>
      <w:r>
        <w:rPr>
          <w:rFonts w:ascii="Times New Roman Bold" w:hAnsi="Times New Roman Bold" w:cs="Times New Roman Bold"/>
          <w:b/>
          <w:bCs/>
          <w:sz w:val="24"/>
          <w:szCs w:val="24"/>
        </w:rPr>
        <w:t xml:space="preserve">Table. 2 :  The mean </w:t>
      </w:r>
      <w:r>
        <w:rPr>
          <w:rFonts w:hint="default" w:ascii="Times New Roman" w:hAnsi="Times New Roman" w:cs="Times New Roman"/>
          <w:b/>
          <w:bCs/>
          <w:sz w:val="24"/>
          <w:szCs w:val="24"/>
        </w:rPr>
        <w:t>±</w:t>
      </w:r>
      <w:bookmarkStart w:id="2" w:name="_GoBack"/>
      <w:bookmarkEnd w:id="2"/>
      <w:r>
        <w:rPr>
          <w:rFonts w:ascii="Times New Roman Bold" w:hAnsi="Times New Roman Bold" w:cs="Times New Roman Bold"/>
          <w:b/>
          <w:bCs/>
          <w:sz w:val="24"/>
          <w:szCs w:val="24"/>
        </w:rPr>
        <w:t xml:space="preserve"> SE values of Serum Biochemical Parameters in Group I &amp; II during pre and post-operative period</w:t>
      </w:r>
      <w:r>
        <w:rPr>
          <w:rFonts w:ascii="Times New Roman Bold" w:hAnsi="Times New Roman Bold" w:cs="Times New Roman Bold"/>
          <w:b/>
          <w:bCs/>
        </w:rPr>
        <w:t>s</w:t>
      </w:r>
    </w:p>
    <w:tbl>
      <w:tblPr>
        <w:tblStyle w:val="9"/>
        <w:tblW w:w="14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2104"/>
        <w:gridCol w:w="1559"/>
        <w:gridCol w:w="1635"/>
        <w:gridCol w:w="1475"/>
        <w:gridCol w:w="1600"/>
        <w:gridCol w:w="1450"/>
        <w:gridCol w:w="1650"/>
        <w:gridCol w:w="1500"/>
      </w:tblGrid>
      <w:tr w14:paraId="5902656A">
        <w:trPr>
          <w:trHeight w:val="401" w:hRule="atLeast"/>
        </w:trPr>
        <w:tc>
          <w:tcPr>
            <w:tcW w:w="1152" w:type="dxa"/>
            <w:vMerge w:val="restart"/>
            <w:tcBorders>
              <w:top w:val="single" w:color="auto" w:sz="4" w:space="0"/>
              <w:left w:val="single" w:color="auto" w:sz="4" w:space="0"/>
              <w:bottom w:val="single" w:color="auto" w:sz="4" w:space="0"/>
              <w:right w:val="single" w:color="auto" w:sz="4" w:space="0"/>
            </w:tcBorders>
          </w:tcPr>
          <w:p w14:paraId="1D9BFC46">
            <w:pPr>
              <w:widowControl w:val="0"/>
              <w:spacing w:line="480" w:lineRule="auto"/>
              <w:jc w:val="center"/>
              <w:rPr>
                <w:rFonts w:ascii="Times New Roman Bold" w:hAnsi="Times New Roman Bold" w:cs="Times New Roman Bold"/>
                <w:b/>
                <w:bCs/>
                <w:sz w:val="24"/>
                <w:szCs w:val="24"/>
              </w:rPr>
            </w:pPr>
          </w:p>
          <w:p w14:paraId="0429D4E3">
            <w:pPr>
              <w:widowControl w:val="0"/>
              <w:spacing w:line="48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S.No</w:t>
            </w:r>
          </w:p>
        </w:tc>
        <w:tc>
          <w:tcPr>
            <w:tcW w:w="2104" w:type="dxa"/>
            <w:vMerge w:val="restart"/>
            <w:tcBorders>
              <w:top w:val="single" w:color="auto" w:sz="4" w:space="0"/>
              <w:left w:val="single" w:color="auto" w:sz="4" w:space="0"/>
              <w:bottom w:val="single" w:color="auto" w:sz="4" w:space="0"/>
              <w:right w:val="single" w:color="auto" w:sz="4" w:space="0"/>
            </w:tcBorders>
          </w:tcPr>
          <w:p w14:paraId="53D8B891">
            <w:pPr>
              <w:widowControl w:val="0"/>
              <w:spacing w:line="480" w:lineRule="auto"/>
              <w:jc w:val="center"/>
              <w:rPr>
                <w:rFonts w:ascii="Times New Roman Bold" w:hAnsi="Times New Roman Bold" w:cs="Times New Roman Bold"/>
                <w:b/>
                <w:bCs/>
                <w:sz w:val="24"/>
                <w:szCs w:val="24"/>
              </w:rPr>
            </w:pPr>
          </w:p>
          <w:p w14:paraId="3C2D840B">
            <w:pPr>
              <w:widowControl w:val="0"/>
              <w:spacing w:line="48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PARAMETERS</w:t>
            </w:r>
          </w:p>
        </w:tc>
        <w:tc>
          <w:tcPr>
            <w:tcW w:w="1559" w:type="dxa"/>
            <w:vMerge w:val="restart"/>
            <w:tcBorders>
              <w:top w:val="single" w:color="auto" w:sz="4" w:space="0"/>
              <w:left w:val="single" w:color="auto" w:sz="4" w:space="0"/>
              <w:bottom w:val="single" w:color="auto" w:sz="4" w:space="0"/>
              <w:right w:val="single" w:color="auto" w:sz="4" w:space="0"/>
            </w:tcBorders>
          </w:tcPr>
          <w:p w14:paraId="392F6D04">
            <w:pPr>
              <w:widowControl w:val="0"/>
              <w:spacing w:line="480" w:lineRule="auto"/>
              <w:jc w:val="center"/>
              <w:rPr>
                <w:rFonts w:ascii="Times New Roman Bold" w:hAnsi="Times New Roman Bold" w:cs="Times New Roman Bold"/>
                <w:b/>
                <w:bCs/>
                <w:sz w:val="24"/>
                <w:szCs w:val="24"/>
              </w:rPr>
            </w:pPr>
          </w:p>
          <w:p w14:paraId="6B76162E">
            <w:pPr>
              <w:widowControl w:val="0"/>
              <w:spacing w:line="48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GROUPS</w:t>
            </w:r>
          </w:p>
          <w:p w14:paraId="2C3DD9D9">
            <w:pPr>
              <w:widowControl w:val="0"/>
              <w:spacing w:line="480" w:lineRule="auto"/>
              <w:jc w:val="center"/>
              <w:rPr>
                <w:rFonts w:ascii="Times New Roman Bold" w:hAnsi="Times New Roman Bold" w:cs="Times New Roman Bold"/>
                <w:b/>
                <w:bCs/>
                <w:sz w:val="24"/>
                <w:szCs w:val="24"/>
              </w:rPr>
            </w:pPr>
          </w:p>
        </w:tc>
        <w:tc>
          <w:tcPr>
            <w:tcW w:w="7810" w:type="dxa"/>
            <w:gridSpan w:val="5"/>
            <w:tcBorders>
              <w:top w:val="single" w:color="auto" w:sz="4" w:space="0"/>
              <w:left w:val="single" w:color="auto" w:sz="4" w:space="0"/>
              <w:bottom w:val="single" w:color="auto" w:sz="4" w:space="0"/>
              <w:right w:val="single" w:color="auto" w:sz="4" w:space="0"/>
            </w:tcBorders>
          </w:tcPr>
          <w:p w14:paraId="5BDB2C7A">
            <w:pPr>
              <w:widowControl w:val="0"/>
              <w:spacing w:line="48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Time intervals</w:t>
            </w:r>
          </w:p>
        </w:tc>
        <w:tc>
          <w:tcPr>
            <w:tcW w:w="1500" w:type="dxa"/>
            <w:tcBorders>
              <w:top w:val="single" w:color="auto" w:sz="4" w:space="0"/>
              <w:left w:val="single" w:color="auto" w:sz="4" w:space="0"/>
              <w:bottom w:val="single" w:color="auto" w:sz="4" w:space="0"/>
              <w:right w:val="single" w:color="auto" w:sz="4" w:space="0"/>
            </w:tcBorders>
          </w:tcPr>
          <w:p w14:paraId="02462B93">
            <w:pPr>
              <w:widowControl w:val="0"/>
              <w:spacing w:line="480" w:lineRule="auto"/>
              <w:jc w:val="center"/>
              <w:rPr>
                <w:rFonts w:ascii="Times New Roman Bold" w:hAnsi="Times New Roman Bold" w:cs="Times New Roman Bold"/>
                <w:b/>
                <w:bCs/>
                <w:sz w:val="24"/>
                <w:szCs w:val="24"/>
              </w:rPr>
            </w:pPr>
          </w:p>
        </w:tc>
      </w:tr>
      <w:tr w14:paraId="1ACDDA01">
        <w:trPr>
          <w:trHeight w:val="971" w:hRule="atLeast"/>
        </w:trPr>
        <w:tc>
          <w:tcPr>
            <w:tcW w:w="1152" w:type="dxa"/>
            <w:vMerge w:val="continue"/>
            <w:tcBorders>
              <w:top w:val="single" w:color="auto" w:sz="4" w:space="0"/>
              <w:left w:val="single" w:color="auto" w:sz="4" w:space="0"/>
              <w:bottom w:val="single" w:color="auto" w:sz="4" w:space="0"/>
              <w:right w:val="single" w:color="auto" w:sz="4" w:space="0"/>
            </w:tcBorders>
            <w:vAlign w:val="center"/>
          </w:tcPr>
          <w:p w14:paraId="4BF98A7F">
            <w:pPr>
              <w:widowControl w:val="0"/>
              <w:spacing w:line="480" w:lineRule="auto"/>
              <w:jc w:val="both"/>
              <w:rPr>
                <w:rFonts w:ascii="Times New Roman Bold" w:hAnsi="Times New Roman Bold" w:cs="Times New Roman Bold"/>
                <w:b/>
                <w:bCs/>
                <w:sz w:val="24"/>
                <w:szCs w:val="24"/>
              </w:rPr>
            </w:pPr>
          </w:p>
        </w:tc>
        <w:tc>
          <w:tcPr>
            <w:tcW w:w="2104" w:type="dxa"/>
            <w:vMerge w:val="continue"/>
            <w:tcBorders>
              <w:top w:val="single" w:color="auto" w:sz="4" w:space="0"/>
              <w:left w:val="single" w:color="auto" w:sz="4" w:space="0"/>
              <w:bottom w:val="single" w:color="auto" w:sz="4" w:space="0"/>
              <w:right w:val="single" w:color="auto" w:sz="4" w:space="0"/>
            </w:tcBorders>
            <w:vAlign w:val="center"/>
          </w:tcPr>
          <w:p w14:paraId="3F4305B3">
            <w:pPr>
              <w:widowControl w:val="0"/>
              <w:spacing w:line="480" w:lineRule="auto"/>
              <w:jc w:val="both"/>
              <w:rPr>
                <w:rFonts w:ascii="Times New Roman Bold" w:hAnsi="Times New Roman Bold" w:cs="Times New Roman Bold"/>
                <w:b/>
                <w:bCs/>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93E7C85">
            <w:pPr>
              <w:widowControl w:val="0"/>
              <w:spacing w:line="480" w:lineRule="auto"/>
              <w:jc w:val="both"/>
              <w:rPr>
                <w:rFonts w:ascii="Times New Roman Bold" w:hAnsi="Times New Roman Bold" w:cs="Times New Roman Bold"/>
                <w:b/>
                <w:bCs/>
                <w:sz w:val="24"/>
                <w:szCs w:val="24"/>
              </w:rPr>
            </w:pPr>
          </w:p>
        </w:tc>
        <w:tc>
          <w:tcPr>
            <w:tcW w:w="1635" w:type="dxa"/>
            <w:tcBorders>
              <w:top w:val="single" w:color="auto" w:sz="4" w:space="0"/>
              <w:left w:val="single" w:color="auto" w:sz="4" w:space="0"/>
              <w:bottom w:val="single" w:color="auto" w:sz="4" w:space="0"/>
              <w:right w:val="single" w:color="auto" w:sz="4" w:space="0"/>
            </w:tcBorders>
            <w:vAlign w:val="center"/>
          </w:tcPr>
          <w:p w14:paraId="3D3BC1A6">
            <w:pPr>
              <w:widowControl w:val="0"/>
              <w:spacing w:line="48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0</w:t>
            </w:r>
            <w:r>
              <w:rPr>
                <w:rFonts w:ascii="Times New Roman Bold" w:hAnsi="Times New Roman Bold" w:cs="Times New Roman Bold"/>
                <w:b/>
                <w:bCs/>
                <w:sz w:val="24"/>
                <w:szCs w:val="24"/>
                <w:vertAlign w:val="superscript"/>
              </w:rPr>
              <w:t>th</w:t>
            </w:r>
            <w:r>
              <w:rPr>
                <w:rFonts w:ascii="Times New Roman Bold" w:hAnsi="Times New Roman Bold" w:cs="Times New Roman Bold"/>
                <w:b/>
                <w:bCs/>
                <w:sz w:val="24"/>
                <w:szCs w:val="24"/>
              </w:rPr>
              <w:t xml:space="preserve"> Day</w:t>
            </w:r>
          </w:p>
        </w:tc>
        <w:tc>
          <w:tcPr>
            <w:tcW w:w="1475" w:type="dxa"/>
            <w:tcBorders>
              <w:top w:val="single" w:color="auto" w:sz="4" w:space="0"/>
              <w:left w:val="single" w:color="auto" w:sz="4" w:space="0"/>
              <w:bottom w:val="single" w:color="auto" w:sz="4" w:space="0"/>
              <w:right w:val="single" w:color="auto" w:sz="4" w:space="0"/>
            </w:tcBorders>
            <w:vAlign w:val="center"/>
          </w:tcPr>
          <w:p w14:paraId="3880D426">
            <w:pPr>
              <w:widowControl w:val="0"/>
              <w:spacing w:line="48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15</w:t>
            </w:r>
            <w:r>
              <w:rPr>
                <w:rFonts w:ascii="Times New Roman Bold" w:hAnsi="Times New Roman Bold" w:cs="Times New Roman Bold"/>
                <w:b/>
                <w:bCs/>
                <w:sz w:val="24"/>
                <w:szCs w:val="24"/>
                <w:vertAlign w:val="superscript"/>
              </w:rPr>
              <w:t>th</w:t>
            </w:r>
            <w:r>
              <w:rPr>
                <w:rFonts w:ascii="Times New Roman Bold" w:hAnsi="Times New Roman Bold" w:cs="Times New Roman Bold"/>
                <w:b/>
                <w:bCs/>
                <w:sz w:val="24"/>
                <w:szCs w:val="24"/>
              </w:rPr>
              <w:t xml:space="preserve"> Day</w:t>
            </w:r>
          </w:p>
        </w:tc>
        <w:tc>
          <w:tcPr>
            <w:tcW w:w="1600" w:type="dxa"/>
            <w:tcBorders>
              <w:top w:val="single" w:color="auto" w:sz="4" w:space="0"/>
              <w:left w:val="single" w:color="auto" w:sz="4" w:space="0"/>
              <w:bottom w:val="single" w:color="auto" w:sz="4" w:space="0"/>
              <w:right w:val="single" w:color="auto" w:sz="4" w:space="0"/>
            </w:tcBorders>
            <w:vAlign w:val="center"/>
          </w:tcPr>
          <w:p w14:paraId="41577D49">
            <w:pPr>
              <w:widowControl w:val="0"/>
              <w:spacing w:line="48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30</w:t>
            </w:r>
            <w:r>
              <w:rPr>
                <w:rFonts w:ascii="Times New Roman Bold" w:hAnsi="Times New Roman Bold" w:cs="Times New Roman Bold"/>
                <w:b/>
                <w:bCs/>
                <w:sz w:val="24"/>
                <w:szCs w:val="24"/>
                <w:vertAlign w:val="superscript"/>
              </w:rPr>
              <w:t>th</w:t>
            </w:r>
            <w:r>
              <w:rPr>
                <w:rFonts w:ascii="Times New Roman Bold" w:hAnsi="Times New Roman Bold" w:cs="Times New Roman Bold"/>
                <w:b/>
                <w:bCs/>
                <w:sz w:val="24"/>
                <w:szCs w:val="24"/>
              </w:rPr>
              <w:t xml:space="preserve"> Day</w:t>
            </w:r>
          </w:p>
        </w:tc>
        <w:tc>
          <w:tcPr>
            <w:tcW w:w="1450" w:type="dxa"/>
            <w:tcBorders>
              <w:top w:val="single" w:color="auto" w:sz="4" w:space="0"/>
              <w:left w:val="single" w:color="auto" w:sz="4" w:space="0"/>
              <w:bottom w:val="single" w:color="auto" w:sz="4" w:space="0"/>
              <w:right w:val="single" w:color="auto" w:sz="4" w:space="0"/>
            </w:tcBorders>
            <w:vAlign w:val="center"/>
          </w:tcPr>
          <w:p w14:paraId="546E3E4C">
            <w:pPr>
              <w:widowControl w:val="0"/>
              <w:spacing w:line="48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45</w:t>
            </w:r>
            <w:r>
              <w:rPr>
                <w:rFonts w:ascii="Times New Roman Bold" w:hAnsi="Times New Roman Bold" w:cs="Times New Roman Bold"/>
                <w:b/>
                <w:bCs/>
                <w:sz w:val="24"/>
                <w:szCs w:val="24"/>
                <w:vertAlign w:val="superscript"/>
              </w:rPr>
              <w:t>th</w:t>
            </w:r>
            <w:r>
              <w:rPr>
                <w:rFonts w:ascii="Times New Roman Bold" w:hAnsi="Times New Roman Bold" w:cs="Times New Roman Bold"/>
                <w:b/>
                <w:bCs/>
                <w:sz w:val="24"/>
                <w:szCs w:val="24"/>
              </w:rPr>
              <w:t xml:space="preserve"> Day</w:t>
            </w:r>
          </w:p>
        </w:tc>
        <w:tc>
          <w:tcPr>
            <w:tcW w:w="1650" w:type="dxa"/>
            <w:tcBorders>
              <w:top w:val="single" w:color="auto" w:sz="4" w:space="0"/>
              <w:left w:val="single" w:color="auto" w:sz="4" w:space="0"/>
              <w:bottom w:val="single" w:color="auto" w:sz="4" w:space="0"/>
              <w:right w:val="single" w:color="auto" w:sz="4" w:space="0"/>
            </w:tcBorders>
            <w:vAlign w:val="center"/>
          </w:tcPr>
          <w:p w14:paraId="2458CF37">
            <w:pPr>
              <w:widowControl w:val="0"/>
              <w:spacing w:line="48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60</w:t>
            </w:r>
            <w:r>
              <w:rPr>
                <w:rFonts w:ascii="Times New Roman Bold" w:hAnsi="Times New Roman Bold" w:cs="Times New Roman Bold"/>
                <w:b/>
                <w:bCs/>
                <w:sz w:val="24"/>
                <w:szCs w:val="24"/>
                <w:vertAlign w:val="superscript"/>
              </w:rPr>
              <w:t>th</w:t>
            </w:r>
            <w:r>
              <w:rPr>
                <w:rFonts w:ascii="Times New Roman Bold" w:hAnsi="Times New Roman Bold" w:cs="Times New Roman Bold"/>
                <w:b/>
                <w:bCs/>
                <w:sz w:val="24"/>
                <w:szCs w:val="24"/>
              </w:rPr>
              <w:t xml:space="preserve"> Day</w:t>
            </w:r>
          </w:p>
        </w:tc>
        <w:tc>
          <w:tcPr>
            <w:tcW w:w="1500" w:type="dxa"/>
            <w:tcBorders>
              <w:top w:val="single" w:color="auto" w:sz="4" w:space="0"/>
              <w:left w:val="single" w:color="auto" w:sz="4" w:space="0"/>
              <w:bottom w:val="single" w:color="auto" w:sz="4" w:space="0"/>
              <w:right w:val="single" w:color="auto" w:sz="4" w:space="0"/>
            </w:tcBorders>
            <w:vAlign w:val="center"/>
          </w:tcPr>
          <w:p w14:paraId="7E123024">
            <w:pPr>
              <w:widowControl w:val="0"/>
              <w:spacing w:line="48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Overall mean</w:t>
            </w:r>
          </w:p>
        </w:tc>
      </w:tr>
      <w:tr w14:paraId="719E5782">
        <w:trPr>
          <w:trHeight w:val="791" w:hRule="atLeast"/>
        </w:trPr>
        <w:tc>
          <w:tcPr>
            <w:tcW w:w="1152" w:type="dxa"/>
            <w:vMerge w:val="restart"/>
            <w:tcBorders>
              <w:top w:val="nil"/>
              <w:left w:val="single" w:color="auto" w:sz="4" w:space="0"/>
              <w:bottom w:val="single" w:color="auto" w:sz="4" w:space="0"/>
              <w:right w:val="single" w:color="auto" w:sz="4" w:space="0"/>
            </w:tcBorders>
          </w:tcPr>
          <w:p w14:paraId="663114D4">
            <w:pPr>
              <w:widowControl w:val="0"/>
              <w:jc w:val="center"/>
              <w:rPr>
                <w:rFonts w:ascii="Times New Roman Bold" w:hAnsi="Times New Roman Bold" w:cs="Times New Roman Bold"/>
                <w:b/>
                <w:bCs/>
                <w:sz w:val="24"/>
                <w:szCs w:val="24"/>
              </w:rPr>
            </w:pPr>
          </w:p>
          <w:p w14:paraId="03F8F943">
            <w:pPr>
              <w:widowControl w:val="0"/>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1</w:t>
            </w:r>
          </w:p>
        </w:tc>
        <w:tc>
          <w:tcPr>
            <w:tcW w:w="2104" w:type="dxa"/>
            <w:vMerge w:val="restart"/>
            <w:tcBorders>
              <w:top w:val="nil"/>
              <w:left w:val="single" w:color="auto" w:sz="4" w:space="0"/>
              <w:bottom w:val="single" w:color="auto" w:sz="4" w:space="0"/>
              <w:right w:val="single" w:color="auto" w:sz="4" w:space="0"/>
            </w:tcBorders>
          </w:tcPr>
          <w:p w14:paraId="017F3691">
            <w:pPr>
              <w:widowControl w:val="0"/>
              <w:jc w:val="center"/>
              <w:rPr>
                <w:rFonts w:ascii="Times New Roman Bold" w:hAnsi="Times New Roman Bold" w:cs="Times New Roman Bold"/>
                <w:b/>
                <w:bCs/>
                <w:sz w:val="24"/>
                <w:szCs w:val="24"/>
              </w:rPr>
            </w:pPr>
          </w:p>
          <w:p w14:paraId="085D0723">
            <w:pPr>
              <w:widowControl w:val="0"/>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Calcium (mg%)</w:t>
            </w:r>
          </w:p>
        </w:tc>
        <w:tc>
          <w:tcPr>
            <w:tcW w:w="1559" w:type="dxa"/>
            <w:tcBorders>
              <w:top w:val="single" w:color="auto" w:sz="4" w:space="0"/>
              <w:left w:val="single" w:color="auto" w:sz="4" w:space="0"/>
              <w:bottom w:val="single" w:color="auto" w:sz="4" w:space="0"/>
              <w:right w:val="single" w:color="auto" w:sz="4" w:space="0"/>
            </w:tcBorders>
            <w:vAlign w:val="center"/>
          </w:tcPr>
          <w:p w14:paraId="73E76E81">
            <w:pPr>
              <w:widowControl w:val="0"/>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Group I</w:t>
            </w:r>
          </w:p>
          <w:p w14:paraId="10873753">
            <w:pPr>
              <w:widowControl w:val="0"/>
              <w:jc w:val="both"/>
              <w:rPr>
                <w:rFonts w:ascii="Times New Roman Bold" w:hAnsi="Times New Roman Bold" w:cs="Times New Roman Bold"/>
                <w:b/>
                <w:bCs/>
                <w:sz w:val="24"/>
                <w:szCs w:val="24"/>
              </w:rPr>
            </w:pPr>
          </w:p>
        </w:tc>
        <w:tc>
          <w:tcPr>
            <w:tcW w:w="1635" w:type="dxa"/>
            <w:tcBorders>
              <w:top w:val="single" w:color="auto" w:sz="4" w:space="0"/>
              <w:left w:val="single" w:color="auto" w:sz="4" w:space="0"/>
              <w:bottom w:val="single" w:color="auto" w:sz="4" w:space="0"/>
              <w:right w:val="single" w:color="auto" w:sz="4" w:space="0"/>
            </w:tcBorders>
            <w:vAlign w:val="center"/>
          </w:tcPr>
          <w:p w14:paraId="2E622EF7">
            <w:pPr>
              <w:widowControl w:val="0"/>
              <w:jc w:val="center"/>
              <w:rPr>
                <w:rFonts w:ascii="Times New Roman" w:hAnsi="Times New Roman"/>
                <w:sz w:val="24"/>
                <w:szCs w:val="24"/>
              </w:rPr>
            </w:pPr>
            <w:r>
              <w:rPr>
                <w:rFonts w:ascii="Times New Roman" w:hAnsi="Times New Roman"/>
                <w:sz w:val="24"/>
                <w:szCs w:val="24"/>
              </w:rPr>
              <w:t>9.25</w:t>
            </w:r>
            <w:r>
              <w:rPr>
                <w:rFonts w:ascii="Times New Roman" w:hAnsi="Times New Roman"/>
                <w:sz w:val="24"/>
                <w:szCs w:val="24"/>
                <w:vertAlign w:val="superscript"/>
              </w:rPr>
              <w:t>a</w:t>
            </w:r>
            <w:r>
              <w:rPr>
                <w:rFonts w:ascii="Times New Roman" w:hAnsi="Times New Roman"/>
                <w:sz w:val="24"/>
                <w:szCs w:val="24"/>
              </w:rPr>
              <w:t xml:space="preserve"> ± 0.14</w:t>
            </w:r>
          </w:p>
        </w:tc>
        <w:tc>
          <w:tcPr>
            <w:tcW w:w="1475" w:type="dxa"/>
            <w:tcBorders>
              <w:top w:val="single" w:color="auto" w:sz="4" w:space="0"/>
              <w:left w:val="single" w:color="auto" w:sz="4" w:space="0"/>
              <w:bottom w:val="single" w:color="auto" w:sz="4" w:space="0"/>
              <w:right w:val="single" w:color="auto" w:sz="4" w:space="0"/>
            </w:tcBorders>
            <w:vAlign w:val="center"/>
          </w:tcPr>
          <w:p w14:paraId="07B07BF9">
            <w:pPr>
              <w:widowControl w:val="0"/>
              <w:jc w:val="center"/>
              <w:rPr>
                <w:rFonts w:ascii="Times New Roman" w:hAnsi="Times New Roman"/>
                <w:sz w:val="24"/>
                <w:szCs w:val="24"/>
              </w:rPr>
            </w:pPr>
            <w:r>
              <w:rPr>
                <w:rFonts w:ascii="Times New Roman" w:hAnsi="Times New Roman"/>
                <w:sz w:val="24"/>
                <w:szCs w:val="24"/>
              </w:rPr>
              <w:t>9.43</w:t>
            </w:r>
            <w:r>
              <w:rPr>
                <w:rFonts w:ascii="Times New Roman" w:hAnsi="Times New Roman"/>
                <w:sz w:val="24"/>
                <w:szCs w:val="24"/>
                <w:vertAlign w:val="superscript"/>
              </w:rPr>
              <w:t>ab</w:t>
            </w:r>
            <w:r>
              <w:rPr>
                <w:rFonts w:ascii="Times New Roman" w:hAnsi="Times New Roman"/>
                <w:sz w:val="24"/>
                <w:szCs w:val="24"/>
              </w:rPr>
              <w:t xml:space="preserve"> ± 0.12</w:t>
            </w:r>
          </w:p>
        </w:tc>
        <w:tc>
          <w:tcPr>
            <w:tcW w:w="1600" w:type="dxa"/>
            <w:tcBorders>
              <w:top w:val="single" w:color="auto" w:sz="4" w:space="0"/>
              <w:left w:val="single" w:color="auto" w:sz="4" w:space="0"/>
              <w:bottom w:val="single" w:color="auto" w:sz="4" w:space="0"/>
              <w:right w:val="single" w:color="auto" w:sz="4" w:space="0"/>
            </w:tcBorders>
            <w:vAlign w:val="center"/>
          </w:tcPr>
          <w:p w14:paraId="1890A274">
            <w:pPr>
              <w:widowControl w:val="0"/>
              <w:jc w:val="center"/>
              <w:rPr>
                <w:rFonts w:ascii="Times New Roman" w:hAnsi="Times New Roman"/>
                <w:sz w:val="24"/>
                <w:szCs w:val="24"/>
              </w:rPr>
            </w:pPr>
            <w:r>
              <w:rPr>
                <w:rFonts w:ascii="Times New Roman" w:hAnsi="Times New Roman"/>
                <w:sz w:val="24"/>
                <w:szCs w:val="24"/>
              </w:rPr>
              <w:t>9.60</w:t>
            </w:r>
            <w:r>
              <w:rPr>
                <w:rFonts w:ascii="Times New Roman" w:hAnsi="Times New Roman"/>
                <w:sz w:val="24"/>
                <w:szCs w:val="24"/>
                <w:vertAlign w:val="superscript"/>
              </w:rPr>
              <w:t>ab</w:t>
            </w:r>
            <w:r>
              <w:rPr>
                <w:rFonts w:ascii="Times New Roman" w:hAnsi="Times New Roman"/>
                <w:sz w:val="24"/>
                <w:szCs w:val="24"/>
              </w:rPr>
              <w:t xml:space="preserve"> ± 0.09 </w:t>
            </w:r>
          </w:p>
        </w:tc>
        <w:tc>
          <w:tcPr>
            <w:tcW w:w="1450" w:type="dxa"/>
            <w:tcBorders>
              <w:top w:val="single" w:color="auto" w:sz="4" w:space="0"/>
              <w:left w:val="single" w:color="auto" w:sz="4" w:space="0"/>
              <w:bottom w:val="single" w:color="auto" w:sz="4" w:space="0"/>
              <w:right w:val="single" w:color="auto" w:sz="4" w:space="0"/>
            </w:tcBorders>
            <w:vAlign w:val="center"/>
          </w:tcPr>
          <w:p w14:paraId="7FB4E8F2">
            <w:pPr>
              <w:widowControl w:val="0"/>
              <w:jc w:val="center"/>
              <w:rPr>
                <w:rFonts w:ascii="Times New Roman" w:hAnsi="Times New Roman"/>
                <w:sz w:val="24"/>
                <w:szCs w:val="24"/>
              </w:rPr>
            </w:pPr>
            <w:r>
              <w:rPr>
                <w:rFonts w:ascii="Times New Roman" w:hAnsi="Times New Roman"/>
                <w:sz w:val="24"/>
                <w:szCs w:val="24"/>
              </w:rPr>
              <w:t>9.68</w:t>
            </w:r>
            <w:r>
              <w:rPr>
                <w:rFonts w:ascii="Times New Roman" w:hAnsi="Times New Roman"/>
                <w:sz w:val="24"/>
                <w:szCs w:val="24"/>
                <w:vertAlign w:val="superscript"/>
              </w:rPr>
              <w:t>b</w:t>
            </w:r>
            <w:r>
              <w:rPr>
                <w:rFonts w:ascii="Times New Roman" w:hAnsi="Times New Roman"/>
                <w:sz w:val="24"/>
                <w:szCs w:val="24"/>
              </w:rPr>
              <w:t xml:space="preserve"> ± 0.08</w:t>
            </w:r>
          </w:p>
        </w:tc>
        <w:tc>
          <w:tcPr>
            <w:tcW w:w="1650" w:type="dxa"/>
            <w:tcBorders>
              <w:top w:val="single" w:color="auto" w:sz="4" w:space="0"/>
              <w:left w:val="single" w:color="auto" w:sz="4" w:space="0"/>
              <w:bottom w:val="single" w:color="auto" w:sz="4" w:space="0"/>
              <w:right w:val="single" w:color="auto" w:sz="4" w:space="0"/>
            </w:tcBorders>
            <w:vAlign w:val="center"/>
          </w:tcPr>
          <w:p w14:paraId="5A597D94">
            <w:pPr>
              <w:widowControl w:val="0"/>
              <w:jc w:val="center"/>
              <w:rPr>
                <w:rFonts w:ascii="Times New Roman" w:hAnsi="Times New Roman"/>
                <w:sz w:val="24"/>
                <w:szCs w:val="24"/>
              </w:rPr>
            </w:pPr>
            <w:r>
              <w:rPr>
                <w:rFonts w:ascii="Times New Roman" w:hAnsi="Times New Roman"/>
                <w:sz w:val="24"/>
                <w:szCs w:val="24"/>
              </w:rPr>
              <w:t>9.48</w:t>
            </w:r>
            <w:r>
              <w:rPr>
                <w:rFonts w:ascii="Times New Roman" w:hAnsi="Times New Roman"/>
                <w:sz w:val="24"/>
                <w:szCs w:val="24"/>
                <w:vertAlign w:val="superscript"/>
              </w:rPr>
              <w:t xml:space="preserve">b </w:t>
            </w:r>
            <w:r>
              <w:rPr>
                <w:rFonts w:ascii="Times New Roman" w:hAnsi="Times New Roman"/>
                <w:sz w:val="24"/>
                <w:szCs w:val="24"/>
              </w:rPr>
              <w:t>± 0.05</w:t>
            </w:r>
          </w:p>
        </w:tc>
        <w:tc>
          <w:tcPr>
            <w:tcW w:w="1500" w:type="dxa"/>
            <w:tcBorders>
              <w:top w:val="single" w:color="auto" w:sz="4" w:space="0"/>
              <w:left w:val="single" w:color="auto" w:sz="4" w:space="0"/>
              <w:bottom w:val="single" w:color="auto" w:sz="4" w:space="0"/>
              <w:right w:val="single" w:color="auto" w:sz="4" w:space="0"/>
            </w:tcBorders>
            <w:vAlign w:val="center"/>
          </w:tcPr>
          <w:p w14:paraId="363385BC">
            <w:pPr>
              <w:widowControl w:val="0"/>
              <w:jc w:val="center"/>
              <w:rPr>
                <w:rFonts w:ascii="Times New Roman" w:hAnsi="Times New Roman"/>
                <w:sz w:val="24"/>
                <w:szCs w:val="24"/>
              </w:rPr>
            </w:pPr>
            <w:r>
              <w:rPr>
                <w:rFonts w:ascii="Times New Roman" w:hAnsi="Times New Roman"/>
                <w:sz w:val="24"/>
                <w:szCs w:val="24"/>
              </w:rPr>
              <w:t>9.49 ± 0.05</w:t>
            </w:r>
            <w:r>
              <w:rPr>
                <w:rFonts w:ascii="Times New Roman" w:hAnsi="Times New Roman"/>
                <w:sz w:val="24"/>
                <w:szCs w:val="24"/>
                <w:vertAlign w:val="superscript"/>
              </w:rPr>
              <w:t>A</w:t>
            </w:r>
            <w:r>
              <w:rPr>
                <w:rFonts w:ascii="Times New Roman" w:hAnsi="Times New Roman"/>
                <w:sz w:val="24"/>
                <w:szCs w:val="24"/>
              </w:rPr>
              <w:t xml:space="preserve"> </w:t>
            </w:r>
          </w:p>
        </w:tc>
      </w:tr>
      <w:tr w14:paraId="015C53C8">
        <w:trPr>
          <w:trHeight w:val="791" w:hRule="atLeast"/>
        </w:trPr>
        <w:tc>
          <w:tcPr>
            <w:tcW w:w="1152" w:type="dxa"/>
            <w:vMerge w:val="continue"/>
            <w:tcBorders>
              <w:top w:val="nil"/>
              <w:left w:val="single" w:color="auto" w:sz="4" w:space="0"/>
              <w:bottom w:val="single" w:color="auto" w:sz="4" w:space="0"/>
              <w:right w:val="single" w:color="auto" w:sz="4" w:space="0"/>
            </w:tcBorders>
            <w:vAlign w:val="center"/>
          </w:tcPr>
          <w:p w14:paraId="62900ABD">
            <w:pPr>
              <w:widowControl w:val="0"/>
              <w:jc w:val="both"/>
              <w:rPr>
                <w:rFonts w:ascii="Times New Roman Bold" w:hAnsi="Times New Roman Bold" w:cs="Times New Roman Bold"/>
                <w:b/>
                <w:bCs/>
                <w:sz w:val="24"/>
                <w:szCs w:val="24"/>
              </w:rPr>
            </w:pPr>
          </w:p>
        </w:tc>
        <w:tc>
          <w:tcPr>
            <w:tcW w:w="2104" w:type="dxa"/>
            <w:vMerge w:val="continue"/>
            <w:tcBorders>
              <w:top w:val="nil"/>
              <w:left w:val="single" w:color="auto" w:sz="4" w:space="0"/>
              <w:bottom w:val="single" w:color="auto" w:sz="4" w:space="0"/>
              <w:right w:val="single" w:color="auto" w:sz="4" w:space="0"/>
            </w:tcBorders>
            <w:vAlign w:val="center"/>
          </w:tcPr>
          <w:p w14:paraId="4AF8DFE2">
            <w:pPr>
              <w:widowControl w:val="0"/>
              <w:jc w:val="both"/>
              <w:rPr>
                <w:rFonts w:ascii="Times New Roman Bold" w:hAnsi="Times New Roman Bold" w:cs="Times New Roman Bold"/>
                <w:b/>
                <w:bCs/>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48B1B82B">
            <w:pPr>
              <w:widowControl w:val="0"/>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Group II</w:t>
            </w:r>
          </w:p>
          <w:p w14:paraId="64F32601">
            <w:pPr>
              <w:widowControl w:val="0"/>
              <w:jc w:val="both"/>
              <w:rPr>
                <w:rFonts w:ascii="Times New Roman Bold" w:hAnsi="Times New Roman Bold" w:cs="Times New Roman Bold"/>
                <w:b/>
                <w:bCs/>
                <w:sz w:val="24"/>
                <w:szCs w:val="24"/>
              </w:rPr>
            </w:pPr>
          </w:p>
        </w:tc>
        <w:tc>
          <w:tcPr>
            <w:tcW w:w="1635" w:type="dxa"/>
            <w:tcBorders>
              <w:top w:val="single" w:color="auto" w:sz="4" w:space="0"/>
              <w:left w:val="single" w:color="auto" w:sz="4" w:space="0"/>
              <w:bottom w:val="single" w:color="auto" w:sz="4" w:space="0"/>
              <w:right w:val="single" w:color="auto" w:sz="4" w:space="0"/>
            </w:tcBorders>
            <w:vAlign w:val="center"/>
          </w:tcPr>
          <w:p w14:paraId="5F05F324">
            <w:pPr>
              <w:widowControl w:val="0"/>
              <w:jc w:val="center"/>
              <w:rPr>
                <w:rFonts w:ascii="Times New Roman" w:hAnsi="Times New Roman"/>
                <w:sz w:val="24"/>
                <w:szCs w:val="24"/>
              </w:rPr>
            </w:pPr>
            <w:r>
              <w:rPr>
                <w:rFonts w:ascii="Times New Roman" w:hAnsi="Times New Roman"/>
                <w:sz w:val="24"/>
                <w:szCs w:val="24"/>
              </w:rPr>
              <w:t>9.35</w:t>
            </w:r>
            <w:r>
              <w:rPr>
                <w:rFonts w:ascii="Times New Roman" w:hAnsi="Times New Roman"/>
                <w:sz w:val="24"/>
                <w:szCs w:val="24"/>
                <w:vertAlign w:val="superscript"/>
              </w:rPr>
              <w:t>a</w:t>
            </w:r>
            <w:r>
              <w:rPr>
                <w:rFonts w:ascii="Times New Roman" w:hAnsi="Times New Roman"/>
                <w:sz w:val="24"/>
                <w:szCs w:val="24"/>
              </w:rPr>
              <w:t xml:space="preserve"> ± 0.15 </w:t>
            </w:r>
          </w:p>
        </w:tc>
        <w:tc>
          <w:tcPr>
            <w:tcW w:w="1475" w:type="dxa"/>
            <w:tcBorders>
              <w:top w:val="single" w:color="auto" w:sz="4" w:space="0"/>
              <w:left w:val="single" w:color="auto" w:sz="4" w:space="0"/>
              <w:bottom w:val="single" w:color="auto" w:sz="4" w:space="0"/>
              <w:right w:val="single" w:color="auto" w:sz="4" w:space="0"/>
            </w:tcBorders>
            <w:vAlign w:val="center"/>
          </w:tcPr>
          <w:p w14:paraId="024D92CF">
            <w:pPr>
              <w:widowControl w:val="0"/>
              <w:jc w:val="center"/>
              <w:rPr>
                <w:rFonts w:ascii="Times New Roman" w:hAnsi="Times New Roman"/>
                <w:sz w:val="24"/>
                <w:szCs w:val="24"/>
              </w:rPr>
            </w:pPr>
            <w:r>
              <w:rPr>
                <w:rFonts w:ascii="Times New Roman" w:hAnsi="Times New Roman"/>
                <w:sz w:val="24"/>
                <w:szCs w:val="24"/>
              </w:rPr>
              <w:t>9.75</w:t>
            </w:r>
            <w:r>
              <w:rPr>
                <w:rFonts w:ascii="Times New Roman" w:hAnsi="Times New Roman"/>
                <w:sz w:val="24"/>
                <w:szCs w:val="24"/>
                <w:vertAlign w:val="superscript"/>
              </w:rPr>
              <w:t>b</w:t>
            </w:r>
            <w:r>
              <w:rPr>
                <w:rFonts w:ascii="Times New Roman" w:hAnsi="Times New Roman"/>
                <w:sz w:val="24"/>
                <w:szCs w:val="24"/>
              </w:rPr>
              <w:t xml:space="preserve"> ± 0.13 </w:t>
            </w:r>
          </w:p>
        </w:tc>
        <w:tc>
          <w:tcPr>
            <w:tcW w:w="1600" w:type="dxa"/>
            <w:tcBorders>
              <w:top w:val="single" w:color="auto" w:sz="4" w:space="0"/>
              <w:left w:val="single" w:color="auto" w:sz="4" w:space="0"/>
              <w:bottom w:val="single" w:color="auto" w:sz="4" w:space="0"/>
              <w:right w:val="single" w:color="auto" w:sz="4" w:space="0"/>
            </w:tcBorders>
            <w:vAlign w:val="center"/>
          </w:tcPr>
          <w:p w14:paraId="7505C3CC">
            <w:pPr>
              <w:widowControl w:val="0"/>
              <w:jc w:val="center"/>
              <w:rPr>
                <w:rFonts w:ascii="Times New Roman" w:hAnsi="Times New Roman"/>
                <w:sz w:val="24"/>
                <w:szCs w:val="24"/>
              </w:rPr>
            </w:pPr>
            <w:r>
              <w:rPr>
                <w:rFonts w:ascii="Times New Roman" w:hAnsi="Times New Roman"/>
                <w:sz w:val="24"/>
                <w:szCs w:val="24"/>
              </w:rPr>
              <w:t>10.40</w:t>
            </w:r>
            <w:r>
              <w:rPr>
                <w:rFonts w:ascii="Times New Roman" w:hAnsi="Times New Roman"/>
                <w:sz w:val="24"/>
                <w:szCs w:val="24"/>
                <w:vertAlign w:val="superscript"/>
              </w:rPr>
              <w:t>bc</w:t>
            </w:r>
            <w:r>
              <w:rPr>
                <w:rFonts w:ascii="Times New Roman" w:hAnsi="Times New Roman"/>
                <w:sz w:val="24"/>
                <w:szCs w:val="24"/>
              </w:rPr>
              <w:t xml:space="preserve"> ± 0.12 </w:t>
            </w:r>
          </w:p>
        </w:tc>
        <w:tc>
          <w:tcPr>
            <w:tcW w:w="1450" w:type="dxa"/>
            <w:tcBorders>
              <w:top w:val="single" w:color="auto" w:sz="4" w:space="0"/>
              <w:left w:val="single" w:color="auto" w:sz="4" w:space="0"/>
              <w:bottom w:val="single" w:color="auto" w:sz="4" w:space="0"/>
              <w:right w:val="single" w:color="auto" w:sz="4" w:space="0"/>
            </w:tcBorders>
            <w:vAlign w:val="center"/>
          </w:tcPr>
          <w:p w14:paraId="79355694">
            <w:pPr>
              <w:widowControl w:val="0"/>
              <w:jc w:val="center"/>
              <w:rPr>
                <w:rFonts w:ascii="Times New Roman" w:hAnsi="Times New Roman"/>
                <w:sz w:val="24"/>
                <w:szCs w:val="24"/>
              </w:rPr>
            </w:pPr>
            <w:r>
              <w:rPr>
                <w:rFonts w:ascii="Times New Roman" w:hAnsi="Times New Roman"/>
                <w:sz w:val="24"/>
                <w:szCs w:val="24"/>
              </w:rPr>
              <w:t>10.15</w:t>
            </w:r>
            <w:r>
              <w:rPr>
                <w:rFonts w:ascii="Times New Roman" w:hAnsi="Times New Roman"/>
                <w:sz w:val="24"/>
                <w:szCs w:val="24"/>
                <w:vertAlign w:val="superscript"/>
              </w:rPr>
              <w:t>cd</w:t>
            </w:r>
            <w:r>
              <w:rPr>
                <w:rFonts w:ascii="Times New Roman" w:hAnsi="Times New Roman"/>
                <w:sz w:val="24"/>
                <w:szCs w:val="24"/>
              </w:rPr>
              <w:t xml:space="preserve"> ± 0.11</w:t>
            </w:r>
          </w:p>
        </w:tc>
        <w:tc>
          <w:tcPr>
            <w:tcW w:w="1650" w:type="dxa"/>
            <w:tcBorders>
              <w:top w:val="single" w:color="auto" w:sz="4" w:space="0"/>
              <w:left w:val="single" w:color="auto" w:sz="4" w:space="0"/>
              <w:bottom w:val="single" w:color="auto" w:sz="4" w:space="0"/>
              <w:right w:val="single" w:color="auto" w:sz="4" w:space="0"/>
            </w:tcBorders>
            <w:vAlign w:val="center"/>
          </w:tcPr>
          <w:p w14:paraId="0E476B12">
            <w:pPr>
              <w:widowControl w:val="0"/>
              <w:jc w:val="center"/>
              <w:rPr>
                <w:rFonts w:ascii="Times New Roman" w:hAnsi="Times New Roman"/>
                <w:sz w:val="24"/>
                <w:szCs w:val="24"/>
              </w:rPr>
            </w:pPr>
            <w:r>
              <w:rPr>
                <w:rFonts w:ascii="Times New Roman" w:hAnsi="Times New Roman"/>
                <w:sz w:val="24"/>
                <w:szCs w:val="24"/>
              </w:rPr>
              <w:t>9.92</w:t>
            </w:r>
            <w:r>
              <w:rPr>
                <w:rFonts w:ascii="Times New Roman" w:hAnsi="Times New Roman"/>
                <w:sz w:val="24"/>
                <w:szCs w:val="24"/>
                <w:vertAlign w:val="superscript"/>
              </w:rPr>
              <w:t>d</w:t>
            </w:r>
            <w:r>
              <w:rPr>
                <w:rFonts w:ascii="Times New Roman" w:hAnsi="Times New Roman"/>
                <w:sz w:val="24"/>
                <w:szCs w:val="24"/>
              </w:rPr>
              <w:t xml:space="preserve"> ± 0.12</w:t>
            </w:r>
          </w:p>
        </w:tc>
        <w:tc>
          <w:tcPr>
            <w:tcW w:w="1500" w:type="dxa"/>
            <w:tcBorders>
              <w:top w:val="single" w:color="auto" w:sz="4" w:space="0"/>
              <w:left w:val="single" w:color="auto" w:sz="4" w:space="0"/>
              <w:bottom w:val="single" w:color="auto" w:sz="4" w:space="0"/>
              <w:right w:val="single" w:color="auto" w:sz="4" w:space="0"/>
            </w:tcBorders>
            <w:vAlign w:val="center"/>
          </w:tcPr>
          <w:p w14:paraId="64E35C64">
            <w:pPr>
              <w:widowControl w:val="0"/>
              <w:jc w:val="center"/>
              <w:rPr>
                <w:rFonts w:ascii="Times New Roman" w:hAnsi="Times New Roman"/>
                <w:sz w:val="24"/>
                <w:szCs w:val="24"/>
                <w:vertAlign w:val="superscript"/>
              </w:rPr>
            </w:pPr>
            <w:r>
              <w:rPr>
                <w:rFonts w:ascii="Times New Roman" w:hAnsi="Times New Roman"/>
                <w:sz w:val="24"/>
                <w:szCs w:val="24"/>
              </w:rPr>
              <w:t>9.91 ± 0.08</w:t>
            </w:r>
            <w:r>
              <w:rPr>
                <w:rFonts w:ascii="Times New Roman" w:hAnsi="Times New Roman"/>
                <w:sz w:val="24"/>
                <w:szCs w:val="24"/>
                <w:vertAlign w:val="superscript"/>
              </w:rPr>
              <w:t>B</w:t>
            </w:r>
          </w:p>
        </w:tc>
      </w:tr>
      <w:tr w14:paraId="6CBFBC2C">
        <w:trPr>
          <w:trHeight w:val="791" w:hRule="atLeast"/>
        </w:trPr>
        <w:tc>
          <w:tcPr>
            <w:tcW w:w="1152" w:type="dxa"/>
            <w:vMerge w:val="restart"/>
            <w:tcBorders>
              <w:top w:val="nil"/>
              <w:left w:val="single" w:color="auto" w:sz="4" w:space="0"/>
              <w:bottom w:val="single" w:color="auto" w:sz="4" w:space="0"/>
              <w:right w:val="single" w:color="auto" w:sz="4" w:space="0"/>
            </w:tcBorders>
            <w:vAlign w:val="center"/>
          </w:tcPr>
          <w:p w14:paraId="4E06BEE7">
            <w:pPr>
              <w:widowControl w:val="0"/>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2</w:t>
            </w:r>
          </w:p>
          <w:p w14:paraId="73D673F1">
            <w:pPr>
              <w:widowControl w:val="0"/>
              <w:jc w:val="center"/>
              <w:rPr>
                <w:rFonts w:ascii="Times New Roman Bold" w:hAnsi="Times New Roman Bold" w:cs="Times New Roman Bold"/>
                <w:b/>
                <w:bCs/>
                <w:sz w:val="24"/>
                <w:szCs w:val="24"/>
              </w:rPr>
            </w:pPr>
          </w:p>
        </w:tc>
        <w:tc>
          <w:tcPr>
            <w:tcW w:w="2104" w:type="dxa"/>
            <w:vMerge w:val="restart"/>
            <w:tcBorders>
              <w:top w:val="nil"/>
              <w:left w:val="single" w:color="auto" w:sz="4" w:space="0"/>
              <w:bottom w:val="single" w:color="auto" w:sz="4" w:space="0"/>
              <w:right w:val="single" w:color="auto" w:sz="4" w:space="0"/>
            </w:tcBorders>
            <w:vAlign w:val="center"/>
          </w:tcPr>
          <w:p w14:paraId="052AC98F">
            <w:pPr>
              <w:widowControl w:val="0"/>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Phosphorus (mg%)</w:t>
            </w:r>
          </w:p>
          <w:p w14:paraId="558320BB">
            <w:pPr>
              <w:widowControl w:val="0"/>
              <w:jc w:val="center"/>
              <w:rPr>
                <w:rFonts w:ascii="Times New Roman Bold" w:hAnsi="Times New Roman Bold" w:cs="Times New Roman Bold"/>
                <w:b/>
                <w:bCs/>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228B7F1A">
            <w:pPr>
              <w:widowControl w:val="0"/>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Group I</w:t>
            </w:r>
          </w:p>
          <w:p w14:paraId="5C97C1C4">
            <w:pPr>
              <w:widowControl w:val="0"/>
              <w:jc w:val="both"/>
              <w:rPr>
                <w:rFonts w:ascii="Times New Roman Bold" w:hAnsi="Times New Roman Bold" w:cs="Times New Roman Bold"/>
                <w:b/>
                <w:bCs/>
                <w:sz w:val="24"/>
                <w:szCs w:val="24"/>
              </w:rPr>
            </w:pPr>
          </w:p>
        </w:tc>
        <w:tc>
          <w:tcPr>
            <w:tcW w:w="1635" w:type="dxa"/>
            <w:tcBorders>
              <w:top w:val="single" w:color="auto" w:sz="4" w:space="0"/>
              <w:left w:val="single" w:color="auto" w:sz="4" w:space="0"/>
              <w:bottom w:val="single" w:color="auto" w:sz="4" w:space="0"/>
              <w:right w:val="single" w:color="auto" w:sz="4" w:space="0"/>
            </w:tcBorders>
            <w:vAlign w:val="center"/>
          </w:tcPr>
          <w:p w14:paraId="44F15452">
            <w:pPr>
              <w:widowControl w:val="0"/>
              <w:jc w:val="center"/>
              <w:rPr>
                <w:rFonts w:ascii="Times New Roman" w:hAnsi="Times New Roman"/>
                <w:sz w:val="24"/>
                <w:szCs w:val="24"/>
              </w:rPr>
            </w:pPr>
            <w:r>
              <w:rPr>
                <w:rFonts w:ascii="Times New Roman" w:hAnsi="Times New Roman"/>
                <w:sz w:val="24"/>
                <w:szCs w:val="24"/>
              </w:rPr>
              <w:t>4.16</w:t>
            </w:r>
            <w:r>
              <w:rPr>
                <w:rFonts w:ascii="Times New Roman" w:hAnsi="Times New Roman"/>
                <w:sz w:val="24"/>
                <w:szCs w:val="24"/>
                <w:vertAlign w:val="superscript"/>
              </w:rPr>
              <w:t>a</w:t>
            </w:r>
            <w:r>
              <w:rPr>
                <w:rFonts w:ascii="Times New Roman" w:hAnsi="Times New Roman"/>
                <w:sz w:val="24"/>
                <w:szCs w:val="24"/>
              </w:rPr>
              <w:t xml:space="preserve"> ± 0.13</w:t>
            </w:r>
          </w:p>
        </w:tc>
        <w:tc>
          <w:tcPr>
            <w:tcW w:w="1475" w:type="dxa"/>
            <w:tcBorders>
              <w:top w:val="single" w:color="auto" w:sz="4" w:space="0"/>
              <w:left w:val="single" w:color="auto" w:sz="4" w:space="0"/>
              <w:bottom w:val="single" w:color="auto" w:sz="4" w:space="0"/>
              <w:right w:val="single" w:color="auto" w:sz="4" w:space="0"/>
            </w:tcBorders>
            <w:vAlign w:val="center"/>
          </w:tcPr>
          <w:p w14:paraId="793C98A4">
            <w:pPr>
              <w:widowControl w:val="0"/>
              <w:jc w:val="center"/>
              <w:rPr>
                <w:rFonts w:ascii="Times New Roman" w:hAnsi="Times New Roman"/>
                <w:sz w:val="24"/>
                <w:szCs w:val="24"/>
              </w:rPr>
            </w:pPr>
            <w:r>
              <w:rPr>
                <w:rFonts w:ascii="Times New Roman" w:hAnsi="Times New Roman"/>
                <w:sz w:val="24"/>
                <w:szCs w:val="24"/>
              </w:rPr>
              <w:t>4.24</w:t>
            </w:r>
            <w:r>
              <w:rPr>
                <w:rFonts w:ascii="Times New Roman" w:hAnsi="Times New Roman"/>
                <w:sz w:val="24"/>
                <w:szCs w:val="24"/>
                <w:vertAlign w:val="superscript"/>
              </w:rPr>
              <w:t>a</w:t>
            </w:r>
            <w:r>
              <w:rPr>
                <w:rFonts w:ascii="Times New Roman" w:hAnsi="Times New Roman"/>
                <w:sz w:val="24"/>
                <w:szCs w:val="24"/>
              </w:rPr>
              <w:t xml:space="preserve"> ± 0.13</w:t>
            </w:r>
          </w:p>
        </w:tc>
        <w:tc>
          <w:tcPr>
            <w:tcW w:w="1600" w:type="dxa"/>
            <w:tcBorders>
              <w:top w:val="single" w:color="auto" w:sz="4" w:space="0"/>
              <w:left w:val="single" w:color="auto" w:sz="4" w:space="0"/>
              <w:bottom w:val="single" w:color="auto" w:sz="4" w:space="0"/>
              <w:right w:val="single" w:color="auto" w:sz="4" w:space="0"/>
            </w:tcBorders>
            <w:vAlign w:val="center"/>
          </w:tcPr>
          <w:p w14:paraId="24B8B707">
            <w:pPr>
              <w:widowControl w:val="0"/>
              <w:jc w:val="center"/>
              <w:rPr>
                <w:rFonts w:ascii="Times New Roman" w:hAnsi="Times New Roman"/>
                <w:sz w:val="24"/>
                <w:szCs w:val="24"/>
              </w:rPr>
            </w:pPr>
            <w:r>
              <w:rPr>
                <w:rFonts w:ascii="Times New Roman" w:hAnsi="Times New Roman"/>
                <w:sz w:val="24"/>
                <w:szCs w:val="24"/>
              </w:rPr>
              <w:t>4.26</w:t>
            </w:r>
            <w:r>
              <w:rPr>
                <w:rFonts w:ascii="Times New Roman" w:hAnsi="Times New Roman"/>
                <w:sz w:val="24"/>
                <w:szCs w:val="24"/>
                <w:vertAlign w:val="superscript"/>
              </w:rPr>
              <w:t>a</w:t>
            </w:r>
            <w:r>
              <w:rPr>
                <w:rFonts w:ascii="Times New Roman" w:hAnsi="Times New Roman"/>
                <w:sz w:val="24"/>
                <w:szCs w:val="24"/>
              </w:rPr>
              <w:t xml:space="preserve"> ± 0.12</w:t>
            </w:r>
          </w:p>
        </w:tc>
        <w:tc>
          <w:tcPr>
            <w:tcW w:w="1450" w:type="dxa"/>
            <w:tcBorders>
              <w:top w:val="single" w:color="auto" w:sz="4" w:space="0"/>
              <w:left w:val="single" w:color="auto" w:sz="4" w:space="0"/>
              <w:bottom w:val="single" w:color="auto" w:sz="4" w:space="0"/>
              <w:right w:val="single" w:color="auto" w:sz="4" w:space="0"/>
            </w:tcBorders>
            <w:vAlign w:val="center"/>
          </w:tcPr>
          <w:p w14:paraId="5D524D4D">
            <w:pPr>
              <w:widowControl w:val="0"/>
              <w:jc w:val="center"/>
              <w:rPr>
                <w:rFonts w:ascii="Times New Roman" w:hAnsi="Times New Roman"/>
                <w:sz w:val="24"/>
                <w:szCs w:val="24"/>
              </w:rPr>
            </w:pPr>
            <w:r>
              <w:rPr>
                <w:rFonts w:ascii="Times New Roman" w:hAnsi="Times New Roman"/>
                <w:sz w:val="24"/>
                <w:szCs w:val="24"/>
              </w:rPr>
              <w:t>4.19</w:t>
            </w:r>
            <w:r>
              <w:rPr>
                <w:rFonts w:ascii="Times New Roman" w:hAnsi="Times New Roman"/>
                <w:sz w:val="24"/>
                <w:szCs w:val="24"/>
                <w:vertAlign w:val="superscript"/>
              </w:rPr>
              <w:t>a</w:t>
            </w:r>
            <w:r>
              <w:rPr>
                <w:rFonts w:ascii="Times New Roman" w:hAnsi="Times New Roman"/>
                <w:sz w:val="24"/>
                <w:szCs w:val="24"/>
              </w:rPr>
              <w:t xml:space="preserve"> ± 0.13</w:t>
            </w:r>
          </w:p>
        </w:tc>
        <w:tc>
          <w:tcPr>
            <w:tcW w:w="1650" w:type="dxa"/>
            <w:tcBorders>
              <w:top w:val="single" w:color="auto" w:sz="4" w:space="0"/>
              <w:left w:val="single" w:color="auto" w:sz="4" w:space="0"/>
              <w:bottom w:val="single" w:color="auto" w:sz="4" w:space="0"/>
              <w:right w:val="single" w:color="auto" w:sz="4" w:space="0"/>
            </w:tcBorders>
            <w:vAlign w:val="center"/>
          </w:tcPr>
          <w:p w14:paraId="396C60EF">
            <w:pPr>
              <w:widowControl w:val="0"/>
              <w:jc w:val="center"/>
              <w:rPr>
                <w:rFonts w:ascii="Times New Roman" w:hAnsi="Times New Roman"/>
                <w:sz w:val="24"/>
                <w:szCs w:val="24"/>
              </w:rPr>
            </w:pPr>
            <w:r>
              <w:rPr>
                <w:rFonts w:ascii="Times New Roman" w:hAnsi="Times New Roman"/>
                <w:sz w:val="24"/>
                <w:szCs w:val="24"/>
              </w:rPr>
              <w:t>4.06</w:t>
            </w:r>
            <w:r>
              <w:rPr>
                <w:rFonts w:ascii="Times New Roman" w:hAnsi="Times New Roman"/>
                <w:sz w:val="24"/>
                <w:szCs w:val="24"/>
                <w:vertAlign w:val="superscript"/>
              </w:rPr>
              <w:t>a</w:t>
            </w:r>
            <w:r>
              <w:rPr>
                <w:rFonts w:ascii="Times New Roman" w:hAnsi="Times New Roman"/>
                <w:sz w:val="24"/>
                <w:szCs w:val="24"/>
              </w:rPr>
              <w:t xml:space="preserve"> ± 0.14</w:t>
            </w:r>
          </w:p>
        </w:tc>
        <w:tc>
          <w:tcPr>
            <w:tcW w:w="1500" w:type="dxa"/>
            <w:tcBorders>
              <w:top w:val="single" w:color="auto" w:sz="4" w:space="0"/>
              <w:left w:val="single" w:color="auto" w:sz="4" w:space="0"/>
              <w:bottom w:val="single" w:color="auto" w:sz="4" w:space="0"/>
              <w:right w:val="single" w:color="auto" w:sz="4" w:space="0"/>
            </w:tcBorders>
            <w:vAlign w:val="center"/>
          </w:tcPr>
          <w:p w14:paraId="0DCF8220">
            <w:pPr>
              <w:widowControl w:val="0"/>
              <w:jc w:val="center"/>
              <w:rPr>
                <w:rFonts w:ascii="Times New Roman" w:hAnsi="Times New Roman"/>
                <w:sz w:val="24"/>
                <w:szCs w:val="24"/>
                <w:vertAlign w:val="superscript"/>
              </w:rPr>
            </w:pPr>
            <w:r>
              <w:rPr>
                <w:rFonts w:ascii="Times New Roman" w:hAnsi="Times New Roman"/>
                <w:sz w:val="24"/>
                <w:szCs w:val="24"/>
              </w:rPr>
              <w:t>4.18 ± 0.06</w:t>
            </w:r>
            <w:r>
              <w:rPr>
                <w:rFonts w:ascii="Times New Roman" w:hAnsi="Times New Roman"/>
                <w:sz w:val="24"/>
                <w:szCs w:val="24"/>
                <w:vertAlign w:val="superscript"/>
              </w:rPr>
              <w:t>A</w:t>
            </w:r>
          </w:p>
        </w:tc>
      </w:tr>
      <w:tr w14:paraId="78113E5A">
        <w:trPr>
          <w:trHeight w:val="791" w:hRule="atLeast"/>
        </w:trPr>
        <w:tc>
          <w:tcPr>
            <w:tcW w:w="1152" w:type="dxa"/>
            <w:vMerge w:val="continue"/>
            <w:tcBorders>
              <w:top w:val="nil"/>
              <w:left w:val="single" w:color="auto" w:sz="4" w:space="0"/>
              <w:bottom w:val="single" w:color="auto" w:sz="4" w:space="0"/>
              <w:right w:val="single" w:color="auto" w:sz="4" w:space="0"/>
            </w:tcBorders>
            <w:vAlign w:val="center"/>
          </w:tcPr>
          <w:p w14:paraId="12A2C6D1">
            <w:pPr>
              <w:widowControl w:val="0"/>
              <w:jc w:val="both"/>
              <w:rPr>
                <w:rFonts w:ascii="Times New Roman Bold" w:hAnsi="Times New Roman Bold" w:cs="Times New Roman Bold"/>
                <w:b/>
                <w:bCs/>
                <w:sz w:val="24"/>
                <w:szCs w:val="24"/>
              </w:rPr>
            </w:pPr>
          </w:p>
        </w:tc>
        <w:tc>
          <w:tcPr>
            <w:tcW w:w="2104" w:type="dxa"/>
            <w:vMerge w:val="continue"/>
            <w:tcBorders>
              <w:top w:val="nil"/>
              <w:left w:val="single" w:color="auto" w:sz="4" w:space="0"/>
              <w:bottom w:val="single" w:color="auto" w:sz="4" w:space="0"/>
              <w:right w:val="single" w:color="auto" w:sz="4" w:space="0"/>
            </w:tcBorders>
            <w:vAlign w:val="center"/>
          </w:tcPr>
          <w:p w14:paraId="09B209E2">
            <w:pPr>
              <w:widowControl w:val="0"/>
              <w:jc w:val="both"/>
              <w:rPr>
                <w:rFonts w:ascii="Times New Roman Bold" w:hAnsi="Times New Roman Bold" w:cs="Times New Roman Bold"/>
                <w:b/>
                <w:bCs/>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0E31E14C">
            <w:pPr>
              <w:widowControl w:val="0"/>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Group II</w:t>
            </w:r>
          </w:p>
          <w:p w14:paraId="2A9CCAF2">
            <w:pPr>
              <w:widowControl w:val="0"/>
              <w:jc w:val="both"/>
              <w:rPr>
                <w:rFonts w:ascii="Times New Roman Bold" w:hAnsi="Times New Roman Bold" w:cs="Times New Roman Bold"/>
                <w:b/>
                <w:bCs/>
                <w:sz w:val="24"/>
                <w:szCs w:val="24"/>
              </w:rPr>
            </w:pPr>
          </w:p>
        </w:tc>
        <w:tc>
          <w:tcPr>
            <w:tcW w:w="1635" w:type="dxa"/>
            <w:tcBorders>
              <w:top w:val="single" w:color="auto" w:sz="4" w:space="0"/>
              <w:left w:val="single" w:color="auto" w:sz="4" w:space="0"/>
              <w:bottom w:val="single" w:color="auto" w:sz="4" w:space="0"/>
              <w:right w:val="single" w:color="auto" w:sz="4" w:space="0"/>
            </w:tcBorders>
            <w:vAlign w:val="center"/>
          </w:tcPr>
          <w:p w14:paraId="5C227171">
            <w:pPr>
              <w:widowControl w:val="0"/>
              <w:jc w:val="center"/>
              <w:rPr>
                <w:rFonts w:ascii="Times New Roman" w:hAnsi="Times New Roman"/>
                <w:sz w:val="24"/>
                <w:szCs w:val="24"/>
              </w:rPr>
            </w:pPr>
            <w:r>
              <w:rPr>
                <w:rFonts w:ascii="Times New Roman" w:hAnsi="Times New Roman"/>
                <w:sz w:val="24"/>
                <w:szCs w:val="24"/>
              </w:rPr>
              <w:t>4.18</w:t>
            </w:r>
            <w:r>
              <w:rPr>
                <w:rFonts w:ascii="Times New Roman" w:hAnsi="Times New Roman"/>
                <w:sz w:val="24"/>
                <w:szCs w:val="24"/>
                <w:vertAlign w:val="superscript"/>
              </w:rPr>
              <w:t>a</w:t>
            </w:r>
            <w:r>
              <w:rPr>
                <w:rFonts w:ascii="Times New Roman" w:hAnsi="Times New Roman"/>
                <w:sz w:val="24"/>
                <w:szCs w:val="24"/>
              </w:rPr>
              <w:t xml:space="preserve"> ± 0.10</w:t>
            </w:r>
          </w:p>
        </w:tc>
        <w:tc>
          <w:tcPr>
            <w:tcW w:w="1475" w:type="dxa"/>
            <w:tcBorders>
              <w:top w:val="single" w:color="auto" w:sz="4" w:space="0"/>
              <w:left w:val="single" w:color="auto" w:sz="4" w:space="0"/>
              <w:bottom w:val="single" w:color="auto" w:sz="4" w:space="0"/>
              <w:right w:val="single" w:color="auto" w:sz="4" w:space="0"/>
            </w:tcBorders>
            <w:vAlign w:val="center"/>
          </w:tcPr>
          <w:p w14:paraId="3066D97D">
            <w:pPr>
              <w:widowControl w:val="0"/>
              <w:jc w:val="center"/>
              <w:rPr>
                <w:rFonts w:ascii="Times New Roman" w:hAnsi="Times New Roman"/>
                <w:sz w:val="24"/>
                <w:szCs w:val="24"/>
              </w:rPr>
            </w:pPr>
            <w:r>
              <w:rPr>
                <w:rFonts w:ascii="Times New Roman" w:hAnsi="Times New Roman"/>
                <w:sz w:val="24"/>
                <w:szCs w:val="24"/>
              </w:rPr>
              <w:t>4.26</w:t>
            </w:r>
            <w:r>
              <w:rPr>
                <w:rFonts w:ascii="Times New Roman" w:hAnsi="Times New Roman"/>
                <w:strike/>
                <w:sz w:val="24"/>
                <w:szCs w:val="24"/>
                <w:vertAlign w:val="superscript"/>
              </w:rPr>
              <w:t>a</w:t>
            </w:r>
            <w:r>
              <w:rPr>
                <w:rFonts w:ascii="Times New Roman" w:hAnsi="Times New Roman"/>
                <w:sz w:val="24"/>
                <w:szCs w:val="24"/>
              </w:rPr>
              <w:t xml:space="preserve"> ± 0.08</w:t>
            </w:r>
          </w:p>
        </w:tc>
        <w:tc>
          <w:tcPr>
            <w:tcW w:w="1600" w:type="dxa"/>
            <w:tcBorders>
              <w:top w:val="single" w:color="auto" w:sz="4" w:space="0"/>
              <w:left w:val="single" w:color="auto" w:sz="4" w:space="0"/>
              <w:bottom w:val="single" w:color="auto" w:sz="4" w:space="0"/>
              <w:right w:val="single" w:color="auto" w:sz="4" w:space="0"/>
            </w:tcBorders>
            <w:vAlign w:val="center"/>
          </w:tcPr>
          <w:p w14:paraId="74B2574A">
            <w:pPr>
              <w:widowControl w:val="0"/>
              <w:jc w:val="center"/>
              <w:rPr>
                <w:rFonts w:ascii="Times New Roman" w:hAnsi="Times New Roman"/>
                <w:sz w:val="24"/>
                <w:szCs w:val="24"/>
              </w:rPr>
            </w:pPr>
            <w:r>
              <w:rPr>
                <w:rFonts w:ascii="Times New Roman" w:hAnsi="Times New Roman"/>
                <w:sz w:val="24"/>
                <w:szCs w:val="24"/>
              </w:rPr>
              <w:t>4.57</w:t>
            </w:r>
            <w:r>
              <w:rPr>
                <w:rFonts w:ascii="Times New Roman" w:hAnsi="Times New Roman"/>
                <w:sz w:val="24"/>
                <w:szCs w:val="24"/>
                <w:vertAlign w:val="superscript"/>
              </w:rPr>
              <w:t>a</w:t>
            </w:r>
            <w:r>
              <w:rPr>
                <w:rFonts w:ascii="Times New Roman" w:hAnsi="Times New Roman"/>
                <w:sz w:val="24"/>
                <w:szCs w:val="24"/>
              </w:rPr>
              <w:t xml:space="preserve"> ± 0.09</w:t>
            </w:r>
          </w:p>
        </w:tc>
        <w:tc>
          <w:tcPr>
            <w:tcW w:w="1450" w:type="dxa"/>
            <w:tcBorders>
              <w:top w:val="single" w:color="auto" w:sz="4" w:space="0"/>
              <w:left w:val="single" w:color="auto" w:sz="4" w:space="0"/>
              <w:bottom w:val="single" w:color="auto" w:sz="4" w:space="0"/>
              <w:right w:val="single" w:color="auto" w:sz="4" w:space="0"/>
            </w:tcBorders>
            <w:vAlign w:val="center"/>
          </w:tcPr>
          <w:p w14:paraId="78CBABA3">
            <w:pPr>
              <w:widowControl w:val="0"/>
              <w:jc w:val="center"/>
              <w:rPr>
                <w:rFonts w:ascii="Times New Roman" w:hAnsi="Times New Roman"/>
                <w:sz w:val="24"/>
                <w:szCs w:val="24"/>
              </w:rPr>
            </w:pPr>
            <w:r>
              <w:rPr>
                <w:rFonts w:ascii="Times New Roman" w:hAnsi="Times New Roman"/>
                <w:sz w:val="24"/>
                <w:szCs w:val="24"/>
              </w:rPr>
              <w:t>4.37</w:t>
            </w:r>
            <w:r>
              <w:rPr>
                <w:rFonts w:ascii="Times New Roman" w:hAnsi="Times New Roman"/>
                <w:sz w:val="24"/>
                <w:szCs w:val="24"/>
                <w:vertAlign w:val="superscript"/>
              </w:rPr>
              <w:t>ab</w:t>
            </w:r>
            <w:r>
              <w:rPr>
                <w:rFonts w:ascii="Times New Roman" w:hAnsi="Times New Roman"/>
                <w:sz w:val="24"/>
                <w:szCs w:val="24"/>
              </w:rPr>
              <w:t xml:space="preserve"> ± 0.09</w:t>
            </w:r>
          </w:p>
        </w:tc>
        <w:tc>
          <w:tcPr>
            <w:tcW w:w="1650" w:type="dxa"/>
            <w:tcBorders>
              <w:top w:val="single" w:color="auto" w:sz="4" w:space="0"/>
              <w:left w:val="single" w:color="auto" w:sz="4" w:space="0"/>
              <w:bottom w:val="single" w:color="auto" w:sz="4" w:space="0"/>
              <w:right w:val="single" w:color="auto" w:sz="4" w:space="0"/>
            </w:tcBorders>
            <w:vAlign w:val="center"/>
          </w:tcPr>
          <w:p w14:paraId="388492DD">
            <w:pPr>
              <w:widowControl w:val="0"/>
              <w:jc w:val="center"/>
              <w:rPr>
                <w:rFonts w:ascii="Times New Roman" w:hAnsi="Times New Roman"/>
                <w:sz w:val="24"/>
                <w:szCs w:val="24"/>
              </w:rPr>
            </w:pPr>
            <w:r>
              <w:rPr>
                <w:rFonts w:ascii="Times New Roman" w:hAnsi="Times New Roman"/>
                <w:sz w:val="24"/>
                <w:szCs w:val="24"/>
              </w:rPr>
              <w:t>4.20</w:t>
            </w:r>
            <w:r>
              <w:rPr>
                <w:rFonts w:ascii="Times New Roman" w:hAnsi="Times New Roman"/>
                <w:sz w:val="24"/>
                <w:szCs w:val="24"/>
                <w:vertAlign w:val="superscript"/>
              </w:rPr>
              <w:t>b</w:t>
            </w:r>
            <w:r>
              <w:rPr>
                <w:rFonts w:ascii="Times New Roman" w:hAnsi="Times New Roman"/>
                <w:sz w:val="24"/>
                <w:szCs w:val="24"/>
              </w:rPr>
              <w:t xml:space="preserve"> ± 0.09</w:t>
            </w:r>
          </w:p>
        </w:tc>
        <w:tc>
          <w:tcPr>
            <w:tcW w:w="1500" w:type="dxa"/>
            <w:tcBorders>
              <w:top w:val="single" w:color="auto" w:sz="4" w:space="0"/>
              <w:left w:val="single" w:color="auto" w:sz="4" w:space="0"/>
              <w:bottom w:val="single" w:color="auto" w:sz="4" w:space="0"/>
              <w:right w:val="single" w:color="auto" w:sz="4" w:space="0"/>
            </w:tcBorders>
            <w:vAlign w:val="center"/>
          </w:tcPr>
          <w:p w14:paraId="5102EB7F">
            <w:pPr>
              <w:widowControl w:val="0"/>
              <w:jc w:val="center"/>
              <w:rPr>
                <w:rFonts w:ascii="Times New Roman" w:hAnsi="Times New Roman"/>
                <w:sz w:val="24"/>
                <w:szCs w:val="24"/>
                <w:vertAlign w:val="superscript"/>
              </w:rPr>
            </w:pPr>
            <w:r>
              <w:rPr>
                <w:rFonts w:ascii="Times New Roman" w:hAnsi="Times New Roman"/>
                <w:sz w:val="24"/>
                <w:szCs w:val="24"/>
              </w:rPr>
              <w:t>4.32 ± 0.05</w:t>
            </w:r>
            <w:r>
              <w:rPr>
                <w:rFonts w:ascii="Times New Roman" w:hAnsi="Times New Roman"/>
                <w:sz w:val="24"/>
                <w:szCs w:val="24"/>
                <w:vertAlign w:val="superscript"/>
              </w:rPr>
              <w:t>A</w:t>
            </w:r>
          </w:p>
        </w:tc>
      </w:tr>
      <w:tr w14:paraId="45EEE227">
        <w:trPr>
          <w:trHeight w:val="791" w:hRule="atLeast"/>
        </w:trPr>
        <w:tc>
          <w:tcPr>
            <w:tcW w:w="1152" w:type="dxa"/>
            <w:vMerge w:val="restart"/>
            <w:tcBorders>
              <w:top w:val="nil"/>
              <w:left w:val="single" w:color="auto" w:sz="4" w:space="0"/>
              <w:bottom w:val="single" w:color="auto" w:sz="4" w:space="0"/>
              <w:right w:val="single" w:color="auto" w:sz="4" w:space="0"/>
            </w:tcBorders>
            <w:vAlign w:val="center"/>
          </w:tcPr>
          <w:p w14:paraId="4891ED05">
            <w:pPr>
              <w:widowControl w:val="0"/>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3</w:t>
            </w:r>
          </w:p>
        </w:tc>
        <w:tc>
          <w:tcPr>
            <w:tcW w:w="2104" w:type="dxa"/>
            <w:vMerge w:val="restart"/>
            <w:tcBorders>
              <w:top w:val="nil"/>
              <w:left w:val="single" w:color="auto" w:sz="4" w:space="0"/>
              <w:bottom w:val="single" w:color="auto" w:sz="4" w:space="0"/>
              <w:right w:val="single" w:color="auto" w:sz="4" w:space="0"/>
            </w:tcBorders>
            <w:vAlign w:val="center"/>
          </w:tcPr>
          <w:p w14:paraId="213EA911">
            <w:pPr>
              <w:widowControl w:val="0"/>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Alkaline phosphatase  (U/L)</w:t>
            </w:r>
          </w:p>
        </w:tc>
        <w:tc>
          <w:tcPr>
            <w:tcW w:w="1559" w:type="dxa"/>
            <w:tcBorders>
              <w:top w:val="single" w:color="auto" w:sz="4" w:space="0"/>
              <w:left w:val="single" w:color="auto" w:sz="4" w:space="0"/>
              <w:bottom w:val="single" w:color="auto" w:sz="4" w:space="0"/>
              <w:right w:val="single" w:color="auto" w:sz="4" w:space="0"/>
            </w:tcBorders>
            <w:vAlign w:val="center"/>
          </w:tcPr>
          <w:p w14:paraId="7BE8B941">
            <w:pPr>
              <w:widowControl w:val="0"/>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Group I</w:t>
            </w:r>
          </w:p>
          <w:p w14:paraId="2A17E8C7">
            <w:pPr>
              <w:widowControl w:val="0"/>
              <w:jc w:val="both"/>
              <w:rPr>
                <w:rFonts w:ascii="Times New Roman Bold" w:hAnsi="Times New Roman Bold" w:cs="Times New Roman Bold"/>
                <w:b/>
                <w:bCs/>
                <w:sz w:val="24"/>
                <w:szCs w:val="24"/>
              </w:rPr>
            </w:pPr>
          </w:p>
        </w:tc>
        <w:tc>
          <w:tcPr>
            <w:tcW w:w="1635" w:type="dxa"/>
            <w:tcBorders>
              <w:top w:val="single" w:color="auto" w:sz="4" w:space="0"/>
              <w:left w:val="single" w:color="auto" w:sz="4" w:space="0"/>
              <w:bottom w:val="single" w:color="auto" w:sz="4" w:space="0"/>
              <w:right w:val="single" w:color="auto" w:sz="4" w:space="0"/>
            </w:tcBorders>
            <w:vAlign w:val="center"/>
          </w:tcPr>
          <w:p w14:paraId="7249DF00">
            <w:pPr>
              <w:widowControl w:val="0"/>
              <w:jc w:val="center"/>
              <w:rPr>
                <w:rFonts w:ascii="Times New Roman" w:hAnsi="Times New Roman"/>
                <w:sz w:val="24"/>
                <w:szCs w:val="24"/>
              </w:rPr>
            </w:pPr>
            <w:r>
              <w:rPr>
                <w:rFonts w:ascii="Times New Roman" w:hAnsi="Times New Roman"/>
                <w:sz w:val="24"/>
                <w:szCs w:val="24"/>
              </w:rPr>
              <w:t>73.77</w:t>
            </w:r>
            <w:r>
              <w:rPr>
                <w:rFonts w:ascii="Times New Roman" w:hAnsi="Times New Roman"/>
                <w:sz w:val="24"/>
                <w:szCs w:val="24"/>
                <w:vertAlign w:val="superscript"/>
              </w:rPr>
              <w:t>a</w:t>
            </w:r>
            <w:r>
              <w:rPr>
                <w:rFonts w:ascii="Times New Roman" w:hAnsi="Times New Roman"/>
                <w:sz w:val="24"/>
                <w:szCs w:val="24"/>
              </w:rPr>
              <w:t xml:space="preserve"> ± 0.83</w:t>
            </w:r>
          </w:p>
        </w:tc>
        <w:tc>
          <w:tcPr>
            <w:tcW w:w="1475" w:type="dxa"/>
            <w:tcBorders>
              <w:top w:val="single" w:color="auto" w:sz="4" w:space="0"/>
              <w:left w:val="single" w:color="auto" w:sz="4" w:space="0"/>
              <w:bottom w:val="single" w:color="auto" w:sz="4" w:space="0"/>
              <w:right w:val="single" w:color="auto" w:sz="4" w:space="0"/>
            </w:tcBorders>
            <w:vAlign w:val="center"/>
          </w:tcPr>
          <w:p w14:paraId="16FCF27F">
            <w:pPr>
              <w:widowControl w:val="0"/>
              <w:jc w:val="center"/>
              <w:rPr>
                <w:rFonts w:ascii="Times New Roman" w:hAnsi="Times New Roman"/>
                <w:sz w:val="24"/>
                <w:szCs w:val="24"/>
              </w:rPr>
            </w:pPr>
            <w:r>
              <w:rPr>
                <w:rFonts w:ascii="Times New Roman" w:hAnsi="Times New Roman"/>
                <w:sz w:val="24"/>
                <w:szCs w:val="24"/>
              </w:rPr>
              <w:t>135.78</w:t>
            </w:r>
            <w:r>
              <w:rPr>
                <w:rFonts w:ascii="Times New Roman" w:hAnsi="Times New Roman"/>
                <w:sz w:val="24"/>
                <w:szCs w:val="24"/>
                <w:vertAlign w:val="superscript"/>
              </w:rPr>
              <w:t>b</w:t>
            </w:r>
            <w:r>
              <w:rPr>
                <w:rFonts w:ascii="Times New Roman" w:hAnsi="Times New Roman"/>
                <w:sz w:val="24"/>
                <w:szCs w:val="24"/>
              </w:rPr>
              <w:t xml:space="preserve"> ± 2.43</w:t>
            </w:r>
          </w:p>
        </w:tc>
        <w:tc>
          <w:tcPr>
            <w:tcW w:w="1600" w:type="dxa"/>
            <w:tcBorders>
              <w:top w:val="single" w:color="auto" w:sz="4" w:space="0"/>
              <w:left w:val="single" w:color="auto" w:sz="4" w:space="0"/>
              <w:bottom w:val="single" w:color="auto" w:sz="4" w:space="0"/>
              <w:right w:val="single" w:color="auto" w:sz="4" w:space="0"/>
            </w:tcBorders>
            <w:vAlign w:val="center"/>
          </w:tcPr>
          <w:p w14:paraId="00EFB068">
            <w:pPr>
              <w:widowControl w:val="0"/>
              <w:jc w:val="center"/>
              <w:rPr>
                <w:rFonts w:ascii="Times New Roman" w:hAnsi="Times New Roman"/>
                <w:sz w:val="24"/>
                <w:szCs w:val="24"/>
              </w:rPr>
            </w:pPr>
            <w:r>
              <w:rPr>
                <w:rFonts w:ascii="Times New Roman" w:hAnsi="Times New Roman"/>
                <w:sz w:val="24"/>
                <w:szCs w:val="24"/>
              </w:rPr>
              <w:t>178.4</w:t>
            </w:r>
            <w:r>
              <w:rPr>
                <w:rFonts w:ascii="Times New Roman" w:hAnsi="Times New Roman"/>
                <w:sz w:val="24"/>
                <w:szCs w:val="24"/>
                <w:vertAlign w:val="superscript"/>
              </w:rPr>
              <w:t>c</w:t>
            </w:r>
            <w:r>
              <w:rPr>
                <w:rFonts w:ascii="Times New Roman" w:hAnsi="Times New Roman"/>
                <w:sz w:val="24"/>
                <w:szCs w:val="24"/>
              </w:rPr>
              <w:t xml:space="preserve"> ± 8.44</w:t>
            </w:r>
          </w:p>
        </w:tc>
        <w:tc>
          <w:tcPr>
            <w:tcW w:w="1450" w:type="dxa"/>
            <w:tcBorders>
              <w:top w:val="single" w:color="auto" w:sz="4" w:space="0"/>
              <w:left w:val="single" w:color="auto" w:sz="4" w:space="0"/>
              <w:bottom w:val="single" w:color="auto" w:sz="4" w:space="0"/>
              <w:right w:val="single" w:color="auto" w:sz="4" w:space="0"/>
            </w:tcBorders>
            <w:vAlign w:val="center"/>
          </w:tcPr>
          <w:p w14:paraId="064F3717">
            <w:pPr>
              <w:widowControl w:val="0"/>
              <w:jc w:val="center"/>
              <w:rPr>
                <w:rFonts w:ascii="Times New Roman" w:hAnsi="Times New Roman"/>
                <w:sz w:val="24"/>
                <w:szCs w:val="24"/>
              </w:rPr>
            </w:pPr>
            <w:r>
              <w:rPr>
                <w:rFonts w:ascii="Times New Roman" w:hAnsi="Times New Roman"/>
                <w:sz w:val="24"/>
                <w:szCs w:val="24"/>
              </w:rPr>
              <w:t>140.22</w:t>
            </w:r>
            <w:r>
              <w:rPr>
                <w:rFonts w:ascii="Times New Roman" w:hAnsi="Times New Roman"/>
                <w:sz w:val="24"/>
                <w:szCs w:val="24"/>
                <w:vertAlign w:val="superscript"/>
              </w:rPr>
              <w:t>c</w:t>
            </w:r>
            <w:r>
              <w:rPr>
                <w:rFonts w:ascii="Times New Roman" w:hAnsi="Times New Roman"/>
                <w:sz w:val="24"/>
                <w:szCs w:val="24"/>
              </w:rPr>
              <w:t xml:space="preserve"> ± 5.98</w:t>
            </w:r>
          </w:p>
        </w:tc>
        <w:tc>
          <w:tcPr>
            <w:tcW w:w="1650" w:type="dxa"/>
            <w:tcBorders>
              <w:top w:val="single" w:color="auto" w:sz="4" w:space="0"/>
              <w:left w:val="single" w:color="auto" w:sz="4" w:space="0"/>
              <w:bottom w:val="single" w:color="auto" w:sz="4" w:space="0"/>
              <w:right w:val="single" w:color="auto" w:sz="4" w:space="0"/>
            </w:tcBorders>
            <w:vAlign w:val="center"/>
          </w:tcPr>
          <w:p w14:paraId="28010E67">
            <w:pPr>
              <w:widowControl w:val="0"/>
              <w:jc w:val="center"/>
              <w:rPr>
                <w:rFonts w:ascii="Times New Roman" w:hAnsi="Times New Roman"/>
                <w:sz w:val="24"/>
                <w:szCs w:val="24"/>
              </w:rPr>
            </w:pPr>
            <w:r>
              <w:rPr>
                <w:rFonts w:ascii="Times New Roman" w:hAnsi="Times New Roman"/>
                <w:sz w:val="24"/>
                <w:szCs w:val="24"/>
              </w:rPr>
              <w:t>126.48</w:t>
            </w:r>
            <w:r>
              <w:rPr>
                <w:rFonts w:ascii="Times New Roman" w:hAnsi="Times New Roman"/>
                <w:sz w:val="24"/>
                <w:szCs w:val="24"/>
                <w:vertAlign w:val="superscript"/>
              </w:rPr>
              <w:t>d</w:t>
            </w:r>
            <w:r>
              <w:rPr>
                <w:rFonts w:ascii="Times New Roman" w:hAnsi="Times New Roman"/>
                <w:sz w:val="24"/>
                <w:szCs w:val="24"/>
              </w:rPr>
              <w:t xml:space="preserve"> ± 2.80</w:t>
            </w:r>
          </w:p>
        </w:tc>
        <w:tc>
          <w:tcPr>
            <w:tcW w:w="1500" w:type="dxa"/>
            <w:tcBorders>
              <w:top w:val="single" w:color="auto" w:sz="4" w:space="0"/>
              <w:left w:val="single" w:color="auto" w:sz="4" w:space="0"/>
              <w:bottom w:val="single" w:color="auto" w:sz="4" w:space="0"/>
              <w:right w:val="single" w:color="auto" w:sz="4" w:space="0"/>
            </w:tcBorders>
            <w:vAlign w:val="center"/>
          </w:tcPr>
          <w:p w14:paraId="4B92485D">
            <w:pPr>
              <w:widowControl w:val="0"/>
              <w:jc w:val="center"/>
              <w:rPr>
                <w:rFonts w:ascii="Times New Roman" w:hAnsi="Times New Roman"/>
                <w:sz w:val="24"/>
                <w:szCs w:val="24"/>
                <w:vertAlign w:val="superscript"/>
              </w:rPr>
            </w:pPr>
            <w:r>
              <w:rPr>
                <w:rFonts w:ascii="Times New Roman" w:hAnsi="Times New Roman"/>
                <w:sz w:val="24"/>
                <w:szCs w:val="24"/>
              </w:rPr>
              <w:t>130.93 ± 6.33</w:t>
            </w:r>
            <w:r>
              <w:rPr>
                <w:rFonts w:ascii="Times New Roman" w:hAnsi="Times New Roman"/>
                <w:sz w:val="24"/>
                <w:szCs w:val="24"/>
                <w:vertAlign w:val="superscript"/>
              </w:rPr>
              <w:t>A</w:t>
            </w:r>
          </w:p>
        </w:tc>
      </w:tr>
      <w:tr w14:paraId="399A085F">
        <w:trPr>
          <w:trHeight w:val="805" w:hRule="atLeast"/>
        </w:trPr>
        <w:tc>
          <w:tcPr>
            <w:tcW w:w="1152" w:type="dxa"/>
            <w:vMerge w:val="continue"/>
            <w:tcBorders>
              <w:top w:val="nil"/>
              <w:left w:val="single" w:color="auto" w:sz="4" w:space="0"/>
              <w:bottom w:val="single" w:color="auto" w:sz="4" w:space="0"/>
              <w:right w:val="single" w:color="auto" w:sz="4" w:space="0"/>
            </w:tcBorders>
            <w:vAlign w:val="center"/>
          </w:tcPr>
          <w:p w14:paraId="7866C389">
            <w:pPr>
              <w:widowControl w:val="0"/>
              <w:spacing w:line="480" w:lineRule="auto"/>
              <w:jc w:val="both"/>
              <w:rPr>
                <w:rFonts w:ascii="Times New Roman Bold" w:hAnsi="Times New Roman Bold" w:cs="Times New Roman Bold"/>
                <w:b/>
                <w:bCs/>
                <w:sz w:val="24"/>
                <w:szCs w:val="24"/>
              </w:rPr>
            </w:pPr>
          </w:p>
        </w:tc>
        <w:tc>
          <w:tcPr>
            <w:tcW w:w="2104" w:type="dxa"/>
            <w:vMerge w:val="continue"/>
            <w:tcBorders>
              <w:top w:val="nil"/>
              <w:left w:val="single" w:color="auto" w:sz="4" w:space="0"/>
              <w:bottom w:val="single" w:color="auto" w:sz="4" w:space="0"/>
              <w:right w:val="single" w:color="auto" w:sz="4" w:space="0"/>
            </w:tcBorders>
            <w:vAlign w:val="center"/>
          </w:tcPr>
          <w:p w14:paraId="19686904">
            <w:pPr>
              <w:widowControl w:val="0"/>
              <w:spacing w:line="480" w:lineRule="auto"/>
              <w:jc w:val="both"/>
              <w:rPr>
                <w:rFonts w:ascii="Times New Roman Bold" w:hAnsi="Times New Roman Bold" w:cs="Times New Roman Bold"/>
                <w:b/>
                <w:bCs/>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559176E0">
            <w:pPr>
              <w:widowControl w:val="0"/>
              <w:spacing w:line="36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Group II</w:t>
            </w:r>
          </w:p>
          <w:p w14:paraId="488A4099">
            <w:pPr>
              <w:widowControl w:val="0"/>
              <w:spacing w:line="360" w:lineRule="auto"/>
              <w:jc w:val="both"/>
              <w:rPr>
                <w:rFonts w:ascii="Times New Roman Bold" w:hAnsi="Times New Roman Bold" w:cs="Times New Roman Bold"/>
                <w:b/>
                <w:bCs/>
                <w:sz w:val="24"/>
                <w:szCs w:val="24"/>
              </w:rPr>
            </w:pPr>
          </w:p>
        </w:tc>
        <w:tc>
          <w:tcPr>
            <w:tcW w:w="1635" w:type="dxa"/>
            <w:tcBorders>
              <w:top w:val="single" w:color="auto" w:sz="4" w:space="0"/>
              <w:left w:val="single" w:color="auto" w:sz="4" w:space="0"/>
              <w:bottom w:val="single" w:color="auto" w:sz="4" w:space="0"/>
              <w:right w:val="single" w:color="auto" w:sz="4" w:space="0"/>
            </w:tcBorders>
            <w:vAlign w:val="center"/>
          </w:tcPr>
          <w:p w14:paraId="7ADD0386">
            <w:pPr>
              <w:widowControl w:val="0"/>
              <w:spacing w:line="360" w:lineRule="auto"/>
              <w:jc w:val="center"/>
              <w:rPr>
                <w:rFonts w:ascii="Times New Roman" w:hAnsi="Times New Roman"/>
                <w:sz w:val="24"/>
                <w:szCs w:val="24"/>
              </w:rPr>
            </w:pPr>
            <w:r>
              <w:rPr>
                <w:rFonts w:ascii="Times New Roman" w:hAnsi="Times New Roman"/>
                <w:sz w:val="24"/>
                <w:szCs w:val="24"/>
              </w:rPr>
              <w:t>72.15</w:t>
            </w:r>
            <w:r>
              <w:rPr>
                <w:rFonts w:ascii="Times New Roman" w:hAnsi="Times New Roman"/>
                <w:sz w:val="24"/>
                <w:szCs w:val="24"/>
                <w:vertAlign w:val="superscript"/>
              </w:rPr>
              <w:t>a</w:t>
            </w:r>
            <w:r>
              <w:rPr>
                <w:rFonts w:ascii="Times New Roman" w:hAnsi="Times New Roman"/>
                <w:sz w:val="24"/>
                <w:szCs w:val="24"/>
              </w:rPr>
              <w:t xml:space="preserve"> ± 0.71</w:t>
            </w:r>
          </w:p>
        </w:tc>
        <w:tc>
          <w:tcPr>
            <w:tcW w:w="1475" w:type="dxa"/>
            <w:tcBorders>
              <w:top w:val="single" w:color="auto" w:sz="4" w:space="0"/>
              <w:left w:val="single" w:color="auto" w:sz="4" w:space="0"/>
              <w:bottom w:val="single" w:color="auto" w:sz="4" w:space="0"/>
              <w:right w:val="single" w:color="auto" w:sz="4" w:space="0"/>
            </w:tcBorders>
            <w:vAlign w:val="center"/>
          </w:tcPr>
          <w:p w14:paraId="0BDD12A2">
            <w:pPr>
              <w:widowControl w:val="0"/>
              <w:spacing w:line="360" w:lineRule="auto"/>
              <w:jc w:val="center"/>
              <w:rPr>
                <w:rFonts w:ascii="Times New Roman" w:hAnsi="Times New Roman"/>
                <w:sz w:val="24"/>
                <w:szCs w:val="24"/>
              </w:rPr>
            </w:pPr>
            <w:r>
              <w:rPr>
                <w:rFonts w:ascii="Times New Roman" w:hAnsi="Times New Roman"/>
                <w:sz w:val="24"/>
                <w:szCs w:val="24"/>
              </w:rPr>
              <w:t>141.62</w:t>
            </w:r>
            <w:r>
              <w:rPr>
                <w:rFonts w:ascii="Times New Roman" w:hAnsi="Times New Roman"/>
                <w:sz w:val="24"/>
                <w:szCs w:val="24"/>
                <w:vertAlign w:val="superscript"/>
              </w:rPr>
              <w:t>b</w:t>
            </w:r>
            <w:r>
              <w:rPr>
                <w:rFonts w:ascii="Times New Roman" w:hAnsi="Times New Roman"/>
                <w:sz w:val="24"/>
                <w:szCs w:val="24"/>
              </w:rPr>
              <w:t xml:space="preserve"> ± 1.10</w:t>
            </w:r>
          </w:p>
        </w:tc>
        <w:tc>
          <w:tcPr>
            <w:tcW w:w="1600" w:type="dxa"/>
            <w:tcBorders>
              <w:top w:val="single" w:color="auto" w:sz="4" w:space="0"/>
              <w:left w:val="single" w:color="auto" w:sz="4" w:space="0"/>
              <w:bottom w:val="single" w:color="auto" w:sz="4" w:space="0"/>
              <w:right w:val="single" w:color="auto" w:sz="4" w:space="0"/>
            </w:tcBorders>
            <w:vAlign w:val="center"/>
          </w:tcPr>
          <w:p w14:paraId="3B209A82">
            <w:pPr>
              <w:widowControl w:val="0"/>
              <w:spacing w:line="360" w:lineRule="auto"/>
              <w:jc w:val="center"/>
              <w:rPr>
                <w:rFonts w:ascii="Times New Roman" w:hAnsi="Times New Roman"/>
                <w:sz w:val="24"/>
                <w:szCs w:val="24"/>
              </w:rPr>
            </w:pPr>
            <w:r>
              <w:rPr>
                <w:rFonts w:ascii="Times New Roman" w:hAnsi="Times New Roman"/>
                <w:sz w:val="24"/>
                <w:szCs w:val="24"/>
              </w:rPr>
              <w:t>204.78</w:t>
            </w:r>
            <w:r>
              <w:rPr>
                <w:rFonts w:ascii="Times New Roman" w:hAnsi="Times New Roman"/>
                <w:sz w:val="24"/>
                <w:szCs w:val="24"/>
                <w:vertAlign w:val="superscript"/>
              </w:rPr>
              <w:t>b</w:t>
            </w:r>
            <w:r>
              <w:rPr>
                <w:rFonts w:ascii="Times New Roman" w:hAnsi="Times New Roman"/>
                <w:sz w:val="24"/>
                <w:szCs w:val="24"/>
              </w:rPr>
              <w:t xml:space="preserve"> ± 2.04</w:t>
            </w:r>
          </w:p>
        </w:tc>
        <w:tc>
          <w:tcPr>
            <w:tcW w:w="1450" w:type="dxa"/>
            <w:tcBorders>
              <w:top w:val="single" w:color="auto" w:sz="4" w:space="0"/>
              <w:left w:val="single" w:color="auto" w:sz="4" w:space="0"/>
              <w:bottom w:val="single" w:color="auto" w:sz="4" w:space="0"/>
              <w:right w:val="single" w:color="auto" w:sz="4" w:space="0"/>
            </w:tcBorders>
            <w:vAlign w:val="center"/>
          </w:tcPr>
          <w:p w14:paraId="6CD435E8">
            <w:pPr>
              <w:widowControl w:val="0"/>
              <w:spacing w:line="360" w:lineRule="auto"/>
              <w:jc w:val="center"/>
              <w:rPr>
                <w:rFonts w:ascii="Times New Roman" w:hAnsi="Times New Roman"/>
                <w:sz w:val="24"/>
                <w:szCs w:val="24"/>
              </w:rPr>
            </w:pPr>
            <w:r>
              <w:rPr>
                <w:rFonts w:ascii="Times New Roman" w:hAnsi="Times New Roman"/>
                <w:sz w:val="24"/>
                <w:szCs w:val="24"/>
              </w:rPr>
              <w:t>170.35</w:t>
            </w:r>
            <w:r>
              <w:rPr>
                <w:rFonts w:ascii="Times New Roman" w:hAnsi="Times New Roman"/>
                <w:sz w:val="24"/>
                <w:szCs w:val="24"/>
                <w:vertAlign w:val="superscript"/>
              </w:rPr>
              <w:t>c</w:t>
            </w:r>
            <w:r>
              <w:rPr>
                <w:rFonts w:ascii="Times New Roman" w:hAnsi="Times New Roman"/>
                <w:sz w:val="24"/>
                <w:szCs w:val="24"/>
              </w:rPr>
              <w:t xml:space="preserve"> ± 3.47</w:t>
            </w:r>
          </w:p>
        </w:tc>
        <w:tc>
          <w:tcPr>
            <w:tcW w:w="1650" w:type="dxa"/>
            <w:tcBorders>
              <w:top w:val="single" w:color="auto" w:sz="4" w:space="0"/>
              <w:left w:val="single" w:color="auto" w:sz="4" w:space="0"/>
              <w:bottom w:val="single" w:color="auto" w:sz="4" w:space="0"/>
              <w:right w:val="single" w:color="auto" w:sz="4" w:space="0"/>
            </w:tcBorders>
            <w:vAlign w:val="center"/>
          </w:tcPr>
          <w:p w14:paraId="2424E677">
            <w:pPr>
              <w:widowControl w:val="0"/>
              <w:spacing w:line="360" w:lineRule="auto"/>
              <w:jc w:val="center"/>
              <w:rPr>
                <w:rFonts w:ascii="Times New Roman" w:hAnsi="Times New Roman"/>
                <w:sz w:val="24"/>
                <w:szCs w:val="24"/>
              </w:rPr>
            </w:pPr>
            <w:r>
              <w:rPr>
                <w:rFonts w:ascii="Times New Roman" w:hAnsi="Times New Roman"/>
                <w:sz w:val="24"/>
                <w:szCs w:val="24"/>
              </w:rPr>
              <w:t>141.5</w:t>
            </w:r>
            <w:r>
              <w:rPr>
                <w:rFonts w:ascii="Times New Roman" w:hAnsi="Times New Roman"/>
                <w:sz w:val="24"/>
                <w:szCs w:val="24"/>
                <w:vertAlign w:val="superscript"/>
              </w:rPr>
              <w:t>d</w:t>
            </w:r>
            <w:r>
              <w:rPr>
                <w:rFonts w:ascii="Times New Roman" w:hAnsi="Times New Roman"/>
                <w:sz w:val="24"/>
                <w:szCs w:val="24"/>
              </w:rPr>
              <w:t xml:space="preserve"> ± 2.92</w:t>
            </w:r>
          </w:p>
        </w:tc>
        <w:tc>
          <w:tcPr>
            <w:tcW w:w="1500" w:type="dxa"/>
            <w:tcBorders>
              <w:top w:val="single" w:color="auto" w:sz="4" w:space="0"/>
              <w:left w:val="single" w:color="auto" w:sz="4" w:space="0"/>
              <w:bottom w:val="single" w:color="auto" w:sz="4" w:space="0"/>
              <w:right w:val="single" w:color="auto" w:sz="4" w:space="0"/>
            </w:tcBorders>
            <w:vAlign w:val="center"/>
          </w:tcPr>
          <w:p w14:paraId="36AA2D56">
            <w:pPr>
              <w:widowControl w:val="0"/>
              <w:spacing w:line="360" w:lineRule="auto"/>
              <w:jc w:val="center"/>
              <w:rPr>
                <w:rFonts w:ascii="Times New Roman" w:hAnsi="Times New Roman"/>
                <w:sz w:val="24"/>
                <w:szCs w:val="24"/>
                <w:vertAlign w:val="superscript"/>
              </w:rPr>
            </w:pPr>
            <w:r>
              <w:rPr>
                <w:rFonts w:ascii="Times New Roman" w:hAnsi="Times New Roman"/>
                <w:sz w:val="24"/>
                <w:szCs w:val="24"/>
              </w:rPr>
              <w:t>146.08 ± 8.17</w:t>
            </w:r>
            <w:r>
              <w:rPr>
                <w:rFonts w:ascii="Times New Roman" w:hAnsi="Times New Roman"/>
                <w:sz w:val="24"/>
                <w:szCs w:val="24"/>
                <w:vertAlign w:val="superscript"/>
              </w:rPr>
              <w:t>B</w:t>
            </w:r>
          </w:p>
        </w:tc>
      </w:tr>
    </w:tbl>
    <w:p w14:paraId="653FECF7">
      <w:pPr>
        <w:spacing w:line="480" w:lineRule="auto"/>
        <w:rPr>
          <w:rFonts w:ascii="Times New Roman" w:hAnsi="Times New Roman"/>
          <w:sz w:val="24"/>
          <w:szCs w:val="24"/>
        </w:rPr>
      </w:pPr>
      <w:r>
        <w:rPr>
          <w:rFonts w:ascii="Times New Roman" w:hAnsi="Times New Roman"/>
          <w:sz w:val="24"/>
          <w:szCs w:val="24"/>
        </w:rPr>
        <w:t>Means bearing different superscripts (a,d,c,d,e) within a row differ significantly (p&lt;0.05)</w:t>
      </w:r>
    </w:p>
    <w:p w14:paraId="6072B25E">
      <w:pPr>
        <w:spacing w:line="480" w:lineRule="auto"/>
        <w:jc w:val="both"/>
        <w:rPr>
          <w:rFonts w:ascii="Times New Roman" w:hAnsi="Times New Roman"/>
          <w:sz w:val="24"/>
          <w:szCs w:val="24"/>
        </w:rPr>
      </w:pPr>
      <w:r>
        <w:rPr>
          <w:rFonts w:ascii="Times New Roman" w:hAnsi="Times New Roman"/>
          <w:sz w:val="24"/>
          <w:szCs w:val="24"/>
        </w:rPr>
        <w:t>Means bearing different superscripts (A,B,C,D) within a column differ significantly (p&lt;0.05)</w:t>
      </w:r>
    </w:p>
    <w:p w14:paraId="2B31BCE8">
      <w:pPr>
        <w:spacing w:line="480" w:lineRule="auto"/>
        <w:jc w:val="both"/>
        <w:rPr>
          <w:rFonts w:ascii="Times New Roman" w:hAnsi="Times New Roman"/>
          <w:sz w:val="24"/>
          <w:szCs w:val="24"/>
        </w:rPr>
        <w:sectPr>
          <w:pgSz w:w="16838" w:h="11906" w:orient="landscape"/>
          <w:pgMar w:top="1800" w:right="1440" w:bottom="1800" w:left="1440" w:header="720" w:footer="720" w:gutter="0"/>
          <w:cols w:space="720" w:num="1"/>
          <w:docGrid w:linePitch="360" w:charSpace="0"/>
        </w:sectPr>
      </w:pPr>
    </w:p>
    <w:p w14:paraId="72E596B9">
      <w:pPr>
        <w:numPr>
          <w:ilvl w:val="0"/>
          <w:numId w:val="1"/>
        </w:numPr>
        <w:spacing w:line="480" w:lineRule="auto"/>
        <w:jc w:val="both"/>
        <w:rPr>
          <w:rFonts w:hint="default" w:ascii="Times New Roman Bold" w:hAnsi="Times New Roman Bold" w:cs="Times New Roman Bold"/>
          <w:b/>
          <w:bCs/>
          <w:sz w:val="24"/>
          <w:szCs w:val="24"/>
        </w:rPr>
      </w:pPr>
      <w:r>
        <w:rPr>
          <w:rFonts w:hint="default" w:ascii="Times New Roman Bold" w:hAnsi="Times New Roman Bold" w:cs="Times New Roman Bold"/>
          <w:b/>
          <w:bCs/>
          <w:sz w:val="24"/>
          <w:szCs w:val="24"/>
          <w:lang w:val="en-US"/>
        </w:rPr>
        <w:t xml:space="preserve">Discussion: </w:t>
      </w:r>
    </w:p>
    <w:p w14:paraId="2966772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variations observed in haemoglobin values might be attributed to erythropoietic and neovascularization activity contributed by the vascular endothelial growth factors of PRP, a component pf composite graft. The comparatively higher values observed in Group II may be due to enhanced osteogenic activity associated with the application of composite bone graft. The present findings are in agreement with the reports of Patil et al. (2017) and Reddy et al., (2021) who observed an increase in haemoglobin values during fracture healing. However, Chaurasia et al. (2019) and Bhargav et al. (2025)  reported an initial decrease in haemoglobin levels during the early postoperative period. </w:t>
      </w:r>
    </w:p>
    <w:p w14:paraId="3D23A46C">
      <w:pPr>
        <w:spacing w:line="480" w:lineRule="auto"/>
        <w:ind w:firstLine="720"/>
        <w:jc w:val="both"/>
        <w:rPr>
          <w:rFonts w:hint="default" w:ascii="Times New Roman" w:hAnsi="Times New Roman" w:cs="Times New Roman"/>
          <w:sz w:val="24"/>
          <w:szCs w:val="24"/>
          <w:lang w:val="en-US"/>
        </w:rPr>
      </w:pPr>
      <w:r>
        <w:rPr>
          <w:rFonts w:ascii="Times New Roman" w:hAnsi="Times New Roman" w:cs="Times New Roman"/>
          <w:sz w:val="24"/>
          <w:szCs w:val="24"/>
        </w:rPr>
        <w:t>The increase in PCV values within the groups observed during the study might be due to enhanced erythropoiesis during fracture healing. The values remaining within normal physiological limits indicate normal recovery and absence of systemic disturbances. Similar findings were reported by Patil et al. (2017) and Reddy et al. (2021), who observed a progressive increase in packed cell volume during fracture healing.The maintenance of values within normal physiological limits is also in accordance with Shende et al. (2025). In contrast, Bhargav et al. (2025) reported an initial decrease in PCV values during the early postoperative period</w:t>
      </w:r>
      <w:r>
        <w:rPr>
          <w:rFonts w:hint="default" w:ascii="Times New Roman" w:hAnsi="Times New Roman" w:cs="Times New Roman"/>
          <w:sz w:val="24"/>
          <w:szCs w:val="24"/>
          <w:lang w:val="en-US"/>
        </w:rPr>
        <w:t xml:space="preserve"> which they attributed to </w:t>
      </w:r>
      <w:r>
        <w:rPr>
          <w:rFonts w:hint="default" w:ascii="Times New Roman" w:hAnsi="Times New Roman" w:cs="Times New Roman"/>
          <w:sz w:val="24"/>
          <w:szCs w:val="24"/>
          <w:lang w:val="en-US" w:eastAsia="zh-CN"/>
        </w:rPr>
        <w:t>surgical blood loss and mild haemodilution from intravenous fluids.</w:t>
      </w:r>
    </w:p>
    <w:p w14:paraId="312313F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higher TLC values observed initially</w:t>
      </w:r>
      <w:r>
        <w:rPr>
          <w:rFonts w:hint="default" w:ascii="Times New Roman" w:hAnsi="Times New Roman" w:cs="Times New Roman"/>
          <w:sz w:val="24"/>
          <w:szCs w:val="24"/>
          <w:lang w:val="en-US"/>
        </w:rPr>
        <w:t xml:space="preserve"> during the study</w:t>
      </w:r>
      <w:r>
        <w:rPr>
          <w:rFonts w:ascii="Times New Roman" w:hAnsi="Times New Roman" w:cs="Times New Roman"/>
          <w:sz w:val="24"/>
          <w:szCs w:val="24"/>
        </w:rPr>
        <w:t xml:space="preserve"> might be due to inflammatory response associated with trauma, along with contributions from corticosteroid release, stress, pain, anaesthesia and surgical manipulation. The subsequent decrease in TLC values may be attributed to gradual resolution of inflammation and return to normal physiological condition during fracture healing. A similar trend of higher initial TLC values followed by a gradual decline during the healing period was reported by Bhargav et al. (2025), Chaurasia et al. (2019), Reddy et al. (2021) and Patil et al. (2017).</w:t>
      </w:r>
    </w:p>
    <w:p w14:paraId="377095B5">
      <w:pPr>
        <w:spacing w:line="480" w:lineRule="auto"/>
        <w:ind w:firstLine="720" w:firstLineChars="0"/>
        <w:jc w:val="both"/>
        <w:rPr>
          <w:rFonts w:ascii="Times New Roman" w:hAnsi="Times New Roman" w:cs="Times New Roman"/>
          <w:sz w:val="24"/>
          <w:szCs w:val="24"/>
        </w:rPr>
      </w:pPr>
      <w:r>
        <w:rPr>
          <w:rFonts w:hint="default" w:ascii="Times New Roman" w:hAnsi="Times New Roman" w:cs="Times New Roman"/>
          <w:sz w:val="24"/>
          <w:szCs w:val="24"/>
          <w:lang w:val="en-US"/>
        </w:rPr>
        <w:t>In the present study, t</w:t>
      </w:r>
      <w:r>
        <w:rPr>
          <w:rFonts w:ascii="Times New Roman" w:hAnsi="Times New Roman" w:cs="Times New Roman"/>
          <w:sz w:val="24"/>
          <w:szCs w:val="24"/>
        </w:rPr>
        <w:t>he higher neutrophil values observed initially</w:t>
      </w:r>
      <w:r>
        <w:rPr>
          <w:rFonts w:hint="default" w:ascii="Times New Roman" w:hAnsi="Times New Roman" w:cs="Times New Roman"/>
          <w:sz w:val="24"/>
          <w:szCs w:val="24"/>
          <w:lang w:val="en-US"/>
        </w:rPr>
        <w:t xml:space="preserve"> </w:t>
      </w:r>
      <w:r>
        <w:rPr>
          <w:rFonts w:ascii="Times New Roman" w:hAnsi="Times New Roman" w:cs="Times New Roman"/>
          <w:sz w:val="24"/>
          <w:szCs w:val="24"/>
        </w:rPr>
        <w:t>might be due to acute inflammatory response associated with trauma and tissue injury. The subsequent decrease may be attributed to resolution of inflammation during fracture healing. A similar decreasing trend in neutrophil count during the healing period was reported by Bhargav et al. (2025), Chaurasia et al. (2019), Reddy et al. (2021) and Patil et al. (2017).</w:t>
      </w:r>
    </w:p>
    <w:p w14:paraId="76F1BBAD">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increase in lymphocyte values may be due to resolution of inflammation and recovery of immune function during fracture healing. These findings are in agreement with Patil et al. (2017) and Bhargav et al. (2025), while Chaurasia et al. (2019) reported an initial rise followed by return to normal values.</w:t>
      </w:r>
    </w:p>
    <w:p w14:paraId="6AEEF4FC">
      <w:pPr>
        <w:spacing w:line="480" w:lineRule="auto"/>
        <w:ind w:firstLine="720" w:firstLineChars="0"/>
        <w:jc w:val="both"/>
        <w:rPr>
          <w:rFonts w:ascii="Times New Roman Regular" w:hAnsi="Times New Roman Regular" w:eastAsia="-webkit-standard" w:cs="Times New Roman Regular"/>
          <w:color w:val="000000"/>
          <w:sz w:val="24"/>
          <w:szCs w:val="24"/>
          <w:lang w:bidi="ar"/>
        </w:rPr>
      </w:pPr>
      <w:r>
        <w:rPr>
          <w:rFonts w:ascii="Times New Roman Regular" w:hAnsi="Times New Roman Regular" w:eastAsia="-webkit-standard" w:cs="Times New Roman Regular"/>
          <w:color w:val="000000"/>
          <w:sz w:val="24"/>
          <w:szCs w:val="24"/>
          <w:lang w:bidi="ar"/>
        </w:rPr>
        <w:t>The</w:t>
      </w:r>
      <w:r>
        <w:rPr>
          <w:rFonts w:hint="default" w:ascii="Times New Roman Regular" w:hAnsi="Times New Roman Regular" w:eastAsia="-webkit-standard" w:cs="Times New Roman Regular"/>
          <w:color w:val="000000"/>
          <w:sz w:val="24"/>
          <w:szCs w:val="24"/>
          <w:lang w:val="en-US" w:bidi="ar"/>
        </w:rPr>
        <w:t xml:space="preserve"> values of monocyte and eosinophil </w:t>
      </w:r>
      <w:r>
        <w:rPr>
          <w:rFonts w:ascii="Times New Roman Regular" w:hAnsi="Times New Roman Regular" w:eastAsia="-webkit-standard" w:cs="Times New Roman Regular"/>
          <w:color w:val="000000"/>
          <w:sz w:val="24"/>
          <w:szCs w:val="24"/>
          <w:lang w:bidi="ar"/>
        </w:rPr>
        <w:t xml:space="preserve">showed no marked variation throughout the study period and were comparable with the observations of Bhargav et al. (2025), Patil et al. (2017) and Chaurasia et al. (2019), indicating normal healing. </w:t>
      </w:r>
    </w:p>
    <w:p w14:paraId="0A669F87">
      <w:pPr>
        <w:spacing w:line="480" w:lineRule="auto"/>
        <w:ind w:firstLine="720" w:firstLineChars="0"/>
        <w:jc w:val="both"/>
        <w:rPr>
          <w:rFonts w:hint="default" w:ascii="Times New Roman Regular" w:hAnsi="Times New Roman Regular" w:eastAsia="-webkit-standard" w:cs="Times New Roman Regular"/>
          <w:color w:val="000000"/>
          <w:sz w:val="24"/>
          <w:szCs w:val="24"/>
          <w:lang w:val="en-US" w:eastAsia="zh-CN" w:bidi="ar"/>
        </w:rPr>
      </w:pPr>
      <w:r>
        <w:rPr>
          <w:rFonts w:ascii="Times New Roman Regular" w:hAnsi="Times New Roman Regular" w:eastAsia="-webkit-standard" w:cs="Times New Roman Regular"/>
          <w:color w:val="000000"/>
          <w:sz w:val="24"/>
          <w:szCs w:val="24"/>
          <w:lang w:val="en-US" w:eastAsia="zh-CN" w:bidi="ar"/>
        </w:rPr>
        <w:t>In the present study, the changes observed in serum calcium levels during fracture healing are in agreement with</w:t>
      </w:r>
      <w:r>
        <w:rPr>
          <w:rFonts w:hint="default" w:ascii="Times New Roman Regular" w:hAnsi="Times New Roman Regular" w:eastAsia="-webkit-standard" w:cs="Times New Roman Regular"/>
          <w:color w:val="000000"/>
          <w:sz w:val="24"/>
          <w:szCs w:val="24"/>
          <w:lang w:val="en-US" w:eastAsia="zh-CN" w:bidi="ar"/>
        </w:rPr>
        <w:t xml:space="preserve"> </w:t>
      </w:r>
      <w:r>
        <w:rPr>
          <w:rFonts w:hint="default" w:ascii="Times New Roman" w:hAnsi="Times New Roman" w:eastAsia="-webkit-standard" w:cs="Times New Roman"/>
          <w:b w:val="0"/>
          <w:bCs w:val="0"/>
          <w:color w:val="000000"/>
          <w:sz w:val="24"/>
          <w:szCs w:val="24"/>
          <w:lang w:val="en-US" w:eastAsia="zh-CN" w:bidi="ar"/>
        </w:rPr>
        <w:t>Patil et al., 2017, Bhargav et al., 2025 and Chaurasia et al., 2019</w:t>
      </w:r>
      <w:r>
        <w:rPr>
          <w:rFonts w:ascii="Times New Roman Regular" w:hAnsi="Times New Roman Regular" w:eastAsia="-webkit-standard" w:cs="Times New Roman Regular"/>
          <w:color w:val="000000"/>
          <w:sz w:val="24"/>
          <w:szCs w:val="24"/>
          <w:lang w:val="en-US" w:eastAsia="zh-CN" w:bidi="ar"/>
        </w:rPr>
        <w:t>. The decrease in serum calcium levels during the early postoperative period may be attributed to increased deposition of calcium at the fracture site, while the subsequent rise in later stages could be due to active bone remodelling</w:t>
      </w:r>
      <w:r>
        <w:rPr>
          <w:rFonts w:hint="default" w:ascii="Times New Roman Regular" w:hAnsi="Times New Roman Regular" w:eastAsia="-webkit-standard" w:cs="Times New Roman Regular"/>
          <w:color w:val="000000"/>
          <w:sz w:val="24"/>
          <w:szCs w:val="24"/>
          <w:lang w:val="en-US" w:eastAsia="zh-CN" w:bidi="ar"/>
        </w:rPr>
        <w:t xml:space="preserve">. </w:t>
      </w:r>
    </w:p>
    <w:p w14:paraId="4112E26F">
      <w:pPr>
        <w:spacing w:line="480" w:lineRule="auto"/>
        <w:ind w:firstLine="720" w:firstLineChars="0"/>
        <w:jc w:val="both"/>
        <w:rPr>
          <w:rFonts w:hint="default" w:ascii="Times New Roman Bold" w:hAnsi="Times New Roman Bold" w:cs="Times New Roman Bold"/>
          <w:b/>
          <w:bCs/>
          <w:sz w:val="24"/>
          <w:szCs w:val="24"/>
        </w:rPr>
      </w:pPr>
      <w:r>
        <w:rPr>
          <w:rFonts w:ascii="Times New Roman Regular" w:hAnsi="Times New Roman Regular" w:eastAsia="-webkit-standard" w:cs="Times New Roman Regular"/>
          <w:color w:val="000000"/>
          <w:sz w:val="24"/>
          <w:szCs w:val="24"/>
          <w:lang w:val="en-US" w:eastAsia="zh-CN" w:bidi="ar"/>
        </w:rPr>
        <w:t>In the present study, the increase in serum alkaline phosphatase (ALP) levels during the early postoperative period may be attributed to enhanced osteogenic activity associated with the damaged periosteum (Sumiran et al., 2021). Similar findings have been reported in previous studies (Patil et al., 2017; Sumiran et al., 2021; Takoo, 2024; Shende et al., 2025). Furthermore, the significantly higher ALP levels observed in Group II indicate enhanced osteogenic activity and accelerated fracture healing due to the application of composite bone graft. The significant variation in ALP levels observed in the present study is also in accordance with the findings of Prabhukumar et al. (2019).</w:t>
      </w:r>
    </w:p>
    <w:p w14:paraId="7B40CB19">
      <w:pPr>
        <w:numPr>
          <w:ilvl w:val="0"/>
          <w:numId w:val="1"/>
        </w:numPr>
        <w:spacing w:line="480" w:lineRule="auto"/>
        <w:jc w:val="both"/>
        <w:rPr>
          <w:rFonts w:hint="default" w:ascii="Times New Roman Bold" w:hAnsi="Times New Roman Bold" w:cs="Times New Roman Bold"/>
          <w:b/>
          <w:bCs/>
          <w:sz w:val="24"/>
          <w:szCs w:val="24"/>
        </w:rPr>
      </w:pPr>
      <w:r>
        <w:rPr>
          <w:rFonts w:hint="default" w:ascii="Times New Roman Bold" w:hAnsi="Times New Roman Bold" w:cs="Times New Roman Bold"/>
          <w:b/>
          <w:bCs/>
          <w:sz w:val="24"/>
          <w:szCs w:val="24"/>
          <w:lang w:val="en-US" w:eastAsia="zh-CN"/>
        </w:rPr>
        <w:t xml:space="preserve">Limitations : </w:t>
      </w:r>
    </w:p>
    <w:p w14:paraId="577ACD3F">
      <w:pPr>
        <w:numPr>
          <w:ilvl w:val="0"/>
          <w:numId w:val="0"/>
        </w:numPr>
        <w:spacing w:line="480" w:lineRule="auto"/>
        <w:ind w:firstLine="720" w:firstLineChars="0"/>
        <w:jc w:val="both"/>
        <w:rPr>
          <w:rFonts w:hint="default" w:ascii="Times New Roman Bold" w:hAnsi="Times New Roman Bold" w:cs="Times New Roman Bold"/>
          <w:b/>
          <w:bCs/>
          <w:sz w:val="24"/>
          <w:szCs w:val="24"/>
          <w:lang w:val="en-US"/>
        </w:rPr>
      </w:pPr>
      <w:r>
        <w:rPr>
          <w:rFonts w:hint="default" w:ascii="Times New Roman" w:hAnsi="Times New Roman" w:cs="Times New Roman"/>
          <w:b w:val="0"/>
          <w:bCs w:val="0"/>
          <w:sz w:val="24"/>
          <w:szCs w:val="24"/>
          <w:lang w:val="en-US" w:eastAsia="zh-CN"/>
        </w:rPr>
        <w:t>This study was conducted on a small number of dogs, which may limit the generalization of the findings. The follow-up period was restricted to 60 days, which may not reflect long-term healing outcomes. Haemato-biochemical parameters may have to be combined with other parameters for a realistic evaluation of fracture healing process. Therefore, further studies with larger sample size and longer duration are required.</w:t>
      </w:r>
    </w:p>
    <w:p w14:paraId="2E28D451">
      <w:pPr>
        <w:numPr>
          <w:ilvl w:val="0"/>
          <w:numId w:val="1"/>
        </w:numPr>
        <w:spacing w:line="480" w:lineRule="auto"/>
        <w:ind w:left="0" w:leftChars="0" w:firstLine="0" w:firstLineChars="0"/>
        <w:jc w:val="both"/>
        <w:rPr>
          <w:rFonts w:ascii="Times New Roman" w:hAnsi="Times New Roman" w:cs="Times New Roman"/>
          <w:sz w:val="24"/>
          <w:szCs w:val="24"/>
        </w:rPr>
      </w:pPr>
      <w:r>
        <w:rPr>
          <w:rFonts w:ascii="Times New Roman Bold" w:hAnsi="Times New Roman Bold" w:cs="Times New Roman Bold"/>
          <w:b/>
          <w:bCs/>
          <w:sz w:val="24"/>
          <w:szCs w:val="24"/>
        </w:rPr>
        <w:t>Conclusion:</w:t>
      </w:r>
      <w:r>
        <w:rPr>
          <w:rFonts w:ascii="Times New Roman" w:hAnsi="Times New Roman" w:cs="Times New Roman"/>
          <w:sz w:val="24"/>
          <w:szCs w:val="24"/>
        </w:rPr>
        <w:t xml:space="preserve"> </w:t>
      </w:r>
    </w:p>
    <w:p w14:paraId="581F465D">
      <w:pPr>
        <w:spacing w:line="480" w:lineRule="auto"/>
        <w:ind w:firstLine="720"/>
        <w:jc w:val="both"/>
        <w:rPr>
          <w:rFonts w:ascii="Times New Roman" w:hAnsi="Times New Roman"/>
          <w:sz w:val="24"/>
          <w:szCs w:val="24"/>
        </w:rPr>
      </w:pPr>
      <w:r>
        <w:rPr>
          <w:rFonts w:ascii="Times New Roman" w:hAnsi="Times New Roman"/>
          <w:sz w:val="24"/>
          <w:szCs w:val="24"/>
        </w:rPr>
        <w:t>In conclusion, both treatment groups showed stable haematological and biochemical parameters throughout the study period. Significant changes were observed in hemoglobin, calcium and alkaline phosphatase levels during fracture healing. Group II showed higher values of these parameters, indicating enhanced bone metabolism and improved healing response. All the parameters remained within normal physiological limits, suggesting effective and uneventful fracture healing.</w:t>
      </w:r>
    </w:p>
    <w:p w14:paraId="42DB41BD">
      <w:pPr>
        <w:spacing w:line="480" w:lineRule="auto"/>
        <w:jc w:val="both"/>
        <w:rPr>
          <w:rFonts w:ascii="Times New Roman Regular" w:hAnsi="Times New Roman Regular" w:eastAsia="-webkit-standard" w:cs="Times New Roman Regular"/>
          <w:color w:val="000000"/>
          <w:sz w:val="24"/>
          <w:szCs w:val="24"/>
          <w:lang w:bidi="ar"/>
        </w:rPr>
      </w:pPr>
      <w:r>
        <w:rPr>
          <w:rFonts w:ascii="Times New Roman Bold" w:hAnsi="Times New Roman Bold" w:eastAsia="-webkit-standard" w:cs="Times New Roman Bold"/>
          <w:b/>
          <w:bCs/>
          <w:color w:val="000000"/>
          <w:sz w:val="24"/>
          <w:szCs w:val="24"/>
          <w:lang w:bidi="ar"/>
        </w:rPr>
        <w:t>ABBREVIATIONS:</w:t>
      </w:r>
      <w:r>
        <w:rPr>
          <w:rFonts w:ascii="Times New Roman Regular" w:hAnsi="Times New Roman Regular" w:eastAsia="-webkit-standard" w:cs="Times New Roman Regular"/>
          <w:color w:val="000000"/>
          <w:sz w:val="24"/>
          <w:szCs w:val="24"/>
          <w:lang w:bidi="ar"/>
        </w:rPr>
        <w:t xml:space="preserve"> </w:t>
      </w:r>
    </w:p>
    <w:p w14:paraId="7075D556">
      <w:pPr>
        <w:spacing w:line="480" w:lineRule="auto"/>
        <w:jc w:val="both"/>
        <w:rPr>
          <w:rFonts w:ascii="Times New Roman Regular" w:hAnsi="Times New Roman Regular" w:eastAsia="-webkit-standard" w:cs="Times New Roman Regular"/>
          <w:color w:val="000000"/>
          <w:sz w:val="24"/>
          <w:szCs w:val="24"/>
          <w:lang w:bidi="ar"/>
        </w:rPr>
      </w:pPr>
      <w:r>
        <w:rPr>
          <w:rFonts w:ascii="Times New Roman Regular" w:hAnsi="Times New Roman Regular" w:eastAsia="-webkit-standard" w:cs="Times New Roman Regular"/>
          <w:color w:val="000000"/>
          <w:sz w:val="24"/>
          <w:szCs w:val="24"/>
          <w:lang w:bidi="ar"/>
        </w:rPr>
        <w:t>Hb – Haemoglobin</w:t>
      </w:r>
      <w:r>
        <w:rPr>
          <w:rFonts w:ascii="Times New Roman Regular" w:hAnsi="Times New Roman Regular" w:eastAsia="-webkit-standard" w:cs="Times New Roman Regular"/>
          <w:color w:val="000000"/>
          <w:sz w:val="24"/>
          <w:szCs w:val="24"/>
          <w:lang w:bidi="ar"/>
        </w:rPr>
        <w:br w:type="textWrapping"/>
      </w:r>
      <w:r>
        <w:rPr>
          <w:rFonts w:ascii="Times New Roman Regular" w:hAnsi="Times New Roman Regular" w:eastAsia="-webkit-standard" w:cs="Times New Roman Regular"/>
          <w:color w:val="000000"/>
          <w:sz w:val="24"/>
          <w:szCs w:val="24"/>
          <w:lang w:bidi="ar"/>
        </w:rPr>
        <w:t>PCV – Packed Cell Volume</w:t>
      </w:r>
      <w:r>
        <w:rPr>
          <w:rFonts w:ascii="Times New Roman Regular" w:hAnsi="Times New Roman Regular" w:eastAsia="-webkit-standard" w:cs="Times New Roman Regular"/>
          <w:color w:val="000000"/>
          <w:sz w:val="24"/>
          <w:szCs w:val="24"/>
          <w:lang w:bidi="ar"/>
        </w:rPr>
        <w:br w:type="textWrapping"/>
      </w:r>
      <w:r>
        <w:rPr>
          <w:rFonts w:ascii="Times New Roman Regular" w:hAnsi="Times New Roman Regular" w:eastAsia="-webkit-standard" w:cs="Times New Roman Regular"/>
          <w:color w:val="000000"/>
          <w:sz w:val="24"/>
          <w:szCs w:val="24"/>
          <w:lang w:bidi="ar"/>
        </w:rPr>
        <w:t>TLC – Total Leucocyte Count</w:t>
      </w:r>
    </w:p>
    <w:p w14:paraId="738630BC">
      <w:pPr>
        <w:spacing w:line="480" w:lineRule="auto"/>
        <w:jc w:val="both"/>
      </w:pPr>
      <w:r>
        <w:rPr>
          <w:rFonts w:ascii="Times New Roman Regular" w:hAnsi="Times New Roman Regular" w:eastAsia="-webkit-standard" w:cs="Times New Roman Regular"/>
          <w:color w:val="000000"/>
          <w:sz w:val="24"/>
          <w:szCs w:val="24"/>
          <w:lang w:bidi="ar"/>
        </w:rPr>
        <w:t>DLC - Differential Leucocyte Count</w:t>
      </w:r>
      <w:r>
        <w:rPr>
          <w:rFonts w:ascii="Times New Roman Regular" w:hAnsi="Times New Roman Regular" w:eastAsia="-webkit-standard" w:cs="Times New Roman Regular"/>
          <w:color w:val="000000"/>
          <w:sz w:val="24"/>
          <w:szCs w:val="24"/>
          <w:lang w:bidi="ar"/>
        </w:rPr>
        <w:br w:type="textWrapping"/>
      </w:r>
      <w:r>
        <w:rPr>
          <w:rFonts w:ascii="Times New Roman Regular" w:hAnsi="Times New Roman Regular" w:eastAsia="-webkit-standard" w:cs="Times New Roman Regular"/>
          <w:color w:val="000000"/>
          <w:sz w:val="24"/>
          <w:szCs w:val="24"/>
          <w:lang w:bidi="ar"/>
        </w:rPr>
        <w:t>ALP – Alkaline Phosphatase</w:t>
      </w:r>
      <w:r>
        <w:rPr>
          <w:rFonts w:ascii="Times New Roman Regular" w:hAnsi="Times New Roman Regular" w:eastAsia="-webkit-standard" w:cs="Times New Roman Regular"/>
          <w:color w:val="000000"/>
          <w:sz w:val="24"/>
          <w:szCs w:val="24"/>
          <w:lang w:bidi="ar"/>
        </w:rPr>
        <w:br w:type="textWrapping"/>
      </w:r>
      <w:r>
        <w:rPr>
          <w:rFonts w:ascii="Times New Roman Regular" w:hAnsi="Times New Roman Regular" w:eastAsia="-webkit-standard" w:cs="Times New Roman Regular"/>
          <w:color w:val="000000"/>
          <w:sz w:val="24"/>
          <w:szCs w:val="24"/>
          <w:lang w:bidi="ar"/>
        </w:rPr>
        <w:t>LCP – Locking Compression Plate</w:t>
      </w:r>
      <w:r>
        <w:rPr>
          <w:rFonts w:ascii="Times New Roman Regular" w:hAnsi="Times New Roman Regular" w:eastAsia="-webkit-standard" w:cs="Times New Roman Regular"/>
          <w:color w:val="000000"/>
          <w:sz w:val="24"/>
          <w:szCs w:val="24"/>
          <w:lang w:bidi="ar"/>
        </w:rPr>
        <w:br w:type="textWrapping"/>
      </w:r>
      <w:r>
        <w:rPr>
          <w:rFonts w:ascii="Times New Roman Regular" w:hAnsi="Times New Roman Regular" w:eastAsia="-webkit-standard" w:cs="Times New Roman Regular"/>
          <w:color w:val="000000"/>
          <w:sz w:val="24"/>
          <w:szCs w:val="24"/>
          <w:lang w:bidi="ar"/>
        </w:rPr>
        <w:t>PRP – Platelet-rich Plasma</w:t>
      </w:r>
    </w:p>
    <w:p w14:paraId="265DCB0B">
      <w:pPr>
        <w:spacing w:line="480" w:lineRule="auto"/>
        <w:jc w:val="both"/>
        <w:rPr>
          <w:rFonts w:ascii="Times New Roman" w:hAnsi="Times New Roman"/>
          <w:sz w:val="24"/>
          <w:szCs w:val="24"/>
        </w:rPr>
      </w:pPr>
    </w:p>
    <w:p w14:paraId="69EDA6BC">
      <w:pPr>
        <w:spacing w:line="480" w:lineRule="auto"/>
        <w:jc w:val="both"/>
        <w:rPr>
          <w:rFonts w:ascii="Times New Roman" w:hAnsi="Times New Roman"/>
          <w:sz w:val="24"/>
          <w:szCs w:val="24"/>
        </w:rPr>
      </w:pPr>
    </w:p>
    <w:p w14:paraId="5D227388">
      <w:pPr>
        <w:rPr>
          <w:rFonts w:ascii="Calibri" w:hAnsi="Calibri" w:eastAsia="Calibri" w:cs="Times New Roman"/>
          <w:kern w:val="2"/>
          <w:highlight w:val="yellow"/>
        </w:rPr>
      </w:pPr>
      <w:bookmarkStart w:id="0" w:name="_Hlk218868534"/>
    </w:p>
    <w:p w14:paraId="0DB6FE34">
      <w:pPr>
        <w:pStyle w:val="12"/>
        <w:rPr>
          <w:rFonts w:ascii="Arial" w:hAnsi="Arial" w:cs="Arial"/>
          <w:highlight w:val="yellow"/>
        </w:rPr>
      </w:pPr>
      <w:bookmarkStart w:id="1" w:name="_Hlk221624953"/>
      <w:r>
        <w:rPr>
          <w:rFonts w:ascii="Arial" w:hAnsi="Arial" w:cs="Arial"/>
          <w:highlight w:val="yellow"/>
        </w:rPr>
        <w:t>Disclaimer (Artificial intelligence)</w:t>
      </w:r>
    </w:p>
    <w:p w14:paraId="4042C38B">
      <w:pPr>
        <w:pStyle w:val="12"/>
        <w:rPr>
          <w:rFonts w:ascii="Arial" w:hAnsi="Arial" w:cs="Arial"/>
          <w:highlight w:val="yellow"/>
        </w:rPr>
      </w:pPr>
    </w:p>
    <w:p w14:paraId="5C547D3E">
      <w:pPr>
        <w:pStyle w:val="12"/>
        <w:rPr>
          <w:rFonts w:ascii="Arial" w:hAnsi="Arial" w:cs="Arial"/>
          <w:highlight w:val="yellow"/>
        </w:rPr>
      </w:pPr>
      <w:r>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bookmarkEnd w:id="0"/>
    </w:p>
    <w:bookmarkEnd w:id="1"/>
    <w:p w14:paraId="36E3E408">
      <w:pPr>
        <w:spacing w:line="480" w:lineRule="auto"/>
        <w:jc w:val="both"/>
        <w:rPr>
          <w:rFonts w:ascii="Times New Roman" w:hAnsi="Times New Roman"/>
          <w:sz w:val="24"/>
          <w:szCs w:val="24"/>
        </w:rPr>
        <w:sectPr>
          <w:pgSz w:w="11906" w:h="16838"/>
          <w:pgMar w:top="1440" w:right="1800" w:bottom="1440" w:left="1800" w:header="720" w:footer="720" w:gutter="0"/>
          <w:cols w:space="720" w:num="1"/>
          <w:docGrid w:linePitch="360" w:charSpace="0"/>
        </w:sectPr>
      </w:pPr>
    </w:p>
    <w:p w14:paraId="5FAFDB59">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REFERENCES</w:t>
      </w:r>
    </w:p>
    <w:p w14:paraId="787EDA5E">
      <w:pPr>
        <w:spacing w:line="480" w:lineRule="auto"/>
        <w:jc w:val="both"/>
        <w:rPr>
          <w:rFonts w:ascii="Times New Roman" w:hAnsi="Times New Roman"/>
          <w:sz w:val="24"/>
          <w:szCs w:val="24"/>
        </w:rPr>
      </w:pPr>
      <w:r>
        <w:rPr>
          <w:rFonts w:ascii="Times New Roman" w:hAnsi="Times New Roman"/>
          <w:sz w:val="24"/>
          <w:szCs w:val="24"/>
        </w:rPr>
        <w:t xml:space="preserve">Bhargav, G.,  Mahesh, R.,  Rao, CH, M., Suresh, K., &amp; Rambabu, K. (2025). Haemato-biochemical parameters in healing of Femur diaphyseal fracture stabilized with locking compression plate and autologous cancellous bone graft in canines. </w:t>
      </w:r>
      <w:r>
        <w:rPr>
          <w:rFonts w:ascii="Times New Roman Italic" w:hAnsi="Times New Roman Italic" w:cs="Times New Roman Italic"/>
          <w:i/>
          <w:iCs/>
          <w:sz w:val="24"/>
          <w:szCs w:val="24"/>
        </w:rPr>
        <w:t>Journal of Livestock Science,</w:t>
      </w:r>
      <w:r>
        <w:rPr>
          <w:rFonts w:ascii="Times New Roman" w:hAnsi="Times New Roman"/>
          <w:sz w:val="24"/>
          <w:szCs w:val="24"/>
        </w:rPr>
        <w:t xml:space="preserve"> 16. DOI:</w:t>
      </w:r>
      <w:r>
        <w:fldChar w:fldCharType="begin"/>
      </w:r>
      <w:r>
        <w:instrText xml:space="preserve"> HYPERLINK "https://doi.org/10.33259/JLivestSci.2025.698-703" \t "/Users/nayanitheerthala/Library/Containers/com.kingsoft.wpsoffice.mac.global/Data/Library/Application Support/Kingsoft/WPS Cloud Files/userdata/default/filecache/579738160/x/_blank" </w:instrText>
      </w:r>
      <w:r>
        <w:fldChar w:fldCharType="separate"/>
      </w:r>
      <w:r>
        <w:rPr>
          <w:rFonts w:ascii="Times New Roman" w:hAnsi="Times New Roman"/>
          <w:sz w:val="24"/>
          <w:szCs w:val="24"/>
        </w:rPr>
        <w:t>10.33259/JLivestSci.2025.698-703</w:t>
      </w:r>
      <w:r>
        <w:rPr>
          <w:rFonts w:ascii="Times New Roman" w:hAnsi="Times New Roman"/>
          <w:sz w:val="24"/>
          <w:szCs w:val="24"/>
        </w:rPr>
        <w:fldChar w:fldCharType="end"/>
      </w:r>
      <w:r>
        <w:rPr>
          <w:rFonts w:ascii="Times New Roman" w:hAnsi="Times New Roman"/>
          <w:sz w:val="24"/>
          <w:szCs w:val="24"/>
        </w:rPr>
        <w:t xml:space="preserve">. </w:t>
      </w:r>
    </w:p>
    <w:p w14:paraId="358C3DB6">
      <w:pPr>
        <w:spacing w:line="480" w:lineRule="auto"/>
        <w:jc w:val="both"/>
        <w:rPr>
          <w:rFonts w:ascii="Times New Roman" w:hAnsi="Times New Roman" w:cs="Times New Roman"/>
          <w:sz w:val="24"/>
          <w:szCs w:val="24"/>
        </w:rPr>
      </w:pPr>
      <w:r>
        <w:rPr>
          <w:rFonts w:ascii="Times New Roman" w:hAnsi="Times New Roman" w:cs="Times New Roman"/>
          <w:sz w:val="24"/>
          <w:szCs w:val="24"/>
        </w:rPr>
        <w:t>Chaurasia, A., Jawre, S., Singh, R., Shahi, A., Pathak, R., Das, B., &amp; Verma, N. K. (2019). Evaluation of haematobiochemical parameters using different biomaterials in fracture healing of dogs.</w:t>
      </w:r>
      <w:r>
        <w:rPr>
          <w:rFonts w:ascii="Times New Roman Italic" w:hAnsi="Times New Roman Italic" w:cs="Times New Roman Italic"/>
          <w:i/>
          <w:iCs/>
          <w:sz w:val="24"/>
          <w:szCs w:val="24"/>
        </w:rPr>
        <w:t xml:space="preserve"> International Journal of Current Microbial and Applied Sciences, </w:t>
      </w:r>
      <w:r>
        <w:rPr>
          <w:rFonts w:ascii="Times New Roman" w:hAnsi="Times New Roman" w:cs="Times New Roman"/>
          <w:sz w:val="24"/>
          <w:szCs w:val="24"/>
        </w:rPr>
        <w:t xml:space="preserve">8(05), 2265-2271. </w:t>
      </w:r>
      <w:r>
        <w:fldChar w:fldCharType="begin"/>
      </w:r>
      <w:r>
        <w:instrText xml:space="preserve"> HYPERLINK "https://doi.org/10.20546/ijcmas.2019.805.266." </w:instrText>
      </w:r>
      <w:r>
        <w:fldChar w:fldCharType="separate"/>
      </w:r>
      <w:r>
        <w:rPr>
          <w:rStyle w:val="6"/>
          <w:rFonts w:ascii="Times New Roman" w:hAnsi="Times New Roman" w:cs="Times New Roman"/>
          <w:sz w:val="24"/>
          <w:szCs w:val="24"/>
        </w:rPr>
        <w:t>https://doi.org/10.20546/ijcmas.2019.805.266.</w:t>
      </w:r>
      <w:r>
        <w:rPr>
          <w:rStyle w:val="6"/>
          <w:rFonts w:ascii="Times New Roman" w:hAnsi="Times New Roman" w:cs="Times New Roman"/>
          <w:sz w:val="24"/>
          <w:szCs w:val="24"/>
        </w:rPr>
        <w:fldChar w:fldCharType="end"/>
      </w:r>
      <w:r>
        <w:rPr>
          <w:rFonts w:ascii="Times New Roman" w:hAnsi="Times New Roman" w:cs="Times New Roman"/>
          <w:sz w:val="24"/>
          <w:szCs w:val="24"/>
        </w:rPr>
        <w:t xml:space="preserve"> </w:t>
      </w:r>
    </w:p>
    <w:p w14:paraId="602848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Lindfors, N. C., Koski, I., Heikkilä, J. T., Mattila, K., &amp; Aho, A. J. (2010). A prospective randomized 14‐year follow‐up study of bioactive glass and autogenous bone as bone </w:t>
      </w:r>
      <w:r>
        <w:rPr>
          <w:rFonts w:hint="default" w:ascii="Times New Roman" w:hAnsi="Times New Roman" w:cs="Times New Roman"/>
          <w:sz w:val="24"/>
          <w:szCs w:val="24"/>
          <w:lang w:val="en-US"/>
        </w:rPr>
        <w:tab/>
      </w:r>
      <w:r>
        <w:rPr>
          <w:rFonts w:ascii="Times New Roman" w:hAnsi="Times New Roman" w:cs="Times New Roman"/>
          <w:sz w:val="24"/>
          <w:szCs w:val="24"/>
        </w:rPr>
        <w:t>graft substitutes in benign bone tumors. </w:t>
      </w:r>
      <w:r>
        <w:rPr>
          <w:rFonts w:ascii="Times New Roman Italic" w:hAnsi="Times New Roman Italic" w:cs="Times New Roman Italic"/>
          <w:i/>
          <w:iCs/>
          <w:sz w:val="24"/>
          <w:szCs w:val="24"/>
        </w:rPr>
        <w:t xml:space="preserve">Journal of Biomedical Materials Research </w:t>
      </w:r>
      <w:r>
        <w:rPr>
          <w:rFonts w:hint="default" w:ascii="Times New Roman Italic" w:hAnsi="Times New Roman Italic" w:cs="Times New Roman Italic"/>
          <w:i/>
          <w:iCs/>
          <w:sz w:val="24"/>
          <w:szCs w:val="24"/>
          <w:lang w:val="en-US"/>
        </w:rPr>
        <w:tab/>
      </w:r>
      <w:r>
        <w:rPr>
          <w:rFonts w:ascii="Times New Roman Italic" w:hAnsi="Times New Roman Italic" w:cs="Times New Roman Italic"/>
          <w:i/>
          <w:iCs/>
          <w:sz w:val="24"/>
          <w:szCs w:val="24"/>
        </w:rPr>
        <w:t>Part B: Applied Biomaterials</w:t>
      </w:r>
      <w:r>
        <w:rPr>
          <w:rFonts w:ascii="Times New Roman" w:hAnsi="Times New Roman" w:cs="Times New Roman"/>
          <w:sz w:val="24"/>
          <w:szCs w:val="24"/>
        </w:rPr>
        <w:t>, 94(1), 157-164. PMID: 20524190, DOI: </w:t>
      </w:r>
      <w:r>
        <w:fldChar w:fldCharType="begin"/>
      </w:r>
      <w:r>
        <w:instrText xml:space="preserve"> HYPERLINK "https://doi.org/10.1002/jbm.b.31636" \t "/Users/nayanitheerthala/Library/Containers/com.kingsoft.wpsoffice.mac.global/Data/Library/Application Support/Kingsoft/WPS Cloud Files/userdata/default/filecache/579738160/x/_blank" </w:instrText>
      </w:r>
      <w:r>
        <w:fldChar w:fldCharType="separate"/>
      </w:r>
      <w:r>
        <w:rPr>
          <w:rFonts w:ascii="Times New Roman" w:hAnsi="Times New Roman" w:cs="Times New Roman"/>
          <w:sz w:val="24"/>
          <w:szCs w:val="24"/>
        </w:rPr>
        <w:t>10.1002/jbm.b.31636</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047DF0F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Patil, M., Dilipkumar, D., Shivaprakash, B. V,, Kasaralikar, V. R., Tikare, V. P., &amp; Ramesh, B. K., (2017). Physiological and haemato-biochemical changes during repair of femur fracture in dogs. </w:t>
      </w:r>
      <w:r>
        <w:rPr>
          <w:rFonts w:ascii="Times New Roman Italic" w:hAnsi="Times New Roman Italic" w:cs="Times New Roman Italic"/>
          <w:i/>
          <w:iCs/>
          <w:sz w:val="24"/>
          <w:szCs w:val="24"/>
        </w:rPr>
        <w:t>The Pharma Innovation,</w:t>
      </w:r>
      <w:r>
        <w:rPr>
          <w:rFonts w:ascii="Times New Roman" w:hAnsi="Times New Roman" w:cs="Times New Roman"/>
          <w:sz w:val="24"/>
          <w:szCs w:val="24"/>
        </w:rPr>
        <w:t xml:space="preserve"> 6(8, Part F), 381.</w:t>
      </w:r>
    </w:p>
    <w:p w14:paraId="6E90E27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Phaneendra, M. S. S. V., Dhana Lakshmi, N., Devi Prasad, V., &amp; Raju, N. K. B. (2016). Evaluation of biochemical parameters for assessment of fracture healing in dogs. </w:t>
      </w:r>
      <w:r>
        <w:rPr>
          <w:rFonts w:hint="default" w:ascii="Times New Roman" w:hAnsi="Times New Roman" w:cs="Times New Roman"/>
          <w:sz w:val="24"/>
          <w:szCs w:val="24"/>
          <w:lang w:val="en-US"/>
        </w:rPr>
        <w:tab/>
      </w:r>
      <w:r>
        <w:rPr>
          <w:rFonts w:ascii="Times New Roman Italic" w:hAnsi="Times New Roman Italic" w:cs="Times New Roman Italic"/>
          <w:i/>
          <w:iCs/>
          <w:sz w:val="24"/>
          <w:szCs w:val="24"/>
        </w:rPr>
        <w:t>Journal of Livestock Science,</w:t>
      </w:r>
      <w:r>
        <w:rPr>
          <w:rFonts w:ascii="Times New Roman" w:hAnsi="Times New Roman" w:cs="Times New Roman"/>
          <w:sz w:val="24"/>
          <w:szCs w:val="24"/>
        </w:rPr>
        <w:t xml:space="preserve"> 7, 111-113. https://cabidigitallibrary.org by</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103.174.160.255. </w:t>
      </w:r>
    </w:p>
    <w:p w14:paraId="31FE9206">
      <w:pPr>
        <w:spacing w:line="480" w:lineRule="auto"/>
        <w:jc w:val="both"/>
        <w:rPr>
          <w:rFonts w:hint="default" w:ascii="Times New Roman" w:hAnsi="Times New Roman"/>
          <w:sz w:val="24"/>
          <w:szCs w:val="24"/>
          <w:lang w:val="en-US"/>
        </w:rPr>
      </w:pPr>
      <w:r>
        <w:rPr>
          <w:rFonts w:hint="default" w:ascii="Times New Roman" w:hAnsi="Times New Roman"/>
          <w:sz w:val="24"/>
          <w:szCs w:val="24"/>
        </w:rPr>
        <w:t xml:space="preserve">Prabhukumar, M. D., Dileepkumar, K. M., Devanand, C. B., Syam, K. V., Raj, I. V., Anoop, S., </w:t>
      </w:r>
      <w:r>
        <w:rPr>
          <w:rFonts w:hint="default" w:ascii="Times New Roman" w:hAnsi="Times New Roman"/>
          <w:sz w:val="24"/>
          <w:szCs w:val="24"/>
          <w:lang w:val="en-US"/>
        </w:rPr>
        <w:t xml:space="preserve">Nair, S. S, </w:t>
      </w:r>
      <w:r>
        <w:rPr>
          <w:rFonts w:hint="default" w:ascii="Times New Roman" w:hAnsi="Times New Roman"/>
          <w:sz w:val="24"/>
          <w:szCs w:val="24"/>
        </w:rPr>
        <w:t>&amp; Philip, L. M. (2019). Haemato-biochemical observations on treatment of long bone fracture using elastic stable intramedullary nailing in dogs.</w:t>
      </w:r>
      <w:r>
        <w:rPr>
          <w:rFonts w:hint="default" w:ascii="Times New Roman" w:hAnsi="Times New Roman"/>
          <w:sz w:val="24"/>
          <w:szCs w:val="24"/>
          <w:lang w:val="en-US"/>
        </w:rPr>
        <w:t xml:space="preserve"> </w:t>
      </w:r>
      <w:r>
        <w:rPr>
          <w:rFonts w:hint="default" w:ascii="Times New Roman Italic" w:hAnsi="Times New Roman Italic" w:cs="Times New Roman Italic"/>
          <w:i/>
          <w:iCs/>
          <w:sz w:val="24"/>
          <w:szCs w:val="24"/>
          <w:lang w:val="en-US"/>
        </w:rPr>
        <w:t>Journal of Indian Veterinary Association</w:t>
      </w:r>
      <w:r>
        <w:rPr>
          <w:rFonts w:hint="default" w:ascii="Times New Roman" w:hAnsi="Times New Roman"/>
          <w:sz w:val="24"/>
          <w:szCs w:val="24"/>
          <w:lang w:val="en-US"/>
        </w:rPr>
        <w:t xml:space="preserve">, 17(3), 45-49. </w:t>
      </w:r>
    </w:p>
    <w:p w14:paraId="3E547E62">
      <w:pPr>
        <w:spacing w:line="480" w:lineRule="auto"/>
        <w:jc w:val="both"/>
        <w:rPr>
          <w:rFonts w:ascii="Times New Roman" w:hAnsi="Times New Roman" w:cs="Times New Roman"/>
          <w:sz w:val="24"/>
          <w:szCs w:val="24"/>
        </w:rPr>
      </w:pPr>
    </w:p>
    <w:p w14:paraId="32BFC7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Reddy, K. J. M., Kumar, D. D., Sekhar, E. C., Kulkarni, S., Kumar, M. V., &amp; Dhoolappa, M. (2021). Evaluation of haemato-biochemical parameters in repair of femoral fractures using titanium implants of intramedullary interlocking nail, dynamic compression plate and locking compression plate in dogs. </w:t>
      </w:r>
      <w:r>
        <w:rPr>
          <w:rFonts w:ascii="Times New Roman Italic" w:hAnsi="Times New Roman Italic" w:cs="Times New Roman Italic"/>
          <w:i/>
          <w:iCs/>
          <w:sz w:val="24"/>
          <w:szCs w:val="24"/>
        </w:rPr>
        <w:t xml:space="preserve">Journal of Experimental Zoology,  India, </w:t>
      </w:r>
      <w:r>
        <w:rPr>
          <w:rFonts w:ascii="Times New Roman" w:hAnsi="Times New Roman" w:cs="Times New Roman"/>
          <w:sz w:val="24"/>
          <w:szCs w:val="24"/>
        </w:rPr>
        <w:t xml:space="preserve">24(1). DocID: </w:t>
      </w:r>
      <w:r>
        <w:fldChar w:fldCharType="begin"/>
      </w:r>
      <w:r>
        <w:instrText xml:space="preserve"> HYPERLINK "https://connectjournals.com/03895.2021.24.223." </w:instrText>
      </w:r>
      <w:r>
        <w:fldChar w:fldCharType="separate"/>
      </w:r>
      <w:r>
        <w:rPr>
          <w:rStyle w:val="6"/>
          <w:rFonts w:ascii="Times New Roman" w:hAnsi="Times New Roman" w:cs="Times New Roman"/>
          <w:sz w:val="24"/>
          <w:szCs w:val="24"/>
        </w:rPr>
        <w:t>https://connectjournals.com/03895.2021.24.223.</w:t>
      </w:r>
      <w:r>
        <w:rPr>
          <w:rStyle w:val="6"/>
          <w:rFonts w:ascii="Times New Roman" w:hAnsi="Times New Roman" w:cs="Times New Roman"/>
          <w:sz w:val="24"/>
          <w:szCs w:val="24"/>
        </w:rPr>
        <w:fldChar w:fldCharType="end"/>
      </w:r>
      <w:r>
        <w:rPr>
          <w:rFonts w:ascii="Times New Roman" w:hAnsi="Times New Roman" w:cs="Times New Roman"/>
          <w:sz w:val="24"/>
          <w:szCs w:val="24"/>
        </w:rPr>
        <w:t xml:space="preserve">  </w:t>
      </w:r>
    </w:p>
    <w:p w14:paraId="7CD7CA0B">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eastAsia="zh-CN"/>
        </w:rPr>
        <w:t xml:space="preserve">Sharat, J., Syam, K. V., Sudheesh, S. N., Sunilkumar, N. S. and Martin, J. K. D. </w:t>
      </w:r>
      <w:r>
        <w:rPr>
          <w:rFonts w:hint="default" w:ascii="Times New Roman" w:hAnsi="Times New Roman" w:cs="Times New Roman"/>
          <w:sz w:val="24"/>
          <w:szCs w:val="24"/>
          <w:lang w:val="en-US" w:eastAsia="zh-CN"/>
        </w:rPr>
        <w:t>(</w:t>
      </w:r>
      <w:r>
        <w:rPr>
          <w:rFonts w:ascii="Times New Roman" w:hAnsi="Times New Roman" w:cs="Times New Roman"/>
          <w:sz w:val="24"/>
          <w:szCs w:val="24"/>
          <w:lang w:val="en-US" w:eastAsia="zh-CN"/>
        </w:rPr>
        <w:t>2022</w:t>
      </w:r>
      <w:r>
        <w:rPr>
          <w:rFonts w:hint="default" w:ascii="Times New Roman" w:hAnsi="Times New Roman" w:cs="Times New Roman"/>
          <w:sz w:val="24"/>
          <w:szCs w:val="24"/>
          <w:lang w:val="en-US" w:eastAsia="zh-CN"/>
        </w:rPr>
        <w:t>)</w:t>
      </w:r>
      <w:r>
        <w:rPr>
          <w:rFonts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Evaluation of serum calcium, phosphorus and alkaline phosphatase levels during long bone fracture repair in dogs stabilized with string of pearls plating technique.</w:t>
      </w:r>
      <w:r>
        <w:rPr>
          <w:rFonts w:hint="default" w:ascii="Times New Roman Italic" w:hAnsi="Times New Roman Italic" w:cs="Times New Roman Italic"/>
          <w:i/>
          <w:iCs/>
          <w:sz w:val="24"/>
          <w:szCs w:val="24"/>
          <w:lang w:val="en-US" w:eastAsia="zh-CN"/>
        </w:rPr>
        <w:t xml:space="preserve"> Journal of Veterinary and Animal Sciences,</w:t>
      </w:r>
      <w:r>
        <w:rPr>
          <w:rFonts w:ascii="Times New Roman" w:hAnsi="Times New Roman" w:cs="Times New Roman"/>
          <w:sz w:val="24"/>
          <w:szCs w:val="24"/>
          <w:lang w:val="en-US" w:eastAsia="zh-CN"/>
        </w:rPr>
        <w:t xml:space="preserve"> 53</w:t>
      </w:r>
      <w:r>
        <w:rPr>
          <w:rFonts w:hint="default" w:ascii="Times New Roman" w:hAnsi="Times New Roman" w:cs="Times New Roman"/>
          <w:sz w:val="24"/>
          <w:szCs w:val="24"/>
          <w:lang w:val="en-US" w:eastAsia="zh-CN"/>
        </w:rPr>
        <w:t>(1), 27-31. DOI: https://doi.org/10.51966/jvas.2022.53.1.27-31</w:t>
      </w:r>
    </w:p>
    <w:p w14:paraId="6B6479F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Shende, H. U., Agivale, S. M., Ulemale, A. H., Salunke, V. M., Chauhan, S. A., &amp; Aithal, </w:t>
      </w:r>
      <w:r>
        <w:rPr>
          <w:rFonts w:hint="default" w:ascii="Times New Roman" w:hAnsi="Times New Roman" w:cs="Times New Roman"/>
          <w:sz w:val="24"/>
          <w:szCs w:val="24"/>
          <w:lang w:val="en-US"/>
        </w:rPr>
        <w:tab/>
      </w:r>
      <w:r>
        <w:rPr>
          <w:rFonts w:ascii="Times New Roman" w:hAnsi="Times New Roman" w:cs="Times New Roman"/>
          <w:sz w:val="24"/>
          <w:szCs w:val="24"/>
        </w:rPr>
        <w:t xml:space="preserve">H. </w:t>
      </w:r>
      <w:r>
        <w:rPr>
          <w:rFonts w:hint="default" w:ascii="Times New Roman" w:hAnsi="Times New Roman" w:cs="Times New Roman"/>
          <w:sz w:val="24"/>
          <w:szCs w:val="24"/>
          <w:lang w:val="en-US"/>
        </w:rPr>
        <w:t xml:space="preserve">(2025). </w:t>
      </w:r>
      <w:r>
        <w:rPr>
          <w:rFonts w:ascii="Times New Roman" w:hAnsi="Times New Roman" w:cs="Times New Roman"/>
          <w:sz w:val="24"/>
          <w:szCs w:val="24"/>
        </w:rPr>
        <w:t xml:space="preserve">Clinical study on osteoinductive properties of collagen with platelet rich plasma and cissus quadrangularis in long bone fracture of dog. </w:t>
      </w:r>
      <w:r>
        <w:rPr>
          <w:rFonts w:ascii="Times New Roman Italic" w:hAnsi="Times New Roman Italic" w:cs="Times New Roman Italic"/>
          <w:i/>
          <w:iCs/>
          <w:sz w:val="24"/>
          <w:szCs w:val="24"/>
        </w:rPr>
        <w:t xml:space="preserve">International Journal of </w:t>
      </w:r>
      <w:r>
        <w:rPr>
          <w:rFonts w:hint="default" w:ascii="Times New Roman Italic" w:hAnsi="Times New Roman Italic" w:cs="Times New Roman Italic"/>
          <w:i/>
          <w:iCs/>
          <w:sz w:val="24"/>
          <w:szCs w:val="24"/>
          <w:lang w:val="en-US"/>
        </w:rPr>
        <w:t xml:space="preserve"> </w:t>
      </w:r>
      <w:r>
        <w:rPr>
          <w:rFonts w:ascii="Times New Roman Italic" w:hAnsi="Times New Roman Italic" w:cs="Times New Roman Italic"/>
          <w:i/>
          <w:iCs/>
          <w:sz w:val="24"/>
          <w:szCs w:val="24"/>
        </w:rPr>
        <w:t xml:space="preserve">Veterinary Sciences and Animal Husbandry, </w:t>
      </w:r>
      <w:r>
        <w:rPr>
          <w:rFonts w:ascii="Times New Roman" w:hAnsi="Times New Roman" w:cs="Times New Roman"/>
          <w:sz w:val="24"/>
          <w:szCs w:val="24"/>
        </w:rPr>
        <w:t>10(6), 35-40.</w:t>
      </w:r>
    </w:p>
    <w:p w14:paraId="3DAAAEC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Sousa, C. P., Dias, I. R., Lopez-pena, M., Camassa, J. A., Lourenco, P. J., Judas, F. M., Gomes, M. E. &amp; Reis, R. L. (2015). Bone turnover markers for early detection of fracture healing disturbances: A review of scientific literature. </w:t>
      </w:r>
      <w:r>
        <w:rPr>
          <w:rFonts w:ascii="Times New Roman Italic" w:hAnsi="Times New Roman Italic" w:cs="Times New Roman Italic"/>
          <w:i/>
          <w:iCs/>
          <w:sz w:val="24"/>
          <w:szCs w:val="24"/>
        </w:rPr>
        <w:t>Annals of Brazilian Academy of Sciences,</w:t>
      </w:r>
      <w:r>
        <w:rPr>
          <w:rFonts w:ascii="Times New Roman" w:hAnsi="Times New Roman" w:cs="Times New Roman"/>
          <w:sz w:val="24"/>
          <w:szCs w:val="24"/>
        </w:rPr>
        <w:t xml:space="preserve"> 87(2), 1049-61. PMID: 25993365, DOI:</w:t>
      </w:r>
      <w:r>
        <w:fldChar w:fldCharType="begin"/>
      </w:r>
      <w:r>
        <w:instrText xml:space="preserve"> HYPERLINK "https://doi.org/10.1590/0001-3765201520150008" \t "/Users/nayanitheerthala/Library/Containers/com.kingsoft.wpsoffice.mac.global/Data/Library/Application Support/Kingsoft/WPS Cloud Files/userdata/default/filecache/579738160/x/_blank" </w:instrText>
      </w:r>
      <w:r>
        <w:fldChar w:fldCharType="separate"/>
      </w:r>
      <w:r>
        <w:rPr>
          <w:rFonts w:ascii="Times New Roman" w:hAnsi="Times New Roman" w:cs="Times New Roman"/>
          <w:sz w:val="24"/>
          <w:szCs w:val="24"/>
        </w:rPr>
        <w:t>10.1590/0001-3765201520150008</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53BB0B1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Sumiran, N., Madhava Rao, T., Latha, C., Pramod Kumar, D., &amp; Lakshman, M. (2021). Evaluation of Serum Biochemical Parameters in the Treatment of Tibial Fractures by Open Plating, Percutaneous Plating and Supracutaneous Plating in Dogs. </w:t>
      </w:r>
      <w:r>
        <w:rPr>
          <w:rFonts w:ascii="Times New Roman Italic" w:hAnsi="Times New Roman Italic" w:cs="Times New Roman Italic"/>
          <w:i/>
          <w:iCs/>
          <w:sz w:val="24"/>
          <w:szCs w:val="24"/>
        </w:rPr>
        <w:t>International Journal of Current Microbiology and Applied Science</w:t>
      </w:r>
      <w:r>
        <w:rPr>
          <w:rFonts w:ascii="Times New Roman" w:hAnsi="Times New Roman" w:cs="Times New Roman"/>
          <w:sz w:val="24"/>
          <w:szCs w:val="24"/>
        </w:rPr>
        <w:t>, 10(07), 119-123.</w:t>
      </w:r>
      <w:r>
        <w:rPr>
          <w:rFonts w:hint="default" w:ascii="Times New Roman" w:hAnsi="Times New Roman" w:cs="Times New Roman"/>
          <w:sz w:val="24"/>
          <w:szCs w:val="24"/>
          <w:lang w:val="en-US"/>
        </w:rPr>
        <w:t xml:space="preserve"> </w:t>
      </w:r>
      <w:r>
        <w:fldChar w:fldCharType="begin"/>
      </w:r>
      <w:r>
        <w:instrText xml:space="preserve"> HYPERLINK "https://doi.org/10.20546/ijcmas.2021.1007.013." </w:instrText>
      </w:r>
      <w:r>
        <w:fldChar w:fldCharType="separate"/>
      </w:r>
      <w:r>
        <w:rPr>
          <w:rStyle w:val="6"/>
          <w:rFonts w:ascii="Times New Roman" w:hAnsi="Times New Roman" w:cs="Times New Roman"/>
          <w:sz w:val="24"/>
          <w:szCs w:val="24"/>
        </w:rPr>
        <w:t>https://doi.org/10.20546/ijcmas.2021.1007.013.</w:t>
      </w:r>
      <w:r>
        <w:rPr>
          <w:rStyle w:val="6"/>
          <w:rFonts w:ascii="Times New Roman" w:hAnsi="Times New Roman" w:cs="Times New Roman"/>
          <w:sz w:val="24"/>
          <w:szCs w:val="24"/>
        </w:rPr>
        <w:fldChar w:fldCharType="end"/>
      </w:r>
      <w:r>
        <w:rPr>
          <w:rFonts w:ascii="Times New Roman" w:hAnsi="Times New Roman" w:cs="Times New Roman"/>
          <w:sz w:val="24"/>
          <w:szCs w:val="24"/>
        </w:rPr>
        <w:t xml:space="preserve"> </w:t>
      </w:r>
    </w:p>
    <w:p w14:paraId="49A441A6">
      <w:pPr>
        <w:spacing w:line="480" w:lineRule="auto"/>
        <w:jc w:val="both"/>
        <w:rPr>
          <w:rFonts w:ascii="Times New Roman" w:hAnsi="Times New Roman"/>
          <w:sz w:val="24"/>
          <w:szCs w:val="24"/>
        </w:rPr>
      </w:pPr>
      <w:r>
        <w:rPr>
          <w:rFonts w:ascii="Times New Roman" w:hAnsi="Times New Roman" w:cs="Times New Roman"/>
          <w:sz w:val="24"/>
          <w:szCs w:val="24"/>
        </w:rPr>
        <w:t xml:space="preserve">Takoo, S. (2024). Comparative Evaluation of Local Application of Bioactive Glass and Collagen in Fracture Healing in Dogs. M.V.Sc. thesis submitted to College of Veterinary Sciences, </w:t>
      </w:r>
      <w:r>
        <w:rPr>
          <w:rFonts w:ascii="Times New Roman" w:hAnsi="Times New Roman"/>
          <w:sz w:val="24"/>
          <w:szCs w:val="24"/>
        </w:rPr>
        <w:t xml:space="preserve">Lala Lajpat Rai University of Veterinary and Animal Sciences, Hisar, Haryana, India. </w:t>
      </w:r>
    </w:p>
    <w:p w14:paraId="3D77592B">
      <w:pPr>
        <w:spacing w:line="480" w:lineRule="auto"/>
        <w:jc w:val="both"/>
      </w:pPr>
      <w:r>
        <w:rPr>
          <w:rFonts w:ascii="Times New Roman" w:hAnsi="Times New Roman" w:cs="Times New Roman"/>
          <w:sz w:val="24"/>
          <w:szCs w:val="24"/>
        </w:rPr>
        <w:t>Zhu, L., Li, P., Qin, Y., Xiao, B., Li, J., Xu, W., &amp; Yu, B. (2024). Platelet-rich plasma in orthopedics: bridging innovation and clinical applications for bone repair. J</w:t>
      </w:r>
      <w:r>
        <w:rPr>
          <w:rFonts w:ascii="Times New Roman Italic" w:hAnsi="Times New Roman Italic" w:cs="Times New Roman Italic"/>
          <w:i/>
          <w:iCs/>
          <w:sz w:val="24"/>
          <w:szCs w:val="24"/>
        </w:rPr>
        <w:t>ournal of Orthopaedic Surgery</w:t>
      </w:r>
      <w:r>
        <w:rPr>
          <w:rFonts w:ascii="Times New Roman" w:hAnsi="Times New Roman" w:cs="Times New Roman"/>
          <w:sz w:val="24"/>
          <w:szCs w:val="24"/>
        </w:rPr>
        <w:t>, 32(1), 10225536231224952. PMID: 38217531, DOI: </w:t>
      </w:r>
      <w:r>
        <w:fldChar w:fldCharType="begin"/>
      </w:r>
      <w:r>
        <w:instrText xml:space="preserve"> HYPERLINK "https://doi.org/10.1177/10225536231224952" \t "/Users/nayanitheerthala/Library/Containers/com.kingsoft.wpsoffice.mac.global/Data/Library/Application Support/Kingsoft/WPS Cloud Files/userdata/default/filecache/579738160/x/_blank" </w:instrText>
      </w:r>
      <w:r>
        <w:fldChar w:fldCharType="separate"/>
      </w:r>
      <w:r>
        <w:rPr>
          <w:rFonts w:ascii="Times New Roman" w:hAnsi="Times New Roman" w:cs="Times New Roman"/>
          <w:sz w:val="24"/>
          <w:szCs w:val="24"/>
        </w:rPr>
        <w:t>10.1177/10225536231224952</w:t>
      </w:r>
      <w:r>
        <w:rPr>
          <w:rFonts w:ascii="Times New Roman" w:hAnsi="Times New Roman" w:cs="Times New Roman"/>
          <w:sz w:val="24"/>
          <w:szCs w:val="24"/>
        </w:rPr>
        <w:fldChar w:fldCharType="end"/>
      </w:r>
      <w:r>
        <w:rPr>
          <w:rFonts w:ascii="Times New Roman" w:hAnsi="Times New Roman" w:cs="Times New Roman"/>
          <w:sz w:val="24"/>
          <w:szCs w:val="24"/>
        </w:rPr>
        <w:t>.</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Times New Roman Bold">
    <w:panose1 w:val="02020503050405090304"/>
    <w:charset w:val="00"/>
    <w:family w:val="auto"/>
    <w:pitch w:val="default"/>
    <w:sig w:usb0="E0000AFF" w:usb1="00007843" w:usb2="00000001" w:usb3="00000000" w:csb0="400001BF" w:csb1="DFF70000"/>
  </w:font>
  <w:font w:name="-webkit-standard">
    <w:altName w:val="苹方-简"/>
    <w:panose1 w:val="00000000000000000000"/>
    <w:charset w:val="00"/>
    <w:family w:val="auto"/>
    <w:pitch w:val="default"/>
    <w:sig w:usb0="00000000" w:usb1="00000000" w:usb2="00000000" w:usb3="00000000" w:csb0="00000000" w:csb1="00000000"/>
  </w:font>
  <w:font w:name="Times New Roman Regular">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AppleSystemUIFont">
    <w:altName w:val="苹方-简"/>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SimSun">
    <w:altName w:val="汉仪书宋二KW"/>
    <w:panose1 w:val="02010600030101010101"/>
    <w:charset w:val="86"/>
    <w:family w:val="roman"/>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1628C">
    <w:pPr>
      <w:pStyle w:val="4"/>
    </w:pPr>
    <w:r>
      <w:rPr>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2770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p w14:paraId="4572770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D436D">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3FA8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A4B7D">
    <w:pPr>
      <w:pStyle w:val="5"/>
    </w:pPr>
    <w:r>
      <w:pict>
        <v:shape id="PowerPlusWaterMarkObject87341658" o:spid="_x0000_s4098" o:spt="136" type="#_x0000_t136" style="position:absolute;left:0pt;height:92.45pt;width:493.0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AC6F9">
    <w:pPr>
      <w:pStyle w:val="5"/>
    </w:pPr>
    <w:r>
      <w:pict>
        <v:shape id="PowerPlusWaterMarkObject87341657" o:spid="_x0000_s4099" o:spt="136" type="#_x0000_t136" style="position:absolute;left:0pt;height:92.45pt;width:493.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ADD92">
    <w:pPr>
      <w:pStyle w:val="5"/>
    </w:pPr>
    <w:r>
      <w:pict>
        <v:shape id="PowerPlusWaterMarkObject87341656" o:spid="_x0000_s4097" o:spt="136" type="#_x0000_t136" style="position:absolute;left:0pt;height:92.45pt;width:493.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99932"/>
    <w:multiLevelType w:val="multilevel"/>
    <w:tmpl w:val="FFF99932"/>
    <w:lvl w:ilvl="0" w:tentative="0">
      <w:start w:val="1"/>
      <w:numFmt w:val="decimal"/>
      <w:suff w:val="space"/>
      <w:lvlText w:val="%1."/>
      <w:lvlJc w:val="left"/>
      <w:rPr>
        <w:rFonts w:hint="default" w:ascii="Times New Roman Bold" w:hAnsi="Times New Roman Bold" w:cs="Times New Roman Bold"/>
        <w:b/>
        <w:bCs/>
        <w:sz w:val="24"/>
        <w:szCs w:val="24"/>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hdrShapeDefaults>
    <o:shapelayout v:ext="edit">
      <o:idmap v:ext="edit" data="3,4"/>
    </o:shapelayout>
  </w:hdrShapeDefault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46E4ECD"/>
    <w:rsid w:val="00313B5F"/>
    <w:rsid w:val="006A487E"/>
    <w:rsid w:val="00A069D5"/>
    <w:rsid w:val="00A67F30"/>
    <w:rsid w:val="00AF4402"/>
    <w:rsid w:val="00AF4548"/>
    <w:rsid w:val="00B566D0"/>
    <w:rsid w:val="00B9207C"/>
    <w:rsid w:val="00D52191"/>
    <w:rsid w:val="00D53D56"/>
    <w:rsid w:val="733E2953"/>
    <w:rsid w:val="BBF5D859"/>
    <w:rsid w:val="F46E4ECD"/>
    <w:rsid w:val="FBAFC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pPr>
    <w:rPr>
      <w:sz w:val="18"/>
      <w:szCs w:val="18"/>
    </w:rPr>
  </w:style>
  <w:style w:type="paragraph" w:styleId="5">
    <w:name w:val="header"/>
    <w:basedOn w:val="1"/>
    <w:link w:val="11"/>
    <w:uiPriority w:val="0"/>
    <w:pPr>
      <w:tabs>
        <w:tab w:val="center" w:pos="4513"/>
        <w:tab w:val="right" w:pos="9026"/>
      </w:tabs>
    </w:pPr>
  </w:style>
  <w:style w:type="character" w:styleId="6">
    <w:name w:val="Hyperlink"/>
    <w:basedOn w:val="2"/>
    <w:uiPriority w:val="0"/>
    <w:rPr>
      <w:color w:val="0000FF"/>
      <w:u w:val="single"/>
    </w:rPr>
  </w:style>
  <w:style w:type="paragraph" w:styleId="7">
    <w:name w:val="Normal (Web)"/>
    <w:basedOn w:val="1"/>
    <w:uiPriority w:val="0"/>
    <w:rPr>
      <w:sz w:val="24"/>
      <w:szCs w:val="24"/>
    </w:rPr>
  </w:style>
  <w:style w:type="character" w:styleId="8">
    <w:name w:val="Strong"/>
    <w:basedOn w:val="2"/>
    <w:qFormat/>
    <w:uiPriority w:val="0"/>
    <w:rPr>
      <w:b/>
      <w:bCs/>
    </w:rPr>
  </w:style>
  <w:style w:type="table" w:styleId="9">
    <w:name w:val="Table Grid"/>
    <w:basedOn w:val="3"/>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p1"/>
    <w:uiPriority w:val="0"/>
    <w:rPr>
      <w:rFonts w:ascii="Times New Roman" w:hAnsi="Times New Roman" w:eastAsia="SimSun" w:cs="Times New Roman"/>
      <w:color w:val="0000FF"/>
      <w:sz w:val="22"/>
      <w:szCs w:val="22"/>
      <w:lang w:val="en-US" w:eastAsia="zh-CN" w:bidi="ar-SA"/>
    </w:rPr>
  </w:style>
  <w:style w:type="character" w:customStyle="1" w:styleId="11">
    <w:name w:val="Header Char"/>
    <w:basedOn w:val="2"/>
    <w:link w:val="5"/>
    <w:uiPriority w:val="0"/>
    <w:rPr>
      <w:rFonts w:asciiTheme="minorHAnsi" w:hAnsiTheme="minorHAnsi" w:eastAsiaTheme="minorEastAsia" w:cstheme="minorBidi"/>
      <w:lang w:val="en-US" w:eastAsia="zh-CN"/>
    </w:rPr>
  </w:style>
  <w:style w:type="paragraph" w:styleId="12">
    <w:name w:val="No Spacing"/>
    <w:qFormat/>
    <w:uiPriority w:val="1"/>
    <w:rPr>
      <w:rFonts w:asciiTheme="minorHAnsi" w:hAnsiTheme="minorHAnsi" w:eastAsiaTheme="minorHAnsi" w:cstheme="minorBidi"/>
      <w:sz w:val="22"/>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373173970784"/>
          <c:y val="0.0514860753568921"/>
          <c:w val="0.827410358565737"/>
          <c:h val="0.727919494500351"/>
        </c:manualLayout>
      </c:layout>
      <c:lineChart>
        <c:grouping val="standard"/>
        <c:varyColors val="0"/>
        <c:ser>
          <c:idx val="0"/>
          <c:order val="0"/>
          <c:tx>
            <c:strRef>
              <c:f>[Book1]Sheet1!$B$1</c:f>
              <c:strCache>
                <c:ptCount val="1"/>
                <c:pt idx="0">
                  <c:v>Group 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strRef>
              <c:f>[Book1]Sheet1!$A$2:$A$6</c:f>
              <c:strCache>
                <c:ptCount val="5"/>
                <c:pt idx="0">
                  <c:v>Day 0</c:v>
                </c:pt>
                <c:pt idx="1">
                  <c:v>Day 15</c:v>
                </c:pt>
                <c:pt idx="2">
                  <c:v>Day 30</c:v>
                </c:pt>
                <c:pt idx="3">
                  <c:v>Day 45</c:v>
                </c:pt>
                <c:pt idx="4">
                  <c:v>Day 60</c:v>
                </c:pt>
              </c:strCache>
            </c:strRef>
          </c:cat>
          <c:val>
            <c:numRef>
              <c:f>[Book1]Sheet1!$B$2:$B$6</c:f>
              <c:numCache>
                <c:formatCode>General</c:formatCode>
                <c:ptCount val="5"/>
                <c:pt idx="0">
                  <c:v>10.8833</c:v>
                </c:pt>
                <c:pt idx="1">
                  <c:v>11.1333</c:v>
                </c:pt>
                <c:pt idx="2">
                  <c:v>11.6833</c:v>
                </c:pt>
                <c:pt idx="3">
                  <c:v>11.85</c:v>
                </c:pt>
                <c:pt idx="4">
                  <c:v>12.0333</c:v>
                </c:pt>
              </c:numCache>
            </c:numRef>
          </c:val>
          <c:smooth val="0"/>
        </c:ser>
        <c:ser>
          <c:idx val="1"/>
          <c:order val="1"/>
          <c:tx>
            <c:strRef>
              <c:f>[Book1]Sheet1!$C$1</c:f>
              <c:strCache>
                <c:ptCount val="1"/>
                <c:pt idx="0">
                  <c:v>Group II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cat>
            <c:strRef>
              <c:f>[Book1]Sheet1!$A$2:$A$6</c:f>
              <c:strCache>
                <c:ptCount val="5"/>
                <c:pt idx="0">
                  <c:v>Day 0</c:v>
                </c:pt>
                <c:pt idx="1">
                  <c:v>Day 15</c:v>
                </c:pt>
                <c:pt idx="2">
                  <c:v>Day 30</c:v>
                </c:pt>
                <c:pt idx="3">
                  <c:v>Day 45</c:v>
                </c:pt>
                <c:pt idx="4">
                  <c:v>Day 60</c:v>
                </c:pt>
              </c:strCache>
            </c:strRef>
          </c:cat>
          <c:val>
            <c:numRef>
              <c:f>[Book1]Sheet1!$C$2:$C$6</c:f>
              <c:numCache>
                <c:formatCode>General</c:formatCode>
                <c:ptCount val="5"/>
                <c:pt idx="0">
                  <c:v>11.2667</c:v>
                </c:pt>
                <c:pt idx="1">
                  <c:v>11.6</c:v>
                </c:pt>
                <c:pt idx="2">
                  <c:v>12.1333</c:v>
                </c:pt>
                <c:pt idx="3">
                  <c:v>12.3833</c:v>
                </c:pt>
                <c:pt idx="4">
                  <c:v>12.55</c:v>
                </c:pt>
              </c:numCache>
            </c:numRef>
          </c:val>
          <c:smooth val="0"/>
        </c:ser>
        <c:dLbls>
          <c:showLegendKey val="0"/>
          <c:showVal val="0"/>
          <c:showCatName val="0"/>
          <c:showSerName val="0"/>
          <c:showPercent val="0"/>
          <c:showBubbleSize val="0"/>
        </c:dLbls>
        <c:marker val="1"/>
        <c:smooth val="0"/>
        <c:axId val="754427932"/>
        <c:axId val="289382085"/>
      </c:lineChart>
      <c:catAx>
        <c:axId val="754427932"/>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r>
                  <a:rPr sz="1200" b="1">
                    <a:solidFill>
                      <a:schemeClr val="tx1"/>
                    </a:solidFill>
                    <a:latin typeface="Times New Roman" panose="02020503050405090304" charset="0"/>
                    <a:cs typeface="Times New Roman" panose="02020503050405090304" charset="0"/>
                  </a:rPr>
                  <a:t>Study period (Days)</a:t>
                </a:r>
                <a:endParaRPr sz="1200" b="1">
                  <a:solidFill>
                    <a:schemeClr val="tx1"/>
                  </a:solidFill>
                  <a:latin typeface="Times New Roman" panose="02020503050405090304" charset="0"/>
                  <a:cs typeface="Times New Roman" panose="02020503050405090304" charset="0"/>
                </a:endParaRPr>
              </a:p>
            </c:rich>
          </c:tx>
          <c:layout>
            <c:manualLayout>
              <c:xMode val="edge"/>
              <c:yMode val="edge"/>
              <c:x val="0.436689756979614"/>
              <c:y val="0.8829861923707"/>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p>
        </c:txPr>
        <c:crossAx val="289382085"/>
        <c:crosses val="autoZero"/>
        <c:auto val="1"/>
        <c:lblAlgn val="ctr"/>
        <c:lblOffset val="100"/>
        <c:noMultiLvlLbl val="0"/>
      </c:catAx>
      <c:valAx>
        <c:axId val="289382085"/>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r>
                  <a:rPr sz="1200" b="1">
                    <a:solidFill>
                      <a:schemeClr val="tx1"/>
                    </a:solidFill>
                    <a:latin typeface="Times New Roman" panose="02020503050405090304" charset="0"/>
                    <a:cs typeface="Times New Roman" panose="02020503050405090304" charset="0"/>
                  </a:rPr>
                  <a:t>Haemoglobin (g%)</a:t>
                </a:r>
                <a:endParaRPr sz="1200" b="1">
                  <a:solidFill>
                    <a:schemeClr val="tx1"/>
                  </a:solidFill>
                  <a:latin typeface="Times New Roman" panose="02020503050405090304" charset="0"/>
                  <a:cs typeface="Times New Roman" panose="02020503050405090304" charset="0"/>
                </a:endParaRPr>
              </a:p>
            </c:rich>
          </c:tx>
          <c:layout>
            <c:manualLayout>
              <c:xMode val="edge"/>
              <c:yMode val="edge"/>
              <c:x val="0.0203187250996016"/>
              <c:y val="0.17743973788907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p>
        </c:txPr>
        <c:crossAx val="75442793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en-US" sz="900" b="0" i="0" u="none" strike="noStrike" kern="1200" baseline="0">
                <a:solidFill>
                  <a:schemeClr val="tx1"/>
                </a:solidFill>
                <a:latin typeface="+mn-lt"/>
                <a:ea typeface="+mn-ea"/>
                <a:cs typeface="+mn-cs"/>
              </a:defRPr>
            </a:pPr>
          </a:p>
        </c:txPr>
      </c:legendEntry>
      <c:layout>
        <c:manualLayout>
          <c:xMode val="edge"/>
          <c:yMode val="edge"/>
          <c:x val="0.168658698539177"/>
          <c:y val="0.0498478820500819"/>
          <c:w val="0.159362549800797"/>
          <c:h val="0.148139480458694"/>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b1c15a9-8e94-467d-944d-396d5406cecf}"/>
      </c:ext>
    </c:extLst>
  </c:chart>
  <c:spPr>
    <a:solidFill>
      <a:schemeClr val="bg1"/>
    </a:solidFill>
    <a:ln w="9525" cap="flat" cmpd="sng" algn="ctr">
      <a:solidFill>
        <a:schemeClr val="tx1">
          <a:lumMod val="15000"/>
          <a:lumOff val="85000"/>
        </a:schemeClr>
      </a:solidFill>
      <a:round/>
    </a:ln>
    <a:effectLst/>
  </c:spPr>
  <c:txPr>
    <a:bodyPr/>
    <a:lstStyle/>
    <a:p>
      <a:pPr>
        <a:defRPr lang="en-US">
          <a:solidFill>
            <a:schemeClr val="tx1"/>
          </a:solidFill>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998671978752"/>
          <c:y val="0.0515222482435597"/>
          <c:w val="0.833784860557769"/>
          <c:h val="0.714379391100703"/>
        </c:manualLayout>
      </c:layout>
      <c:lineChart>
        <c:grouping val="standard"/>
        <c:varyColors val="0"/>
        <c:ser>
          <c:idx val="0"/>
          <c:order val="0"/>
          <c:tx>
            <c:strRef>
              <c:f>[Book1]Sheet1!$B$50</c:f>
              <c:strCache>
                <c:ptCount val="1"/>
                <c:pt idx="0">
                  <c:v>Group 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strRef>
              <c:f>[Book1]Sheet1!$A$51:$A$55</c:f>
              <c:strCache>
                <c:ptCount val="5"/>
                <c:pt idx="0">
                  <c:v>Day 0</c:v>
                </c:pt>
                <c:pt idx="1">
                  <c:v>Day 15</c:v>
                </c:pt>
                <c:pt idx="2">
                  <c:v>Day 30</c:v>
                </c:pt>
                <c:pt idx="3">
                  <c:v>Day 45</c:v>
                </c:pt>
                <c:pt idx="4">
                  <c:v>Day 60</c:v>
                </c:pt>
              </c:strCache>
            </c:strRef>
          </c:cat>
          <c:val>
            <c:numRef>
              <c:f>[Book1]Sheet1!$B$51:$B$55</c:f>
              <c:numCache>
                <c:formatCode>General</c:formatCode>
                <c:ptCount val="5"/>
                <c:pt idx="0">
                  <c:v>9.2517</c:v>
                </c:pt>
                <c:pt idx="1">
                  <c:v>9.425</c:v>
                </c:pt>
                <c:pt idx="2">
                  <c:v>9.6033</c:v>
                </c:pt>
                <c:pt idx="3">
                  <c:v>9.675</c:v>
                </c:pt>
                <c:pt idx="4">
                  <c:v>9.485</c:v>
                </c:pt>
              </c:numCache>
            </c:numRef>
          </c:val>
          <c:smooth val="0"/>
        </c:ser>
        <c:ser>
          <c:idx val="1"/>
          <c:order val="1"/>
          <c:tx>
            <c:strRef>
              <c:f>[Book1]Sheet1!$C$50</c:f>
              <c:strCache>
                <c:ptCount val="1"/>
                <c:pt idx="0">
                  <c:v>Group II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cat>
            <c:strRef>
              <c:f>[Book1]Sheet1!$A$51:$A$55</c:f>
              <c:strCache>
                <c:ptCount val="5"/>
                <c:pt idx="0">
                  <c:v>Day 0</c:v>
                </c:pt>
                <c:pt idx="1">
                  <c:v>Day 15</c:v>
                </c:pt>
                <c:pt idx="2">
                  <c:v>Day 30</c:v>
                </c:pt>
                <c:pt idx="3">
                  <c:v>Day 45</c:v>
                </c:pt>
                <c:pt idx="4">
                  <c:v>Day 60</c:v>
                </c:pt>
              </c:strCache>
            </c:strRef>
          </c:cat>
          <c:val>
            <c:numRef>
              <c:f>[Book1]Sheet1!$C$51:$C$55</c:f>
              <c:numCache>
                <c:formatCode>General</c:formatCode>
                <c:ptCount val="5"/>
                <c:pt idx="0">
                  <c:v>9.345</c:v>
                </c:pt>
                <c:pt idx="1">
                  <c:v>9.7517</c:v>
                </c:pt>
                <c:pt idx="2">
                  <c:v>10.3967</c:v>
                </c:pt>
                <c:pt idx="3">
                  <c:v>10.15</c:v>
                </c:pt>
                <c:pt idx="4">
                  <c:v>9.9217</c:v>
                </c:pt>
              </c:numCache>
            </c:numRef>
          </c:val>
          <c:smooth val="0"/>
        </c:ser>
        <c:dLbls>
          <c:showLegendKey val="0"/>
          <c:showVal val="0"/>
          <c:showCatName val="0"/>
          <c:showSerName val="0"/>
          <c:showPercent val="0"/>
          <c:showBubbleSize val="0"/>
        </c:dLbls>
        <c:marker val="1"/>
        <c:smooth val="0"/>
        <c:axId val="455243728"/>
        <c:axId val="383790282"/>
      </c:lineChart>
      <c:catAx>
        <c:axId val="455243728"/>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sz="1200" b="1">
                    <a:solidFill>
                      <a:schemeClr val="tx1"/>
                    </a:solidFill>
                    <a:latin typeface="Times New Roman" panose="02020503050405090304" charset="0"/>
                    <a:cs typeface="Times New Roman" panose="02020503050405090304" charset="0"/>
                  </a:rPr>
                  <a:t>Study period (Days)</a:t>
                </a:r>
                <a:endParaRPr sz="1200" b="1">
                  <a:solidFill>
                    <a:schemeClr val="tx1"/>
                  </a:solidFill>
                  <a:latin typeface="Times New Roman" panose="02020503050405090304" charset="0"/>
                  <a:cs typeface="Times New Roman" panose="02020503050405090304" charset="0"/>
                </a:endParaRPr>
              </a:p>
            </c:rich>
          </c:tx>
          <c:layout>
            <c:manualLayout>
              <c:xMode val="edge"/>
              <c:yMode val="edge"/>
              <c:x val="0.416839309428951"/>
              <c:y val="0.87096018735363"/>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83790282"/>
        <c:crosses val="autoZero"/>
        <c:auto val="1"/>
        <c:lblAlgn val="ctr"/>
        <c:lblOffset val="100"/>
        <c:noMultiLvlLbl val="0"/>
      </c:catAx>
      <c:valAx>
        <c:axId val="383790282"/>
        <c:scaling>
          <c:orientation val="minMax"/>
          <c:min val="9"/>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sz="1200" b="1">
                    <a:solidFill>
                      <a:schemeClr val="tx1"/>
                    </a:solidFill>
                    <a:latin typeface="Times New Roman" panose="02020503050405090304" charset="0"/>
                    <a:cs typeface="Times New Roman" panose="02020503050405090304" charset="0"/>
                  </a:rPr>
                  <a:t>C</a:t>
                </a:r>
                <a:r>
                  <a:rPr sz="1200" b="1">
                    <a:solidFill>
                      <a:sysClr val="windowText" lastClr="000000"/>
                    </a:solidFill>
                    <a:latin typeface="Times New Roman" panose="02020503050405090304" charset="0"/>
                    <a:cs typeface="Times New Roman" panose="02020503050405090304" charset="0"/>
                  </a:rPr>
                  <a:t>alcium (mg/dL</a:t>
                </a:r>
                <a:r>
                  <a:rPr sz="1200" b="1">
                    <a:solidFill>
                      <a:schemeClr val="tx1"/>
                    </a:solidFill>
                    <a:latin typeface="Times New Roman" panose="02020503050405090304" charset="0"/>
                    <a:cs typeface="Times New Roman" panose="02020503050405090304" charset="0"/>
                  </a:rPr>
                  <a:t>)</a:t>
                </a:r>
                <a:endParaRPr sz="1200" b="1">
                  <a:solidFill>
                    <a:schemeClr val="tx1"/>
                  </a:solidFill>
                  <a:latin typeface="Times New Roman" panose="02020503050405090304" charset="0"/>
                  <a:cs typeface="Times New Roman" panose="02020503050405090304" charset="0"/>
                </a:endParaRPr>
              </a:p>
            </c:rich>
          </c:tx>
          <c:layout>
            <c:manualLayout>
              <c:xMode val="edge"/>
              <c:yMode val="edge"/>
              <c:x val="0.0231401137446447"/>
              <c:y val="0.25724161898763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55243728"/>
        <c:crosses val="autoZero"/>
        <c:crossBetween val="between"/>
      </c:valAx>
      <c:spPr>
        <a:noFill/>
        <a:ln>
          <a:noFill/>
        </a:ln>
        <a:effectLst/>
      </c:spPr>
    </c:plotArea>
    <c:legend>
      <c:legendPos val="b"/>
      <c:layout>
        <c:manualLayout>
          <c:xMode val="edge"/>
          <c:yMode val="edge"/>
          <c:x val="0.144355909694555"/>
          <c:y val="0.0398126463700234"/>
          <c:w val="0.150464807436919"/>
          <c:h val="0.100702576112412"/>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85a0456-aeeb-49dc-a237-6846eba69261}"/>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733067729084"/>
          <c:y val="0.0517038777908343"/>
          <c:w val="0.834050464807437"/>
          <c:h val="0.71219741480611"/>
        </c:manualLayout>
      </c:layout>
      <c:lineChart>
        <c:grouping val="standard"/>
        <c:varyColors val="0"/>
        <c:ser>
          <c:idx val="0"/>
          <c:order val="0"/>
          <c:tx>
            <c:strRef>
              <c:f>[Book1]Sheet1!$B$64</c:f>
              <c:strCache>
                <c:ptCount val="1"/>
                <c:pt idx="0">
                  <c:v>Group 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strRef>
              <c:f>[Book1]Sheet1!$A$65:$A$69</c:f>
              <c:strCache>
                <c:ptCount val="5"/>
                <c:pt idx="0">
                  <c:v>Day 0</c:v>
                </c:pt>
                <c:pt idx="1">
                  <c:v>Day 15</c:v>
                </c:pt>
                <c:pt idx="2">
                  <c:v>Day 30</c:v>
                </c:pt>
                <c:pt idx="3">
                  <c:v>Day 45</c:v>
                </c:pt>
                <c:pt idx="4">
                  <c:v>Day 60</c:v>
                </c:pt>
              </c:strCache>
            </c:strRef>
          </c:cat>
          <c:val>
            <c:numRef>
              <c:f>[Book1]Sheet1!$B$65:$B$69</c:f>
              <c:numCache>
                <c:formatCode>General</c:formatCode>
                <c:ptCount val="5"/>
                <c:pt idx="0">
                  <c:v>73.7667</c:v>
                </c:pt>
                <c:pt idx="1">
                  <c:v>135.7833</c:v>
                </c:pt>
                <c:pt idx="2">
                  <c:v>178.4</c:v>
                </c:pt>
                <c:pt idx="3">
                  <c:v>140.2167</c:v>
                </c:pt>
                <c:pt idx="4">
                  <c:v>126.4833</c:v>
                </c:pt>
              </c:numCache>
            </c:numRef>
          </c:val>
          <c:smooth val="0"/>
        </c:ser>
        <c:ser>
          <c:idx val="1"/>
          <c:order val="1"/>
          <c:tx>
            <c:strRef>
              <c:f>[Book1]Sheet1!$C$64</c:f>
              <c:strCache>
                <c:ptCount val="1"/>
                <c:pt idx="0">
                  <c:v>Group II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cat>
            <c:strRef>
              <c:f>[Book1]Sheet1!$A$65:$A$69</c:f>
              <c:strCache>
                <c:ptCount val="5"/>
                <c:pt idx="0">
                  <c:v>Day 0</c:v>
                </c:pt>
                <c:pt idx="1">
                  <c:v>Day 15</c:v>
                </c:pt>
                <c:pt idx="2">
                  <c:v>Day 30</c:v>
                </c:pt>
                <c:pt idx="3">
                  <c:v>Day 45</c:v>
                </c:pt>
                <c:pt idx="4">
                  <c:v>Day 60</c:v>
                </c:pt>
              </c:strCache>
            </c:strRef>
          </c:cat>
          <c:val>
            <c:numRef>
              <c:f>[Book1]Sheet1!$C$65:$C$69</c:f>
              <c:numCache>
                <c:formatCode>General</c:formatCode>
                <c:ptCount val="5"/>
                <c:pt idx="0">
                  <c:v>72.15</c:v>
                </c:pt>
                <c:pt idx="1">
                  <c:v>141.6167</c:v>
                </c:pt>
                <c:pt idx="2">
                  <c:v>204.7833</c:v>
                </c:pt>
                <c:pt idx="3">
                  <c:v>170.35</c:v>
                </c:pt>
                <c:pt idx="4">
                  <c:v>141.5</c:v>
                </c:pt>
              </c:numCache>
            </c:numRef>
          </c:val>
          <c:smooth val="0"/>
        </c:ser>
        <c:dLbls>
          <c:showLegendKey val="0"/>
          <c:showVal val="0"/>
          <c:showCatName val="0"/>
          <c:showSerName val="0"/>
          <c:showPercent val="0"/>
          <c:showBubbleSize val="0"/>
        </c:dLbls>
        <c:marker val="1"/>
        <c:smooth val="0"/>
        <c:axId val="557095127"/>
        <c:axId val="953956570"/>
      </c:lineChart>
      <c:catAx>
        <c:axId val="557095127"/>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sz="1200" b="1">
                    <a:solidFill>
                      <a:schemeClr val="tx1"/>
                    </a:solidFill>
                    <a:latin typeface="Times New Roman" panose="02020503050405090304" charset="0"/>
                    <a:cs typeface="Times New Roman" panose="02020503050405090304" charset="0"/>
                  </a:rPr>
                  <a:t>Study period (Days)</a:t>
                </a:r>
                <a:endParaRPr sz="1200" b="1">
                  <a:solidFill>
                    <a:schemeClr val="tx1"/>
                  </a:solidFill>
                  <a:latin typeface="Times New Roman" panose="02020503050405090304" charset="0"/>
                  <a:cs typeface="Times New Roman" panose="02020503050405090304" charset="0"/>
                </a:endParaRPr>
              </a:p>
            </c:rich>
          </c:tx>
          <c:layout>
            <c:manualLayout>
              <c:xMode val="edge"/>
              <c:yMode val="edge"/>
              <c:x val="0.420729680149459"/>
              <c:y val="0.880432235272774"/>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53956570"/>
        <c:crosses val="autoZero"/>
        <c:auto val="1"/>
        <c:lblAlgn val="ctr"/>
        <c:lblOffset val="100"/>
        <c:noMultiLvlLbl val="0"/>
      </c:catAx>
      <c:valAx>
        <c:axId val="953956570"/>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sz="1200" b="1">
                    <a:solidFill>
                      <a:schemeClr val="tx1"/>
                    </a:solidFill>
                    <a:latin typeface="Times New Roman" panose="02020503050405090304" charset="0"/>
                    <a:cs typeface="Times New Roman" panose="02020503050405090304" charset="0"/>
                  </a:rPr>
                  <a:t>ALP (U/L)</a:t>
                </a:r>
                <a:endParaRPr sz="1200" b="1">
                  <a:solidFill>
                    <a:schemeClr val="tx1"/>
                  </a:solidFill>
                  <a:latin typeface="Times New Roman" panose="02020503050405090304" charset="0"/>
                  <a:cs typeface="Times New Roman" panose="02020503050405090304" charset="0"/>
                </a:endParaRPr>
              </a:p>
            </c:rich>
          </c:tx>
          <c:layout>
            <c:manualLayout>
              <c:xMode val="edge"/>
              <c:yMode val="edge"/>
              <c:x val="0.0181938911022576"/>
              <c:y val="0.26608695652173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57095127"/>
        <c:crosses val="autoZero"/>
        <c:crossBetween val="between"/>
      </c:valAx>
      <c:spPr>
        <a:noFill/>
        <a:ln>
          <a:noFill/>
        </a:ln>
        <a:effectLst/>
      </c:spPr>
    </c:plotArea>
    <c:legend>
      <c:legendPos val="b"/>
      <c:layout>
        <c:manualLayout>
          <c:xMode val="edge"/>
          <c:yMode val="edge"/>
          <c:x val="0.133001984528928"/>
          <c:y val="0.0587544065804935"/>
          <c:w val="0.181009296148738"/>
          <c:h val="0.14524089306698"/>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879ce56-2711-48e2-8147-923ef940934c}"/>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5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5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5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3958</Words>
  <Characters>22561</Characters>
  <Lines>188</Lines>
  <Paragraphs>52</Paragraphs>
  <TotalTime>0</TotalTime>
  <ScaleCrop>false</ScaleCrop>
  <LinksUpToDate>false</LinksUpToDate>
  <CharactersWithSpaces>26467</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2026-04-07T03:50:00Z</dcterms:created>
  <dc:creator>WPS_1729087303</dc:creator>
  <cp:lastModifiedBy>WPS_1729087303</cp:lastModifiedBy>
  <dcterms:modified xsi:type="dcterms:W3CDTF">2026-04-14T23:10:39Z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D6B00F0D8D861F566A77DE69C61765C7_43</vt:lpwstr>
  </property>
</Properties>
</file>