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98FC2" w14:textId="783831BC" w:rsidR="008F47AC" w:rsidRPr="003B13C7" w:rsidRDefault="008F47AC" w:rsidP="003B13C7">
      <w:pPr>
        <w:spacing w:line="360" w:lineRule="auto"/>
        <w:jc w:val="both"/>
        <w:rPr>
          <w:rFonts w:ascii="Times New Roman" w:hAnsi="Times New Roman" w:cs="Times New Roman"/>
          <w:b/>
          <w:bCs/>
          <w:i/>
          <w:iCs/>
          <w:sz w:val="24"/>
          <w:szCs w:val="24"/>
          <w:u w:val="single"/>
          <w:lang w:val="en-US"/>
        </w:rPr>
      </w:pPr>
      <w:r w:rsidRPr="003B13C7">
        <w:rPr>
          <w:rFonts w:ascii="Times New Roman" w:hAnsi="Times New Roman" w:cs="Times New Roman"/>
          <w:b/>
          <w:bCs/>
          <w:i/>
          <w:iCs/>
          <w:sz w:val="24"/>
          <w:szCs w:val="24"/>
          <w:u w:val="single"/>
          <w:lang w:val="en-US"/>
        </w:rPr>
        <w:t>Review Article</w:t>
      </w:r>
    </w:p>
    <w:p w14:paraId="35E2E1CC" w14:textId="77777777" w:rsidR="009C799E" w:rsidRPr="009C799E" w:rsidRDefault="009C799E" w:rsidP="009C799E">
      <w:pPr>
        <w:spacing w:line="360" w:lineRule="auto"/>
        <w:jc w:val="both"/>
        <w:rPr>
          <w:rFonts w:ascii="Times New Roman" w:hAnsi="Times New Roman" w:cs="Times New Roman"/>
          <w:b/>
          <w:bCs/>
          <w:sz w:val="24"/>
          <w:szCs w:val="24"/>
          <w:lang w:val="en-US"/>
        </w:rPr>
      </w:pPr>
      <w:r w:rsidRPr="009C799E">
        <w:rPr>
          <w:rFonts w:ascii="Times New Roman" w:hAnsi="Times New Roman" w:cs="Times New Roman"/>
          <w:b/>
          <w:bCs/>
          <w:sz w:val="24"/>
          <w:szCs w:val="24"/>
          <w:lang w:val="en-US"/>
        </w:rPr>
        <w:t>Proteomic Approaches in Fish Biology: Insights into Aquaculture, Stress Responses, and Disease – A Mini-Review</w:t>
      </w:r>
    </w:p>
    <w:p w14:paraId="6690310E" w14:textId="776B06BF" w:rsidR="00636B86" w:rsidRDefault="00636B86" w:rsidP="003B13C7">
      <w:pPr>
        <w:spacing w:line="360" w:lineRule="auto"/>
        <w:jc w:val="both"/>
        <w:rPr>
          <w:rFonts w:ascii="Times New Roman" w:hAnsi="Times New Roman" w:cs="Times New Roman"/>
          <w:b/>
          <w:bCs/>
          <w:sz w:val="24"/>
          <w:szCs w:val="24"/>
          <w:lang w:val="en-US"/>
        </w:rPr>
      </w:pPr>
      <w:r w:rsidRPr="003B13C7">
        <w:rPr>
          <w:rFonts w:ascii="Times New Roman" w:hAnsi="Times New Roman" w:cs="Times New Roman"/>
          <w:b/>
          <w:bCs/>
          <w:sz w:val="24"/>
          <w:szCs w:val="24"/>
          <w:lang w:val="en-US"/>
        </w:rPr>
        <w:t>Abstract</w:t>
      </w:r>
      <w:r w:rsidR="00E7394D">
        <w:rPr>
          <w:rFonts w:ascii="Times New Roman" w:hAnsi="Times New Roman" w:cs="Times New Roman"/>
          <w:b/>
          <w:bCs/>
          <w:sz w:val="24"/>
          <w:szCs w:val="24"/>
          <w:lang w:val="en-US"/>
        </w:rPr>
        <w:t>:</w:t>
      </w:r>
    </w:p>
    <w:p w14:paraId="0DEBFE2D" w14:textId="54D0F28C" w:rsidR="00E7394D" w:rsidRPr="000E6942" w:rsidRDefault="00E7394D" w:rsidP="003B13C7">
      <w:pPr>
        <w:spacing w:line="360" w:lineRule="auto"/>
        <w:jc w:val="both"/>
        <w:rPr>
          <w:rFonts w:ascii="Times New Roman" w:hAnsi="Times New Roman" w:cs="Times New Roman"/>
          <w:bCs/>
          <w:sz w:val="24"/>
          <w:szCs w:val="24"/>
          <w:lang w:val="en-US"/>
        </w:rPr>
      </w:pPr>
      <w:r w:rsidRPr="00E7394D">
        <w:rPr>
          <w:rFonts w:ascii="Times New Roman" w:hAnsi="Times New Roman" w:cs="Times New Roman"/>
          <w:bCs/>
          <w:sz w:val="24"/>
          <w:szCs w:val="24"/>
          <w:lang w:val="en-US"/>
        </w:rPr>
        <w:t>The aquaculture industry faces significant challenges in achieving sustainable fish production amid growing demand. Proteomics, a cutting-edge omics technology, is revolutionizing fish health research by delivering molecular insights into pathogen identification, immune responses, and adaptations to environmental stress. Advanced mass spectrometry-based methods, such as matrix-assisted laser desorption/ionization time-of-flight mass spectrometry (MALDI-TOF MS), enable detailed characterization of any fish or aquatic product's proteome, accelerating the analysis of molecular mechanisms in complex aquatic environments. Over the past decade, omics technologies have gained traction in aquaculture, enhancing selective breeding programs through proteomic profiling of proteins linked to disease resistance, growth performance, and metabolic efficiency. This paves the way for precision aquaculture. A comprehensive review reveals that proteomics facilitates examination of key fish traits, identification of molecular markers for health and welfare, and promotion of sustainable development—ultimately ensuring the safety and quality of aquatic food products.</w:t>
      </w:r>
    </w:p>
    <w:p w14:paraId="5B8CFC71" w14:textId="2D2C6C9E" w:rsidR="007644B5" w:rsidRPr="007644B5" w:rsidRDefault="00A44C7B" w:rsidP="007644B5">
      <w:pPr>
        <w:spacing w:line="360" w:lineRule="auto"/>
        <w:jc w:val="both"/>
        <w:rPr>
          <w:rFonts w:ascii="Times New Roman" w:eastAsia="Times New Roman" w:hAnsi="Times New Roman" w:cs="Times New Roman"/>
          <w:b/>
          <w:kern w:val="0"/>
          <w:sz w:val="24"/>
          <w:szCs w:val="24"/>
          <w:lang w:eastAsia="en-IN"/>
          <w14:ligatures w14:val="none"/>
        </w:rPr>
      </w:pPr>
      <w:r w:rsidRPr="003B13C7">
        <w:rPr>
          <w:rFonts w:ascii="Times New Roman" w:eastAsia="Times New Roman" w:hAnsi="Times New Roman" w:cs="Times New Roman"/>
          <w:b/>
          <w:kern w:val="0"/>
          <w:sz w:val="24"/>
          <w:szCs w:val="24"/>
          <w:lang w:eastAsia="en-IN"/>
          <w14:ligatures w14:val="none"/>
        </w:rPr>
        <w:t>Key words: Aquaculture, Environment mo</w:t>
      </w:r>
      <w:r w:rsidR="007644B5">
        <w:rPr>
          <w:rFonts w:ascii="Times New Roman" w:eastAsia="Times New Roman" w:hAnsi="Times New Roman" w:cs="Times New Roman"/>
          <w:b/>
          <w:kern w:val="0"/>
          <w:sz w:val="24"/>
          <w:szCs w:val="24"/>
          <w:lang w:eastAsia="en-IN"/>
          <w14:ligatures w14:val="none"/>
        </w:rPr>
        <w:t>nitoring, Proteomics Techniques</w:t>
      </w:r>
    </w:p>
    <w:p w14:paraId="05FC087A" w14:textId="391BE73A" w:rsidR="003B13C7" w:rsidRPr="00373665" w:rsidRDefault="008D723D" w:rsidP="00373665">
      <w:pPr>
        <w:pStyle w:val="c-notestext"/>
        <w:shd w:val="clear" w:color="auto" w:fill="FFFFFF"/>
        <w:spacing w:before="0" w:beforeAutospacing="0" w:after="0" w:afterAutospacing="0"/>
        <w:jc w:val="center"/>
        <w:rPr>
          <w:rFonts w:ascii="Helvetica" w:hAnsi="Helvetica"/>
          <w:color w:val="222222"/>
          <w:sz w:val="27"/>
          <w:szCs w:val="27"/>
        </w:rPr>
      </w:pPr>
      <w:r>
        <w:rPr>
          <w:rFonts w:ascii="Helvetica" w:hAnsi="Helvetica"/>
          <w:color w:val="222222"/>
          <w:sz w:val="27"/>
          <w:szCs w:val="27"/>
        </w:rPr>
        <w:t> </w:t>
      </w:r>
    </w:p>
    <w:p w14:paraId="4B90EC5D" w14:textId="77777777" w:rsidR="007E5CAD" w:rsidRDefault="007E5CAD" w:rsidP="003B13C7">
      <w:pPr>
        <w:spacing w:line="360" w:lineRule="auto"/>
        <w:rPr>
          <w:rFonts w:ascii="Times New Roman" w:hAnsi="Times New Roman" w:cs="Times New Roman"/>
          <w:b/>
          <w:bCs/>
          <w:sz w:val="24"/>
          <w:szCs w:val="24"/>
          <w:lang w:val="en-US"/>
        </w:rPr>
      </w:pPr>
    </w:p>
    <w:p w14:paraId="1C4FF41D" w14:textId="42AB9571" w:rsidR="00636B86" w:rsidRPr="003B13C7" w:rsidRDefault="00636B86" w:rsidP="003B13C7">
      <w:pPr>
        <w:spacing w:line="360" w:lineRule="auto"/>
        <w:rPr>
          <w:rFonts w:ascii="Times New Roman" w:hAnsi="Times New Roman" w:cs="Times New Roman"/>
          <w:b/>
          <w:bCs/>
          <w:sz w:val="24"/>
          <w:szCs w:val="24"/>
          <w:lang w:val="en-US"/>
        </w:rPr>
      </w:pPr>
      <w:r w:rsidRPr="003B13C7">
        <w:rPr>
          <w:rFonts w:ascii="Times New Roman" w:hAnsi="Times New Roman" w:cs="Times New Roman"/>
          <w:b/>
          <w:bCs/>
          <w:sz w:val="24"/>
          <w:szCs w:val="24"/>
          <w:lang w:val="en-US"/>
        </w:rPr>
        <w:t>1.Introduction</w:t>
      </w:r>
    </w:p>
    <w:p w14:paraId="59257944" w14:textId="50DADF11" w:rsidR="00B4208E" w:rsidRPr="00B4208E" w:rsidRDefault="00B4208E" w:rsidP="00B4208E">
      <w:pPr>
        <w:spacing w:line="360" w:lineRule="auto"/>
        <w:jc w:val="both"/>
        <w:rPr>
          <w:rFonts w:ascii="Times New Roman" w:hAnsi="Times New Roman" w:cs="Times New Roman"/>
          <w:bCs/>
          <w:sz w:val="24"/>
          <w:szCs w:val="24"/>
          <w:lang w:val="en-US"/>
        </w:rPr>
      </w:pPr>
      <w:r w:rsidRPr="00B4208E">
        <w:rPr>
          <w:rFonts w:ascii="Times New Roman" w:hAnsi="Times New Roman" w:cs="Times New Roman"/>
          <w:bCs/>
          <w:sz w:val="24"/>
          <w:szCs w:val="24"/>
          <w:lang w:val="en-US"/>
        </w:rPr>
        <w:t xml:space="preserve">Global food and nutritional security </w:t>
      </w:r>
      <w:proofErr w:type="gramStart"/>
      <w:r w:rsidRPr="00B4208E">
        <w:rPr>
          <w:rFonts w:ascii="Times New Roman" w:hAnsi="Times New Roman" w:cs="Times New Roman"/>
          <w:bCs/>
          <w:sz w:val="24"/>
          <w:szCs w:val="24"/>
          <w:lang w:val="en-US"/>
        </w:rPr>
        <w:t>relies</w:t>
      </w:r>
      <w:proofErr w:type="gramEnd"/>
      <w:r w:rsidRPr="00B4208E">
        <w:rPr>
          <w:rFonts w:ascii="Times New Roman" w:hAnsi="Times New Roman" w:cs="Times New Roman"/>
          <w:bCs/>
          <w:sz w:val="24"/>
          <w:szCs w:val="24"/>
          <w:lang w:val="en-US"/>
        </w:rPr>
        <w:t xml:space="preserve"> heavily on fisheries and aquaculture. In 2020, aquaculture contributed a substantial 87.5 million tonnes to the world's 178 million tonnes of aquatic animal production (FAO, 2022). In India, inland fisheries account for 75% of total fish production, with a marked shift from capture fisheries to aquaculture over the past two and a half decades. Over the last decade, proteomics has emerged as a key discipline in aquaculture, advancing the sector's goals of scaling production while ensuring high-quality, sustainable products.</w:t>
      </w:r>
      <w:r>
        <w:rPr>
          <w:rFonts w:ascii="Times New Roman" w:hAnsi="Times New Roman" w:cs="Times New Roman"/>
          <w:bCs/>
          <w:sz w:val="24"/>
          <w:szCs w:val="24"/>
          <w:lang w:val="en-US"/>
        </w:rPr>
        <w:t xml:space="preserve"> </w:t>
      </w:r>
      <w:r w:rsidRPr="00B4208E">
        <w:rPr>
          <w:rFonts w:ascii="Times New Roman" w:hAnsi="Times New Roman" w:cs="Times New Roman"/>
          <w:bCs/>
          <w:sz w:val="24"/>
          <w:szCs w:val="24"/>
          <w:lang w:val="en-US"/>
        </w:rPr>
        <w:t xml:space="preserve">Proteomic changes occur across fish life stages, underscoring the role of signaling events in adapting to dynamic environments. Advanced proteomics can map detailed proteomes, revealing key proteins in disease mechanisms and host-microbial interactions. Earlier techniques have supported applications in developmental biology, toxicology, </w:t>
      </w:r>
      <w:r w:rsidRPr="00B4208E">
        <w:rPr>
          <w:rFonts w:ascii="Times New Roman" w:hAnsi="Times New Roman" w:cs="Times New Roman"/>
          <w:bCs/>
          <w:sz w:val="24"/>
          <w:szCs w:val="24"/>
          <w:lang w:val="en-US"/>
        </w:rPr>
        <w:lastRenderedPageBreak/>
        <w:t>environmental monitoring, disease, health, and proteome profiling using gel-based and label-free methods (Nissa et al., 2021). Label-free proteomics offers superior consistency, peptide identification confidence, quantification accuracy, and proteome coverage via mass spectrometry (MS), enabling multiplexed analysis of complex samples (Nissa et al., 2021; Ma et al., 2020; Zecha et al., 2019). Label-based approaches include TMT (tandem mass tag), ICAT (isotope-coded affinity tag), metabolomics, SILAC (stable isotope labeling of amino acids in cell culture), and spiking synthetic labeled peptides (Nissa et al., 2021). In fisheries, TMT-based proteomics has identified fillet quality markers, fish parasites, toxicity responses, stress, and metabolic pathways (Wang et al., 2023; Fan et al., 2022; Wu et al., 2022; Xiang et al., 2020).</w:t>
      </w:r>
    </w:p>
    <w:p w14:paraId="7485C1F1" w14:textId="64C4A541" w:rsidR="00B4208E" w:rsidRPr="00B4208E" w:rsidRDefault="005C5A0A" w:rsidP="00B4208E">
      <w:pPr>
        <w:spacing w:line="360" w:lineRule="auto"/>
        <w:rPr>
          <w:rFonts w:ascii="Times New Roman" w:hAnsi="Times New Roman" w:cs="Times New Roman"/>
          <w:b/>
          <w:bCs/>
          <w:sz w:val="24"/>
          <w:szCs w:val="24"/>
          <w:lang w:val="en-US"/>
        </w:rPr>
      </w:pPr>
      <w:r w:rsidRPr="003B13C7">
        <w:rPr>
          <w:rFonts w:ascii="Times New Roman" w:hAnsi="Times New Roman" w:cs="Times New Roman"/>
          <w:b/>
          <w:bCs/>
          <w:sz w:val="24"/>
          <w:szCs w:val="24"/>
        </w:rPr>
        <w:t xml:space="preserve">2. </w:t>
      </w:r>
      <w:r w:rsidR="00B4208E" w:rsidRPr="00B4208E">
        <w:rPr>
          <w:rFonts w:ascii="Times New Roman" w:hAnsi="Times New Roman" w:cs="Times New Roman"/>
          <w:b/>
          <w:bCs/>
          <w:sz w:val="24"/>
          <w:szCs w:val="24"/>
          <w:lang w:val="en-US"/>
        </w:rPr>
        <w:t>Proteomic Approaches in Aquaculture</w:t>
      </w:r>
    </w:p>
    <w:p w14:paraId="679ADA12" w14:textId="43AEDBA5" w:rsidR="00BA5F05" w:rsidRPr="00944593" w:rsidRDefault="00B4208E" w:rsidP="00944593">
      <w:pPr>
        <w:spacing w:line="360" w:lineRule="auto"/>
        <w:jc w:val="both"/>
        <w:rPr>
          <w:rFonts w:ascii="Times New Roman" w:hAnsi="Times New Roman" w:cs="Times New Roman"/>
          <w:bCs/>
          <w:sz w:val="24"/>
          <w:szCs w:val="24"/>
          <w:lang w:val="en-US"/>
        </w:rPr>
      </w:pPr>
      <w:r w:rsidRPr="00B4208E">
        <w:rPr>
          <w:rFonts w:ascii="Times New Roman" w:hAnsi="Times New Roman" w:cs="Times New Roman"/>
          <w:bCs/>
          <w:sz w:val="24"/>
          <w:szCs w:val="24"/>
          <w:lang w:val="en-US"/>
        </w:rPr>
        <w:t xml:space="preserve">Proteomic techniques in aquaculture rely on fundamental </w:t>
      </w:r>
      <w:r w:rsidR="00C8191E">
        <w:rPr>
          <w:rFonts w:ascii="Times New Roman" w:hAnsi="Times New Roman" w:cs="Times New Roman"/>
          <w:bCs/>
          <w:sz w:val="24"/>
          <w:szCs w:val="24"/>
          <w:lang w:val="en-US"/>
        </w:rPr>
        <w:t xml:space="preserve">methods for protein separation, </w:t>
      </w:r>
      <w:r w:rsidRPr="00B4208E">
        <w:rPr>
          <w:rFonts w:ascii="Times New Roman" w:hAnsi="Times New Roman" w:cs="Times New Roman"/>
          <w:bCs/>
          <w:sz w:val="24"/>
          <w:szCs w:val="24"/>
          <w:lang w:val="en-US"/>
        </w:rPr>
        <w:t>identification, and quantification, supporting both funct</w:t>
      </w:r>
      <w:r w:rsidR="00C8191E">
        <w:rPr>
          <w:rFonts w:ascii="Times New Roman" w:hAnsi="Times New Roman" w:cs="Times New Roman"/>
          <w:bCs/>
          <w:sz w:val="24"/>
          <w:szCs w:val="24"/>
          <w:lang w:val="en-US"/>
        </w:rPr>
        <w:t xml:space="preserve">ional and expression proteomics </w:t>
      </w:r>
      <w:r w:rsidRPr="00B4208E">
        <w:rPr>
          <w:rFonts w:ascii="Times New Roman" w:hAnsi="Times New Roman" w:cs="Times New Roman"/>
          <w:bCs/>
          <w:sz w:val="24"/>
          <w:szCs w:val="24"/>
          <w:lang w:val="en-US"/>
        </w:rPr>
        <w:t>(Monti et al., 2005). Expression proteomics quantifies proteome or sub-proteome changes across samples, revealing proteins in biological pathways or those altered by disease, toxins, or stressors (Bradley et al., 2009). Affinity-based techniques, such as immunoprecipitation, exploit ligand-binding properties to isolate target proteins and their interactors from total extracts (Monti et al., 2009).</w:t>
      </w:r>
      <w:r w:rsidR="00C8191E">
        <w:rPr>
          <w:rFonts w:ascii="Times New Roman" w:hAnsi="Times New Roman" w:cs="Times New Roman"/>
          <w:bCs/>
          <w:sz w:val="24"/>
          <w:szCs w:val="24"/>
          <w:lang w:val="en-US"/>
        </w:rPr>
        <w:t xml:space="preserve"> </w:t>
      </w:r>
      <w:r w:rsidRPr="00B4208E">
        <w:rPr>
          <w:rFonts w:ascii="Times New Roman" w:hAnsi="Times New Roman" w:cs="Times New Roman"/>
          <w:bCs/>
          <w:sz w:val="24"/>
          <w:szCs w:val="24"/>
          <w:lang w:val="en-US"/>
        </w:rPr>
        <w:t>A standard workflow encompasses sample preparation, protein separation, digestion, and identification. Key methods include mass spectrometry (MS), protein microarrays, chromatography, and gel electrophoresis (Vadivel, 2015).</w:t>
      </w:r>
      <w:r w:rsidR="00C8191E">
        <w:rPr>
          <w:rFonts w:ascii="Times New Roman" w:hAnsi="Times New Roman" w:cs="Times New Roman"/>
          <w:bCs/>
          <w:sz w:val="24"/>
          <w:szCs w:val="24"/>
          <w:lang w:val="en-US"/>
        </w:rPr>
        <w:t xml:space="preserve"> </w:t>
      </w:r>
      <w:r w:rsidRPr="00B4208E">
        <w:rPr>
          <w:rFonts w:ascii="Times New Roman" w:hAnsi="Times New Roman" w:cs="Times New Roman"/>
          <w:bCs/>
          <w:sz w:val="24"/>
          <w:szCs w:val="24"/>
          <w:lang w:val="en-US"/>
        </w:rPr>
        <w:t>Proteins are commonly separated via polyacrylamide gels using one-dimensional (1-DE) or two-dimensional electrophoresis (2-DE) (Vadivel, 2015).1-DE: This robust method suits complex samples. For instance, 1-DE (10% acrylamide) with label-free quantification detected ~3,000 proteins in rainbow trout liver during Aeromonas salmonicida infection (Causey et al., 2018).2-DE: The gold standard for gel-based profiling, it separates hundreds of proteins per gel by isoelectric point (pI) in the first dimension and molecular weight in the second (Meleady, 2018).</w:t>
      </w:r>
    </w:p>
    <w:p w14:paraId="1084CDF6" w14:textId="0A65A9A4" w:rsidR="003B13C7" w:rsidRPr="00B4208E" w:rsidRDefault="000962F7" w:rsidP="003B13C7">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val="en-US"/>
          <w14:ligatures w14:val="none"/>
        </w:rPr>
        <w:lastRenderedPageBreak/>
        <w:drawing>
          <wp:inline distT="0" distB="0" distL="0" distR="0" wp14:anchorId="7929C1EE" wp14:editId="11F6C5C9">
            <wp:extent cx="5731510" cy="31261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mini_Generated_Image_n1kr5rn1kr5rn1k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5FEA77C" w14:textId="0420D33B" w:rsidR="000962F7" w:rsidRPr="00AD1CBB" w:rsidRDefault="000962F7" w:rsidP="00AD1CBB">
      <w:pPr>
        <w:spacing w:line="360" w:lineRule="auto"/>
        <w:jc w:val="center"/>
        <w:rPr>
          <w:rFonts w:ascii="Times New Roman" w:hAnsi="Times New Roman" w:cs="Times New Roman"/>
          <w:sz w:val="24"/>
          <w:szCs w:val="24"/>
        </w:rPr>
      </w:pPr>
      <w:r w:rsidRPr="000962F7">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0962F7">
        <w:rPr>
          <w:rFonts w:ascii="Times New Roman" w:hAnsi="Times New Roman" w:cs="Times New Roman"/>
          <w:b/>
          <w:bCs/>
          <w:sz w:val="24"/>
          <w:szCs w:val="24"/>
        </w:rPr>
        <w:t xml:space="preserve">: </w:t>
      </w:r>
      <w:r>
        <w:rPr>
          <w:rFonts w:ascii="Times New Roman" w:hAnsi="Times New Roman" w:cs="Times New Roman"/>
          <w:b/>
          <w:bCs/>
          <w:sz w:val="24"/>
          <w:szCs w:val="24"/>
        </w:rPr>
        <w:t xml:space="preserve"> O</w:t>
      </w:r>
      <w:r w:rsidRPr="000962F7">
        <w:rPr>
          <w:rFonts w:ascii="Times New Roman" w:hAnsi="Times New Roman" w:cs="Times New Roman"/>
          <w:b/>
          <w:bCs/>
          <w:sz w:val="24"/>
          <w:szCs w:val="24"/>
        </w:rPr>
        <w:t xml:space="preserve">verview for a typical proteomic </w:t>
      </w:r>
      <w:r>
        <w:rPr>
          <w:rFonts w:ascii="Times New Roman" w:hAnsi="Times New Roman" w:cs="Times New Roman"/>
          <w:b/>
          <w:bCs/>
          <w:sz w:val="24"/>
          <w:szCs w:val="24"/>
        </w:rPr>
        <w:t xml:space="preserve">fish </w:t>
      </w:r>
      <w:r w:rsidRPr="000962F7">
        <w:rPr>
          <w:rFonts w:ascii="Times New Roman" w:hAnsi="Times New Roman" w:cs="Times New Roman"/>
          <w:b/>
          <w:bCs/>
          <w:sz w:val="24"/>
          <w:szCs w:val="24"/>
        </w:rPr>
        <w:t>experiment</w:t>
      </w:r>
    </w:p>
    <w:p w14:paraId="17128292" w14:textId="494DC00C" w:rsidR="006038FB" w:rsidRPr="006038FB" w:rsidRDefault="005C5A0A" w:rsidP="006038FB">
      <w:pPr>
        <w:spacing w:line="360" w:lineRule="auto"/>
        <w:jc w:val="both"/>
        <w:rPr>
          <w:rFonts w:ascii="Times New Roman" w:hAnsi="Times New Roman" w:cs="Times New Roman"/>
          <w:b/>
          <w:bCs/>
          <w:sz w:val="24"/>
          <w:szCs w:val="24"/>
        </w:rPr>
      </w:pPr>
      <w:r w:rsidRPr="003B13C7">
        <w:rPr>
          <w:rFonts w:ascii="Times New Roman" w:hAnsi="Times New Roman" w:cs="Times New Roman"/>
          <w:b/>
          <w:bCs/>
          <w:sz w:val="24"/>
          <w:szCs w:val="24"/>
        </w:rPr>
        <w:t xml:space="preserve">3. </w:t>
      </w:r>
      <w:r w:rsidR="006038FB" w:rsidRPr="006038FB">
        <w:rPr>
          <w:rFonts w:ascii="Times New Roman" w:hAnsi="Times New Roman" w:cs="Times New Roman"/>
          <w:b/>
          <w:bCs/>
          <w:sz w:val="24"/>
          <w:szCs w:val="24"/>
          <w:lang w:val="en-US"/>
        </w:rPr>
        <w:t>Mass Spectrometry in Proteomic Workflows</w:t>
      </w:r>
    </w:p>
    <w:p w14:paraId="61100E42" w14:textId="74F8782B" w:rsidR="006038FB" w:rsidRPr="006038FB" w:rsidRDefault="006038FB" w:rsidP="006038FB">
      <w:pPr>
        <w:spacing w:line="360" w:lineRule="auto"/>
        <w:jc w:val="both"/>
        <w:rPr>
          <w:rFonts w:ascii="Times New Roman" w:hAnsi="Times New Roman" w:cs="Times New Roman"/>
          <w:bCs/>
          <w:sz w:val="24"/>
          <w:szCs w:val="24"/>
          <w:lang w:val="en-US"/>
        </w:rPr>
      </w:pPr>
      <w:r w:rsidRPr="006038FB">
        <w:rPr>
          <w:rFonts w:ascii="Times New Roman" w:hAnsi="Times New Roman" w:cs="Times New Roman"/>
          <w:bCs/>
          <w:sz w:val="24"/>
          <w:szCs w:val="24"/>
          <w:lang w:val="en-US"/>
        </w:rPr>
        <w:t>Mass spectrometry (MS) serves as the cornerstone for protein identification and quantification in proteomics, generating raw data from ionized analytes separated by mass-to-charge (m/z) ratio (Urban, 2016). A typical MS system includes an ionization source, mass analyzer, and detector. In HPLC-MS/MS setups, analytes from HPLC are ionized (e.g., via electrospray ionization [ESI] or matrix-assisted laser desorption/ionization [MALDI]) before analysis. These soft ionization methods produce protonated peptides, with MALDI favoring singly charged ions for rapid m/z separation (Singhal et al., 2015).</w:t>
      </w:r>
      <w:r>
        <w:rPr>
          <w:rFonts w:ascii="Times New Roman" w:hAnsi="Times New Roman" w:cs="Times New Roman"/>
          <w:bCs/>
          <w:sz w:val="24"/>
          <w:szCs w:val="24"/>
          <w:lang w:val="en-US"/>
        </w:rPr>
        <w:t xml:space="preserve"> </w:t>
      </w:r>
      <w:r w:rsidRPr="006038FB">
        <w:rPr>
          <w:rFonts w:ascii="Times New Roman" w:hAnsi="Times New Roman" w:cs="Times New Roman"/>
          <w:bCs/>
          <w:sz w:val="24"/>
          <w:szCs w:val="24"/>
          <w:lang w:val="en-US"/>
        </w:rPr>
        <w:t>MALDI-TOF Applications: This technique excels in aquatic proteomics for its speed, robustness, high throughput, and cost-effectiveness—ideal alternatives to traditional methods despite MS's high upfront costs (Dieme et al., 2014). It supports bacterial/species identification in aquaculture settings.</w:t>
      </w:r>
    </w:p>
    <w:p w14:paraId="3EDDBF08" w14:textId="04A1C2F3" w:rsidR="007E5CAD" w:rsidRDefault="007E5CAD" w:rsidP="006038FB">
      <w:pPr>
        <w:spacing w:line="360" w:lineRule="auto"/>
        <w:jc w:val="both"/>
        <w:rPr>
          <w:rFonts w:ascii="Times New Roman" w:hAnsi="Times New Roman" w:cs="Times New Roman"/>
          <w:b/>
          <w:bCs/>
          <w:sz w:val="24"/>
          <w:szCs w:val="24"/>
          <w:lang w:val="en-US"/>
        </w:rPr>
      </w:pPr>
    </w:p>
    <w:p w14:paraId="4CC0A29E" w14:textId="77777777" w:rsidR="00AD1CBB" w:rsidRDefault="00AD1CBB" w:rsidP="006038FB">
      <w:pPr>
        <w:spacing w:line="360" w:lineRule="auto"/>
        <w:jc w:val="both"/>
        <w:rPr>
          <w:rFonts w:ascii="Times New Roman" w:hAnsi="Times New Roman" w:cs="Times New Roman"/>
          <w:b/>
          <w:bCs/>
          <w:sz w:val="24"/>
          <w:szCs w:val="24"/>
          <w:lang w:val="en-US"/>
        </w:rPr>
      </w:pPr>
    </w:p>
    <w:p w14:paraId="3FFFDE4E" w14:textId="19DFEEED" w:rsidR="006038FB" w:rsidRPr="00AD1CBB" w:rsidRDefault="006038FB" w:rsidP="006038FB">
      <w:pPr>
        <w:spacing w:line="360" w:lineRule="auto"/>
        <w:jc w:val="both"/>
        <w:rPr>
          <w:rFonts w:ascii="Times New Roman" w:hAnsi="Times New Roman" w:cs="Times New Roman"/>
          <w:bCs/>
          <w:sz w:val="24"/>
          <w:szCs w:val="24"/>
          <w:lang w:val="en-US"/>
        </w:rPr>
      </w:pPr>
      <w:r w:rsidRPr="00AD1CBB">
        <w:rPr>
          <w:rFonts w:ascii="Times New Roman" w:hAnsi="Times New Roman" w:cs="Times New Roman"/>
          <w:bCs/>
          <w:sz w:val="24"/>
          <w:szCs w:val="24"/>
          <w:lang w:val="en-US"/>
        </w:rPr>
        <w:t>Targeted Proteomics and Quantification</w:t>
      </w:r>
    </w:p>
    <w:p w14:paraId="5600387E" w14:textId="77777777" w:rsidR="006038FB" w:rsidRPr="006038FB" w:rsidRDefault="006038FB" w:rsidP="006038FB">
      <w:pPr>
        <w:spacing w:line="360" w:lineRule="auto"/>
        <w:jc w:val="both"/>
        <w:rPr>
          <w:rFonts w:ascii="Times New Roman" w:hAnsi="Times New Roman" w:cs="Times New Roman"/>
          <w:bCs/>
          <w:sz w:val="24"/>
          <w:szCs w:val="24"/>
          <w:lang w:val="en-US"/>
        </w:rPr>
      </w:pPr>
      <w:r w:rsidRPr="006038FB">
        <w:rPr>
          <w:rFonts w:ascii="Times New Roman" w:hAnsi="Times New Roman" w:cs="Times New Roman"/>
          <w:bCs/>
          <w:sz w:val="24"/>
          <w:szCs w:val="24"/>
          <w:lang w:val="en-US"/>
        </w:rPr>
        <w:t>Targeted proteomics offers immunoassay alternatives, precisely detecting fish/food proteins and peptides with high specificity, reproducibility, and accuracy (Manes &amp; Nita-Lazar, 2018). It bridges systems biology across omics fields, aiding biomarker discovery in stress or disease.</w:t>
      </w:r>
    </w:p>
    <w:p w14:paraId="618411AA" w14:textId="77777777" w:rsidR="006038FB" w:rsidRPr="00AD1CBB" w:rsidRDefault="006038FB" w:rsidP="006038FB">
      <w:pPr>
        <w:spacing w:line="360" w:lineRule="auto"/>
        <w:jc w:val="both"/>
        <w:rPr>
          <w:rFonts w:ascii="Times New Roman" w:hAnsi="Times New Roman" w:cs="Times New Roman"/>
          <w:bCs/>
          <w:sz w:val="24"/>
          <w:szCs w:val="24"/>
          <w:lang w:val="en-US"/>
        </w:rPr>
      </w:pPr>
      <w:r w:rsidRPr="00AD1CBB">
        <w:rPr>
          <w:rFonts w:ascii="Times New Roman" w:hAnsi="Times New Roman" w:cs="Times New Roman"/>
          <w:bCs/>
          <w:sz w:val="24"/>
          <w:szCs w:val="24"/>
          <w:lang w:val="en-US"/>
        </w:rPr>
        <w:t>Bioinformatics and Data Analysis</w:t>
      </w:r>
    </w:p>
    <w:p w14:paraId="22A68312" w14:textId="414DCB62" w:rsidR="006038FB" w:rsidRPr="006038FB" w:rsidRDefault="006038FB" w:rsidP="006038FB">
      <w:pPr>
        <w:spacing w:line="360" w:lineRule="auto"/>
        <w:jc w:val="both"/>
        <w:rPr>
          <w:rFonts w:ascii="Times New Roman" w:hAnsi="Times New Roman" w:cs="Times New Roman"/>
          <w:bCs/>
          <w:sz w:val="24"/>
          <w:szCs w:val="24"/>
          <w:lang w:val="en-US"/>
        </w:rPr>
      </w:pPr>
      <w:r w:rsidRPr="006038FB">
        <w:rPr>
          <w:rFonts w:ascii="Times New Roman" w:hAnsi="Times New Roman" w:cs="Times New Roman"/>
          <w:bCs/>
          <w:sz w:val="24"/>
          <w:szCs w:val="24"/>
          <w:lang w:val="en-US"/>
        </w:rPr>
        <w:lastRenderedPageBreak/>
        <w:t xml:space="preserve">Bioinformatics is integral from raw MS data processing to interpretation, enabling multi-omics integration for biological insights (Prasanna-Mohanty et al., 2019). Search engines like Sequest, Comet, </w:t>
      </w:r>
      <w:proofErr w:type="gramStart"/>
      <w:r w:rsidRPr="006038FB">
        <w:rPr>
          <w:rFonts w:ascii="Times New Roman" w:hAnsi="Times New Roman" w:cs="Times New Roman"/>
          <w:bCs/>
          <w:sz w:val="24"/>
          <w:szCs w:val="24"/>
          <w:lang w:val="en-US"/>
        </w:rPr>
        <w:t>X!Tandem</w:t>
      </w:r>
      <w:proofErr w:type="gramEnd"/>
      <w:r w:rsidRPr="006038FB">
        <w:rPr>
          <w:rFonts w:ascii="Times New Roman" w:hAnsi="Times New Roman" w:cs="Times New Roman"/>
          <w:bCs/>
          <w:sz w:val="24"/>
          <w:szCs w:val="24"/>
          <w:lang w:val="en-US"/>
        </w:rPr>
        <w:t>, Mascot, and MaxQuant (Andromeda) match spectra against databases derived from fish genomes/transcriptomes—NCBI holds sequences for 331 fish species, including 24 aquaculture ones (Ting et al., 2015).</w:t>
      </w:r>
    </w:p>
    <w:p w14:paraId="68FF1AFC" w14:textId="77777777" w:rsidR="006038FB" w:rsidRPr="00AD1CBB" w:rsidRDefault="006038FB" w:rsidP="006038FB">
      <w:pPr>
        <w:spacing w:line="360" w:lineRule="auto"/>
        <w:jc w:val="both"/>
        <w:rPr>
          <w:rFonts w:ascii="Times New Roman" w:hAnsi="Times New Roman" w:cs="Times New Roman"/>
          <w:bCs/>
          <w:sz w:val="24"/>
          <w:szCs w:val="24"/>
          <w:lang w:val="en-US"/>
        </w:rPr>
      </w:pPr>
      <w:r w:rsidRPr="00AD1CBB">
        <w:rPr>
          <w:rFonts w:ascii="Times New Roman" w:hAnsi="Times New Roman" w:cs="Times New Roman"/>
          <w:bCs/>
          <w:sz w:val="24"/>
          <w:szCs w:val="24"/>
          <w:lang w:val="en-US"/>
        </w:rPr>
        <w:t>Biomonitoring and Practical Applications</w:t>
      </w:r>
    </w:p>
    <w:p w14:paraId="49743EA6" w14:textId="6B9ABBFE" w:rsidR="006038FB" w:rsidRDefault="006038FB" w:rsidP="003B13C7">
      <w:pPr>
        <w:spacing w:line="360" w:lineRule="auto"/>
        <w:jc w:val="both"/>
        <w:rPr>
          <w:rFonts w:ascii="Times New Roman" w:hAnsi="Times New Roman" w:cs="Times New Roman"/>
          <w:bCs/>
          <w:sz w:val="24"/>
          <w:szCs w:val="24"/>
          <w:lang w:val="en-US"/>
        </w:rPr>
      </w:pPr>
      <w:r w:rsidRPr="006038FB">
        <w:rPr>
          <w:rFonts w:ascii="Times New Roman" w:hAnsi="Times New Roman" w:cs="Times New Roman"/>
          <w:bCs/>
          <w:sz w:val="24"/>
          <w:szCs w:val="24"/>
          <w:lang w:val="en-US"/>
        </w:rPr>
        <w:t>MS supports biomonitoring by profiling protein extracts varying in hydrophobicity, pI, aromaticity, and molecular weight, informing ELISA for seafood allergies (Bose et al., 2021). Standardized protocols extract/digest peptides from marine biomass (e.g., salmon, tilapia, shrimp) for feed analysis (Colatriano et al., 2015; Leduc et al., 2020).</w:t>
      </w:r>
      <w:r>
        <w:rPr>
          <w:rFonts w:ascii="Times New Roman" w:hAnsi="Times New Roman" w:cs="Times New Roman"/>
          <w:bCs/>
          <w:sz w:val="24"/>
          <w:szCs w:val="24"/>
          <w:lang w:val="en-US"/>
        </w:rPr>
        <w:t xml:space="preserve"> </w:t>
      </w:r>
      <w:r w:rsidRPr="006038FB">
        <w:rPr>
          <w:rFonts w:ascii="Times New Roman" w:hAnsi="Times New Roman" w:cs="Times New Roman"/>
          <w:bCs/>
          <w:sz w:val="24"/>
          <w:szCs w:val="24"/>
          <w:lang w:val="en-US"/>
        </w:rPr>
        <w:t>Protein fingerprinting (peptide mass fingerprinting) assesses structural similarities via MS, enhanced by bioinformatics and dynamic vibration analysis (Cue et al., 2014; Niessner et al., 2019). It elucidates protein-protein interactions under environmental stress, as in H₂O₂-mediated inhibition of algae (Scenedesmus obliquus) metabolism (Zhang et al., 2022).</w:t>
      </w:r>
    </w:p>
    <w:p w14:paraId="2A2AE7A6" w14:textId="1D62A2C9" w:rsidR="000962F7" w:rsidRDefault="002C401A" w:rsidP="003B13C7">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0962F7">
        <w:rPr>
          <w:rFonts w:ascii="Times New Roman" w:hAnsi="Times New Roman" w:cs="Times New Roman"/>
          <w:bCs/>
          <w:noProof/>
          <w:sz w:val="24"/>
          <w:szCs w:val="24"/>
          <w:lang w:val="en-US"/>
        </w:rPr>
        <w:drawing>
          <wp:inline distT="0" distB="0" distL="0" distR="0" wp14:anchorId="42951E06" wp14:editId="5B768EFA">
            <wp:extent cx="3705225" cy="24484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264" cy="2454378"/>
                    </a:xfrm>
                    <a:prstGeom prst="rect">
                      <a:avLst/>
                    </a:prstGeom>
                    <a:noFill/>
                  </pic:spPr>
                </pic:pic>
              </a:graphicData>
            </a:graphic>
          </wp:inline>
        </w:drawing>
      </w:r>
    </w:p>
    <w:p w14:paraId="33E08F08" w14:textId="08018591" w:rsidR="000962F7" w:rsidRPr="000962F7" w:rsidRDefault="002C401A" w:rsidP="000962F7">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0962F7" w:rsidRPr="000962F7">
        <w:rPr>
          <w:rFonts w:ascii="Times New Roman" w:hAnsi="Times New Roman" w:cs="Times New Roman"/>
          <w:b/>
          <w:bCs/>
          <w:sz w:val="24"/>
          <w:szCs w:val="24"/>
        </w:rPr>
        <w:t xml:space="preserve"> Fig </w:t>
      </w:r>
      <w:r w:rsidR="000962F7">
        <w:rPr>
          <w:rFonts w:ascii="Times New Roman" w:hAnsi="Times New Roman" w:cs="Times New Roman"/>
          <w:b/>
          <w:bCs/>
          <w:sz w:val="24"/>
          <w:szCs w:val="24"/>
        </w:rPr>
        <w:t>2</w:t>
      </w:r>
      <w:r w:rsidR="000962F7" w:rsidRPr="000962F7">
        <w:rPr>
          <w:rFonts w:ascii="Times New Roman" w:hAnsi="Times New Roman" w:cs="Times New Roman"/>
          <w:b/>
          <w:bCs/>
          <w:sz w:val="24"/>
          <w:szCs w:val="24"/>
        </w:rPr>
        <w:t>:  Schematic overview for a typical proteomic experiment</w:t>
      </w:r>
      <w:r w:rsidR="000962F7" w:rsidRPr="000962F7">
        <w:rPr>
          <w:rFonts w:ascii="Times New Roman" w:hAnsi="Times New Roman" w:cs="Times New Roman"/>
          <w:bCs/>
          <w:sz w:val="24"/>
          <w:szCs w:val="24"/>
        </w:rPr>
        <w:t xml:space="preserve"> </w:t>
      </w:r>
    </w:p>
    <w:p w14:paraId="1C9060F2" w14:textId="19082A22" w:rsidR="000962F7" w:rsidRPr="000962F7" w:rsidRDefault="000962F7" w:rsidP="003B13C7">
      <w:pPr>
        <w:spacing w:line="360" w:lineRule="auto"/>
        <w:jc w:val="both"/>
        <w:rPr>
          <w:rFonts w:ascii="Times New Roman" w:hAnsi="Times New Roman" w:cs="Times New Roman"/>
          <w:bCs/>
          <w:sz w:val="24"/>
          <w:szCs w:val="24"/>
        </w:rPr>
      </w:pPr>
      <w:r w:rsidRPr="000962F7">
        <w:rPr>
          <w:rFonts w:ascii="Times New Roman" w:hAnsi="Times New Roman" w:cs="Times New Roman"/>
          <w:bCs/>
          <w:sz w:val="24"/>
          <w:szCs w:val="24"/>
        </w:rPr>
        <w:t xml:space="preserve">Protein extraction and separation, which might be 1D/2DE/DIGE, are performed on biological material after they have been homogenized. Protein digestion utilizing a filter-based, gel-based, or solution-based approach is the following stage. To collect targeted or discovery data, protein digests (peptides) are put via liquid chromatography tandem mass spectrometry (LC-MS/MS). To find and measure the identified peptides and put them together to form proteins, the raw data is analyzed utilizing databases. The discovery of proteins is followed by functional analysis utilizing protein networks and pathways, where a novel hypothesis is developed or </w:t>
      </w:r>
      <w:r w:rsidRPr="000962F7">
        <w:rPr>
          <w:rFonts w:ascii="Times New Roman" w:hAnsi="Times New Roman" w:cs="Times New Roman"/>
          <w:bCs/>
          <w:sz w:val="24"/>
          <w:szCs w:val="24"/>
        </w:rPr>
        <w:lastRenderedPageBreak/>
        <w:t>shown to comprehend biology. A specific route, protein, or peptide marker for a certain condition is found and used for a variety of purposes in aquaculture and fisheries.</w:t>
      </w:r>
    </w:p>
    <w:p w14:paraId="243F9E9E" w14:textId="393CAB7A" w:rsidR="006038FB" w:rsidRPr="006038FB" w:rsidRDefault="005C5A0A" w:rsidP="006038FB">
      <w:pPr>
        <w:spacing w:line="360" w:lineRule="auto"/>
        <w:jc w:val="both"/>
        <w:rPr>
          <w:rFonts w:ascii="Times New Roman" w:hAnsi="Times New Roman" w:cs="Times New Roman"/>
          <w:b/>
          <w:bCs/>
          <w:sz w:val="24"/>
          <w:szCs w:val="24"/>
        </w:rPr>
      </w:pPr>
      <w:r w:rsidRPr="006038FB">
        <w:rPr>
          <w:rFonts w:ascii="Times New Roman" w:hAnsi="Times New Roman" w:cs="Times New Roman"/>
          <w:b/>
          <w:bCs/>
          <w:sz w:val="24"/>
          <w:szCs w:val="24"/>
        </w:rPr>
        <w:t xml:space="preserve">4. </w:t>
      </w:r>
      <w:r w:rsidR="006038FB" w:rsidRPr="006038FB">
        <w:rPr>
          <w:rFonts w:ascii="Times New Roman" w:hAnsi="Times New Roman" w:cs="Times New Roman"/>
          <w:b/>
          <w:bCs/>
          <w:sz w:val="24"/>
          <w:szCs w:val="24"/>
        </w:rPr>
        <w:t>Proteomics in Fisheries and Aquaculture</w:t>
      </w:r>
    </w:p>
    <w:p w14:paraId="123D3E4B" w14:textId="1A7DAF09" w:rsidR="007E5CAD" w:rsidRPr="00CF00BF" w:rsidRDefault="006038FB" w:rsidP="006038FB">
      <w:pPr>
        <w:spacing w:line="360" w:lineRule="auto"/>
        <w:jc w:val="both"/>
        <w:rPr>
          <w:rFonts w:ascii="Times New Roman" w:hAnsi="Times New Roman" w:cs="Times New Roman"/>
          <w:bCs/>
          <w:sz w:val="24"/>
          <w:szCs w:val="24"/>
        </w:rPr>
      </w:pPr>
      <w:r w:rsidRPr="006038FB">
        <w:rPr>
          <w:rFonts w:ascii="Times New Roman" w:hAnsi="Times New Roman" w:cs="Times New Roman"/>
          <w:bCs/>
          <w:sz w:val="24"/>
          <w:szCs w:val="24"/>
        </w:rPr>
        <w:t xml:space="preserve">Proteomics </w:t>
      </w:r>
      <w:r w:rsidR="0002631A" w:rsidRPr="006038FB">
        <w:rPr>
          <w:rFonts w:ascii="Times New Roman" w:hAnsi="Times New Roman" w:cs="Times New Roman"/>
          <w:bCs/>
          <w:sz w:val="24"/>
          <w:szCs w:val="24"/>
        </w:rPr>
        <w:t>analyses</w:t>
      </w:r>
      <w:r w:rsidRPr="006038FB">
        <w:rPr>
          <w:rFonts w:ascii="Times New Roman" w:hAnsi="Times New Roman" w:cs="Times New Roman"/>
          <w:bCs/>
          <w:sz w:val="24"/>
          <w:szCs w:val="24"/>
        </w:rPr>
        <w:t xml:space="preserve"> the entire set of proteins in organisms, revealing how they respond to environmental, nutritional, and health factors. In fisheries and aquaculture—where production grows faster than any other food sector—proteomics addresses key challenges like ensuring farmed fish match wild counterparts in quality, welfare, and safety. It shifts focus from model species to food fishes, supporting sustainable nutrient sources like ome</w:t>
      </w:r>
      <w:r>
        <w:rPr>
          <w:rFonts w:ascii="Times New Roman" w:hAnsi="Times New Roman" w:cs="Times New Roman"/>
          <w:bCs/>
          <w:sz w:val="24"/>
          <w:szCs w:val="24"/>
        </w:rPr>
        <w:t>ga-3 fatty acids (DHA and EPA).</w:t>
      </w:r>
    </w:p>
    <w:p w14:paraId="7E3F4F2B" w14:textId="1BF83BA3" w:rsidR="006038FB" w:rsidRPr="00C20DF0" w:rsidRDefault="007E5CAD" w:rsidP="006038F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6038FB" w:rsidRPr="00C20DF0">
        <w:rPr>
          <w:rFonts w:ascii="Times New Roman" w:hAnsi="Times New Roman" w:cs="Times New Roman"/>
          <w:b/>
          <w:bCs/>
          <w:sz w:val="24"/>
          <w:szCs w:val="24"/>
        </w:rPr>
        <w:t>Proteomics tackles three core areas in aquatic research:</w:t>
      </w:r>
    </w:p>
    <w:p w14:paraId="5DCD1CF4" w14:textId="77777777" w:rsidR="006038FB" w:rsidRPr="006038FB" w:rsidRDefault="006038FB" w:rsidP="006038FB">
      <w:pPr>
        <w:spacing w:line="360" w:lineRule="auto"/>
        <w:jc w:val="both"/>
        <w:rPr>
          <w:rFonts w:ascii="Times New Roman" w:hAnsi="Times New Roman" w:cs="Times New Roman"/>
          <w:bCs/>
          <w:sz w:val="24"/>
          <w:szCs w:val="24"/>
        </w:rPr>
      </w:pPr>
      <w:r w:rsidRPr="00AD1CBB">
        <w:rPr>
          <w:rFonts w:ascii="Times New Roman" w:hAnsi="Times New Roman" w:cs="Times New Roman"/>
          <w:bCs/>
          <w:sz w:val="24"/>
          <w:szCs w:val="24"/>
        </w:rPr>
        <w:t>Aquatic Food Business:</w:t>
      </w:r>
      <w:r w:rsidRPr="006038FB">
        <w:rPr>
          <w:rFonts w:ascii="Times New Roman" w:hAnsi="Times New Roman" w:cs="Times New Roman"/>
          <w:bCs/>
          <w:sz w:val="24"/>
          <w:szCs w:val="24"/>
        </w:rPr>
        <w:t xml:space="preserve"> Identifies biomarkers for fish freshness, quality, pathogens, allergens, and hazards. It detects functional changes in nutrient-rich proteins, verifies species labeling to prevent fraud (e.g., EU standards), and differentiates sex or commercial sources (Piñeiro et al., 2003; Kayvanshokooh et al., 2009; Martínez et al., 2009).</w:t>
      </w:r>
    </w:p>
    <w:p w14:paraId="6150795A" w14:textId="77777777" w:rsidR="00AD1CBB" w:rsidRDefault="006038FB" w:rsidP="006038FB">
      <w:pPr>
        <w:spacing w:line="360" w:lineRule="auto"/>
        <w:jc w:val="both"/>
        <w:rPr>
          <w:rFonts w:ascii="Times New Roman" w:hAnsi="Times New Roman" w:cs="Times New Roman"/>
          <w:bCs/>
          <w:sz w:val="24"/>
          <w:szCs w:val="24"/>
        </w:rPr>
      </w:pPr>
      <w:r w:rsidRPr="00AD1CBB">
        <w:rPr>
          <w:rFonts w:ascii="Times New Roman" w:hAnsi="Times New Roman" w:cs="Times New Roman"/>
          <w:bCs/>
          <w:sz w:val="24"/>
          <w:szCs w:val="24"/>
        </w:rPr>
        <w:t>Aquatic Natural Products Development:</w:t>
      </w:r>
      <w:r w:rsidRPr="006038FB">
        <w:rPr>
          <w:rFonts w:ascii="Times New Roman" w:hAnsi="Times New Roman" w:cs="Times New Roman"/>
          <w:bCs/>
          <w:sz w:val="24"/>
          <w:szCs w:val="24"/>
        </w:rPr>
        <w:t xml:space="preserve"> Supports welfare, nutrition, health, productivity, and safety via targeted (specific proteins) and discovery (broad profiling) approaches. It links genomic data from NGS to protein functions, aiding new species evaluation and breeding (Abdelrahman et al., 2017; Carrera et al.</w:t>
      </w:r>
      <w:r w:rsidR="00C20DF0">
        <w:rPr>
          <w:rFonts w:ascii="Times New Roman" w:hAnsi="Times New Roman" w:cs="Times New Roman"/>
          <w:bCs/>
          <w:sz w:val="24"/>
          <w:szCs w:val="24"/>
        </w:rPr>
        <w:t>, 2020; Rodrigue et al., 2012).</w:t>
      </w:r>
    </w:p>
    <w:p w14:paraId="363F9F28" w14:textId="0E52EE51" w:rsidR="000A446A" w:rsidRPr="00F14E5B" w:rsidRDefault="006038FB" w:rsidP="006038FB">
      <w:pPr>
        <w:spacing w:line="360" w:lineRule="auto"/>
        <w:jc w:val="both"/>
        <w:rPr>
          <w:rFonts w:ascii="Times New Roman" w:hAnsi="Times New Roman" w:cs="Times New Roman"/>
          <w:bCs/>
          <w:sz w:val="24"/>
          <w:szCs w:val="24"/>
        </w:rPr>
      </w:pPr>
      <w:r w:rsidRPr="00AD1CBB">
        <w:rPr>
          <w:rFonts w:ascii="Times New Roman" w:hAnsi="Times New Roman" w:cs="Times New Roman"/>
          <w:bCs/>
          <w:sz w:val="24"/>
          <w:szCs w:val="24"/>
        </w:rPr>
        <w:t>Challenges and Future Directions</w:t>
      </w:r>
      <w:r w:rsidR="00AD1CBB" w:rsidRPr="00AD1CBB">
        <w:rPr>
          <w:rFonts w:ascii="Times New Roman" w:hAnsi="Times New Roman" w:cs="Times New Roman"/>
          <w:bCs/>
          <w:sz w:val="24"/>
          <w:szCs w:val="24"/>
        </w:rPr>
        <w:t>:</w:t>
      </w:r>
      <w:r w:rsidR="00AD1CBB">
        <w:rPr>
          <w:rFonts w:ascii="Times New Roman" w:hAnsi="Times New Roman" w:cs="Times New Roman"/>
          <w:bCs/>
          <w:sz w:val="24"/>
          <w:szCs w:val="24"/>
        </w:rPr>
        <w:t xml:space="preserve"> </w:t>
      </w:r>
      <w:r w:rsidRPr="006038FB">
        <w:rPr>
          <w:rFonts w:ascii="Times New Roman" w:hAnsi="Times New Roman" w:cs="Times New Roman"/>
          <w:bCs/>
          <w:sz w:val="24"/>
          <w:szCs w:val="24"/>
        </w:rPr>
        <w:t>Many aquatic genomes remain incomplete, limiting omics predictions. Proteomics bridges this by studying protein dynamics post-genomics. Future needs include refining tools for emerging species, integrating with NGS for causal gene identification, and scaling for global food security (Fiorella et al., 2021; Hicks et al., 2</w:t>
      </w:r>
      <w:r w:rsidR="00C20DF0">
        <w:rPr>
          <w:rFonts w:ascii="Times New Roman" w:hAnsi="Times New Roman" w:cs="Times New Roman"/>
          <w:bCs/>
          <w:sz w:val="24"/>
          <w:szCs w:val="24"/>
        </w:rPr>
        <w:t>016</w:t>
      </w:r>
      <w:r w:rsidR="0002631A">
        <w:rPr>
          <w:rFonts w:ascii="Times New Roman" w:hAnsi="Times New Roman" w:cs="Times New Roman"/>
          <w:bCs/>
          <w:sz w:val="24"/>
          <w:szCs w:val="24"/>
        </w:rPr>
        <w:t>).</w:t>
      </w:r>
      <w:r w:rsidR="0002631A" w:rsidRPr="006038FB">
        <w:rPr>
          <w:rFonts w:ascii="Times New Roman" w:hAnsi="Times New Roman" w:cs="Times New Roman"/>
          <w:bCs/>
          <w:sz w:val="24"/>
          <w:szCs w:val="24"/>
        </w:rPr>
        <w:t xml:space="preserve"> </w:t>
      </w:r>
      <w:r w:rsidR="00AD58BE" w:rsidRPr="006038FB">
        <w:rPr>
          <w:rFonts w:ascii="Times New Roman" w:hAnsi="Times New Roman" w:cs="Times New Roman"/>
          <w:bCs/>
          <w:sz w:val="24"/>
          <w:szCs w:val="24"/>
        </w:rPr>
        <w:t>Proteomics</w:t>
      </w:r>
      <w:r w:rsidRPr="006038FB">
        <w:rPr>
          <w:rFonts w:ascii="Times New Roman" w:hAnsi="Times New Roman" w:cs="Times New Roman"/>
          <w:bCs/>
          <w:sz w:val="24"/>
          <w:szCs w:val="24"/>
        </w:rPr>
        <w:t xml:space="preserve">, the large-scale study of proteins, plays a pivotal role in fisheries and aquaculture, addressing challenges in aquatic food production, environmental monitoring, and natural product development. With aquaculture expanding faster than other food sectors, ensuring farmed fish match wild quality is crucial amid factors like stress and nutrition. While model species aided basic biology, focus now targets food fishes for nutrition and security, leveraging </w:t>
      </w:r>
      <w:r w:rsidRPr="00C20DF0">
        <w:rPr>
          <w:rFonts w:ascii="Times New Roman" w:hAnsi="Times New Roman" w:cs="Times New Roman"/>
          <w:bCs/>
          <w:sz w:val="24"/>
          <w:szCs w:val="24"/>
        </w:rPr>
        <w:t>proteomics for welfare, health, productivity, safety, and quality (Rodrigue et al</w:t>
      </w:r>
      <w:r w:rsidR="00C20DF0">
        <w:rPr>
          <w:rFonts w:ascii="Times New Roman" w:hAnsi="Times New Roman" w:cs="Times New Roman"/>
          <w:bCs/>
          <w:sz w:val="24"/>
          <w:szCs w:val="24"/>
        </w:rPr>
        <w:t>., 2012; Carrera et al., 2020).</w:t>
      </w:r>
    </w:p>
    <w:p w14:paraId="31868BF6" w14:textId="38B985CE" w:rsidR="006038FB" w:rsidRPr="006038FB" w:rsidRDefault="006038FB" w:rsidP="006038FB">
      <w:pPr>
        <w:spacing w:line="360" w:lineRule="auto"/>
        <w:jc w:val="both"/>
        <w:rPr>
          <w:rFonts w:ascii="Times New Roman" w:hAnsi="Times New Roman" w:cs="Times New Roman"/>
          <w:bCs/>
          <w:sz w:val="24"/>
          <w:szCs w:val="24"/>
        </w:rPr>
      </w:pPr>
      <w:r w:rsidRPr="00AD1CBB">
        <w:rPr>
          <w:rFonts w:ascii="Times New Roman" w:hAnsi="Times New Roman" w:cs="Times New Roman"/>
          <w:bCs/>
          <w:sz w:val="24"/>
          <w:szCs w:val="24"/>
        </w:rPr>
        <w:t xml:space="preserve">Key </w:t>
      </w:r>
      <w:r w:rsidR="00AD1CBB" w:rsidRPr="00AD1CBB">
        <w:rPr>
          <w:rFonts w:ascii="Times New Roman" w:hAnsi="Times New Roman" w:cs="Times New Roman"/>
          <w:bCs/>
          <w:sz w:val="24"/>
          <w:szCs w:val="24"/>
        </w:rPr>
        <w:t>applications span three domains</w:t>
      </w:r>
      <w:r w:rsidR="00AD1CBB">
        <w:rPr>
          <w:rFonts w:ascii="Times New Roman" w:hAnsi="Times New Roman" w:cs="Times New Roman"/>
          <w:b/>
          <w:bCs/>
          <w:sz w:val="24"/>
          <w:szCs w:val="24"/>
        </w:rPr>
        <w:t>:</w:t>
      </w:r>
      <w:r w:rsidRPr="00C20DF0">
        <w:rPr>
          <w:rFonts w:ascii="Times New Roman" w:hAnsi="Times New Roman" w:cs="Times New Roman"/>
          <w:bCs/>
          <w:sz w:val="24"/>
          <w:szCs w:val="24"/>
        </w:rPr>
        <w:t xml:space="preserve"> In the aquatic food business, proteomics identifies biomarkers for freshness, pathogens, allergens, and hazards; verifies species labeling against </w:t>
      </w:r>
      <w:r w:rsidRPr="00C20DF0">
        <w:rPr>
          <w:rFonts w:ascii="Times New Roman" w:hAnsi="Times New Roman" w:cs="Times New Roman"/>
          <w:bCs/>
          <w:sz w:val="24"/>
          <w:szCs w:val="24"/>
        </w:rPr>
        <w:lastRenderedPageBreak/>
        <w:t xml:space="preserve">fraud (e.g., EU standards); and differentiates sex or sources (Piñeiro et al., 2003; Kayvanshokooh et al., 2009; Martínez et al., 2009). Environmental monitoring uses it to analyze microalgae and aquatic waste responses to stressors like pollutants, heavy metals, microplastics, antimicrobials, bacteria, and viruses </w:t>
      </w:r>
      <w:r w:rsidR="00AD58BE">
        <w:rPr>
          <w:rFonts w:ascii="Times New Roman" w:hAnsi="Times New Roman" w:cs="Times New Roman"/>
          <w:bCs/>
          <w:sz w:val="24"/>
          <w:szCs w:val="24"/>
        </w:rPr>
        <w:t>(Hicks et al., 2016).</w:t>
      </w:r>
      <w:r w:rsidR="00D20BF6">
        <w:rPr>
          <w:rFonts w:ascii="Times New Roman" w:hAnsi="Times New Roman" w:cs="Times New Roman"/>
          <w:bCs/>
          <w:sz w:val="24"/>
          <w:szCs w:val="24"/>
        </w:rPr>
        <w:t xml:space="preserve"> </w:t>
      </w:r>
      <w:r w:rsidRPr="00C20DF0">
        <w:rPr>
          <w:rFonts w:ascii="Times New Roman" w:hAnsi="Times New Roman" w:cs="Times New Roman"/>
          <w:bCs/>
          <w:sz w:val="24"/>
          <w:szCs w:val="24"/>
        </w:rPr>
        <w:t>For natural products, it evaluates new species growth, links NGS genomes to protein functions, and enhances sustainable techniques from algae to fish (Abdelrahman et al.</w:t>
      </w:r>
      <w:r w:rsidR="00C20DF0">
        <w:rPr>
          <w:rFonts w:ascii="Times New Roman" w:hAnsi="Times New Roman" w:cs="Times New Roman"/>
          <w:bCs/>
          <w:sz w:val="24"/>
          <w:szCs w:val="24"/>
        </w:rPr>
        <w:t xml:space="preserve">, 2017; Fiorella et al., 2021). </w:t>
      </w:r>
      <w:r w:rsidRPr="006038FB">
        <w:rPr>
          <w:rFonts w:ascii="Times New Roman" w:hAnsi="Times New Roman" w:cs="Times New Roman"/>
          <w:bCs/>
          <w:sz w:val="24"/>
          <w:szCs w:val="24"/>
        </w:rPr>
        <w:t>Targeted and discovery proteomics improve fish physiology, but incomplete genomes demand refined omics integration. Over 20 years, its use has surged, promising traceability, safety, and innovation for global nutrient sustainability.</w:t>
      </w:r>
    </w:p>
    <w:p w14:paraId="07C10B7F" w14:textId="2DDE6C2B" w:rsidR="003B13C7" w:rsidRDefault="003B13C7" w:rsidP="006038FB">
      <w:pPr>
        <w:spacing w:line="360" w:lineRule="auto"/>
        <w:jc w:val="both"/>
        <w:rPr>
          <w:rFonts w:ascii="Times New Roman" w:hAnsi="Times New Roman" w:cs="Times New Roman"/>
          <w:b/>
          <w:bCs/>
          <w:sz w:val="24"/>
          <w:szCs w:val="24"/>
        </w:rPr>
      </w:pPr>
    </w:p>
    <w:p w14:paraId="7B015782" w14:textId="77777777" w:rsidR="003B13C7" w:rsidRDefault="003B13C7" w:rsidP="003B13C7">
      <w:pPr>
        <w:spacing w:line="360" w:lineRule="auto"/>
        <w:rPr>
          <w:rFonts w:ascii="Times New Roman" w:hAnsi="Times New Roman" w:cs="Times New Roman"/>
          <w:b/>
          <w:bCs/>
          <w:sz w:val="24"/>
          <w:szCs w:val="24"/>
        </w:rPr>
      </w:pPr>
    </w:p>
    <w:p w14:paraId="404984BE" w14:textId="77777777" w:rsidR="003B13C7" w:rsidRDefault="003B13C7" w:rsidP="003B13C7">
      <w:pPr>
        <w:spacing w:line="360" w:lineRule="auto"/>
        <w:rPr>
          <w:rFonts w:ascii="Times New Roman" w:hAnsi="Times New Roman" w:cs="Times New Roman"/>
          <w:b/>
          <w:bCs/>
          <w:sz w:val="24"/>
          <w:szCs w:val="24"/>
        </w:rPr>
      </w:pPr>
    </w:p>
    <w:p w14:paraId="56FA530A" w14:textId="75019D32" w:rsidR="003B13C7" w:rsidRDefault="003B13C7" w:rsidP="003B13C7">
      <w:pPr>
        <w:spacing w:line="360" w:lineRule="auto"/>
        <w:rPr>
          <w:rFonts w:ascii="Times New Roman" w:hAnsi="Times New Roman" w:cs="Times New Roman"/>
          <w:b/>
          <w:bCs/>
          <w:sz w:val="24"/>
          <w:szCs w:val="24"/>
        </w:rPr>
        <w:sectPr w:rsidR="003B13C7" w:rsidSect="003B13C7">
          <w:headerReference w:type="even" r:id="rId10"/>
          <w:headerReference w:type="default" r:id="rId11"/>
          <w:footerReference w:type="default" r:id="rId12"/>
          <w:headerReference w:type="first" r:id="rId13"/>
          <w:pgSz w:w="11906" w:h="16838" w:code="9"/>
          <w:pgMar w:top="1440" w:right="1440" w:bottom="1440" w:left="1440" w:header="706" w:footer="706" w:gutter="0"/>
          <w:cols w:space="708"/>
          <w:docGrid w:linePitch="360"/>
        </w:sectPr>
      </w:pPr>
    </w:p>
    <w:p w14:paraId="00B4C03A" w14:textId="1293F98F" w:rsidR="002815D5" w:rsidRPr="00517E60" w:rsidRDefault="002815D5"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lastRenderedPageBreak/>
        <w:t xml:space="preserve">Table 1. </w:t>
      </w:r>
      <w:r w:rsidR="000A446A" w:rsidRPr="00517E60">
        <w:rPr>
          <w:rFonts w:ascii="Times New Roman" w:hAnsi="Times New Roman" w:cs="Times New Roman"/>
          <w:sz w:val="24"/>
          <w:szCs w:val="24"/>
        </w:rPr>
        <w:t>A</w:t>
      </w:r>
      <w:r w:rsidRPr="00517E60">
        <w:rPr>
          <w:rFonts w:ascii="Times New Roman" w:hAnsi="Times New Roman" w:cs="Times New Roman"/>
          <w:sz w:val="24"/>
          <w:szCs w:val="24"/>
        </w:rPr>
        <w:t>pplications of target protein identification in fishes</w:t>
      </w:r>
    </w:p>
    <w:tbl>
      <w:tblPr>
        <w:tblStyle w:val="TableGrid"/>
        <w:tblW w:w="4644" w:type="pct"/>
        <w:tblLook w:val="04A0" w:firstRow="1" w:lastRow="0" w:firstColumn="1" w:lastColumn="0" w:noHBand="0" w:noVBand="1"/>
      </w:tblPr>
      <w:tblGrid>
        <w:gridCol w:w="715"/>
        <w:gridCol w:w="4591"/>
        <w:gridCol w:w="1710"/>
        <w:gridCol w:w="2161"/>
        <w:gridCol w:w="1350"/>
        <w:gridCol w:w="2428"/>
      </w:tblGrid>
      <w:tr w:rsidR="005A31CC" w:rsidRPr="00517E60" w14:paraId="08B9252E" w14:textId="77777777" w:rsidTr="00517E60">
        <w:trPr>
          <w:trHeight w:val="800"/>
        </w:trPr>
        <w:tc>
          <w:tcPr>
            <w:tcW w:w="276" w:type="pct"/>
          </w:tcPr>
          <w:p w14:paraId="313F2C6A" w14:textId="29FBB92B" w:rsidR="000A446A" w:rsidRPr="00517E60" w:rsidRDefault="00517E60" w:rsidP="00517E60">
            <w:pPr>
              <w:spacing w:line="276" w:lineRule="auto"/>
              <w:rPr>
                <w:rFonts w:ascii="Times New Roman" w:hAnsi="Times New Roman" w:cs="Times New Roman"/>
                <w:sz w:val="24"/>
                <w:szCs w:val="24"/>
              </w:rPr>
            </w:pPr>
            <w:proofErr w:type="gramStart"/>
            <w:r w:rsidRPr="00517E60">
              <w:rPr>
                <w:rFonts w:ascii="Times New Roman" w:hAnsi="Times New Roman" w:cs="Times New Roman"/>
                <w:sz w:val="24"/>
                <w:szCs w:val="24"/>
              </w:rPr>
              <w:t>S.</w:t>
            </w:r>
            <w:r w:rsidR="000A446A" w:rsidRPr="00517E60">
              <w:rPr>
                <w:rFonts w:ascii="Times New Roman" w:hAnsi="Times New Roman" w:cs="Times New Roman"/>
                <w:sz w:val="24"/>
                <w:szCs w:val="24"/>
              </w:rPr>
              <w:t>No</w:t>
            </w:r>
            <w:proofErr w:type="gramEnd"/>
          </w:p>
        </w:tc>
        <w:tc>
          <w:tcPr>
            <w:tcW w:w="1772" w:type="pct"/>
          </w:tcPr>
          <w:p w14:paraId="5F97B2F4" w14:textId="25F8EAE3"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Aim of Study</w:t>
            </w:r>
          </w:p>
        </w:tc>
        <w:tc>
          <w:tcPr>
            <w:tcW w:w="660" w:type="pct"/>
          </w:tcPr>
          <w:p w14:paraId="59B914D1" w14:textId="5957D583"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Species (Tissues)</w:t>
            </w:r>
          </w:p>
        </w:tc>
        <w:tc>
          <w:tcPr>
            <w:tcW w:w="834" w:type="pct"/>
          </w:tcPr>
          <w:p w14:paraId="2C6073BD" w14:textId="19A6F4A2"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Technique</w:t>
            </w:r>
          </w:p>
        </w:tc>
        <w:tc>
          <w:tcPr>
            <w:tcW w:w="521" w:type="pct"/>
          </w:tcPr>
          <w:p w14:paraId="0B44DD06" w14:textId="3503AFDD"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Number of Proteins</w:t>
            </w:r>
          </w:p>
        </w:tc>
        <w:tc>
          <w:tcPr>
            <w:tcW w:w="937" w:type="pct"/>
          </w:tcPr>
          <w:p w14:paraId="6BDFEDF8" w14:textId="697E6FEC"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Full Reference</w:t>
            </w:r>
          </w:p>
        </w:tc>
      </w:tr>
      <w:tr w:rsidR="005A31CC" w:rsidRPr="00517E60" w14:paraId="4B697961" w14:textId="77777777" w:rsidTr="00517E60">
        <w:trPr>
          <w:trHeight w:val="800"/>
        </w:trPr>
        <w:tc>
          <w:tcPr>
            <w:tcW w:w="276" w:type="pct"/>
          </w:tcPr>
          <w:p w14:paraId="41D40058" w14:textId="3298AB3E"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1</w:t>
            </w:r>
          </w:p>
        </w:tc>
        <w:tc>
          <w:tcPr>
            <w:tcW w:w="1772" w:type="pct"/>
          </w:tcPr>
          <w:p w14:paraId="7D1E175E" w14:textId="25EE42B1"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Proteomic analysis of blood plasma reveals changes in immune- and stress-associated proteins following hormonal stimulation of carp males</w:t>
            </w:r>
          </w:p>
        </w:tc>
        <w:tc>
          <w:tcPr>
            <w:tcW w:w="660" w:type="pct"/>
          </w:tcPr>
          <w:p w14:paraId="06736478" w14:textId="4081399F"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Common carp (blood plasma)</w:t>
            </w:r>
          </w:p>
        </w:tc>
        <w:tc>
          <w:tcPr>
            <w:tcW w:w="834" w:type="pct"/>
          </w:tcPr>
          <w:p w14:paraId="032B4960" w14:textId="388C60E1"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MALDI TOF/TOF MS, MS/MS, RT-qPCR</w:t>
            </w:r>
          </w:p>
        </w:tc>
        <w:tc>
          <w:tcPr>
            <w:tcW w:w="521" w:type="pct"/>
          </w:tcPr>
          <w:p w14:paraId="2EAAABE9" w14:textId="7C6D6297"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44</w:t>
            </w:r>
          </w:p>
        </w:tc>
        <w:tc>
          <w:tcPr>
            <w:tcW w:w="937" w:type="pct"/>
          </w:tcPr>
          <w:p w14:paraId="6491E0C9" w14:textId="7FE208E8"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Dietrich MA, et al. (2021). </w:t>
            </w:r>
          </w:p>
        </w:tc>
      </w:tr>
      <w:tr w:rsidR="005A31CC" w:rsidRPr="00517E60" w14:paraId="389CB7C4" w14:textId="77777777" w:rsidTr="00517E60">
        <w:trPr>
          <w:trHeight w:val="800"/>
        </w:trPr>
        <w:tc>
          <w:tcPr>
            <w:tcW w:w="276" w:type="pct"/>
          </w:tcPr>
          <w:p w14:paraId="45E1559B" w14:textId="6771E13B"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2</w:t>
            </w:r>
          </w:p>
        </w:tc>
        <w:tc>
          <w:tcPr>
            <w:tcW w:w="1772" w:type="pct"/>
          </w:tcPr>
          <w:p w14:paraId="709E04BB" w14:textId="01C244B6"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Acclimation to cold and warm temperatures is associated with differential expression of male carp blood proteins involved in acute phase and stress responses, and lipid metabolism</w:t>
            </w:r>
          </w:p>
        </w:tc>
        <w:tc>
          <w:tcPr>
            <w:tcW w:w="660" w:type="pct"/>
          </w:tcPr>
          <w:p w14:paraId="1E671F1F" w14:textId="14D29EE9"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Common carp (blood plasma)</w:t>
            </w:r>
          </w:p>
        </w:tc>
        <w:tc>
          <w:tcPr>
            <w:tcW w:w="834" w:type="pct"/>
          </w:tcPr>
          <w:p w14:paraId="75219F55" w14:textId="6F270B3D"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MALDI TOF/TOF</w:t>
            </w:r>
          </w:p>
        </w:tc>
        <w:tc>
          <w:tcPr>
            <w:tcW w:w="521" w:type="pct"/>
          </w:tcPr>
          <w:p w14:paraId="25EA6D20" w14:textId="47E715A7"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47</w:t>
            </w:r>
          </w:p>
        </w:tc>
        <w:tc>
          <w:tcPr>
            <w:tcW w:w="937" w:type="pct"/>
          </w:tcPr>
          <w:p w14:paraId="2D69382C" w14:textId="3A345B51"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Dietrich MA, et al. (2018). </w:t>
            </w:r>
          </w:p>
        </w:tc>
      </w:tr>
      <w:tr w:rsidR="005A31CC" w:rsidRPr="00517E60" w14:paraId="6F1F5E73" w14:textId="77777777" w:rsidTr="00517E60">
        <w:trPr>
          <w:trHeight w:val="800"/>
        </w:trPr>
        <w:tc>
          <w:tcPr>
            <w:tcW w:w="276" w:type="pct"/>
          </w:tcPr>
          <w:p w14:paraId="6F42B47D" w14:textId="6CA70A30"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3</w:t>
            </w:r>
          </w:p>
        </w:tc>
        <w:tc>
          <w:tcPr>
            <w:tcW w:w="1772" w:type="pct"/>
          </w:tcPr>
          <w:p w14:paraId="6D131AE4" w14:textId="776B3F4F"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Proteome Analysis of Whole-Body Responses in Medaka Experimentally Exposed to Fish-Killing Dinoflagellate Karenia mikimotoi</w:t>
            </w:r>
          </w:p>
        </w:tc>
        <w:tc>
          <w:tcPr>
            <w:tcW w:w="660" w:type="pct"/>
          </w:tcPr>
          <w:p w14:paraId="10FB83DC" w14:textId="6868A418"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Medaka (whole body)</w:t>
            </w:r>
          </w:p>
        </w:tc>
        <w:tc>
          <w:tcPr>
            <w:tcW w:w="834" w:type="pct"/>
          </w:tcPr>
          <w:p w14:paraId="1BFE391C" w14:textId="116C2A3A"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Mass spectrometry (likely LC-MS/MS)</w:t>
            </w:r>
          </w:p>
        </w:tc>
        <w:tc>
          <w:tcPr>
            <w:tcW w:w="521" w:type="pct"/>
          </w:tcPr>
          <w:p w14:paraId="02E1A4C4" w14:textId="7D9CB00F"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35</w:t>
            </w:r>
          </w:p>
        </w:tc>
        <w:tc>
          <w:tcPr>
            <w:tcW w:w="937" w:type="pct"/>
          </w:tcPr>
          <w:p w14:paraId="257AB285" w14:textId="45761819"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Kwok CSN, et al. (2021). ​</w:t>
            </w:r>
          </w:p>
        </w:tc>
      </w:tr>
      <w:tr w:rsidR="005A31CC" w:rsidRPr="00517E60" w14:paraId="3BEBD18C" w14:textId="77777777" w:rsidTr="00517E60">
        <w:trPr>
          <w:trHeight w:val="800"/>
        </w:trPr>
        <w:tc>
          <w:tcPr>
            <w:tcW w:w="276" w:type="pct"/>
          </w:tcPr>
          <w:p w14:paraId="21775339" w14:textId="72EBDC18" w:rsidR="000A446A" w:rsidRPr="00155E43" w:rsidRDefault="00C17F8E" w:rsidP="00517E60">
            <w:pPr>
              <w:spacing w:line="276" w:lineRule="auto"/>
              <w:rPr>
                <w:rFonts w:ascii="Times New Roman" w:hAnsi="Times New Roman" w:cs="Times New Roman"/>
                <w:sz w:val="24"/>
                <w:szCs w:val="24"/>
              </w:rPr>
            </w:pPr>
            <w:r w:rsidRPr="00155E43">
              <w:rPr>
                <w:rFonts w:ascii="Times New Roman" w:hAnsi="Times New Roman" w:cs="Times New Roman"/>
                <w:sz w:val="24"/>
                <w:szCs w:val="24"/>
              </w:rPr>
              <w:t>4</w:t>
            </w:r>
          </w:p>
        </w:tc>
        <w:tc>
          <w:tcPr>
            <w:tcW w:w="1772" w:type="pct"/>
          </w:tcPr>
          <w:p w14:paraId="79C0657B" w14:textId="2480A55B"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Proteomics Analysis of Liver Tissue of Labeo rohita</w:t>
            </w:r>
          </w:p>
        </w:tc>
        <w:tc>
          <w:tcPr>
            <w:tcW w:w="660" w:type="pct"/>
          </w:tcPr>
          <w:p w14:paraId="65020D3A" w14:textId="76545D69"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Labeo rohita (liver)</w:t>
            </w:r>
          </w:p>
        </w:tc>
        <w:tc>
          <w:tcPr>
            <w:tcW w:w="834" w:type="pct"/>
          </w:tcPr>
          <w:p w14:paraId="1AC2597E" w14:textId="1D907EAE"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ESI-MS, MASCOT</w:t>
            </w:r>
          </w:p>
        </w:tc>
        <w:tc>
          <w:tcPr>
            <w:tcW w:w="521" w:type="pct"/>
          </w:tcPr>
          <w:p w14:paraId="2CEFEE12" w14:textId="4B58A4AA"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42</w:t>
            </w:r>
          </w:p>
        </w:tc>
        <w:tc>
          <w:tcPr>
            <w:tcW w:w="937" w:type="pct"/>
          </w:tcPr>
          <w:p w14:paraId="0B8D0454" w14:textId="0F9EAE7B"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Goswami S, et al. (2015). </w:t>
            </w:r>
          </w:p>
        </w:tc>
      </w:tr>
      <w:tr w:rsidR="005A31CC" w:rsidRPr="00517E60" w14:paraId="37E3722C" w14:textId="77777777" w:rsidTr="00517E60">
        <w:trPr>
          <w:trHeight w:val="800"/>
        </w:trPr>
        <w:tc>
          <w:tcPr>
            <w:tcW w:w="276" w:type="pct"/>
          </w:tcPr>
          <w:p w14:paraId="60D2C931" w14:textId="00C4DC2F"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5</w:t>
            </w:r>
          </w:p>
        </w:tc>
        <w:tc>
          <w:tcPr>
            <w:tcW w:w="1772" w:type="pct"/>
          </w:tcPr>
          <w:p w14:paraId="117D34C5" w14:textId="5145BBEC"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Physiological Responses to Acute Heat Stress in Rohu, Labeo rohita: Insights from Liver Proteomics</w:t>
            </w:r>
          </w:p>
        </w:tc>
        <w:tc>
          <w:tcPr>
            <w:tcW w:w="660" w:type="pct"/>
          </w:tcPr>
          <w:p w14:paraId="0B5E267D" w14:textId="7B473076"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Labeo rohita (liver)</w:t>
            </w:r>
          </w:p>
        </w:tc>
        <w:tc>
          <w:tcPr>
            <w:tcW w:w="834" w:type="pct"/>
          </w:tcPr>
          <w:p w14:paraId="35F73060" w14:textId="751B1600"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Mass spectrometry (likely MALDI TOF/TOF or LC-MS/MS)</w:t>
            </w:r>
          </w:p>
        </w:tc>
        <w:tc>
          <w:tcPr>
            <w:tcW w:w="521" w:type="pct"/>
          </w:tcPr>
          <w:p w14:paraId="670797BB" w14:textId="2B27F703"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44</w:t>
            </w:r>
          </w:p>
        </w:tc>
        <w:tc>
          <w:tcPr>
            <w:tcW w:w="937" w:type="pct"/>
          </w:tcPr>
          <w:p w14:paraId="2954DE5E" w14:textId="32A2DEDC"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Badhe MR, et al. (2024). </w:t>
            </w:r>
          </w:p>
        </w:tc>
      </w:tr>
      <w:tr w:rsidR="005A31CC" w:rsidRPr="00517E60" w14:paraId="65397D2C" w14:textId="77777777" w:rsidTr="00517E60">
        <w:trPr>
          <w:trHeight w:val="800"/>
        </w:trPr>
        <w:tc>
          <w:tcPr>
            <w:tcW w:w="276" w:type="pct"/>
          </w:tcPr>
          <w:p w14:paraId="2B9FDA67" w14:textId="7620EF15"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6</w:t>
            </w:r>
          </w:p>
        </w:tc>
        <w:tc>
          <w:tcPr>
            <w:tcW w:w="1772" w:type="pct"/>
          </w:tcPr>
          <w:p w14:paraId="2E8A61C8" w14:textId="1312290B"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Identification of proteins differentially expressed in the gills of grass carp (Ctenopharyngodon idella) after hypoxic </w:t>
            </w:r>
            <w:r w:rsidRPr="00517E60">
              <w:rPr>
                <w:rFonts w:ascii="Times New Roman" w:hAnsi="Times New Roman" w:cs="Times New Roman"/>
                <w:sz w:val="24"/>
                <w:szCs w:val="24"/>
              </w:rPr>
              <w:lastRenderedPageBreak/>
              <w:t>stress by two-dimensional gel electrophoresis analysis</w:t>
            </w:r>
          </w:p>
        </w:tc>
        <w:tc>
          <w:tcPr>
            <w:tcW w:w="660" w:type="pct"/>
          </w:tcPr>
          <w:p w14:paraId="0DD6109F" w14:textId="3ABD4FEE"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lastRenderedPageBreak/>
              <w:t>Grass carp (gills)</w:t>
            </w:r>
          </w:p>
        </w:tc>
        <w:tc>
          <w:tcPr>
            <w:tcW w:w="834" w:type="pct"/>
          </w:tcPr>
          <w:p w14:paraId="68486ADE" w14:textId="0BB03B80"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2-DE, LC-MS/MS</w:t>
            </w:r>
          </w:p>
        </w:tc>
        <w:tc>
          <w:tcPr>
            <w:tcW w:w="521" w:type="pct"/>
          </w:tcPr>
          <w:p w14:paraId="429C741F" w14:textId="02E74F68"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6</w:t>
            </w:r>
          </w:p>
        </w:tc>
        <w:tc>
          <w:tcPr>
            <w:tcW w:w="937" w:type="pct"/>
          </w:tcPr>
          <w:p w14:paraId="071FACEC" w14:textId="6381954E"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Xu ZN, et al. (2019).</w:t>
            </w:r>
          </w:p>
        </w:tc>
      </w:tr>
      <w:tr w:rsidR="00517E60" w:rsidRPr="00517E60" w14:paraId="73E1AD73" w14:textId="77777777" w:rsidTr="00517E60">
        <w:trPr>
          <w:trHeight w:val="800"/>
        </w:trPr>
        <w:tc>
          <w:tcPr>
            <w:tcW w:w="276" w:type="pct"/>
          </w:tcPr>
          <w:p w14:paraId="5738B9F8" w14:textId="65797E73"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7</w:t>
            </w:r>
          </w:p>
        </w:tc>
        <w:tc>
          <w:tcPr>
            <w:tcW w:w="1772" w:type="pct"/>
          </w:tcPr>
          <w:p w14:paraId="36435003" w14:textId="12A2A7E7"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MS-based proteomic analysis of cardiac response to hypoxia in the goldfish (Carassius auratus)</w:t>
            </w:r>
          </w:p>
        </w:tc>
        <w:tc>
          <w:tcPr>
            <w:tcW w:w="660" w:type="pct"/>
          </w:tcPr>
          <w:p w14:paraId="4F6152AA" w14:textId="6D239473"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Goldfish (Carassius auratus) (heart/cardiac)</w:t>
            </w:r>
          </w:p>
        </w:tc>
        <w:tc>
          <w:tcPr>
            <w:tcW w:w="834" w:type="pct"/>
          </w:tcPr>
          <w:p w14:paraId="63AD19D9" w14:textId="0902F259"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MALDI MS/MS</w:t>
            </w:r>
          </w:p>
        </w:tc>
        <w:tc>
          <w:tcPr>
            <w:tcW w:w="521" w:type="pct"/>
          </w:tcPr>
          <w:p w14:paraId="02C58EB9" w14:textId="5117E978"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12</w:t>
            </w:r>
          </w:p>
        </w:tc>
        <w:tc>
          <w:tcPr>
            <w:tcW w:w="937" w:type="pct"/>
          </w:tcPr>
          <w:p w14:paraId="70011078" w14:textId="15796573"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Imbrogno S, et al. (2019). </w:t>
            </w:r>
          </w:p>
        </w:tc>
      </w:tr>
      <w:tr w:rsidR="00517E60" w:rsidRPr="00517E60" w14:paraId="06EFABC6" w14:textId="77777777" w:rsidTr="00517E60">
        <w:trPr>
          <w:trHeight w:val="800"/>
        </w:trPr>
        <w:tc>
          <w:tcPr>
            <w:tcW w:w="276" w:type="pct"/>
          </w:tcPr>
          <w:p w14:paraId="33C80E3D" w14:textId="718CA259" w:rsidR="000A446A" w:rsidRPr="00517E60" w:rsidRDefault="00C17F8E"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8</w:t>
            </w:r>
          </w:p>
        </w:tc>
        <w:tc>
          <w:tcPr>
            <w:tcW w:w="1772" w:type="pct"/>
          </w:tcPr>
          <w:p w14:paraId="1CD6FE92" w14:textId="02987AAA"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Proteomic analysis of muscle tissue from rainbow trout (Oncorhynchus mykiss) fed dietary β-glucan</w:t>
            </w:r>
          </w:p>
        </w:tc>
        <w:tc>
          <w:tcPr>
            <w:tcW w:w="660" w:type="pct"/>
          </w:tcPr>
          <w:p w14:paraId="7EF0FAA8" w14:textId="2EA68AC6"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Oncorhynchus mykiss (muscle)</w:t>
            </w:r>
          </w:p>
        </w:tc>
        <w:tc>
          <w:tcPr>
            <w:tcW w:w="834" w:type="pct"/>
          </w:tcPr>
          <w:p w14:paraId="4D49E71C" w14:textId="46269E8E"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2-DE, MALDI TOF/TOF MS</w:t>
            </w:r>
          </w:p>
        </w:tc>
        <w:tc>
          <w:tcPr>
            <w:tcW w:w="521" w:type="pct"/>
          </w:tcPr>
          <w:p w14:paraId="452AC8F8" w14:textId="529D8926"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8</w:t>
            </w:r>
          </w:p>
        </w:tc>
        <w:tc>
          <w:tcPr>
            <w:tcW w:w="937" w:type="pct"/>
          </w:tcPr>
          <w:p w14:paraId="156CB886" w14:textId="34F75CEC" w:rsidR="000A446A" w:rsidRPr="00517E60" w:rsidRDefault="000A446A" w:rsidP="00517E60">
            <w:pPr>
              <w:spacing w:line="276" w:lineRule="auto"/>
              <w:rPr>
                <w:rFonts w:ascii="Times New Roman" w:hAnsi="Times New Roman" w:cs="Times New Roman"/>
                <w:sz w:val="24"/>
                <w:szCs w:val="24"/>
              </w:rPr>
            </w:pPr>
            <w:r w:rsidRPr="00517E60">
              <w:rPr>
                <w:rFonts w:ascii="Times New Roman" w:hAnsi="Times New Roman" w:cs="Times New Roman"/>
                <w:sz w:val="24"/>
                <w:szCs w:val="24"/>
              </w:rPr>
              <w:t xml:space="preserve">Ghaedi G, et al. (2016). </w:t>
            </w:r>
          </w:p>
        </w:tc>
      </w:tr>
    </w:tbl>
    <w:p w14:paraId="740142F0" w14:textId="35E99446" w:rsidR="003B13C7" w:rsidRPr="000A446A" w:rsidRDefault="003B13C7" w:rsidP="000A446A">
      <w:pPr>
        <w:rPr>
          <w:rFonts w:ascii="Times New Roman" w:hAnsi="Times New Roman" w:cs="Times New Roman"/>
          <w:sz w:val="24"/>
          <w:szCs w:val="24"/>
        </w:rPr>
        <w:sectPr w:rsidR="003B13C7" w:rsidRPr="000A446A" w:rsidSect="003B13C7">
          <w:pgSz w:w="16838" w:h="11906" w:orient="landscape" w:code="9"/>
          <w:pgMar w:top="1440" w:right="1440" w:bottom="1440" w:left="1440" w:header="706" w:footer="706" w:gutter="0"/>
          <w:cols w:space="708"/>
          <w:docGrid w:linePitch="360"/>
        </w:sectPr>
      </w:pPr>
    </w:p>
    <w:p w14:paraId="1B37F94D" w14:textId="4649F3BA" w:rsidR="00254E6F" w:rsidRDefault="00AD1CBB" w:rsidP="003B13C7">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6</w:t>
      </w:r>
      <w:r w:rsidR="005B428B" w:rsidRPr="003B13C7">
        <w:rPr>
          <w:rFonts w:ascii="Times New Roman" w:hAnsi="Times New Roman" w:cs="Times New Roman"/>
          <w:b/>
          <w:bCs/>
          <w:sz w:val="24"/>
          <w:szCs w:val="24"/>
        </w:rPr>
        <w:t>.Conclusion</w:t>
      </w:r>
    </w:p>
    <w:p w14:paraId="061442F4" w14:textId="6929972D" w:rsidR="0002631A" w:rsidRPr="0002631A" w:rsidRDefault="0002631A" w:rsidP="0002631A">
      <w:pPr>
        <w:spacing w:line="360" w:lineRule="auto"/>
        <w:jc w:val="both"/>
        <w:rPr>
          <w:rFonts w:ascii="Times New Roman" w:hAnsi="Times New Roman" w:cs="Times New Roman"/>
          <w:bCs/>
          <w:sz w:val="24"/>
          <w:szCs w:val="24"/>
          <w:lang w:val="en-US"/>
        </w:rPr>
      </w:pPr>
      <w:r w:rsidRPr="0002631A">
        <w:rPr>
          <w:rFonts w:ascii="Times New Roman" w:hAnsi="Times New Roman" w:cs="Times New Roman"/>
          <w:bCs/>
          <w:sz w:val="24"/>
          <w:szCs w:val="24"/>
          <w:lang w:val="en-US"/>
        </w:rPr>
        <w:t>Sustainable aquaculture demands advanced tools like omics platforms (genomics, transcriptomic, proteomics) to explore fish traits and identify welfare biomarkers. This review evaluates proteomics as a powerful approach to address safety, quality, nutrition, health, and disease in aquaculture. Despite limited database integration for most species, studies on model and food fishes reveal its potential: elucidating biological pathways, tackling key challenges, and pinpointing biomarkers.</w:t>
      </w:r>
      <w:r>
        <w:rPr>
          <w:rFonts w:ascii="Times New Roman" w:hAnsi="Times New Roman" w:cs="Times New Roman"/>
          <w:bCs/>
          <w:sz w:val="24"/>
          <w:szCs w:val="24"/>
          <w:lang w:val="en-US"/>
        </w:rPr>
        <w:t xml:space="preserve"> </w:t>
      </w:r>
      <w:r w:rsidRPr="0002631A">
        <w:rPr>
          <w:rFonts w:ascii="Times New Roman" w:hAnsi="Times New Roman" w:cs="Times New Roman"/>
          <w:bCs/>
          <w:sz w:val="24"/>
          <w:szCs w:val="24"/>
          <w:lang w:val="en-US"/>
        </w:rPr>
        <w:t>Discovery and targeted proteomics provide high-sensitivity methods for food authenticity, traceability, and allergen detection in fisheries products. As primary functional macromolecules, proteins enable comprehensive analysis of environmental and aquaculture impacts on safety/quality via diverse sample preparation techniques—from simple to advanced. Proteomics poised to transform the food sector; this review urges intensified research. Integrating it with other omics will propel the blue revolution forward.</w:t>
      </w:r>
    </w:p>
    <w:p w14:paraId="29CAD865" w14:textId="77777777" w:rsidR="005B428B" w:rsidRPr="003B13C7" w:rsidRDefault="005B428B" w:rsidP="003B13C7">
      <w:pPr>
        <w:spacing w:line="360" w:lineRule="auto"/>
        <w:jc w:val="both"/>
        <w:rPr>
          <w:rFonts w:ascii="Times New Roman" w:hAnsi="Times New Roman" w:cs="Times New Roman"/>
          <w:b/>
          <w:bCs/>
          <w:sz w:val="24"/>
          <w:szCs w:val="24"/>
        </w:rPr>
      </w:pPr>
      <w:r w:rsidRPr="003B13C7">
        <w:rPr>
          <w:rFonts w:ascii="Times New Roman" w:hAnsi="Times New Roman" w:cs="Times New Roman"/>
          <w:b/>
          <w:bCs/>
          <w:sz w:val="24"/>
          <w:szCs w:val="24"/>
        </w:rPr>
        <w:t xml:space="preserve">CONFLICT OF INTERESTS </w:t>
      </w:r>
    </w:p>
    <w:p w14:paraId="5380ED52" w14:textId="77777777" w:rsidR="005B428B" w:rsidRPr="003B13C7" w:rsidRDefault="005B428B" w:rsidP="003B13C7">
      <w:pPr>
        <w:spacing w:line="360" w:lineRule="auto"/>
        <w:jc w:val="both"/>
        <w:rPr>
          <w:rFonts w:ascii="Times New Roman" w:hAnsi="Times New Roman" w:cs="Times New Roman"/>
          <w:bCs/>
          <w:sz w:val="24"/>
          <w:szCs w:val="24"/>
        </w:rPr>
      </w:pPr>
      <w:r w:rsidRPr="003B13C7">
        <w:rPr>
          <w:rFonts w:ascii="Times New Roman" w:hAnsi="Times New Roman" w:cs="Times New Roman"/>
          <w:bCs/>
          <w:sz w:val="24"/>
          <w:szCs w:val="24"/>
        </w:rPr>
        <w:t>The authors declare no conflict of interest</w:t>
      </w:r>
    </w:p>
    <w:p w14:paraId="4357DF61" w14:textId="77777777" w:rsidR="005B428B" w:rsidRPr="003B13C7" w:rsidRDefault="005B428B" w:rsidP="003B13C7">
      <w:pPr>
        <w:spacing w:line="360" w:lineRule="auto"/>
        <w:jc w:val="both"/>
        <w:rPr>
          <w:rFonts w:ascii="Times New Roman" w:hAnsi="Times New Roman" w:cs="Times New Roman"/>
          <w:b/>
          <w:bCs/>
          <w:sz w:val="24"/>
          <w:szCs w:val="24"/>
        </w:rPr>
      </w:pPr>
      <w:r w:rsidRPr="003B13C7">
        <w:rPr>
          <w:rFonts w:ascii="Times New Roman" w:hAnsi="Times New Roman" w:cs="Times New Roman"/>
          <w:b/>
          <w:bCs/>
          <w:sz w:val="24"/>
          <w:szCs w:val="24"/>
        </w:rPr>
        <w:t xml:space="preserve"> ETHICS APPROVAL</w:t>
      </w:r>
    </w:p>
    <w:p w14:paraId="077F0C41" w14:textId="512E99B1" w:rsidR="00803FA6" w:rsidRDefault="0002631A" w:rsidP="003B13C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Not applicable</w:t>
      </w:r>
    </w:p>
    <w:p w14:paraId="219EF7DB" w14:textId="77777777" w:rsidR="00602C57" w:rsidRDefault="00602C57" w:rsidP="00602C57">
      <w:pPr>
        <w:rPr>
          <w:highlight w:val="yellow"/>
        </w:rPr>
      </w:pPr>
      <w:r>
        <w:rPr>
          <w:highlight w:val="yellow"/>
        </w:rPr>
        <w:t>Disclaimer (Artificial intelligence)</w:t>
      </w:r>
    </w:p>
    <w:p w14:paraId="6A975D1B" w14:textId="77777777" w:rsidR="00602C57" w:rsidRDefault="00602C57" w:rsidP="00602C57">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4BDBB8C3" w14:textId="77777777" w:rsidR="00602C57" w:rsidRDefault="00602C57" w:rsidP="00602C57"/>
    <w:p w14:paraId="03CB034E" w14:textId="77777777" w:rsidR="00602C57" w:rsidRPr="003B13C7" w:rsidRDefault="00602C57" w:rsidP="003B13C7">
      <w:pPr>
        <w:spacing w:line="360" w:lineRule="auto"/>
        <w:jc w:val="both"/>
        <w:rPr>
          <w:rFonts w:ascii="Times New Roman" w:hAnsi="Times New Roman" w:cs="Times New Roman"/>
          <w:bCs/>
          <w:sz w:val="24"/>
          <w:szCs w:val="24"/>
        </w:rPr>
      </w:pPr>
      <w:bookmarkStart w:id="0" w:name="_GoBack"/>
      <w:bookmarkEnd w:id="0"/>
    </w:p>
    <w:p w14:paraId="7873FF93" w14:textId="297B1AD0" w:rsidR="00B62700" w:rsidRDefault="00254E6F" w:rsidP="003B13C7">
      <w:pPr>
        <w:spacing w:line="360" w:lineRule="auto"/>
        <w:jc w:val="both"/>
        <w:rPr>
          <w:rFonts w:ascii="Times New Roman" w:hAnsi="Times New Roman" w:cs="Times New Roman"/>
          <w:b/>
          <w:bCs/>
          <w:sz w:val="24"/>
          <w:szCs w:val="24"/>
        </w:rPr>
      </w:pPr>
      <w:r w:rsidRPr="003B13C7">
        <w:rPr>
          <w:rFonts w:ascii="Times New Roman" w:hAnsi="Times New Roman" w:cs="Times New Roman"/>
          <w:b/>
          <w:bCs/>
          <w:sz w:val="24"/>
          <w:szCs w:val="24"/>
        </w:rPr>
        <w:t>6.</w:t>
      </w:r>
      <w:r w:rsidR="004D0421" w:rsidRPr="003B13C7">
        <w:rPr>
          <w:rFonts w:ascii="Times New Roman" w:hAnsi="Times New Roman" w:cs="Times New Roman"/>
          <w:b/>
          <w:bCs/>
          <w:sz w:val="24"/>
          <w:szCs w:val="24"/>
        </w:rPr>
        <w:t>Reference</w:t>
      </w:r>
    </w:p>
    <w:p w14:paraId="5FEAD95F" w14:textId="6059A06B"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 xml:space="preserve">Abdelrahman, H., ElHady, M., Alcivar-Warren, A., Allen, S., Al-Tobasei, R., Bao, L., Beck, B., Blackburn, H., Bosworth, B., Buchanan, J., … Zhou, T. (2017). Aquaculture genomics, genetics, and breeding in the United States: Current status, challenges, and priorities for future research. BMC Genomics, 18, Article 191. </w:t>
      </w:r>
      <w:hyperlink r:id="rId14" w:history="1">
        <w:r w:rsidR="00E802FC" w:rsidRPr="00C84FAA">
          <w:rPr>
            <w:rStyle w:val="Hyperlink"/>
            <w:rFonts w:ascii="Times New Roman" w:hAnsi="Times New Roman" w:cs="Times New Roman"/>
            <w:sz w:val="24"/>
            <w:szCs w:val="24"/>
          </w:rPr>
          <w:t>https://doi.org/10.1186/s12864-017-3557-1</w:t>
        </w:r>
      </w:hyperlink>
      <w:r w:rsidR="00E802FC" w:rsidRPr="00C84FAA">
        <w:rPr>
          <w:rFonts w:ascii="Times New Roman" w:hAnsi="Times New Roman" w:cs="Times New Roman"/>
          <w:sz w:val="24"/>
          <w:szCs w:val="24"/>
        </w:rPr>
        <w:t xml:space="preserve"> </w:t>
      </w:r>
    </w:p>
    <w:p w14:paraId="092E0B3B" w14:textId="5DEACCB0" w:rsidR="00E802FC"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Badhe, M. R., Kumar, A., &amp; Das, A. (2024). Physiological responses to acute heat stress in Rohu, </w:t>
      </w:r>
      <w:r w:rsidRPr="00C84FAA">
        <w:rPr>
          <w:rFonts w:ascii="Times New Roman" w:hAnsi="Times New Roman" w:cs="Times New Roman"/>
          <w:i/>
          <w:iCs/>
          <w:sz w:val="24"/>
          <w:szCs w:val="24"/>
        </w:rPr>
        <w:t>Labeo rohita</w:t>
      </w:r>
      <w:r w:rsidRPr="00C84FAA">
        <w:rPr>
          <w:rFonts w:ascii="Times New Roman" w:hAnsi="Times New Roman" w:cs="Times New Roman"/>
          <w:sz w:val="24"/>
          <w:szCs w:val="24"/>
        </w:rPr>
        <w:t>: Insights from liver proteomics. </w:t>
      </w:r>
      <w:r w:rsidRPr="00C84FAA">
        <w:rPr>
          <w:rFonts w:ascii="Times New Roman" w:hAnsi="Times New Roman" w:cs="Times New Roman"/>
          <w:i/>
          <w:iCs/>
          <w:sz w:val="24"/>
          <w:szCs w:val="24"/>
        </w:rPr>
        <w:t>Journal of Thermal Biology, 119</w:t>
      </w:r>
      <w:r w:rsidRPr="00C84FAA">
        <w:rPr>
          <w:rFonts w:ascii="Times New Roman" w:hAnsi="Times New Roman" w:cs="Times New Roman"/>
          <w:sz w:val="24"/>
          <w:szCs w:val="24"/>
        </w:rPr>
        <w:t>, 103765.</w:t>
      </w:r>
    </w:p>
    <w:p w14:paraId="4FA1FE3B" w14:textId="77777777"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Bradley, B. P., Kalampanayil, B., &amp; O'Neill, M. C. (2009). Protein expression profiling. In Methods in molecular biology (Vol. 519, pp. 455–468). Humana Press. https://doi.o</w:t>
      </w:r>
      <w:r w:rsidR="00E802FC" w:rsidRPr="00C84FAA">
        <w:rPr>
          <w:rFonts w:ascii="Times New Roman" w:hAnsi="Times New Roman" w:cs="Times New Roman"/>
          <w:sz w:val="24"/>
          <w:szCs w:val="24"/>
        </w:rPr>
        <w:t>rg/10.1007/978-1-59745-281-6_30</w:t>
      </w:r>
    </w:p>
    <w:p w14:paraId="14A30CC8" w14:textId="77777777"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lastRenderedPageBreak/>
        <w:t>Carrera, M., Pazos, M., &amp; Gasset, M. (2020). Proteomics-based methodologies for the detection and quantification of seafood allergens. Foods, 9(9), Article 1134. https</w:t>
      </w:r>
      <w:r w:rsidR="00E802FC" w:rsidRPr="00C84FAA">
        <w:rPr>
          <w:rFonts w:ascii="Times New Roman" w:hAnsi="Times New Roman" w:cs="Times New Roman"/>
          <w:sz w:val="24"/>
          <w:szCs w:val="24"/>
        </w:rPr>
        <w:t>://doi.org/10.3390/foods9091134</w:t>
      </w:r>
    </w:p>
    <w:p w14:paraId="56821774" w14:textId="77777777"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Colatriano, D., &amp; Walsh, D. A. (2015). An aquatic microbial meta-proteomics workflow: From cells to tryptic peptides suitable for tandem mass spectrometry-based analysis. Journal of Visualized Experiments, 2015(105), e52827</w:t>
      </w:r>
      <w:r w:rsidR="00E802FC" w:rsidRPr="00C84FAA">
        <w:rPr>
          <w:rFonts w:ascii="Times New Roman" w:hAnsi="Times New Roman" w:cs="Times New Roman"/>
          <w:sz w:val="24"/>
          <w:szCs w:val="24"/>
        </w:rPr>
        <w:t>. https://doi.org/10.3791/52827</w:t>
      </w:r>
    </w:p>
    <w:p w14:paraId="22735576" w14:textId="17ED0DB9" w:rsidR="00E802FC" w:rsidRPr="00C84FAA" w:rsidRDefault="00EC0D9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color w:val="000000" w:themeColor="text1"/>
          <w:sz w:val="24"/>
          <w:szCs w:val="24"/>
        </w:rPr>
        <w:t>Cue</w:t>
      </w:r>
      <w:r w:rsidR="007B712F" w:rsidRPr="00C84FAA">
        <w:rPr>
          <w:rFonts w:ascii="Times New Roman" w:hAnsi="Times New Roman" w:cs="Times New Roman"/>
          <w:sz w:val="24"/>
          <w:szCs w:val="24"/>
        </w:rPr>
        <w:t>, X., Li, S. C., He, L., &amp; Li, M. (2014). Fingerprinting protein structures effectively and efficiently. Bioinformatics, 30(7), 949–955. https://doi.or</w:t>
      </w:r>
      <w:r w:rsidR="00481E02" w:rsidRPr="00C84FAA">
        <w:rPr>
          <w:rFonts w:ascii="Times New Roman" w:hAnsi="Times New Roman" w:cs="Times New Roman"/>
          <w:sz w:val="24"/>
          <w:szCs w:val="24"/>
        </w:rPr>
        <w:t>g/10.1093</w:t>
      </w:r>
    </w:p>
    <w:p w14:paraId="35B8DFC6" w14:textId="4A39B220" w:rsidR="001C2256"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Dietrich, M. A., Adamek, M., Steinhagen, D., Nynca, J., &amp; Ciereszko, A. (2021). Proteomic analysis of blood plasma reveals changes in immune- and stress-associated proteins following hormonal stimulation of carp males. </w:t>
      </w:r>
      <w:r w:rsidRPr="00C84FAA">
        <w:rPr>
          <w:rFonts w:ascii="Times New Roman" w:hAnsi="Times New Roman" w:cs="Times New Roman"/>
          <w:i/>
          <w:iCs/>
          <w:sz w:val="24"/>
          <w:szCs w:val="24"/>
        </w:rPr>
        <w:t>Comparative Biochemistry and Physiology Part D: Genomics and Proteomics, 38</w:t>
      </w:r>
      <w:r w:rsidRPr="00C84FAA">
        <w:rPr>
          <w:rFonts w:ascii="Times New Roman" w:hAnsi="Times New Roman" w:cs="Times New Roman"/>
          <w:sz w:val="24"/>
          <w:szCs w:val="24"/>
        </w:rPr>
        <w:t>, 100819.</w:t>
      </w:r>
    </w:p>
    <w:p w14:paraId="106D8EB1" w14:textId="17C08113" w:rsidR="001C2256"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Dietrich, M. A., Nynca, J., Białowąs, H., &amp; Ciereszko, A. (2018). Acclimation to cold and warm temperatures is associated with differential expression of male carp blood proteins involved in acute phase and stress responses, and lipid metabolism. </w:t>
      </w:r>
      <w:r w:rsidRPr="00C84FAA">
        <w:rPr>
          <w:rFonts w:ascii="Times New Roman" w:hAnsi="Times New Roman" w:cs="Times New Roman"/>
          <w:i/>
          <w:iCs/>
          <w:sz w:val="24"/>
          <w:szCs w:val="24"/>
        </w:rPr>
        <w:t>Fish Physiology and Biochemistry, 44</w:t>
      </w:r>
      <w:r w:rsidRPr="00C84FAA">
        <w:rPr>
          <w:rFonts w:ascii="Times New Roman" w:hAnsi="Times New Roman" w:cs="Times New Roman"/>
          <w:sz w:val="24"/>
          <w:szCs w:val="24"/>
        </w:rPr>
        <w:t>(5), 1257–1273.</w:t>
      </w:r>
    </w:p>
    <w:p w14:paraId="03ED013B" w14:textId="77777777"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FAO. (2020). The state of world fisheries and aquaculture 2020: Sustainability in action. Food and Agriculture Organization of the United Nations. h</w:t>
      </w:r>
      <w:r w:rsidR="00E802FC" w:rsidRPr="00C84FAA">
        <w:rPr>
          <w:rFonts w:ascii="Times New Roman" w:hAnsi="Times New Roman" w:cs="Times New Roman"/>
          <w:sz w:val="24"/>
          <w:szCs w:val="24"/>
        </w:rPr>
        <w:t>ttps://doi.org/10.4060/ca9229en</w:t>
      </w:r>
    </w:p>
    <w:p w14:paraId="3654F732" w14:textId="77777777" w:rsidR="00E802FC"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 xml:space="preserve">Fiorella, K. J., Okronipa, H., Baker, K., &amp; Heilpern, S. (2021). Contemporary aquaculture: Implications for human nutrition. Current Opinion in Biotechnology, 70, 83–90. </w:t>
      </w:r>
      <w:hyperlink r:id="rId15" w:history="1">
        <w:r w:rsidRPr="00C84FAA">
          <w:rPr>
            <w:rStyle w:val="Hyperlink"/>
            <w:rFonts w:ascii="Times New Roman" w:hAnsi="Times New Roman" w:cs="Times New Roman"/>
            <w:sz w:val="24"/>
            <w:szCs w:val="24"/>
          </w:rPr>
          <w:t>https://doi.org/10.1016/j.copbio.2020.12.007</w:t>
        </w:r>
      </w:hyperlink>
    </w:p>
    <w:p w14:paraId="7FD22860" w14:textId="77777777" w:rsidR="00086BA3" w:rsidRPr="00C84FAA" w:rsidRDefault="00086BA3"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Gao, P., Mohd Noor, N. Q. I., &amp; Shaarani, S. M. (2022). Current status of food safety hazards and health risks connected with aquatic food products from the Southeast Asian region. Critical Reviews in Food Science and Nutrition, 62(13), 3471–3489.</w:t>
      </w:r>
    </w:p>
    <w:p w14:paraId="3C63D905" w14:textId="79A94A83" w:rsidR="007B712F"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Goswami, S., Kothari, D. C., &amp; Sadhukhan, R. (2015). Proteomics analysis of liver tissue of </w:t>
      </w:r>
      <w:r w:rsidRPr="00C84FAA">
        <w:rPr>
          <w:rFonts w:ascii="Times New Roman" w:hAnsi="Times New Roman" w:cs="Times New Roman"/>
          <w:i/>
          <w:iCs/>
          <w:sz w:val="24"/>
          <w:szCs w:val="24"/>
        </w:rPr>
        <w:t>Labeo rohita</w:t>
      </w:r>
      <w:r w:rsidRPr="00C84FAA">
        <w:rPr>
          <w:rFonts w:ascii="Times New Roman" w:hAnsi="Times New Roman" w:cs="Times New Roman"/>
          <w:sz w:val="24"/>
          <w:szCs w:val="24"/>
        </w:rPr>
        <w:t>. </w:t>
      </w:r>
      <w:r w:rsidRPr="00C84FAA">
        <w:rPr>
          <w:rFonts w:ascii="Times New Roman" w:hAnsi="Times New Roman" w:cs="Times New Roman"/>
          <w:i/>
          <w:iCs/>
          <w:sz w:val="24"/>
          <w:szCs w:val="24"/>
        </w:rPr>
        <w:t>Proceedings of the National Academy of Sciences, India Section B: Biological Sciences, 85</w:t>
      </w:r>
      <w:r w:rsidRPr="00C84FAA">
        <w:rPr>
          <w:rFonts w:ascii="Times New Roman" w:hAnsi="Times New Roman" w:cs="Times New Roman"/>
          <w:sz w:val="24"/>
          <w:szCs w:val="24"/>
        </w:rPr>
        <w:t>(2), 413–420.</w:t>
      </w:r>
    </w:p>
    <w:p w14:paraId="7C47A900" w14:textId="77777777" w:rsidR="00086BA3" w:rsidRPr="00C84FAA" w:rsidRDefault="00086BA3"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Ghaedi, G., Keyvanshokorlouei, M., &amp; Salati, A. P. (2016). Proteomic analysis of muscle tissue from rainbow trout (Oncorhynchus mykiss) fed dietary β-glucan. Iranian Journal of Veterinary Research, 17(4), 245–251.</w:t>
      </w:r>
    </w:p>
    <w:p w14:paraId="719F3DB9" w14:textId="3BB6FDB5" w:rsidR="00E802FC" w:rsidRPr="00C84FAA" w:rsidRDefault="00086BA3"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Hicks, D. T. (2016). Seafood safety and quality: The consumer's role. Foods, 5(4), Article 71.</w:t>
      </w:r>
    </w:p>
    <w:p w14:paraId="762FCCB6" w14:textId="4DDBA314" w:rsidR="00086BA3" w:rsidRPr="00C84FAA" w:rsidRDefault="00086BA3"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Imbrogno, S., Mazza, R., Filice, M., &amp; Cerra, M. C. (2019). MS-based proteomic analysis of cardiac response to hypoxia in the goldfish (</w:t>
      </w:r>
      <w:r w:rsidRPr="00C84FAA">
        <w:rPr>
          <w:rFonts w:ascii="Times New Roman" w:hAnsi="Times New Roman" w:cs="Times New Roman"/>
          <w:i/>
          <w:iCs/>
          <w:sz w:val="24"/>
          <w:szCs w:val="24"/>
        </w:rPr>
        <w:t>Carassius auratus</w:t>
      </w:r>
      <w:r w:rsidRPr="00C84FAA">
        <w:rPr>
          <w:rFonts w:ascii="Times New Roman" w:hAnsi="Times New Roman" w:cs="Times New Roman"/>
          <w:sz w:val="24"/>
          <w:szCs w:val="24"/>
        </w:rPr>
        <w:t>). </w:t>
      </w:r>
      <w:r w:rsidRPr="00C84FAA">
        <w:rPr>
          <w:rFonts w:ascii="Times New Roman" w:hAnsi="Times New Roman" w:cs="Times New Roman"/>
          <w:i/>
          <w:iCs/>
          <w:sz w:val="24"/>
          <w:szCs w:val="24"/>
        </w:rPr>
        <w:t>Journal of Comparative Physiology B, 189</w:t>
      </w:r>
      <w:r w:rsidRPr="00C84FAA">
        <w:rPr>
          <w:rFonts w:ascii="Times New Roman" w:hAnsi="Times New Roman" w:cs="Times New Roman"/>
          <w:sz w:val="24"/>
          <w:szCs w:val="24"/>
        </w:rPr>
        <w:t>(4), 415–428.</w:t>
      </w:r>
    </w:p>
    <w:p w14:paraId="5607D505" w14:textId="77777777" w:rsidR="001C2256"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Kwok, C. S. N., Leung, P. T. Y., &amp; Wong, C. K. C. (2021). Proteome analysis of whole-body responses in medaka experimentally exposed to fish-killing dinoflagellate </w:t>
      </w:r>
      <w:r w:rsidRPr="00C84FAA">
        <w:rPr>
          <w:rFonts w:ascii="Times New Roman" w:hAnsi="Times New Roman" w:cs="Times New Roman"/>
          <w:i/>
          <w:iCs/>
          <w:sz w:val="24"/>
          <w:szCs w:val="24"/>
        </w:rPr>
        <w:t>Karenia mikimotoi</w:t>
      </w:r>
      <w:r w:rsidRPr="00C84FAA">
        <w:rPr>
          <w:rFonts w:ascii="Times New Roman" w:hAnsi="Times New Roman" w:cs="Times New Roman"/>
          <w:sz w:val="24"/>
          <w:szCs w:val="24"/>
        </w:rPr>
        <w:t>. </w:t>
      </w:r>
      <w:r w:rsidRPr="00C84FAA">
        <w:rPr>
          <w:rFonts w:ascii="Times New Roman" w:hAnsi="Times New Roman" w:cs="Times New Roman"/>
          <w:i/>
          <w:iCs/>
          <w:sz w:val="24"/>
          <w:szCs w:val="24"/>
        </w:rPr>
        <w:t>Aquatic Toxicology, 234</w:t>
      </w:r>
      <w:r w:rsidRPr="00C84FAA">
        <w:rPr>
          <w:rFonts w:ascii="Times New Roman" w:hAnsi="Times New Roman" w:cs="Times New Roman"/>
          <w:sz w:val="24"/>
          <w:szCs w:val="24"/>
        </w:rPr>
        <w:t>, 105896.</w:t>
      </w:r>
    </w:p>
    <w:p w14:paraId="26C2D47D" w14:textId="65EB4931"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Keyvan Shokooh, S., Kal Bassi, M. R., Hossein Khani, S., &amp; Vaziri, B. (2009). Comparative proteomics analysis of male and female Persian sturgeon (Acipenser persicus) gonads. Animal Reproduct</w:t>
      </w:r>
      <w:r w:rsidR="00E802FC" w:rsidRPr="00C84FAA">
        <w:rPr>
          <w:rFonts w:ascii="Times New Roman" w:hAnsi="Times New Roman" w:cs="Times New Roman"/>
          <w:sz w:val="24"/>
          <w:szCs w:val="24"/>
        </w:rPr>
        <w:t>ion Science, 111(2-4), 361–368.</w:t>
      </w:r>
    </w:p>
    <w:p w14:paraId="14E28F2E" w14:textId="5C6D2B2A"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Leduc, A., Fournier, V., &amp; Henry, J. (2020). A standardized, innovative method to characterize the structure of aquatic protein hydrolysates.</w:t>
      </w:r>
      <w:r w:rsidR="00E802FC" w:rsidRPr="00C84FAA">
        <w:rPr>
          <w:rFonts w:ascii="Times New Roman" w:hAnsi="Times New Roman" w:cs="Times New Roman"/>
          <w:sz w:val="24"/>
          <w:szCs w:val="24"/>
        </w:rPr>
        <w:t xml:space="preserve"> Heliyon, 6(5), Article e04170.</w:t>
      </w:r>
    </w:p>
    <w:p w14:paraId="376D9D1F" w14:textId="01329EB2"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Ma, C., Wang, W., Wang, Y., Sun, Y., Kang, L., Zhang, Q., &amp; Jiang, Y. (2020). TMT-labelled quantitative proteomic analyses on the longissimus dorsi to identify the proteins underlying intramuscular fat content in pigs. Journal of P</w:t>
      </w:r>
      <w:r w:rsidR="00E802FC" w:rsidRPr="00C84FAA">
        <w:rPr>
          <w:rFonts w:ascii="Times New Roman" w:hAnsi="Times New Roman" w:cs="Times New Roman"/>
          <w:sz w:val="24"/>
          <w:szCs w:val="24"/>
        </w:rPr>
        <w:t>roteomics, 213, Article 103630.</w:t>
      </w:r>
    </w:p>
    <w:p w14:paraId="1FC60D88" w14:textId="64E263ED"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Mahanty, A., Mohanty, S., &amp; Mohanty, B. P. (2017). Dietary supplementation of curcumin augments heat stress tolerance through upregulation of Nrf-2-mediated antioxidative enzymes and Hsps in Puntius sophore. Fish Physiology and Biochemistry, 43(4), 1131–1141. https://do</w:t>
      </w:r>
      <w:r w:rsidR="00E802FC" w:rsidRPr="00C84FAA">
        <w:rPr>
          <w:rFonts w:ascii="Times New Roman" w:hAnsi="Times New Roman" w:cs="Times New Roman"/>
          <w:sz w:val="24"/>
          <w:szCs w:val="24"/>
        </w:rPr>
        <w:t>i.org/10.1007/s10695-017-0358-z</w:t>
      </w:r>
    </w:p>
    <w:p w14:paraId="3E71E6B0" w14:textId="378B51BE"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Manes, N. P., &amp; Nita-Lazar, A. (2018). Application of targeted mass spectrometry in bottom-up proteomics for systems biology research. Journal of Proteomics, 189, 75–90. https://doi.</w:t>
      </w:r>
      <w:r w:rsidR="00E802FC" w:rsidRPr="00C84FAA">
        <w:rPr>
          <w:rFonts w:ascii="Times New Roman" w:hAnsi="Times New Roman" w:cs="Times New Roman"/>
          <w:sz w:val="24"/>
          <w:szCs w:val="24"/>
        </w:rPr>
        <w:t>org/10.1016/j.jprot.2018.02.008</w:t>
      </w:r>
    </w:p>
    <w:p w14:paraId="760DB48F" w14:textId="77777777"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lastRenderedPageBreak/>
        <w:t>Meleady, P. (2018). Two-dimensional gel electrophoresis and 2D-DIGE. In Methods in molecular biology (Vol. 1664, pp. 3–14). Humana Press. https://doi.org/10.1007/978-1-4939-7268-5_1</w:t>
      </w:r>
    </w:p>
    <w:p w14:paraId="610F7443" w14:textId="06FBE3C9"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color w:val="000000" w:themeColor="text1"/>
          <w:sz w:val="24"/>
          <w:szCs w:val="24"/>
        </w:rPr>
        <w:t>Monti</w:t>
      </w:r>
      <w:r w:rsidRPr="00C84FAA">
        <w:rPr>
          <w:rFonts w:ascii="Times New Roman" w:hAnsi="Times New Roman" w:cs="Times New Roman"/>
          <w:sz w:val="24"/>
          <w:szCs w:val="24"/>
        </w:rPr>
        <w:t>, M., Cozzolino, M., Cozzolino, F., Vitiello, G., Tedesco, R., Flagiello, A., &amp; Pucci, P. (2009). Puzzle of protein complexes in vivo: A present and future challenge for functional proteomics. Expert Review of Proteomics, 6(2), 159–169. http</w:t>
      </w:r>
      <w:r w:rsidR="00E802FC" w:rsidRPr="00C84FAA">
        <w:rPr>
          <w:rFonts w:ascii="Times New Roman" w:hAnsi="Times New Roman" w:cs="Times New Roman"/>
          <w:sz w:val="24"/>
          <w:szCs w:val="24"/>
        </w:rPr>
        <w:t xml:space="preserve">s://doi.org/10.1586/epr.09.7 </w:t>
      </w:r>
    </w:p>
    <w:p w14:paraId="6C0E1E9D" w14:textId="7633D80F"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Monti, M., Orrù, S., Pagnozzi, D., &amp; Pucci, P. (2005). Interaction proteomics. Bioscience Reports, 25(1-2), 45–56. https://doi.o</w:t>
      </w:r>
      <w:r w:rsidR="00E802FC" w:rsidRPr="00C84FAA">
        <w:rPr>
          <w:rFonts w:ascii="Times New Roman" w:hAnsi="Times New Roman" w:cs="Times New Roman"/>
          <w:sz w:val="24"/>
          <w:szCs w:val="24"/>
        </w:rPr>
        <w:t xml:space="preserve">rg/10.1007/s10540-005-2847-z </w:t>
      </w:r>
    </w:p>
    <w:p w14:paraId="0398C8D9" w14:textId="42AEB112"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Niessen, K. A., Xu, M., George, D. K., Chen, M. C., Ferré-D'Amaré, A. R., Snell, E. H., Cody, V., Pace, J., Schmidt, M., &amp; Markelz, A. G. (2019). Protein and RNA dynamical fingerprinting. Nature Commu</w:t>
      </w:r>
      <w:r w:rsidR="00E802FC" w:rsidRPr="00C84FAA">
        <w:rPr>
          <w:rFonts w:ascii="Times New Roman" w:hAnsi="Times New Roman" w:cs="Times New Roman"/>
          <w:sz w:val="24"/>
          <w:szCs w:val="24"/>
        </w:rPr>
        <w:t>nications, 10(1), Article 1026.</w:t>
      </w:r>
    </w:p>
    <w:p w14:paraId="0927F4B8" w14:textId="7B829D31"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 xml:space="preserve">Nissa, M. U., Pinto, N., Parkar, H., Goswami, M., &amp; Srivastava, S. (2021). Proteomics in fisheries and aquaculture: An approach for food security. Food </w:t>
      </w:r>
      <w:r w:rsidR="00E802FC" w:rsidRPr="00C84FAA">
        <w:rPr>
          <w:rFonts w:ascii="Times New Roman" w:hAnsi="Times New Roman" w:cs="Times New Roman"/>
          <w:sz w:val="24"/>
          <w:szCs w:val="24"/>
        </w:rPr>
        <w:t>Chemistry, 127, Article 108125.</w:t>
      </w:r>
    </w:p>
    <w:p w14:paraId="2CACF3F7" w14:textId="513859C1"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Piñeiro, C., Barros-Velázquez, J., Vázquez, J., Figueras, A., &amp; Gallardo, J. M. (2003). Proteomics as a tool for the investigation of seafood and other marine products. Journal of Prote</w:t>
      </w:r>
      <w:r w:rsidR="00E802FC" w:rsidRPr="00C84FAA">
        <w:rPr>
          <w:rFonts w:ascii="Times New Roman" w:hAnsi="Times New Roman" w:cs="Times New Roman"/>
          <w:sz w:val="24"/>
          <w:szCs w:val="24"/>
        </w:rPr>
        <w:t>ome Research, 2(2), 127–135.</w:t>
      </w:r>
    </w:p>
    <w:p w14:paraId="71685BEB" w14:textId="54DC1973"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Prasanna-Mohanty, B., Mohanty, S., Mitra, T., Mahanty, A., Ganguly, S., &amp; Singh, S. (2019). Omics technology in fisheries and aquaculture. Advances in Fish Research, 1, 1–30. https://www.researc</w:t>
      </w:r>
      <w:r w:rsidR="00E802FC" w:rsidRPr="00C84FAA">
        <w:rPr>
          <w:rFonts w:ascii="Times New Roman" w:hAnsi="Times New Roman" w:cs="Times New Roman"/>
          <w:sz w:val="24"/>
          <w:szCs w:val="24"/>
        </w:rPr>
        <w:t>hgate.net/publication/329830959</w:t>
      </w:r>
    </w:p>
    <w:p w14:paraId="5C6967AC" w14:textId="6CC77521"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Singhal, N., Kumar, M., Kanaujia, P. K., &amp; Vird</w:t>
      </w:r>
      <w:r w:rsidR="00E802FC" w:rsidRPr="00C84FAA">
        <w:rPr>
          <w:rFonts w:ascii="Times New Roman" w:hAnsi="Times New Roman" w:cs="Times New Roman"/>
          <w:sz w:val="24"/>
          <w:szCs w:val="24"/>
        </w:rPr>
        <w:t xml:space="preserve">i, J. S. (2015). MALDI-TOF mass </w:t>
      </w:r>
      <w:r w:rsidRPr="00C84FAA">
        <w:rPr>
          <w:rFonts w:ascii="Times New Roman" w:hAnsi="Times New Roman" w:cs="Times New Roman"/>
          <w:sz w:val="24"/>
          <w:szCs w:val="24"/>
        </w:rPr>
        <w:t>spectrometry: An emerging technology for microbia</w:t>
      </w:r>
      <w:r w:rsidR="00E802FC" w:rsidRPr="00C84FAA">
        <w:rPr>
          <w:rFonts w:ascii="Times New Roman" w:hAnsi="Times New Roman" w:cs="Times New Roman"/>
          <w:sz w:val="24"/>
          <w:szCs w:val="24"/>
        </w:rPr>
        <w:t xml:space="preserve">l identification and diagnosis. </w:t>
      </w:r>
      <w:r w:rsidRPr="00C84FAA">
        <w:rPr>
          <w:rFonts w:ascii="Times New Roman" w:hAnsi="Times New Roman" w:cs="Times New Roman"/>
          <w:sz w:val="24"/>
          <w:szCs w:val="24"/>
        </w:rPr>
        <w:t>Frontiers in Microbiology, 6, Article 791. https://doi.org/10.3389/fmicb.2015.00791</w:t>
      </w:r>
    </w:p>
    <w:p w14:paraId="5722441E" w14:textId="1A43BD3F" w:rsidR="007B712F" w:rsidRPr="00C84FAA" w:rsidRDefault="007B712F"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Ting, Y. S., Egertson, J. D., Payne, S. H., Kim, S., MacLean, B., Käll, L., Morris, N., Ellis, R., &amp; MacCoss, M. J. (2015). Peptide-centric proteome analysis: An alternative strategy for the analysis of tandem mass spectrometry data. Molecular &amp; Cellular Proteomics, 14(9), 2301–2307. https://doi.org/10.1074/mcp.O114.047035 **</w:t>
      </w:r>
    </w:p>
    <w:p w14:paraId="3AA8C8EE"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Urban, P. L. (2016). Quantitative mass spectrometry: An overview. </w:t>
      </w:r>
      <w:r w:rsidRPr="00C84FAA">
        <w:rPr>
          <w:rFonts w:ascii="Times New Roman" w:hAnsi="Times New Roman" w:cs="Times New Roman"/>
          <w:i/>
          <w:iCs/>
          <w:sz w:val="24"/>
          <w:szCs w:val="24"/>
        </w:rPr>
        <w:t>Philosophical Transactions of the Royal Society A: Mathematical, Physical and Engineering Sciences, 374</w:t>
      </w:r>
      <w:r w:rsidRPr="00C84FAA">
        <w:rPr>
          <w:rFonts w:ascii="Times New Roman" w:hAnsi="Times New Roman" w:cs="Times New Roman"/>
          <w:sz w:val="24"/>
          <w:szCs w:val="24"/>
        </w:rPr>
        <w:t>(2068), Article 20150382. https://doi.org/10.1098/rsta.2015.0382</w:t>
      </w:r>
    </w:p>
    <w:p w14:paraId="7831221B"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Vadivel, A. K. A. (2015). Gel-based proteomics in plants: Time to move on from the tradition. </w:t>
      </w:r>
      <w:r w:rsidRPr="00C84FAA">
        <w:rPr>
          <w:rFonts w:ascii="Times New Roman" w:hAnsi="Times New Roman" w:cs="Times New Roman"/>
          <w:i/>
          <w:iCs/>
          <w:sz w:val="24"/>
          <w:szCs w:val="24"/>
        </w:rPr>
        <w:t>Frontiers in Plant Science, 6</w:t>
      </w:r>
      <w:r w:rsidRPr="00C84FAA">
        <w:rPr>
          <w:rFonts w:ascii="Times New Roman" w:hAnsi="Times New Roman" w:cs="Times New Roman"/>
          <w:sz w:val="24"/>
          <w:szCs w:val="24"/>
        </w:rPr>
        <w:t>, Article 369. https://doi.org/10.3389/fpls.2015.00369</w:t>
      </w:r>
    </w:p>
    <w:p w14:paraId="0FF6693C"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Wang, X., &amp; Sun, B. J. M. (2023). Metabolic proteins with crucial roles in </w:t>
      </w:r>
      <w:r w:rsidRPr="00C84FAA">
        <w:rPr>
          <w:rFonts w:ascii="Times New Roman" w:hAnsi="Times New Roman" w:cs="Times New Roman"/>
          <w:i/>
          <w:iCs/>
          <w:sz w:val="24"/>
          <w:szCs w:val="24"/>
        </w:rPr>
        <w:t>Edwardsiella tarda</w:t>
      </w:r>
      <w:r w:rsidRPr="00C84FAA">
        <w:rPr>
          <w:rFonts w:ascii="Times New Roman" w:hAnsi="Times New Roman" w:cs="Times New Roman"/>
          <w:sz w:val="24"/>
          <w:szCs w:val="24"/>
        </w:rPr>
        <w:t> antioxidative adaptation and intracellular proliferation. </w:t>
      </w:r>
      <w:r w:rsidRPr="00C84FAA">
        <w:rPr>
          <w:rFonts w:ascii="Times New Roman" w:hAnsi="Times New Roman" w:cs="Times New Roman"/>
          <w:i/>
          <w:iCs/>
          <w:sz w:val="24"/>
          <w:szCs w:val="24"/>
        </w:rPr>
        <w:t>mBio, 8</w:t>
      </w:r>
      <w:r w:rsidRPr="00C84FAA">
        <w:rPr>
          <w:rFonts w:ascii="Times New Roman" w:hAnsi="Times New Roman" w:cs="Times New Roman"/>
          <w:sz w:val="24"/>
          <w:szCs w:val="24"/>
        </w:rPr>
        <w:t>(2), Article e00391-23.</w:t>
      </w:r>
    </w:p>
    <w:p w14:paraId="7B2FED59"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Wu, X., Gu, X., Xue, M., Ge, C., &amp; Liang, X. J. (2022). Proteomic analysis of hepatic fibrosis induced by a high starch diet in largemouth bass (</w:t>
      </w:r>
      <w:r w:rsidRPr="00C84FAA">
        <w:rPr>
          <w:rFonts w:ascii="Times New Roman" w:hAnsi="Times New Roman" w:cs="Times New Roman"/>
          <w:i/>
          <w:iCs/>
          <w:sz w:val="24"/>
          <w:szCs w:val="24"/>
        </w:rPr>
        <w:t>Micropterus salmoides</w:t>
      </w:r>
      <w:r w:rsidRPr="00C84FAA">
        <w:rPr>
          <w:rFonts w:ascii="Times New Roman" w:hAnsi="Times New Roman" w:cs="Times New Roman"/>
          <w:sz w:val="24"/>
          <w:szCs w:val="24"/>
        </w:rPr>
        <w:t>). </w:t>
      </w:r>
      <w:r w:rsidRPr="00C84FAA">
        <w:rPr>
          <w:rFonts w:ascii="Times New Roman" w:hAnsi="Times New Roman" w:cs="Times New Roman"/>
          <w:i/>
          <w:iCs/>
          <w:sz w:val="24"/>
          <w:szCs w:val="24"/>
        </w:rPr>
        <w:t>Comparative Biochemistry and Physiology Part D: Genomics and Proteomics, 43</w:t>
      </w:r>
      <w:r w:rsidRPr="00C84FAA">
        <w:rPr>
          <w:rFonts w:ascii="Times New Roman" w:hAnsi="Times New Roman" w:cs="Times New Roman"/>
          <w:sz w:val="24"/>
          <w:szCs w:val="24"/>
        </w:rPr>
        <w:t>, Article 101007.</w:t>
      </w:r>
    </w:p>
    <w:p w14:paraId="78B16544" w14:textId="426332C9"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Xiang, Q.-Q., Gao, Y., Li, Q.-Q., Ling, J., &amp; Chen, L.-Q. (2020). Proteomic profiling reveals the differential toxic responses of the gills of common carp exposed to nanosilver and silver nitrate. </w:t>
      </w:r>
      <w:r w:rsidRPr="00C84FAA">
        <w:rPr>
          <w:rFonts w:ascii="Times New Roman" w:hAnsi="Times New Roman" w:cs="Times New Roman"/>
          <w:i/>
          <w:iCs/>
          <w:sz w:val="24"/>
          <w:szCs w:val="24"/>
        </w:rPr>
        <w:t>Journal of Hazardous Materials, 394</w:t>
      </w:r>
      <w:r w:rsidRPr="00C84FAA">
        <w:rPr>
          <w:rFonts w:ascii="Times New Roman" w:hAnsi="Times New Roman" w:cs="Times New Roman"/>
          <w:sz w:val="24"/>
          <w:szCs w:val="24"/>
        </w:rPr>
        <w:t>, Article 122562.</w:t>
      </w:r>
    </w:p>
    <w:p w14:paraId="72A0222E" w14:textId="5F7057BB" w:rsidR="00086BA3" w:rsidRPr="00C84FAA" w:rsidRDefault="001C2256"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Xu, Z. N., Wang, G. X., Nie, P., &amp; Zou, P. F. (2019). Identification of proteins differentially expressed in the gills of grass carp (</w:t>
      </w:r>
      <w:r w:rsidRPr="00C84FAA">
        <w:rPr>
          <w:rFonts w:ascii="Times New Roman" w:hAnsi="Times New Roman" w:cs="Times New Roman"/>
          <w:i/>
          <w:iCs/>
          <w:sz w:val="24"/>
          <w:szCs w:val="24"/>
        </w:rPr>
        <w:t>Ctenopharyngodon idella</w:t>
      </w:r>
      <w:r w:rsidRPr="00C84FAA">
        <w:rPr>
          <w:rFonts w:ascii="Times New Roman" w:hAnsi="Times New Roman" w:cs="Times New Roman"/>
          <w:sz w:val="24"/>
          <w:szCs w:val="24"/>
        </w:rPr>
        <w:t>) after hypoxic stress by two-dimensional gel electrophoresis analysis. </w:t>
      </w:r>
      <w:r w:rsidRPr="00C84FAA">
        <w:rPr>
          <w:rFonts w:ascii="Times New Roman" w:hAnsi="Times New Roman" w:cs="Times New Roman"/>
          <w:i/>
          <w:iCs/>
          <w:sz w:val="24"/>
          <w:szCs w:val="24"/>
        </w:rPr>
        <w:t>Fish &amp; Shellfish Immunology, 86</w:t>
      </w:r>
      <w:r w:rsidRPr="00C84FAA">
        <w:rPr>
          <w:rFonts w:ascii="Times New Roman" w:hAnsi="Times New Roman" w:cs="Times New Roman"/>
          <w:sz w:val="24"/>
          <w:szCs w:val="24"/>
        </w:rPr>
        <w:t>, 629–637.</w:t>
      </w:r>
    </w:p>
    <w:p w14:paraId="4886DE4F"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sz w:val="24"/>
          <w:szCs w:val="24"/>
        </w:rPr>
        <w:t xml:space="preserve">Zecha, J., Satpathy, S., Kanashova, T., Avanessian, S. C., Kane, M. H., Clauser, K. R., Mertins, P., Carr, S. A., Kuster, B., &amp; Clauser, K. R. (2019). TMT labeling for the </w:t>
      </w:r>
      <w:r w:rsidRPr="00C84FAA">
        <w:rPr>
          <w:rFonts w:ascii="Times New Roman" w:hAnsi="Times New Roman" w:cs="Times New Roman"/>
          <w:sz w:val="24"/>
          <w:szCs w:val="24"/>
        </w:rPr>
        <w:lastRenderedPageBreak/>
        <w:t>masses: A robust and cost-efficient, in-solution labeling approach. </w:t>
      </w:r>
      <w:r w:rsidRPr="00C84FAA">
        <w:rPr>
          <w:rFonts w:ascii="Times New Roman" w:hAnsi="Times New Roman" w:cs="Times New Roman"/>
          <w:i/>
          <w:iCs/>
          <w:sz w:val="24"/>
          <w:szCs w:val="24"/>
        </w:rPr>
        <w:t>Journal of Proteome Research, 18</w:t>
      </w:r>
      <w:r w:rsidRPr="00C84FAA">
        <w:rPr>
          <w:rFonts w:ascii="Times New Roman" w:hAnsi="Times New Roman" w:cs="Times New Roman"/>
          <w:sz w:val="24"/>
          <w:szCs w:val="24"/>
        </w:rPr>
        <w:t>(7), 1468–1478. https://doi.org/10.1021/acs.jproteome.9b00462</w:t>
      </w:r>
    </w:p>
    <w:p w14:paraId="790B593C" w14:textId="77777777" w:rsidR="00E802FC" w:rsidRPr="00C84FAA" w:rsidRDefault="00E802FC" w:rsidP="00C84FAA">
      <w:pPr>
        <w:pStyle w:val="ListParagraph"/>
        <w:numPr>
          <w:ilvl w:val="0"/>
          <w:numId w:val="6"/>
        </w:numPr>
        <w:spacing w:line="240" w:lineRule="auto"/>
        <w:jc w:val="both"/>
        <w:rPr>
          <w:rFonts w:ascii="Times New Roman" w:hAnsi="Times New Roman" w:cs="Times New Roman"/>
          <w:sz w:val="24"/>
          <w:szCs w:val="24"/>
        </w:rPr>
      </w:pPr>
      <w:r w:rsidRPr="00C84FAA">
        <w:rPr>
          <w:rFonts w:ascii="Times New Roman" w:hAnsi="Times New Roman" w:cs="Times New Roman"/>
          <w:color w:val="000000" w:themeColor="text1"/>
          <w:sz w:val="24"/>
          <w:szCs w:val="24"/>
        </w:rPr>
        <w:t>Zhan</w:t>
      </w:r>
      <w:r w:rsidRPr="00C84FAA">
        <w:rPr>
          <w:rFonts w:ascii="Times New Roman" w:hAnsi="Times New Roman" w:cs="Times New Roman"/>
          <w:sz w:val="24"/>
          <w:szCs w:val="24"/>
        </w:rPr>
        <w:t>g, H., Zong, R., He, H., &amp; Huang, T. (2022). Effects of hydrogen peroxide on </w:t>
      </w:r>
      <w:r w:rsidRPr="00C84FAA">
        <w:rPr>
          <w:rFonts w:ascii="Times New Roman" w:hAnsi="Times New Roman" w:cs="Times New Roman"/>
          <w:i/>
          <w:iCs/>
          <w:sz w:val="24"/>
          <w:szCs w:val="24"/>
        </w:rPr>
        <w:t>Scenedesmus obliquus</w:t>
      </w:r>
      <w:r w:rsidRPr="00C84FAA">
        <w:rPr>
          <w:rFonts w:ascii="Times New Roman" w:hAnsi="Times New Roman" w:cs="Times New Roman"/>
          <w:sz w:val="24"/>
          <w:szCs w:val="24"/>
        </w:rPr>
        <w:t>: Cell growth, antioxidant enzyme activity and intracellular protein fingerprinting. </w:t>
      </w:r>
      <w:r w:rsidRPr="00C84FAA">
        <w:rPr>
          <w:rFonts w:ascii="Times New Roman" w:hAnsi="Times New Roman" w:cs="Times New Roman"/>
          <w:i/>
          <w:iCs/>
          <w:sz w:val="24"/>
          <w:szCs w:val="24"/>
        </w:rPr>
        <w:t>Chemosphere, 287</w:t>
      </w:r>
      <w:r w:rsidRPr="00C84FAA">
        <w:rPr>
          <w:rFonts w:ascii="Times New Roman" w:hAnsi="Times New Roman" w:cs="Times New Roman"/>
          <w:sz w:val="24"/>
          <w:szCs w:val="24"/>
        </w:rPr>
        <w:t>(Pt. 1), Article 132185. https://doi.org/10.1016/j.chemosphere.2021.132185</w:t>
      </w:r>
    </w:p>
    <w:p w14:paraId="6115AA38" w14:textId="77777777" w:rsidR="007D3E88" w:rsidRPr="00E802FC" w:rsidRDefault="007D3E88" w:rsidP="00481E02">
      <w:pPr>
        <w:spacing w:line="240" w:lineRule="auto"/>
        <w:ind w:left="450" w:hanging="450"/>
        <w:jc w:val="both"/>
        <w:rPr>
          <w:rStyle w:val="Hyperlink"/>
          <w:rFonts w:ascii="Times New Roman" w:hAnsi="Times New Roman" w:cs="Times New Roman"/>
          <w:color w:val="auto"/>
          <w:sz w:val="24"/>
          <w:szCs w:val="24"/>
          <w:u w:val="none"/>
        </w:rPr>
      </w:pPr>
    </w:p>
    <w:p w14:paraId="6589BFB9" w14:textId="77777777" w:rsidR="00B62700" w:rsidRPr="00E802FC" w:rsidRDefault="00B62700" w:rsidP="00481E02">
      <w:pPr>
        <w:spacing w:line="240" w:lineRule="auto"/>
        <w:ind w:left="450" w:hanging="450"/>
        <w:jc w:val="both"/>
        <w:rPr>
          <w:rFonts w:ascii="Times New Roman" w:hAnsi="Times New Roman" w:cs="Times New Roman"/>
          <w:sz w:val="24"/>
          <w:szCs w:val="24"/>
        </w:rPr>
      </w:pPr>
    </w:p>
    <w:p w14:paraId="708D0D1F" w14:textId="77777777" w:rsidR="00B62700" w:rsidRPr="003B13C7" w:rsidRDefault="00B62700" w:rsidP="003B13C7">
      <w:pPr>
        <w:tabs>
          <w:tab w:val="left" w:pos="360"/>
        </w:tabs>
        <w:spacing w:line="360" w:lineRule="auto"/>
        <w:ind w:firstLine="270"/>
        <w:jc w:val="both"/>
        <w:rPr>
          <w:rFonts w:ascii="Times New Roman" w:hAnsi="Times New Roman" w:cs="Times New Roman"/>
          <w:b/>
          <w:bCs/>
          <w:sz w:val="24"/>
          <w:szCs w:val="24"/>
          <w:lang w:val="en-US"/>
        </w:rPr>
      </w:pPr>
    </w:p>
    <w:p w14:paraId="6E3D5432" w14:textId="77777777" w:rsidR="00B62700" w:rsidRPr="003B13C7" w:rsidRDefault="00B62700" w:rsidP="003B13C7">
      <w:pPr>
        <w:tabs>
          <w:tab w:val="left" w:pos="360"/>
        </w:tabs>
        <w:spacing w:line="360" w:lineRule="auto"/>
        <w:ind w:firstLine="270"/>
        <w:jc w:val="both"/>
        <w:rPr>
          <w:rFonts w:ascii="Times New Roman" w:hAnsi="Times New Roman" w:cs="Times New Roman"/>
          <w:b/>
          <w:bCs/>
          <w:sz w:val="24"/>
          <w:szCs w:val="24"/>
          <w:lang w:val="en-US"/>
        </w:rPr>
      </w:pPr>
    </w:p>
    <w:p w14:paraId="41D3FEC5" w14:textId="77777777" w:rsidR="00B62700" w:rsidRPr="003B13C7" w:rsidRDefault="00B62700" w:rsidP="003B13C7">
      <w:pPr>
        <w:tabs>
          <w:tab w:val="left" w:pos="360"/>
        </w:tabs>
        <w:spacing w:line="360" w:lineRule="auto"/>
        <w:ind w:firstLine="270"/>
        <w:jc w:val="both"/>
        <w:rPr>
          <w:rFonts w:ascii="Times New Roman" w:hAnsi="Times New Roman" w:cs="Times New Roman"/>
          <w:b/>
          <w:bCs/>
          <w:sz w:val="24"/>
          <w:szCs w:val="24"/>
          <w:lang w:val="en-US"/>
        </w:rPr>
      </w:pPr>
    </w:p>
    <w:p w14:paraId="7CE1A819" w14:textId="77777777" w:rsidR="00B62700" w:rsidRPr="003B13C7" w:rsidRDefault="00B62700" w:rsidP="009054A3">
      <w:pPr>
        <w:tabs>
          <w:tab w:val="left" w:pos="360"/>
        </w:tabs>
        <w:spacing w:line="360" w:lineRule="auto"/>
        <w:jc w:val="both"/>
        <w:rPr>
          <w:rFonts w:ascii="Times New Roman" w:hAnsi="Times New Roman" w:cs="Times New Roman"/>
          <w:b/>
          <w:bCs/>
          <w:sz w:val="24"/>
          <w:szCs w:val="24"/>
          <w:lang w:val="en-US"/>
        </w:rPr>
      </w:pPr>
    </w:p>
    <w:p w14:paraId="77FAD3CB" w14:textId="77777777" w:rsidR="00B62700" w:rsidRPr="003B13C7" w:rsidRDefault="00B62700" w:rsidP="003B13C7">
      <w:pPr>
        <w:tabs>
          <w:tab w:val="left" w:pos="360"/>
        </w:tabs>
        <w:spacing w:line="360" w:lineRule="auto"/>
        <w:jc w:val="both"/>
        <w:rPr>
          <w:rFonts w:ascii="Times New Roman" w:hAnsi="Times New Roman" w:cs="Times New Roman"/>
          <w:b/>
          <w:bCs/>
          <w:sz w:val="24"/>
          <w:szCs w:val="24"/>
          <w:lang w:val="en-US"/>
        </w:rPr>
      </w:pPr>
    </w:p>
    <w:p w14:paraId="6C9C17BE" w14:textId="77777777" w:rsidR="00B62700" w:rsidRPr="003B13C7" w:rsidRDefault="00B62700" w:rsidP="003B13C7">
      <w:pPr>
        <w:tabs>
          <w:tab w:val="left" w:pos="360"/>
        </w:tabs>
        <w:spacing w:line="360" w:lineRule="auto"/>
        <w:jc w:val="both"/>
        <w:rPr>
          <w:rFonts w:ascii="Times New Roman" w:hAnsi="Times New Roman" w:cs="Times New Roman"/>
          <w:b/>
          <w:bCs/>
          <w:sz w:val="24"/>
          <w:szCs w:val="24"/>
          <w:lang w:val="en-US"/>
        </w:rPr>
      </w:pPr>
    </w:p>
    <w:p w14:paraId="3B47BDBF" w14:textId="77777777" w:rsidR="00B62700" w:rsidRPr="003B13C7" w:rsidRDefault="00B62700" w:rsidP="003B13C7">
      <w:pPr>
        <w:tabs>
          <w:tab w:val="left" w:pos="360"/>
        </w:tabs>
        <w:spacing w:line="360" w:lineRule="auto"/>
        <w:jc w:val="both"/>
        <w:rPr>
          <w:rFonts w:ascii="Times New Roman" w:hAnsi="Times New Roman" w:cs="Times New Roman"/>
          <w:b/>
          <w:bCs/>
          <w:sz w:val="24"/>
          <w:szCs w:val="24"/>
          <w:lang w:val="en-US"/>
        </w:rPr>
      </w:pPr>
    </w:p>
    <w:p w14:paraId="1839FB38" w14:textId="77777777" w:rsidR="007B7CB6" w:rsidRPr="003B13C7" w:rsidRDefault="007B7CB6" w:rsidP="003B13C7">
      <w:pPr>
        <w:tabs>
          <w:tab w:val="left" w:pos="360"/>
        </w:tabs>
        <w:spacing w:line="360" w:lineRule="auto"/>
        <w:jc w:val="both"/>
        <w:rPr>
          <w:rFonts w:ascii="Times New Roman" w:hAnsi="Times New Roman" w:cs="Times New Roman"/>
          <w:b/>
          <w:bCs/>
          <w:sz w:val="24"/>
          <w:szCs w:val="24"/>
          <w:lang w:val="en-US"/>
        </w:rPr>
      </w:pPr>
    </w:p>
    <w:p w14:paraId="0366F10E" w14:textId="77777777" w:rsidR="007B7CB6" w:rsidRPr="003B13C7" w:rsidRDefault="007B7CB6" w:rsidP="003B13C7">
      <w:pPr>
        <w:spacing w:line="360" w:lineRule="auto"/>
        <w:jc w:val="both"/>
        <w:rPr>
          <w:rFonts w:ascii="Times New Roman" w:hAnsi="Times New Roman" w:cs="Times New Roman"/>
          <w:sz w:val="24"/>
          <w:szCs w:val="24"/>
        </w:rPr>
      </w:pPr>
    </w:p>
    <w:sectPr w:rsidR="007B7CB6" w:rsidRPr="003B13C7" w:rsidSect="003B13C7">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6F561" w14:textId="77777777" w:rsidR="00BE7E5C" w:rsidRDefault="00BE7E5C" w:rsidP="005B3015">
      <w:pPr>
        <w:spacing w:after="0" w:line="240" w:lineRule="auto"/>
      </w:pPr>
      <w:r>
        <w:separator/>
      </w:r>
    </w:p>
  </w:endnote>
  <w:endnote w:type="continuationSeparator" w:id="0">
    <w:p w14:paraId="0059C79A" w14:textId="77777777" w:rsidR="00BE7E5C" w:rsidRDefault="00BE7E5C" w:rsidP="005B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379888"/>
      <w:docPartObj>
        <w:docPartGallery w:val="Page Numbers (Bottom of Page)"/>
        <w:docPartUnique/>
      </w:docPartObj>
    </w:sdtPr>
    <w:sdtEndPr/>
    <w:sdtContent>
      <w:sdt>
        <w:sdtPr>
          <w:id w:val="1728636285"/>
          <w:docPartObj>
            <w:docPartGallery w:val="Page Numbers (Top of Page)"/>
            <w:docPartUnique/>
          </w:docPartObj>
        </w:sdtPr>
        <w:sdtEndPr/>
        <w:sdtContent>
          <w:p w14:paraId="60A3C1EE" w14:textId="5BD5B8D8" w:rsidR="003B13C7" w:rsidRDefault="003B13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F00BF">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00BF">
              <w:rPr>
                <w:b/>
                <w:bCs/>
                <w:noProof/>
              </w:rPr>
              <w:t>12</w:t>
            </w:r>
            <w:r>
              <w:rPr>
                <w:b/>
                <w:bCs/>
                <w:sz w:val="24"/>
                <w:szCs w:val="24"/>
              </w:rPr>
              <w:fldChar w:fldCharType="end"/>
            </w:r>
          </w:p>
        </w:sdtContent>
      </w:sdt>
    </w:sdtContent>
  </w:sdt>
  <w:p w14:paraId="156CCE5A" w14:textId="77777777" w:rsidR="005B3015" w:rsidRDefault="005B3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EBA4" w14:textId="77777777" w:rsidR="00BE7E5C" w:rsidRDefault="00BE7E5C" w:rsidP="005B3015">
      <w:pPr>
        <w:spacing w:after="0" w:line="240" w:lineRule="auto"/>
      </w:pPr>
      <w:r>
        <w:separator/>
      </w:r>
    </w:p>
  </w:footnote>
  <w:footnote w:type="continuationSeparator" w:id="0">
    <w:p w14:paraId="04A2DFC9" w14:textId="77777777" w:rsidR="00BE7E5C" w:rsidRDefault="00BE7E5C" w:rsidP="005B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8506" w14:textId="72D29ADE" w:rsidR="005B3015" w:rsidRDefault="00BE7E5C">
    <w:pPr>
      <w:pStyle w:val="Header"/>
    </w:pPr>
    <w:r>
      <w:rPr>
        <w:noProof/>
      </w:rPr>
      <w:pict w14:anchorId="3F852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7623D" w14:textId="5EAEF7DA" w:rsidR="005B3015" w:rsidRDefault="00BE7E5C">
    <w:pPr>
      <w:pStyle w:val="Header"/>
    </w:pPr>
    <w:r>
      <w:rPr>
        <w:noProof/>
      </w:rPr>
      <w:pict w14:anchorId="35FA4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870C" w14:textId="4D125DB1" w:rsidR="005B3015" w:rsidRDefault="00BE7E5C">
    <w:pPr>
      <w:pStyle w:val="Header"/>
    </w:pPr>
    <w:r>
      <w:rPr>
        <w:noProof/>
      </w:rPr>
      <w:pict w14:anchorId="4D18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60E20"/>
    <w:multiLevelType w:val="multilevel"/>
    <w:tmpl w:val="4058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FE6807"/>
    <w:multiLevelType w:val="multilevel"/>
    <w:tmpl w:val="65E8F5B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FD70AA"/>
    <w:multiLevelType w:val="hybridMultilevel"/>
    <w:tmpl w:val="D438FC20"/>
    <w:lvl w:ilvl="0" w:tplc="4009000F">
      <w:start w:val="1"/>
      <w:numFmt w:val="decimal"/>
      <w:lvlText w:val="%1."/>
      <w:lvlJc w:val="left"/>
      <w:pPr>
        <w:ind w:left="360"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6AC970B6"/>
    <w:multiLevelType w:val="multilevel"/>
    <w:tmpl w:val="80B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0175FD"/>
    <w:multiLevelType w:val="hybridMultilevel"/>
    <w:tmpl w:val="87506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64C36"/>
    <w:multiLevelType w:val="multilevel"/>
    <w:tmpl w:val="FCB0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86"/>
    <w:rsid w:val="00004453"/>
    <w:rsid w:val="00017D25"/>
    <w:rsid w:val="00026255"/>
    <w:rsid w:val="0002631A"/>
    <w:rsid w:val="00030E3E"/>
    <w:rsid w:val="0006600C"/>
    <w:rsid w:val="00067BDC"/>
    <w:rsid w:val="00071028"/>
    <w:rsid w:val="000733BC"/>
    <w:rsid w:val="00084FEB"/>
    <w:rsid w:val="00086BA3"/>
    <w:rsid w:val="00092EF8"/>
    <w:rsid w:val="000962F7"/>
    <w:rsid w:val="000A446A"/>
    <w:rsid w:val="000C2FB7"/>
    <w:rsid w:val="000E6942"/>
    <w:rsid w:val="001236A8"/>
    <w:rsid w:val="0015285C"/>
    <w:rsid w:val="00155E43"/>
    <w:rsid w:val="00163454"/>
    <w:rsid w:val="001A062B"/>
    <w:rsid w:val="001C2256"/>
    <w:rsid w:val="001D2341"/>
    <w:rsid w:val="001F0752"/>
    <w:rsid w:val="00236555"/>
    <w:rsid w:val="00251198"/>
    <w:rsid w:val="002518B2"/>
    <w:rsid w:val="00252C4C"/>
    <w:rsid w:val="00254E6F"/>
    <w:rsid w:val="002815D5"/>
    <w:rsid w:val="00282566"/>
    <w:rsid w:val="0029468F"/>
    <w:rsid w:val="002C401A"/>
    <w:rsid w:val="002E4C4B"/>
    <w:rsid w:val="0030410D"/>
    <w:rsid w:val="0030484A"/>
    <w:rsid w:val="00364AB6"/>
    <w:rsid w:val="00373665"/>
    <w:rsid w:val="00374EBC"/>
    <w:rsid w:val="003821DF"/>
    <w:rsid w:val="003B13C7"/>
    <w:rsid w:val="003B3EE1"/>
    <w:rsid w:val="003C05F6"/>
    <w:rsid w:val="003D20C2"/>
    <w:rsid w:val="003D4F0B"/>
    <w:rsid w:val="003F0A2C"/>
    <w:rsid w:val="003F4653"/>
    <w:rsid w:val="00401590"/>
    <w:rsid w:val="0040206A"/>
    <w:rsid w:val="0043201A"/>
    <w:rsid w:val="00464B8F"/>
    <w:rsid w:val="00481E02"/>
    <w:rsid w:val="004901BB"/>
    <w:rsid w:val="004C6332"/>
    <w:rsid w:val="004D0421"/>
    <w:rsid w:val="004F1A35"/>
    <w:rsid w:val="00517E60"/>
    <w:rsid w:val="00535B9C"/>
    <w:rsid w:val="00541FCF"/>
    <w:rsid w:val="00560ACC"/>
    <w:rsid w:val="00570191"/>
    <w:rsid w:val="005A31CC"/>
    <w:rsid w:val="005A36F6"/>
    <w:rsid w:val="005A4D48"/>
    <w:rsid w:val="005B3015"/>
    <w:rsid w:val="005B3A25"/>
    <w:rsid w:val="005B428B"/>
    <w:rsid w:val="005C5A0A"/>
    <w:rsid w:val="00602C57"/>
    <w:rsid w:val="006038FB"/>
    <w:rsid w:val="0060397C"/>
    <w:rsid w:val="00622B49"/>
    <w:rsid w:val="00636B86"/>
    <w:rsid w:val="006404CD"/>
    <w:rsid w:val="00693109"/>
    <w:rsid w:val="006A487E"/>
    <w:rsid w:val="006B2CC3"/>
    <w:rsid w:val="006B3A08"/>
    <w:rsid w:val="007006F1"/>
    <w:rsid w:val="0072005D"/>
    <w:rsid w:val="007644B5"/>
    <w:rsid w:val="00797BB8"/>
    <w:rsid w:val="007A663A"/>
    <w:rsid w:val="007B712F"/>
    <w:rsid w:val="007B7CB6"/>
    <w:rsid w:val="007D3E88"/>
    <w:rsid w:val="007E5CAD"/>
    <w:rsid w:val="00803FA6"/>
    <w:rsid w:val="008052E9"/>
    <w:rsid w:val="008248F2"/>
    <w:rsid w:val="008564AD"/>
    <w:rsid w:val="0087774F"/>
    <w:rsid w:val="008800D3"/>
    <w:rsid w:val="008C0BA6"/>
    <w:rsid w:val="008C123E"/>
    <w:rsid w:val="008D26E4"/>
    <w:rsid w:val="008D6A6A"/>
    <w:rsid w:val="008D723D"/>
    <w:rsid w:val="008F47AC"/>
    <w:rsid w:val="009054A3"/>
    <w:rsid w:val="00922FB6"/>
    <w:rsid w:val="00934D74"/>
    <w:rsid w:val="00944593"/>
    <w:rsid w:val="00957232"/>
    <w:rsid w:val="0098164D"/>
    <w:rsid w:val="009A68A5"/>
    <w:rsid w:val="009C799E"/>
    <w:rsid w:val="009D70FA"/>
    <w:rsid w:val="009F54B8"/>
    <w:rsid w:val="00A44C7B"/>
    <w:rsid w:val="00AB4ECF"/>
    <w:rsid w:val="00AD1CBB"/>
    <w:rsid w:val="00AD58BE"/>
    <w:rsid w:val="00AF120F"/>
    <w:rsid w:val="00AF16C2"/>
    <w:rsid w:val="00AF4D36"/>
    <w:rsid w:val="00B0609A"/>
    <w:rsid w:val="00B319EA"/>
    <w:rsid w:val="00B36B96"/>
    <w:rsid w:val="00B4208E"/>
    <w:rsid w:val="00B50733"/>
    <w:rsid w:val="00B60FBC"/>
    <w:rsid w:val="00B62700"/>
    <w:rsid w:val="00B91859"/>
    <w:rsid w:val="00BA5F05"/>
    <w:rsid w:val="00BB63DE"/>
    <w:rsid w:val="00BB79FF"/>
    <w:rsid w:val="00BC275E"/>
    <w:rsid w:val="00BC4A4C"/>
    <w:rsid w:val="00BE7E5C"/>
    <w:rsid w:val="00BF4168"/>
    <w:rsid w:val="00C010AD"/>
    <w:rsid w:val="00C030E6"/>
    <w:rsid w:val="00C17F8E"/>
    <w:rsid w:val="00C20DF0"/>
    <w:rsid w:val="00C3764B"/>
    <w:rsid w:val="00C4455D"/>
    <w:rsid w:val="00C54CB8"/>
    <w:rsid w:val="00C77C2D"/>
    <w:rsid w:val="00C8191E"/>
    <w:rsid w:val="00C82253"/>
    <w:rsid w:val="00C84FAA"/>
    <w:rsid w:val="00CA500B"/>
    <w:rsid w:val="00CF00BF"/>
    <w:rsid w:val="00D20BF6"/>
    <w:rsid w:val="00D21BC9"/>
    <w:rsid w:val="00D555FF"/>
    <w:rsid w:val="00D61DC1"/>
    <w:rsid w:val="00D63B1A"/>
    <w:rsid w:val="00D9009F"/>
    <w:rsid w:val="00DA695E"/>
    <w:rsid w:val="00DB3D25"/>
    <w:rsid w:val="00DE2F75"/>
    <w:rsid w:val="00E04D77"/>
    <w:rsid w:val="00E22411"/>
    <w:rsid w:val="00E53EBA"/>
    <w:rsid w:val="00E65296"/>
    <w:rsid w:val="00E7394D"/>
    <w:rsid w:val="00E802FC"/>
    <w:rsid w:val="00E87C9F"/>
    <w:rsid w:val="00EB1058"/>
    <w:rsid w:val="00EC0D9F"/>
    <w:rsid w:val="00EF22FD"/>
    <w:rsid w:val="00EF3575"/>
    <w:rsid w:val="00F03E86"/>
    <w:rsid w:val="00F14E5B"/>
    <w:rsid w:val="00F379DE"/>
    <w:rsid w:val="00F468D3"/>
    <w:rsid w:val="00F6258C"/>
    <w:rsid w:val="00F71D1F"/>
    <w:rsid w:val="00F736D4"/>
    <w:rsid w:val="00F73CAA"/>
    <w:rsid w:val="00FA098D"/>
    <w:rsid w:val="00FA263A"/>
    <w:rsid w:val="00FA36E4"/>
    <w:rsid w:val="00FC5925"/>
    <w:rsid w:val="00FF2D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005988"/>
  <w15:chartTrackingRefBased/>
  <w15:docId w15:val="{A6064A10-F6E4-4211-910D-9FBBFD4E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B86"/>
    <w:rPr>
      <w:kern w:val="2"/>
      <w14:ligatures w14:val="standardContextual"/>
    </w:rPr>
  </w:style>
  <w:style w:type="paragraph" w:styleId="Heading2">
    <w:name w:val="heading 2"/>
    <w:basedOn w:val="Normal"/>
    <w:next w:val="Normal"/>
    <w:link w:val="Heading2Char"/>
    <w:uiPriority w:val="9"/>
    <w:semiHidden/>
    <w:unhideWhenUsed/>
    <w:qFormat/>
    <w:rsid w:val="00B4208E"/>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7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700"/>
    <w:pPr>
      <w:ind w:left="720"/>
      <w:contextualSpacing/>
    </w:pPr>
  </w:style>
  <w:style w:type="character" w:styleId="Hyperlink">
    <w:name w:val="Hyperlink"/>
    <w:basedOn w:val="DefaultParagraphFont"/>
    <w:uiPriority w:val="99"/>
    <w:unhideWhenUsed/>
    <w:rsid w:val="00B62700"/>
    <w:rPr>
      <w:color w:val="2998E3" w:themeColor="hyperlink"/>
      <w:u w:val="single"/>
    </w:rPr>
  </w:style>
  <w:style w:type="character" w:customStyle="1" w:styleId="UnresolvedMention1">
    <w:name w:val="Unresolved Mention1"/>
    <w:basedOn w:val="DefaultParagraphFont"/>
    <w:uiPriority w:val="99"/>
    <w:semiHidden/>
    <w:unhideWhenUsed/>
    <w:rsid w:val="004D0421"/>
    <w:rPr>
      <w:color w:val="605E5C"/>
      <w:shd w:val="clear" w:color="auto" w:fill="E1DFDD"/>
    </w:rPr>
  </w:style>
  <w:style w:type="character" w:customStyle="1" w:styleId="UnresolvedMention2">
    <w:name w:val="Unresolved Mention2"/>
    <w:basedOn w:val="DefaultParagraphFont"/>
    <w:uiPriority w:val="99"/>
    <w:semiHidden/>
    <w:unhideWhenUsed/>
    <w:rsid w:val="008F47AC"/>
    <w:rPr>
      <w:color w:val="605E5C"/>
      <w:shd w:val="clear" w:color="auto" w:fill="E1DFDD"/>
    </w:rPr>
  </w:style>
  <w:style w:type="paragraph" w:styleId="Header">
    <w:name w:val="header"/>
    <w:basedOn w:val="Normal"/>
    <w:link w:val="HeaderChar"/>
    <w:uiPriority w:val="99"/>
    <w:unhideWhenUsed/>
    <w:rsid w:val="005B3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15"/>
    <w:rPr>
      <w:kern w:val="2"/>
      <w14:ligatures w14:val="standardContextual"/>
    </w:rPr>
  </w:style>
  <w:style w:type="paragraph" w:styleId="Footer">
    <w:name w:val="footer"/>
    <w:basedOn w:val="Normal"/>
    <w:link w:val="FooterChar"/>
    <w:uiPriority w:val="99"/>
    <w:unhideWhenUsed/>
    <w:rsid w:val="005B3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15"/>
    <w:rPr>
      <w:kern w:val="2"/>
      <w14:ligatures w14:val="standardContextual"/>
    </w:rPr>
  </w:style>
  <w:style w:type="paragraph" w:styleId="NoSpacing">
    <w:name w:val="No Spacing"/>
    <w:uiPriority w:val="1"/>
    <w:qFormat/>
    <w:rsid w:val="00092EF8"/>
    <w:pPr>
      <w:spacing w:after="0" w:line="240" w:lineRule="auto"/>
    </w:pPr>
    <w:rPr>
      <w:lang w:val="en-GB"/>
    </w:rPr>
  </w:style>
  <w:style w:type="paragraph" w:styleId="NormalWeb">
    <w:name w:val="Normal (Web)"/>
    <w:basedOn w:val="Normal"/>
    <w:uiPriority w:val="99"/>
    <w:semiHidden/>
    <w:unhideWhenUsed/>
    <w:rsid w:val="008D723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notestext">
    <w:name w:val="c-notes__text"/>
    <w:basedOn w:val="Normal"/>
    <w:rsid w:val="008D723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2Char">
    <w:name w:val="Heading 2 Char"/>
    <w:basedOn w:val="DefaultParagraphFont"/>
    <w:link w:val="Heading2"/>
    <w:uiPriority w:val="9"/>
    <w:semiHidden/>
    <w:rsid w:val="00B4208E"/>
    <w:rPr>
      <w:rFonts w:asciiTheme="majorHAnsi" w:eastAsiaTheme="majorEastAsia" w:hAnsiTheme="majorHAnsi" w:cstheme="majorBidi"/>
      <w:color w:val="C49A00"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3461">
      <w:bodyDiv w:val="1"/>
      <w:marLeft w:val="0"/>
      <w:marRight w:val="0"/>
      <w:marTop w:val="0"/>
      <w:marBottom w:val="0"/>
      <w:divBdr>
        <w:top w:val="none" w:sz="0" w:space="0" w:color="auto"/>
        <w:left w:val="none" w:sz="0" w:space="0" w:color="auto"/>
        <w:bottom w:val="none" w:sz="0" w:space="0" w:color="auto"/>
        <w:right w:val="none" w:sz="0" w:space="0" w:color="auto"/>
      </w:divBdr>
    </w:div>
    <w:div w:id="21593153">
      <w:bodyDiv w:val="1"/>
      <w:marLeft w:val="0"/>
      <w:marRight w:val="0"/>
      <w:marTop w:val="0"/>
      <w:marBottom w:val="0"/>
      <w:divBdr>
        <w:top w:val="none" w:sz="0" w:space="0" w:color="auto"/>
        <w:left w:val="none" w:sz="0" w:space="0" w:color="auto"/>
        <w:bottom w:val="none" w:sz="0" w:space="0" w:color="auto"/>
        <w:right w:val="none" w:sz="0" w:space="0" w:color="auto"/>
      </w:divBdr>
    </w:div>
    <w:div w:id="35005475">
      <w:bodyDiv w:val="1"/>
      <w:marLeft w:val="0"/>
      <w:marRight w:val="0"/>
      <w:marTop w:val="0"/>
      <w:marBottom w:val="0"/>
      <w:divBdr>
        <w:top w:val="none" w:sz="0" w:space="0" w:color="auto"/>
        <w:left w:val="none" w:sz="0" w:space="0" w:color="auto"/>
        <w:bottom w:val="none" w:sz="0" w:space="0" w:color="auto"/>
        <w:right w:val="none" w:sz="0" w:space="0" w:color="auto"/>
      </w:divBdr>
    </w:div>
    <w:div w:id="38288156">
      <w:bodyDiv w:val="1"/>
      <w:marLeft w:val="0"/>
      <w:marRight w:val="0"/>
      <w:marTop w:val="0"/>
      <w:marBottom w:val="0"/>
      <w:divBdr>
        <w:top w:val="none" w:sz="0" w:space="0" w:color="auto"/>
        <w:left w:val="none" w:sz="0" w:space="0" w:color="auto"/>
        <w:bottom w:val="none" w:sz="0" w:space="0" w:color="auto"/>
        <w:right w:val="none" w:sz="0" w:space="0" w:color="auto"/>
      </w:divBdr>
    </w:div>
    <w:div w:id="44060814">
      <w:bodyDiv w:val="1"/>
      <w:marLeft w:val="0"/>
      <w:marRight w:val="0"/>
      <w:marTop w:val="0"/>
      <w:marBottom w:val="0"/>
      <w:divBdr>
        <w:top w:val="none" w:sz="0" w:space="0" w:color="auto"/>
        <w:left w:val="none" w:sz="0" w:space="0" w:color="auto"/>
        <w:bottom w:val="none" w:sz="0" w:space="0" w:color="auto"/>
        <w:right w:val="none" w:sz="0" w:space="0" w:color="auto"/>
      </w:divBdr>
    </w:div>
    <w:div w:id="81414120">
      <w:bodyDiv w:val="1"/>
      <w:marLeft w:val="0"/>
      <w:marRight w:val="0"/>
      <w:marTop w:val="0"/>
      <w:marBottom w:val="0"/>
      <w:divBdr>
        <w:top w:val="none" w:sz="0" w:space="0" w:color="auto"/>
        <w:left w:val="none" w:sz="0" w:space="0" w:color="auto"/>
        <w:bottom w:val="none" w:sz="0" w:space="0" w:color="auto"/>
        <w:right w:val="none" w:sz="0" w:space="0" w:color="auto"/>
      </w:divBdr>
    </w:div>
    <w:div w:id="86778824">
      <w:bodyDiv w:val="1"/>
      <w:marLeft w:val="0"/>
      <w:marRight w:val="0"/>
      <w:marTop w:val="0"/>
      <w:marBottom w:val="0"/>
      <w:divBdr>
        <w:top w:val="none" w:sz="0" w:space="0" w:color="auto"/>
        <w:left w:val="none" w:sz="0" w:space="0" w:color="auto"/>
        <w:bottom w:val="none" w:sz="0" w:space="0" w:color="auto"/>
        <w:right w:val="none" w:sz="0" w:space="0" w:color="auto"/>
      </w:divBdr>
    </w:div>
    <w:div w:id="131603117">
      <w:bodyDiv w:val="1"/>
      <w:marLeft w:val="0"/>
      <w:marRight w:val="0"/>
      <w:marTop w:val="0"/>
      <w:marBottom w:val="0"/>
      <w:divBdr>
        <w:top w:val="none" w:sz="0" w:space="0" w:color="auto"/>
        <w:left w:val="none" w:sz="0" w:space="0" w:color="auto"/>
        <w:bottom w:val="none" w:sz="0" w:space="0" w:color="auto"/>
        <w:right w:val="none" w:sz="0" w:space="0" w:color="auto"/>
      </w:divBdr>
    </w:div>
    <w:div w:id="251742501">
      <w:bodyDiv w:val="1"/>
      <w:marLeft w:val="0"/>
      <w:marRight w:val="0"/>
      <w:marTop w:val="0"/>
      <w:marBottom w:val="0"/>
      <w:divBdr>
        <w:top w:val="none" w:sz="0" w:space="0" w:color="auto"/>
        <w:left w:val="none" w:sz="0" w:space="0" w:color="auto"/>
        <w:bottom w:val="none" w:sz="0" w:space="0" w:color="auto"/>
        <w:right w:val="none" w:sz="0" w:space="0" w:color="auto"/>
      </w:divBdr>
    </w:div>
    <w:div w:id="252013588">
      <w:bodyDiv w:val="1"/>
      <w:marLeft w:val="0"/>
      <w:marRight w:val="0"/>
      <w:marTop w:val="0"/>
      <w:marBottom w:val="0"/>
      <w:divBdr>
        <w:top w:val="none" w:sz="0" w:space="0" w:color="auto"/>
        <w:left w:val="none" w:sz="0" w:space="0" w:color="auto"/>
        <w:bottom w:val="none" w:sz="0" w:space="0" w:color="auto"/>
        <w:right w:val="none" w:sz="0" w:space="0" w:color="auto"/>
      </w:divBdr>
    </w:div>
    <w:div w:id="293683378">
      <w:bodyDiv w:val="1"/>
      <w:marLeft w:val="0"/>
      <w:marRight w:val="0"/>
      <w:marTop w:val="0"/>
      <w:marBottom w:val="0"/>
      <w:divBdr>
        <w:top w:val="none" w:sz="0" w:space="0" w:color="auto"/>
        <w:left w:val="none" w:sz="0" w:space="0" w:color="auto"/>
        <w:bottom w:val="none" w:sz="0" w:space="0" w:color="auto"/>
        <w:right w:val="none" w:sz="0" w:space="0" w:color="auto"/>
      </w:divBdr>
    </w:div>
    <w:div w:id="304235461">
      <w:bodyDiv w:val="1"/>
      <w:marLeft w:val="0"/>
      <w:marRight w:val="0"/>
      <w:marTop w:val="0"/>
      <w:marBottom w:val="0"/>
      <w:divBdr>
        <w:top w:val="none" w:sz="0" w:space="0" w:color="auto"/>
        <w:left w:val="none" w:sz="0" w:space="0" w:color="auto"/>
        <w:bottom w:val="none" w:sz="0" w:space="0" w:color="auto"/>
        <w:right w:val="none" w:sz="0" w:space="0" w:color="auto"/>
      </w:divBdr>
    </w:div>
    <w:div w:id="341930818">
      <w:bodyDiv w:val="1"/>
      <w:marLeft w:val="0"/>
      <w:marRight w:val="0"/>
      <w:marTop w:val="0"/>
      <w:marBottom w:val="0"/>
      <w:divBdr>
        <w:top w:val="none" w:sz="0" w:space="0" w:color="auto"/>
        <w:left w:val="none" w:sz="0" w:space="0" w:color="auto"/>
        <w:bottom w:val="none" w:sz="0" w:space="0" w:color="auto"/>
        <w:right w:val="none" w:sz="0" w:space="0" w:color="auto"/>
      </w:divBdr>
    </w:div>
    <w:div w:id="355083509">
      <w:bodyDiv w:val="1"/>
      <w:marLeft w:val="0"/>
      <w:marRight w:val="0"/>
      <w:marTop w:val="0"/>
      <w:marBottom w:val="0"/>
      <w:divBdr>
        <w:top w:val="none" w:sz="0" w:space="0" w:color="auto"/>
        <w:left w:val="none" w:sz="0" w:space="0" w:color="auto"/>
        <w:bottom w:val="none" w:sz="0" w:space="0" w:color="auto"/>
        <w:right w:val="none" w:sz="0" w:space="0" w:color="auto"/>
      </w:divBdr>
    </w:div>
    <w:div w:id="408696869">
      <w:bodyDiv w:val="1"/>
      <w:marLeft w:val="0"/>
      <w:marRight w:val="0"/>
      <w:marTop w:val="0"/>
      <w:marBottom w:val="0"/>
      <w:divBdr>
        <w:top w:val="none" w:sz="0" w:space="0" w:color="auto"/>
        <w:left w:val="none" w:sz="0" w:space="0" w:color="auto"/>
        <w:bottom w:val="none" w:sz="0" w:space="0" w:color="auto"/>
        <w:right w:val="none" w:sz="0" w:space="0" w:color="auto"/>
      </w:divBdr>
    </w:div>
    <w:div w:id="452293012">
      <w:bodyDiv w:val="1"/>
      <w:marLeft w:val="0"/>
      <w:marRight w:val="0"/>
      <w:marTop w:val="0"/>
      <w:marBottom w:val="0"/>
      <w:divBdr>
        <w:top w:val="none" w:sz="0" w:space="0" w:color="auto"/>
        <w:left w:val="none" w:sz="0" w:space="0" w:color="auto"/>
        <w:bottom w:val="none" w:sz="0" w:space="0" w:color="auto"/>
        <w:right w:val="none" w:sz="0" w:space="0" w:color="auto"/>
      </w:divBdr>
    </w:div>
    <w:div w:id="535503518">
      <w:bodyDiv w:val="1"/>
      <w:marLeft w:val="0"/>
      <w:marRight w:val="0"/>
      <w:marTop w:val="0"/>
      <w:marBottom w:val="0"/>
      <w:divBdr>
        <w:top w:val="none" w:sz="0" w:space="0" w:color="auto"/>
        <w:left w:val="none" w:sz="0" w:space="0" w:color="auto"/>
        <w:bottom w:val="none" w:sz="0" w:space="0" w:color="auto"/>
        <w:right w:val="none" w:sz="0" w:space="0" w:color="auto"/>
      </w:divBdr>
      <w:divsChild>
        <w:div w:id="1197934078">
          <w:marLeft w:val="0"/>
          <w:marRight w:val="0"/>
          <w:marTop w:val="0"/>
          <w:marBottom w:val="960"/>
          <w:divBdr>
            <w:top w:val="none" w:sz="0" w:space="0" w:color="auto"/>
            <w:left w:val="none" w:sz="0" w:space="0" w:color="auto"/>
            <w:bottom w:val="none" w:sz="0" w:space="0" w:color="auto"/>
            <w:right w:val="none" w:sz="0" w:space="0" w:color="auto"/>
          </w:divBdr>
          <w:divsChild>
            <w:div w:id="1264731136">
              <w:marLeft w:val="0"/>
              <w:marRight w:val="0"/>
              <w:marTop w:val="0"/>
              <w:marBottom w:val="600"/>
              <w:divBdr>
                <w:top w:val="none" w:sz="0" w:space="0" w:color="auto"/>
                <w:left w:val="none" w:sz="0" w:space="0" w:color="auto"/>
                <w:bottom w:val="none" w:sz="0" w:space="0" w:color="auto"/>
                <w:right w:val="none" w:sz="0" w:space="0" w:color="auto"/>
              </w:divBdr>
            </w:div>
          </w:divsChild>
        </w:div>
        <w:div w:id="1476722745">
          <w:marLeft w:val="0"/>
          <w:marRight w:val="0"/>
          <w:marTop w:val="360"/>
          <w:marBottom w:val="480"/>
          <w:divBdr>
            <w:top w:val="single" w:sz="6" w:space="12" w:color="D5D5D5"/>
            <w:left w:val="none" w:sz="0" w:space="0" w:color="auto"/>
            <w:bottom w:val="single" w:sz="6" w:space="12" w:color="D5D5D5"/>
            <w:right w:val="none" w:sz="0" w:space="0" w:color="auto"/>
          </w:divBdr>
        </w:div>
      </w:divsChild>
    </w:div>
    <w:div w:id="597451004">
      <w:bodyDiv w:val="1"/>
      <w:marLeft w:val="0"/>
      <w:marRight w:val="0"/>
      <w:marTop w:val="0"/>
      <w:marBottom w:val="0"/>
      <w:divBdr>
        <w:top w:val="none" w:sz="0" w:space="0" w:color="auto"/>
        <w:left w:val="none" w:sz="0" w:space="0" w:color="auto"/>
        <w:bottom w:val="none" w:sz="0" w:space="0" w:color="auto"/>
        <w:right w:val="none" w:sz="0" w:space="0" w:color="auto"/>
      </w:divBdr>
    </w:div>
    <w:div w:id="615210215">
      <w:bodyDiv w:val="1"/>
      <w:marLeft w:val="0"/>
      <w:marRight w:val="0"/>
      <w:marTop w:val="0"/>
      <w:marBottom w:val="0"/>
      <w:divBdr>
        <w:top w:val="none" w:sz="0" w:space="0" w:color="auto"/>
        <w:left w:val="none" w:sz="0" w:space="0" w:color="auto"/>
        <w:bottom w:val="none" w:sz="0" w:space="0" w:color="auto"/>
        <w:right w:val="none" w:sz="0" w:space="0" w:color="auto"/>
      </w:divBdr>
    </w:div>
    <w:div w:id="667708786">
      <w:bodyDiv w:val="1"/>
      <w:marLeft w:val="0"/>
      <w:marRight w:val="0"/>
      <w:marTop w:val="0"/>
      <w:marBottom w:val="0"/>
      <w:divBdr>
        <w:top w:val="none" w:sz="0" w:space="0" w:color="auto"/>
        <w:left w:val="none" w:sz="0" w:space="0" w:color="auto"/>
        <w:bottom w:val="none" w:sz="0" w:space="0" w:color="auto"/>
        <w:right w:val="none" w:sz="0" w:space="0" w:color="auto"/>
      </w:divBdr>
    </w:div>
    <w:div w:id="670066789">
      <w:bodyDiv w:val="1"/>
      <w:marLeft w:val="0"/>
      <w:marRight w:val="0"/>
      <w:marTop w:val="0"/>
      <w:marBottom w:val="0"/>
      <w:divBdr>
        <w:top w:val="none" w:sz="0" w:space="0" w:color="auto"/>
        <w:left w:val="none" w:sz="0" w:space="0" w:color="auto"/>
        <w:bottom w:val="none" w:sz="0" w:space="0" w:color="auto"/>
        <w:right w:val="none" w:sz="0" w:space="0" w:color="auto"/>
      </w:divBdr>
    </w:div>
    <w:div w:id="682705757">
      <w:bodyDiv w:val="1"/>
      <w:marLeft w:val="0"/>
      <w:marRight w:val="0"/>
      <w:marTop w:val="0"/>
      <w:marBottom w:val="0"/>
      <w:divBdr>
        <w:top w:val="none" w:sz="0" w:space="0" w:color="auto"/>
        <w:left w:val="none" w:sz="0" w:space="0" w:color="auto"/>
        <w:bottom w:val="none" w:sz="0" w:space="0" w:color="auto"/>
        <w:right w:val="none" w:sz="0" w:space="0" w:color="auto"/>
      </w:divBdr>
    </w:div>
    <w:div w:id="761342221">
      <w:bodyDiv w:val="1"/>
      <w:marLeft w:val="0"/>
      <w:marRight w:val="0"/>
      <w:marTop w:val="0"/>
      <w:marBottom w:val="0"/>
      <w:divBdr>
        <w:top w:val="none" w:sz="0" w:space="0" w:color="auto"/>
        <w:left w:val="none" w:sz="0" w:space="0" w:color="auto"/>
        <w:bottom w:val="none" w:sz="0" w:space="0" w:color="auto"/>
        <w:right w:val="none" w:sz="0" w:space="0" w:color="auto"/>
      </w:divBdr>
    </w:div>
    <w:div w:id="789393780">
      <w:bodyDiv w:val="1"/>
      <w:marLeft w:val="0"/>
      <w:marRight w:val="0"/>
      <w:marTop w:val="0"/>
      <w:marBottom w:val="0"/>
      <w:divBdr>
        <w:top w:val="none" w:sz="0" w:space="0" w:color="auto"/>
        <w:left w:val="none" w:sz="0" w:space="0" w:color="auto"/>
        <w:bottom w:val="none" w:sz="0" w:space="0" w:color="auto"/>
        <w:right w:val="none" w:sz="0" w:space="0" w:color="auto"/>
      </w:divBdr>
    </w:div>
    <w:div w:id="800266922">
      <w:bodyDiv w:val="1"/>
      <w:marLeft w:val="0"/>
      <w:marRight w:val="0"/>
      <w:marTop w:val="0"/>
      <w:marBottom w:val="0"/>
      <w:divBdr>
        <w:top w:val="none" w:sz="0" w:space="0" w:color="auto"/>
        <w:left w:val="none" w:sz="0" w:space="0" w:color="auto"/>
        <w:bottom w:val="none" w:sz="0" w:space="0" w:color="auto"/>
        <w:right w:val="none" w:sz="0" w:space="0" w:color="auto"/>
      </w:divBdr>
    </w:div>
    <w:div w:id="811285739">
      <w:bodyDiv w:val="1"/>
      <w:marLeft w:val="0"/>
      <w:marRight w:val="0"/>
      <w:marTop w:val="0"/>
      <w:marBottom w:val="0"/>
      <w:divBdr>
        <w:top w:val="none" w:sz="0" w:space="0" w:color="auto"/>
        <w:left w:val="none" w:sz="0" w:space="0" w:color="auto"/>
        <w:bottom w:val="none" w:sz="0" w:space="0" w:color="auto"/>
        <w:right w:val="none" w:sz="0" w:space="0" w:color="auto"/>
      </w:divBdr>
    </w:div>
    <w:div w:id="816608898">
      <w:bodyDiv w:val="1"/>
      <w:marLeft w:val="0"/>
      <w:marRight w:val="0"/>
      <w:marTop w:val="0"/>
      <w:marBottom w:val="0"/>
      <w:divBdr>
        <w:top w:val="none" w:sz="0" w:space="0" w:color="auto"/>
        <w:left w:val="none" w:sz="0" w:space="0" w:color="auto"/>
        <w:bottom w:val="none" w:sz="0" w:space="0" w:color="auto"/>
        <w:right w:val="none" w:sz="0" w:space="0" w:color="auto"/>
      </w:divBdr>
    </w:div>
    <w:div w:id="863591105">
      <w:bodyDiv w:val="1"/>
      <w:marLeft w:val="0"/>
      <w:marRight w:val="0"/>
      <w:marTop w:val="0"/>
      <w:marBottom w:val="0"/>
      <w:divBdr>
        <w:top w:val="none" w:sz="0" w:space="0" w:color="auto"/>
        <w:left w:val="none" w:sz="0" w:space="0" w:color="auto"/>
        <w:bottom w:val="none" w:sz="0" w:space="0" w:color="auto"/>
        <w:right w:val="none" w:sz="0" w:space="0" w:color="auto"/>
      </w:divBdr>
    </w:div>
    <w:div w:id="884565106">
      <w:bodyDiv w:val="1"/>
      <w:marLeft w:val="0"/>
      <w:marRight w:val="0"/>
      <w:marTop w:val="0"/>
      <w:marBottom w:val="0"/>
      <w:divBdr>
        <w:top w:val="none" w:sz="0" w:space="0" w:color="auto"/>
        <w:left w:val="none" w:sz="0" w:space="0" w:color="auto"/>
        <w:bottom w:val="none" w:sz="0" w:space="0" w:color="auto"/>
        <w:right w:val="none" w:sz="0" w:space="0" w:color="auto"/>
      </w:divBdr>
    </w:div>
    <w:div w:id="923495527">
      <w:bodyDiv w:val="1"/>
      <w:marLeft w:val="0"/>
      <w:marRight w:val="0"/>
      <w:marTop w:val="0"/>
      <w:marBottom w:val="0"/>
      <w:divBdr>
        <w:top w:val="none" w:sz="0" w:space="0" w:color="auto"/>
        <w:left w:val="none" w:sz="0" w:space="0" w:color="auto"/>
        <w:bottom w:val="none" w:sz="0" w:space="0" w:color="auto"/>
        <w:right w:val="none" w:sz="0" w:space="0" w:color="auto"/>
      </w:divBdr>
    </w:div>
    <w:div w:id="944195745">
      <w:bodyDiv w:val="1"/>
      <w:marLeft w:val="0"/>
      <w:marRight w:val="0"/>
      <w:marTop w:val="0"/>
      <w:marBottom w:val="0"/>
      <w:divBdr>
        <w:top w:val="none" w:sz="0" w:space="0" w:color="auto"/>
        <w:left w:val="none" w:sz="0" w:space="0" w:color="auto"/>
        <w:bottom w:val="none" w:sz="0" w:space="0" w:color="auto"/>
        <w:right w:val="none" w:sz="0" w:space="0" w:color="auto"/>
      </w:divBdr>
    </w:div>
    <w:div w:id="985626268">
      <w:bodyDiv w:val="1"/>
      <w:marLeft w:val="0"/>
      <w:marRight w:val="0"/>
      <w:marTop w:val="0"/>
      <w:marBottom w:val="0"/>
      <w:divBdr>
        <w:top w:val="none" w:sz="0" w:space="0" w:color="auto"/>
        <w:left w:val="none" w:sz="0" w:space="0" w:color="auto"/>
        <w:bottom w:val="none" w:sz="0" w:space="0" w:color="auto"/>
        <w:right w:val="none" w:sz="0" w:space="0" w:color="auto"/>
      </w:divBdr>
    </w:div>
    <w:div w:id="1042898070">
      <w:bodyDiv w:val="1"/>
      <w:marLeft w:val="0"/>
      <w:marRight w:val="0"/>
      <w:marTop w:val="0"/>
      <w:marBottom w:val="0"/>
      <w:divBdr>
        <w:top w:val="none" w:sz="0" w:space="0" w:color="auto"/>
        <w:left w:val="none" w:sz="0" w:space="0" w:color="auto"/>
        <w:bottom w:val="none" w:sz="0" w:space="0" w:color="auto"/>
        <w:right w:val="none" w:sz="0" w:space="0" w:color="auto"/>
      </w:divBdr>
    </w:div>
    <w:div w:id="1070925557">
      <w:bodyDiv w:val="1"/>
      <w:marLeft w:val="0"/>
      <w:marRight w:val="0"/>
      <w:marTop w:val="0"/>
      <w:marBottom w:val="0"/>
      <w:divBdr>
        <w:top w:val="none" w:sz="0" w:space="0" w:color="auto"/>
        <w:left w:val="none" w:sz="0" w:space="0" w:color="auto"/>
        <w:bottom w:val="none" w:sz="0" w:space="0" w:color="auto"/>
        <w:right w:val="none" w:sz="0" w:space="0" w:color="auto"/>
      </w:divBdr>
    </w:div>
    <w:div w:id="1072385063">
      <w:bodyDiv w:val="1"/>
      <w:marLeft w:val="0"/>
      <w:marRight w:val="0"/>
      <w:marTop w:val="0"/>
      <w:marBottom w:val="0"/>
      <w:divBdr>
        <w:top w:val="none" w:sz="0" w:space="0" w:color="auto"/>
        <w:left w:val="none" w:sz="0" w:space="0" w:color="auto"/>
        <w:bottom w:val="none" w:sz="0" w:space="0" w:color="auto"/>
        <w:right w:val="none" w:sz="0" w:space="0" w:color="auto"/>
      </w:divBdr>
    </w:div>
    <w:div w:id="1109931344">
      <w:bodyDiv w:val="1"/>
      <w:marLeft w:val="0"/>
      <w:marRight w:val="0"/>
      <w:marTop w:val="0"/>
      <w:marBottom w:val="0"/>
      <w:divBdr>
        <w:top w:val="none" w:sz="0" w:space="0" w:color="auto"/>
        <w:left w:val="none" w:sz="0" w:space="0" w:color="auto"/>
        <w:bottom w:val="none" w:sz="0" w:space="0" w:color="auto"/>
        <w:right w:val="none" w:sz="0" w:space="0" w:color="auto"/>
      </w:divBdr>
    </w:div>
    <w:div w:id="1148403906">
      <w:bodyDiv w:val="1"/>
      <w:marLeft w:val="0"/>
      <w:marRight w:val="0"/>
      <w:marTop w:val="0"/>
      <w:marBottom w:val="0"/>
      <w:divBdr>
        <w:top w:val="none" w:sz="0" w:space="0" w:color="auto"/>
        <w:left w:val="none" w:sz="0" w:space="0" w:color="auto"/>
        <w:bottom w:val="none" w:sz="0" w:space="0" w:color="auto"/>
        <w:right w:val="none" w:sz="0" w:space="0" w:color="auto"/>
      </w:divBdr>
    </w:div>
    <w:div w:id="1261454434">
      <w:bodyDiv w:val="1"/>
      <w:marLeft w:val="0"/>
      <w:marRight w:val="0"/>
      <w:marTop w:val="0"/>
      <w:marBottom w:val="0"/>
      <w:divBdr>
        <w:top w:val="none" w:sz="0" w:space="0" w:color="auto"/>
        <w:left w:val="none" w:sz="0" w:space="0" w:color="auto"/>
        <w:bottom w:val="none" w:sz="0" w:space="0" w:color="auto"/>
        <w:right w:val="none" w:sz="0" w:space="0" w:color="auto"/>
      </w:divBdr>
    </w:div>
    <w:div w:id="1301613693">
      <w:bodyDiv w:val="1"/>
      <w:marLeft w:val="0"/>
      <w:marRight w:val="0"/>
      <w:marTop w:val="0"/>
      <w:marBottom w:val="0"/>
      <w:divBdr>
        <w:top w:val="none" w:sz="0" w:space="0" w:color="auto"/>
        <w:left w:val="none" w:sz="0" w:space="0" w:color="auto"/>
        <w:bottom w:val="none" w:sz="0" w:space="0" w:color="auto"/>
        <w:right w:val="none" w:sz="0" w:space="0" w:color="auto"/>
      </w:divBdr>
    </w:div>
    <w:div w:id="1317802353">
      <w:bodyDiv w:val="1"/>
      <w:marLeft w:val="0"/>
      <w:marRight w:val="0"/>
      <w:marTop w:val="0"/>
      <w:marBottom w:val="0"/>
      <w:divBdr>
        <w:top w:val="none" w:sz="0" w:space="0" w:color="auto"/>
        <w:left w:val="none" w:sz="0" w:space="0" w:color="auto"/>
        <w:bottom w:val="none" w:sz="0" w:space="0" w:color="auto"/>
        <w:right w:val="none" w:sz="0" w:space="0" w:color="auto"/>
      </w:divBdr>
    </w:div>
    <w:div w:id="1404599788">
      <w:bodyDiv w:val="1"/>
      <w:marLeft w:val="0"/>
      <w:marRight w:val="0"/>
      <w:marTop w:val="0"/>
      <w:marBottom w:val="0"/>
      <w:divBdr>
        <w:top w:val="none" w:sz="0" w:space="0" w:color="auto"/>
        <w:left w:val="none" w:sz="0" w:space="0" w:color="auto"/>
        <w:bottom w:val="none" w:sz="0" w:space="0" w:color="auto"/>
        <w:right w:val="none" w:sz="0" w:space="0" w:color="auto"/>
      </w:divBdr>
    </w:div>
    <w:div w:id="1408041856">
      <w:bodyDiv w:val="1"/>
      <w:marLeft w:val="0"/>
      <w:marRight w:val="0"/>
      <w:marTop w:val="0"/>
      <w:marBottom w:val="0"/>
      <w:divBdr>
        <w:top w:val="none" w:sz="0" w:space="0" w:color="auto"/>
        <w:left w:val="none" w:sz="0" w:space="0" w:color="auto"/>
        <w:bottom w:val="none" w:sz="0" w:space="0" w:color="auto"/>
        <w:right w:val="none" w:sz="0" w:space="0" w:color="auto"/>
      </w:divBdr>
    </w:div>
    <w:div w:id="1449860666">
      <w:bodyDiv w:val="1"/>
      <w:marLeft w:val="0"/>
      <w:marRight w:val="0"/>
      <w:marTop w:val="0"/>
      <w:marBottom w:val="0"/>
      <w:divBdr>
        <w:top w:val="none" w:sz="0" w:space="0" w:color="auto"/>
        <w:left w:val="none" w:sz="0" w:space="0" w:color="auto"/>
        <w:bottom w:val="none" w:sz="0" w:space="0" w:color="auto"/>
        <w:right w:val="none" w:sz="0" w:space="0" w:color="auto"/>
      </w:divBdr>
    </w:div>
    <w:div w:id="1458721252">
      <w:bodyDiv w:val="1"/>
      <w:marLeft w:val="0"/>
      <w:marRight w:val="0"/>
      <w:marTop w:val="0"/>
      <w:marBottom w:val="0"/>
      <w:divBdr>
        <w:top w:val="none" w:sz="0" w:space="0" w:color="auto"/>
        <w:left w:val="none" w:sz="0" w:space="0" w:color="auto"/>
        <w:bottom w:val="none" w:sz="0" w:space="0" w:color="auto"/>
        <w:right w:val="none" w:sz="0" w:space="0" w:color="auto"/>
      </w:divBdr>
    </w:div>
    <w:div w:id="1466506123">
      <w:bodyDiv w:val="1"/>
      <w:marLeft w:val="0"/>
      <w:marRight w:val="0"/>
      <w:marTop w:val="0"/>
      <w:marBottom w:val="0"/>
      <w:divBdr>
        <w:top w:val="none" w:sz="0" w:space="0" w:color="auto"/>
        <w:left w:val="none" w:sz="0" w:space="0" w:color="auto"/>
        <w:bottom w:val="none" w:sz="0" w:space="0" w:color="auto"/>
        <w:right w:val="none" w:sz="0" w:space="0" w:color="auto"/>
      </w:divBdr>
    </w:div>
    <w:div w:id="1473979052">
      <w:bodyDiv w:val="1"/>
      <w:marLeft w:val="0"/>
      <w:marRight w:val="0"/>
      <w:marTop w:val="0"/>
      <w:marBottom w:val="0"/>
      <w:divBdr>
        <w:top w:val="none" w:sz="0" w:space="0" w:color="auto"/>
        <w:left w:val="none" w:sz="0" w:space="0" w:color="auto"/>
        <w:bottom w:val="none" w:sz="0" w:space="0" w:color="auto"/>
        <w:right w:val="none" w:sz="0" w:space="0" w:color="auto"/>
      </w:divBdr>
    </w:div>
    <w:div w:id="1519198991">
      <w:bodyDiv w:val="1"/>
      <w:marLeft w:val="0"/>
      <w:marRight w:val="0"/>
      <w:marTop w:val="0"/>
      <w:marBottom w:val="0"/>
      <w:divBdr>
        <w:top w:val="none" w:sz="0" w:space="0" w:color="auto"/>
        <w:left w:val="none" w:sz="0" w:space="0" w:color="auto"/>
        <w:bottom w:val="none" w:sz="0" w:space="0" w:color="auto"/>
        <w:right w:val="none" w:sz="0" w:space="0" w:color="auto"/>
      </w:divBdr>
    </w:div>
    <w:div w:id="1532036780">
      <w:bodyDiv w:val="1"/>
      <w:marLeft w:val="0"/>
      <w:marRight w:val="0"/>
      <w:marTop w:val="0"/>
      <w:marBottom w:val="0"/>
      <w:divBdr>
        <w:top w:val="none" w:sz="0" w:space="0" w:color="auto"/>
        <w:left w:val="none" w:sz="0" w:space="0" w:color="auto"/>
        <w:bottom w:val="none" w:sz="0" w:space="0" w:color="auto"/>
        <w:right w:val="none" w:sz="0" w:space="0" w:color="auto"/>
      </w:divBdr>
    </w:div>
    <w:div w:id="1579558852">
      <w:bodyDiv w:val="1"/>
      <w:marLeft w:val="0"/>
      <w:marRight w:val="0"/>
      <w:marTop w:val="0"/>
      <w:marBottom w:val="0"/>
      <w:divBdr>
        <w:top w:val="none" w:sz="0" w:space="0" w:color="auto"/>
        <w:left w:val="none" w:sz="0" w:space="0" w:color="auto"/>
        <w:bottom w:val="none" w:sz="0" w:space="0" w:color="auto"/>
        <w:right w:val="none" w:sz="0" w:space="0" w:color="auto"/>
      </w:divBdr>
    </w:div>
    <w:div w:id="1581796390">
      <w:bodyDiv w:val="1"/>
      <w:marLeft w:val="0"/>
      <w:marRight w:val="0"/>
      <w:marTop w:val="0"/>
      <w:marBottom w:val="0"/>
      <w:divBdr>
        <w:top w:val="none" w:sz="0" w:space="0" w:color="auto"/>
        <w:left w:val="none" w:sz="0" w:space="0" w:color="auto"/>
        <w:bottom w:val="none" w:sz="0" w:space="0" w:color="auto"/>
        <w:right w:val="none" w:sz="0" w:space="0" w:color="auto"/>
      </w:divBdr>
    </w:div>
    <w:div w:id="1626346603">
      <w:bodyDiv w:val="1"/>
      <w:marLeft w:val="0"/>
      <w:marRight w:val="0"/>
      <w:marTop w:val="0"/>
      <w:marBottom w:val="0"/>
      <w:divBdr>
        <w:top w:val="none" w:sz="0" w:space="0" w:color="auto"/>
        <w:left w:val="none" w:sz="0" w:space="0" w:color="auto"/>
        <w:bottom w:val="none" w:sz="0" w:space="0" w:color="auto"/>
        <w:right w:val="none" w:sz="0" w:space="0" w:color="auto"/>
      </w:divBdr>
    </w:div>
    <w:div w:id="1668289277">
      <w:bodyDiv w:val="1"/>
      <w:marLeft w:val="0"/>
      <w:marRight w:val="0"/>
      <w:marTop w:val="0"/>
      <w:marBottom w:val="0"/>
      <w:divBdr>
        <w:top w:val="none" w:sz="0" w:space="0" w:color="auto"/>
        <w:left w:val="none" w:sz="0" w:space="0" w:color="auto"/>
        <w:bottom w:val="none" w:sz="0" w:space="0" w:color="auto"/>
        <w:right w:val="none" w:sz="0" w:space="0" w:color="auto"/>
      </w:divBdr>
    </w:div>
    <w:div w:id="1686401602">
      <w:bodyDiv w:val="1"/>
      <w:marLeft w:val="0"/>
      <w:marRight w:val="0"/>
      <w:marTop w:val="0"/>
      <w:marBottom w:val="0"/>
      <w:divBdr>
        <w:top w:val="none" w:sz="0" w:space="0" w:color="auto"/>
        <w:left w:val="none" w:sz="0" w:space="0" w:color="auto"/>
        <w:bottom w:val="none" w:sz="0" w:space="0" w:color="auto"/>
        <w:right w:val="none" w:sz="0" w:space="0" w:color="auto"/>
      </w:divBdr>
    </w:div>
    <w:div w:id="1700738870">
      <w:bodyDiv w:val="1"/>
      <w:marLeft w:val="0"/>
      <w:marRight w:val="0"/>
      <w:marTop w:val="0"/>
      <w:marBottom w:val="0"/>
      <w:divBdr>
        <w:top w:val="none" w:sz="0" w:space="0" w:color="auto"/>
        <w:left w:val="none" w:sz="0" w:space="0" w:color="auto"/>
        <w:bottom w:val="none" w:sz="0" w:space="0" w:color="auto"/>
        <w:right w:val="none" w:sz="0" w:space="0" w:color="auto"/>
      </w:divBdr>
    </w:div>
    <w:div w:id="1735659434">
      <w:bodyDiv w:val="1"/>
      <w:marLeft w:val="0"/>
      <w:marRight w:val="0"/>
      <w:marTop w:val="0"/>
      <w:marBottom w:val="0"/>
      <w:divBdr>
        <w:top w:val="none" w:sz="0" w:space="0" w:color="auto"/>
        <w:left w:val="none" w:sz="0" w:space="0" w:color="auto"/>
        <w:bottom w:val="none" w:sz="0" w:space="0" w:color="auto"/>
        <w:right w:val="none" w:sz="0" w:space="0" w:color="auto"/>
      </w:divBdr>
    </w:div>
    <w:div w:id="1820805484">
      <w:bodyDiv w:val="1"/>
      <w:marLeft w:val="0"/>
      <w:marRight w:val="0"/>
      <w:marTop w:val="0"/>
      <w:marBottom w:val="0"/>
      <w:divBdr>
        <w:top w:val="none" w:sz="0" w:space="0" w:color="auto"/>
        <w:left w:val="none" w:sz="0" w:space="0" w:color="auto"/>
        <w:bottom w:val="none" w:sz="0" w:space="0" w:color="auto"/>
        <w:right w:val="none" w:sz="0" w:space="0" w:color="auto"/>
      </w:divBdr>
    </w:div>
    <w:div w:id="1833371001">
      <w:bodyDiv w:val="1"/>
      <w:marLeft w:val="0"/>
      <w:marRight w:val="0"/>
      <w:marTop w:val="0"/>
      <w:marBottom w:val="0"/>
      <w:divBdr>
        <w:top w:val="none" w:sz="0" w:space="0" w:color="auto"/>
        <w:left w:val="none" w:sz="0" w:space="0" w:color="auto"/>
        <w:bottom w:val="none" w:sz="0" w:space="0" w:color="auto"/>
        <w:right w:val="none" w:sz="0" w:space="0" w:color="auto"/>
      </w:divBdr>
    </w:div>
    <w:div w:id="1837188043">
      <w:bodyDiv w:val="1"/>
      <w:marLeft w:val="0"/>
      <w:marRight w:val="0"/>
      <w:marTop w:val="0"/>
      <w:marBottom w:val="0"/>
      <w:divBdr>
        <w:top w:val="none" w:sz="0" w:space="0" w:color="auto"/>
        <w:left w:val="none" w:sz="0" w:space="0" w:color="auto"/>
        <w:bottom w:val="none" w:sz="0" w:space="0" w:color="auto"/>
        <w:right w:val="none" w:sz="0" w:space="0" w:color="auto"/>
      </w:divBdr>
    </w:div>
    <w:div w:id="1849518395">
      <w:bodyDiv w:val="1"/>
      <w:marLeft w:val="0"/>
      <w:marRight w:val="0"/>
      <w:marTop w:val="0"/>
      <w:marBottom w:val="0"/>
      <w:divBdr>
        <w:top w:val="none" w:sz="0" w:space="0" w:color="auto"/>
        <w:left w:val="none" w:sz="0" w:space="0" w:color="auto"/>
        <w:bottom w:val="none" w:sz="0" w:space="0" w:color="auto"/>
        <w:right w:val="none" w:sz="0" w:space="0" w:color="auto"/>
      </w:divBdr>
    </w:div>
    <w:div w:id="1959483123">
      <w:bodyDiv w:val="1"/>
      <w:marLeft w:val="0"/>
      <w:marRight w:val="0"/>
      <w:marTop w:val="0"/>
      <w:marBottom w:val="0"/>
      <w:divBdr>
        <w:top w:val="none" w:sz="0" w:space="0" w:color="auto"/>
        <w:left w:val="none" w:sz="0" w:space="0" w:color="auto"/>
        <w:bottom w:val="none" w:sz="0" w:space="0" w:color="auto"/>
        <w:right w:val="none" w:sz="0" w:space="0" w:color="auto"/>
      </w:divBdr>
    </w:div>
    <w:div w:id="1982272363">
      <w:bodyDiv w:val="1"/>
      <w:marLeft w:val="0"/>
      <w:marRight w:val="0"/>
      <w:marTop w:val="0"/>
      <w:marBottom w:val="0"/>
      <w:divBdr>
        <w:top w:val="none" w:sz="0" w:space="0" w:color="auto"/>
        <w:left w:val="none" w:sz="0" w:space="0" w:color="auto"/>
        <w:bottom w:val="none" w:sz="0" w:space="0" w:color="auto"/>
        <w:right w:val="none" w:sz="0" w:space="0" w:color="auto"/>
      </w:divBdr>
    </w:div>
    <w:div w:id="2002807162">
      <w:bodyDiv w:val="1"/>
      <w:marLeft w:val="0"/>
      <w:marRight w:val="0"/>
      <w:marTop w:val="0"/>
      <w:marBottom w:val="0"/>
      <w:divBdr>
        <w:top w:val="none" w:sz="0" w:space="0" w:color="auto"/>
        <w:left w:val="none" w:sz="0" w:space="0" w:color="auto"/>
        <w:bottom w:val="none" w:sz="0" w:space="0" w:color="auto"/>
        <w:right w:val="none" w:sz="0" w:space="0" w:color="auto"/>
      </w:divBdr>
    </w:div>
    <w:div w:id="2019116033">
      <w:bodyDiv w:val="1"/>
      <w:marLeft w:val="0"/>
      <w:marRight w:val="0"/>
      <w:marTop w:val="0"/>
      <w:marBottom w:val="0"/>
      <w:divBdr>
        <w:top w:val="none" w:sz="0" w:space="0" w:color="auto"/>
        <w:left w:val="none" w:sz="0" w:space="0" w:color="auto"/>
        <w:bottom w:val="none" w:sz="0" w:space="0" w:color="auto"/>
        <w:right w:val="none" w:sz="0" w:space="0" w:color="auto"/>
      </w:divBdr>
    </w:div>
    <w:div w:id="2038463323">
      <w:bodyDiv w:val="1"/>
      <w:marLeft w:val="0"/>
      <w:marRight w:val="0"/>
      <w:marTop w:val="0"/>
      <w:marBottom w:val="0"/>
      <w:divBdr>
        <w:top w:val="none" w:sz="0" w:space="0" w:color="auto"/>
        <w:left w:val="none" w:sz="0" w:space="0" w:color="auto"/>
        <w:bottom w:val="none" w:sz="0" w:space="0" w:color="auto"/>
        <w:right w:val="none" w:sz="0" w:space="0" w:color="auto"/>
      </w:divBdr>
    </w:div>
    <w:div w:id="2046514055">
      <w:bodyDiv w:val="1"/>
      <w:marLeft w:val="0"/>
      <w:marRight w:val="0"/>
      <w:marTop w:val="0"/>
      <w:marBottom w:val="0"/>
      <w:divBdr>
        <w:top w:val="none" w:sz="0" w:space="0" w:color="auto"/>
        <w:left w:val="none" w:sz="0" w:space="0" w:color="auto"/>
        <w:bottom w:val="none" w:sz="0" w:space="0" w:color="auto"/>
        <w:right w:val="none" w:sz="0" w:space="0" w:color="auto"/>
      </w:divBdr>
    </w:div>
    <w:div w:id="2051151547">
      <w:bodyDiv w:val="1"/>
      <w:marLeft w:val="0"/>
      <w:marRight w:val="0"/>
      <w:marTop w:val="0"/>
      <w:marBottom w:val="0"/>
      <w:divBdr>
        <w:top w:val="none" w:sz="0" w:space="0" w:color="auto"/>
        <w:left w:val="none" w:sz="0" w:space="0" w:color="auto"/>
        <w:bottom w:val="none" w:sz="0" w:space="0" w:color="auto"/>
        <w:right w:val="none" w:sz="0" w:space="0" w:color="auto"/>
      </w:divBdr>
    </w:div>
    <w:div w:id="2073388050">
      <w:bodyDiv w:val="1"/>
      <w:marLeft w:val="0"/>
      <w:marRight w:val="0"/>
      <w:marTop w:val="0"/>
      <w:marBottom w:val="0"/>
      <w:divBdr>
        <w:top w:val="none" w:sz="0" w:space="0" w:color="auto"/>
        <w:left w:val="none" w:sz="0" w:space="0" w:color="auto"/>
        <w:bottom w:val="none" w:sz="0" w:space="0" w:color="auto"/>
        <w:right w:val="none" w:sz="0" w:space="0" w:color="auto"/>
      </w:divBdr>
    </w:div>
    <w:div w:id="2088989103">
      <w:bodyDiv w:val="1"/>
      <w:marLeft w:val="0"/>
      <w:marRight w:val="0"/>
      <w:marTop w:val="0"/>
      <w:marBottom w:val="0"/>
      <w:divBdr>
        <w:top w:val="none" w:sz="0" w:space="0" w:color="auto"/>
        <w:left w:val="none" w:sz="0" w:space="0" w:color="auto"/>
        <w:bottom w:val="none" w:sz="0" w:space="0" w:color="auto"/>
        <w:right w:val="none" w:sz="0" w:space="0" w:color="auto"/>
      </w:divBdr>
    </w:div>
    <w:div w:id="212534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16/j.copbio.2020.12.007"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12864-017-3557-1"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869AA-5183-4413-B88B-29455EF4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12</Pages>
  <Words>3466</Words>
  <Characters>19760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ESAKKIAMMAL MADASAMY</dc:creator>
  <cp:keywords/>
  <dc:description/>
  <cp:lastModifiedBy>SDI 1022</cp:lastModifiedBy>
  <cp:revision>100</cp:revision>
  <cp:lastPrinted>2025-07-10T09:15:00Z</cp:lastPrinted>
  <dcterms:created xsi:type="dcterms:W3CDTF">2026-04-14T07:55:00Z</dcterms:created>
  <dcterms:modified xsi:type="dcterms:W3CDTF">2026-04-16T11:13:00Z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325ef071-41fd-4b42-8953-eefd3da73256</vt:lpwstr>
  </property>
</Properties>
</file>