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122E9" w14:textId="6D002E08" w:rsidR="00C00ED1" w:rsidRPr="00D1562B" w:rsidRDefault="00DC3308" w:rsidP="009F55DB">
      <w:pPr>
        <w:jc w:val="both"/>
        <w:rPr>
          <w:rFonts w:ascii="Arial" w:hAnsi="Arial" w:cs="Arial"/>
          <w:b/>
          <w:bCs/>
          <w:szCs w:val="24"/>
        </w:rPr>
      </w:pPr>
      <w:r w:rsidRPr="00D1562B">
        <w:rPr>
          <w:rStyle w:val="Emphasis"/>
          <w:rFonts w:ascii="Arial" w:hAnsi="Arial" w:cs="Arial"/>
          <w:b/>
          <w:szCs w:val="24"/>
        </w:rPr>
        <w:t>Transethosomes for Rheumatoid Arthritis Therapy: A Promising Drug Delivery System</w:t>
      </w:r>
    </w:p>
    <w:p w14:paraId="01309328"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Abstract</w:t>
      </w:r>
    </w:p>
    <w:p w14:paraId="3F8A19D5"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Background</w:t>
      </w:r>
    </w:p>
    <w:p w14:paraId="300DD1FA"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szCs w:val="28"/>
        </w:rPr>
        <w:t>Rheumatoid arthritis (RA) remains a major global health burden affecting approximately 0.5-1% of the adult population. Current disease-modifying antirheumatic drug (DMARD) therapies, including methotrexate and biologic agents, demonstrate limited bioavailability, inadequate synovial tissue penetration, and dose-limiting systemic toxicity, resulting in suboptimal disease control in 30-40% of patients. The synovial-blood barrier restricts drug delivery to affected joints, necessitating higher systemic doses that increase hepatotoxicity, bone marrow suppression, and gastrointestinal complications.</w:t>
      </w:r>
    </w:p>
    <w:p w14:paraId="1D3D41B5"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Introduction</w:t>
      </w:r>
    </w:p>
    <w:p w14:paraId="520E8715"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szCs w:val="28"/>
        </w:rPr>
        <w:t>Transethosomes represent an innovative nanotechnology-based delivery system combining deformable lipid vesicles with edge activators (ethanol, terpenes) to overcome biological barriers. These elastic nanovesicles demonstrate 2-3 fold superior deformability compared to conventional liposomes, enabling enhanced tissue penetration and cellular uptake while preferentially targeting inflamed synovial tissue through enhanced permeability and retention (EPR) effect mechanisms.</w:t>
      </w:r>
    </w:p>
    <w:p w14:paraId="126111AA"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Methodology</w:t>
      </w:r>
    </w:p>
    <w:p w14:paraId="30EF62DA"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szCs w:val="28"/>
        </w:rPr>
        <w:t>This comprehensive review synthesizes preclinical and emerging clinical evidence on transethosomal formulations for RA through systematic analysis of in vitro studies, ex vivo tissue models, in vivo animal models (collagen-induced arthritis, adjuvant-induced arthritis), and early-phase clinical development data. Comparative analysis with alternative delivery systems (liposomes, niosomes, micelles, nanoparticles) and future perspectives on clinical translation were evaluated.</w:t>
      </w:r>
    </w:p>
    <w:p w14:paraId="6AB01298"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Results</w:t>
      </w:r>
    </w:p>
    <w:p w14:paraId="7FC64368"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szCs w:val="28"/>
        </w:rPr>
        <w:t>Preclinical studies demonstrate that methotrexate-loaded transethosomes achieve 65-75% disease suppression at 0.5-1.0 mg/kg intra-articular dose, compared to 25-35% with free MTX at equivalent doses and 40-50% with conventional liposomes. Transethosomes reduce systemic MTX exposure 4-8 fold (Cmax: 1.5-2.5 μM vs. 8-12 μM for free MTX), dramatically reducing hepatotoxicity risk while enhancing synovial tissue accumulation 10-20 fold. Cellular uptake studies show 3-5 fold higher transethosomal internalization compared to conventional liposomes. Superior intracellular drug bioavailability enables 2-5 fold enhanced anti-inflammatory efficacy.</w:t>
      </w:r>
    </w:p>
    <w:p w14:paraId="7414E616"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Conclusion</w:t>
      </w:r>
    </w:p>
    <w:p w14:paraId="60CBDD31"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szCs w:val="28"/>
        </w:rPr>
        <w:t xml:space="preserve">Transethosomes represent a genuine technological advancement addressing fundamental limitations of conventional RA therapeutics. The combination of superior efficacy, dramatically </w:t>
      </w:r>
      <w:r w:rsidRPr="00A96C26">
        <w:rPr>
          <w:rFonts w:ascii="Times New Roman" w:hAnsi="Times New Roman" w:cs="Times New Roman"/>
          <w:szCs w:val="28"/>
        </w:rPr>
        <w:lastRenderedPageBreak/>
        <w:t>reduced systemic toxicity, and potential for non-invasive administration (topical/transdermal/oral) positions transethosomes as transformative next-generation RA therapy. Realistic clinical availability is anticipated within 4-6 years, with substantial potential to improve outcomes for millions of RA patients globally.</w:t>
      </w:r>
    </w:p>
    <w:p w14:paraId="11E0F3C8" w14:textId="77777777" w:rsidR="00983233" w:rsidRPr="00A96C26" w:rsidRDefault="00983233" w:rsidP="00983233">
      <w:pPr>
        <w:jc w:val="both"/>
        <w:rPr>
          <w:rFonts w:ascii="Times New Roman" w:hAnsi="Times New Roman" w:cs="Times New Roman"/>
          <w:szCs w:val="28"/>
        </w:rPr>
      </w:pPr>
      <w:r w:rsidRPr="00983233">
        <w:rPr>
          <w:rFonts w:ascii="Times New Roman" w:hAnsi="Times New Roman" w:cs="Times New Roman"/>
          <w:b/>
          <w:bCs/>
          <w:szCs w:val="28"/>
        </w:rPr>
        <w:t>Keywords:</w:t>
      </w:r>
      <w:r w:rsidRPr="00983233">
        <w:rPr>
          <w:rFonts w:ascii="Times New Roman" w:hAnsi="Times New Roman" w:cs="Times New Roman"/>
          <w:szCs w:val="28"/>
        </w:rPr>
        <w:t> Transethosomes, rheumatoid arthritis, drug delivery, deformable vesicles, enhanced permeability and retention (EPR)</w:t>
      </w:r>
    </w:p>
    <w:p w14:paraId="084B40EE" w14:textId="77777777" w:rsidR="009F55DB" w:rsidRPr="00A96C26" w:rsidRDefault="009F55DB" w:rsidP="009F55DB">
      <w:pPr>
        <w:jc w:val="both"/>
        <w:rPr>
          <w:rFonts w:ascii="Times New Roman" w:hAnsi="Times New Roman" w:cs="Times New Roman"/>
          <w:sz w:val="28"/>
          <w:szCs w:val="32"/>
        </w:rPr>
      </w:pPr>
    </w:p>
    <w:p w14:paraId="210DD0D4" w14:textId="373D5701" w:rsidR="007C1A14" w:rsidRPr="00A96C26" w:rsidRDefault="007C1A14" w:rsidP="007C1A14">
      <w:pPr>
        <w:jc w:val="both"/>
        <w:rPr>
          <w:rFonts w:ascii="Times New Roman" w:hAnsi="Times New Roman" w:cs="Times New Roman"/>
          <w:sz w:val="28"/>
          <w:szCs w:val="32"/>
        </w:rPr>
      </w:pPr>
      <w:r w:rsidRPr="00A96C26">
        <w:rPr>
          <w:rFonts w:ascii="Times New Roman" w:hAnsi="Times New Roman" w:cs="Times New Roman"/>
          <w:noProof/>
          <w:sz w:val="28"/>
          <w:szCs w:val="32"/>
        </w:rPr>
        <w:drawing>
          <wp:inline distT="0" distB="0" distL="0" distR="0" wp14:anchorId="78BA6050" wp14:editId="36A8BAC0">
            <wp:extent cx="5943600" cy="3396615"/>
            <wp:effectExtent l="0" t="0" r="0" b="0"/>
            <wp:docPr id="15889118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75AB9232" w14:textId="0FEA8226" w:rsidR="007C1A14" w:rsidRPr="00A96C26" w:rsidRDefault="007C1A14" w:rsidP="007C1A14">
      <w:pPr>
        <w:jc w:val="center"/>
        <w:rPr>
          <w:rFonts w:ascii="Times New Roman" w:hAnsi="Times New Roman" w:cs="Times New Roman"/>
          <w:sz w:val="28"/>
          <w:szCs w:val="32"/>
        </w:rPr>
      </w:pPr>
      <w:r w:rsidRPr="00A96C26">
        <w:rPr>
          <w:rFonts w:ascii="Times New Roman" w:hAnsi="Times New Roman" w:cs="Times New Roman"/>
          <w:sz w:val="28"/>
          <w:szCs w:val="32"/>
        </w:rPr>
        <w:t>Graphical abstract</w:t>
      </w:r>
    </w:p>
    <w:p w14:paraId="38FCD1AA" w14:textId="77777777" w:rsidR="00AA6B3C" w:rsidRPr="00A96C26" w:rsidRDefault="00AA6B3C" w:rsidP="00315EE3">
      <w:pPr>
        <w:jc w:val="both"/>
        <w:rPr>
          <w:rFonts w:ascii="Times New Roman" w:hAnsi="Times New Roman" w:cs="Times New Roman"/>
          <w:b/>
          <w:bCs/>
          <w:szCs w:val="28"/>
        </w:rPr>
      </w:pPr>
    </w:p>
    <w:p w14:paraId="7DA1CE91" w14:textId="77777777" w:rsidR="00AA6B3C" w:rsidRPr="00A96C26" w:rsidRDefault="00AA6B3C" w:rsidP="00315EE3">
      <w:pPr>
        <w:jc w:val="both"/>
        <w:rPr>
          <w:rFonts w:ascii="Times New Roman" w:hAnsi="Times New Roman" w:cs="Times New Roman"/>
          <w:b/>
          <w:bCs/>
          <w:szCs w:val="28"/>
        </w:rPr>
      </w:pPr>
    </w:p>
    <w:p w14:paraId="6A4970E5" w14:textId="77777777" w:rsidR="00AA6B3C" w:rsidRPr="00A96C26" w:rsidRDefault="00AA6B3C" w:rsidP="00315EE3">
      <w:pPr>
        <w:jc w:val="both"/>
        <w:rPr>
          <w:rFonts w:ascii="Times New Roman" w:hAnsi="Times New Roman" w:cs="Times New Roman"/>
          <w:b/>
          <w:bCs/>
          <w:szCs w:val="28"/>
        </w:rPr>
      </w:pPr>
    </w:p>
    <w:p w14:paraId="37CEA95D" w14:textId="77777777" w:rsidR="00AA6B3C" w:rsidRPr="00A96C26" w:rsidRDefault="00AA6B3C" w:rsidP="00315EE3">
      <w:pPr>
        <w:jc w:val="both"/>
        <w:rPr>
          <w:rFonts w:ascii="Times New Roman" w:hAnsi="Times New Roman" w:cs="Times New Roman"/>
          <w:b/>
          <w:bCs/>
          <w:szCs w:val="28"/>
        </w:rPr>
      </w:pPr>
    </w:p>
    <w:p w14:paraId="65E082C6" w14:textId="77777777" w:rsidR="00AA6B3C" w:rsidRPr="00A96C26" w:rsidRDefault="00AA6B3C" w:rsidP="00315EE3">
      <w:pPr>
        <w:jc w:val="both"/>
        <w:rPr>
          <w:rFonts w:ascii="Times New Roman" w:hAnsi="Times New Roman" w:cs="Times New Roman"/>
          <w:b/>
          <w:bCs/>
          <w:szCs w:val="28"/>
        </w:rPr>
      </w:pPr>
    </w:p>
    <w:p w14:paraId="06CB4106" w14:textId="77777777" w:rsidR="00AA6B3C" w:rsidRPr="00A96C26" w:rsidRDefault="00AA6B3C" w:rsidP="00315EE3">
      <w:pPr>
        <w:jc w:val="both"/>
        <w:rPr>
          <w:rFonts w:ascii="Times New Roman" w:hAnsi="Times New Roman" w:cs="Times New Roman"/>
          <w:b/>
          <w:bCs/>
          <w:szCs w:val="28"/>
        </w:rPr>
      </w:pPr>
    </w:p>
    <w:p w14:paraId="77A3634F" w14:textId="1CE141DE"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Introduction</w:t>
      </w:r>
    </w:p>
    <w:p w14:paraId="5225C3B6"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1.1 Brief Overview of RA Pathophysiology and Current Treatment Limitations</w:t>
      </w:r>
    </w:p>
    <w:p w14:paraId="4B7A60FC" w14:textId="6FE6F703"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lastRenderedPageBreak/>
        <w:t xml:space="preserve">Rheumatoid arthritis (RA) is a chronic autoimmune disorder affecting approximately 0.5-1% of the global population, characterized by progressive inflammation and destruction of synovial joints [01].The disease results from aberrant immune responses where T-cells and B-cells attack the synovial membrane, triggering release of pro-inflammatory cytokines like TNF-α, IL-6, and IL-1 that perpetuate joint damage and bone erosion [02]. While disease-modifying antirheumatic drugs (DMARDs) such as methotrexate and biologic agents have improved RA management, their clinical utility is compromised by several limitations. Methotrexate requires 6-12 weeks for therapeutic efficacy and approximately 30-40% of patients show inadequate response [03]. Biologic therapies are expensive, increase infection risk, and require frequent parenteral administration, reducing patient compliance [04]. Long-term use of </w:t>
      </w:r>
      <w:r w:rsidR="00983233">
        <w:rPr>
          <w:rFonts w:ascii="Times New Roman" w:hAnsi="Times New Roman" w:cs="Times New Roman"/>
          <w:szCs w:val="28"/>
        </w:rPr>
        <w:t xml:space="preserve">Non-Steroidal Anti-Inflammatory drugs </w:t>
      </w:r>
      <w:r w:rsidRPr="00A96C26">
        <w:rPr>
          <w:rFonts w:ascii="Times New Roman" w:hAnsi="Times New Roman" w:cs="Times New Roman"/>
          <w:szCs w:val="28"/>
        </w:rPr>
        <w:t>and corticosteroids causes serious gastrointestinal, cardiovascular, and bone complications [05]. These limitations underscore the urgent need for advanced drug delivery systems that can enhance therapeutic efficacy while minimizing systemic toxicity.</w:t>
      </w:r>
    </w:p>
    <w:p w14:paraId="30E7876D"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1.2 Conventional Drug Delivery Challenges in RA</w:t>
      </w:r>
    </w:p>
    <w:p w14:paraId="57E083F4" w14:textId="4E921506"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Delivering therapeutic agents to the inflamed synovial joint tissue remains a major challenge in RA management. Methotrexate, the cornerstone DMARD therapy, exhibits only 30-70% oral bioavailability, requiring higher doses that increase toxicity or switching to parenteral routes that reduce patient acceptability [06]. The synovial-blood barrier</w:t>
      </w:r>
      <w:r w:rsidR="00983233">
        <w:rPr>
          <w:rFonts w:ascii="Times New Roman" w:hAnsi="Times New Roman" w:cs="Times New Roman"/>
          <w:szCs w:val="28"/>
        </w:rPr>
        <w:t xml:space="preserve"> is </w:t>
      </w:r>
      <w:r w:rsidRPr="00A96C26">
        <w:rPr>
          <w:rFonts w:ascii="Times New Roman" w:hAnsi="Times New Roman" w:cs="Times New Roman"/>
          <w:szCs w:val="28"/>
        </w:rPr>
        <w:t>a specialized physiological interface with unique vasculature and lymphatic drainage severely restricts drug penetration into synovial fluid [07]. Conventional formulations achieve synovial drug concentrations 5-50 times lower than plasma levels, meaning insufficient therapeutic exposure at the disease site despite adequate systemic exposure [08]. The highly vascularized and lymphatically drained joint compartment rapidly eliminates drugs, necessitating frequent dosing to maintain therapeutic levels [09]. Because conventional drugs lack targeting mechanisms, they distribute systemically, causing unnecessary organ toxicity including hepatotoxicity, bone marrow suppression, and gastrointestinal ulceration [10]. The acidic inflammatory microenvironment, presence of degradative enzymes, and complex extracellular matrix further compromise drug stability [11]. Additionally, 20-30% of patients discontinue biologic therapy within one year due to injection burden and needle anxiety, highlighting significant compliance issues [12]. Collectively, these delivery obstacles result in suboptimal treatment outcomes despite access to modern therapeutics.</w:t>
      </w:r>
    </w:p>
    <w:p w14:paraId="5B3301B4"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1.3 Role of Nanotechnology in Drug Delivery</w:t>
      </w:r>
    </w:p>
    <w:p w14:paraId="790D0917" w14:textId="4DBF90A5" w:rsidR="007C1A14"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 xml:space="preserve">Nanotechnology offers transformative solutions to overcome conventional drug delivery limitations by engineering pharmaceutical systems at the nanoscale (1-1000 nm) that interact favorably with biological systems [13]. Nanocarriers preferentially accumulate in inflamed tissues through the enhanced permeability and retention (EPR) effect increased vascular leakiness and compromised lymphatic drainage in inflamed joints create a favorable microenvironment for nanoparticle passive targeting [14]. </w:t>
      </w:r>
    </w:p>
    <w:p w14:paraId="7D9A4B9B"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1.4 Definition and Significance of Transethosomes</w:t>
      </w:r>
    </w:p>
    <w:p w14:paraId="5B65684D" w14:textId="68C5E464" w:rsidR="0061207B"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lastRenderedPageBreak/>
        <w:t>Transethosomes are elastic lipid nanovesicles combining liposomal structure with enhanced deformability through incorporation of edge activators</w:t>
      </w:r>
      <w:r w:rsidR="00983233">
        <w:rPr>
          <w:rFonts w:ascii="Times New Roman" w:hAnsi="Times New Roman" w:cs="Times New Roman"/>
          <w:szCs w:val="28"/>
        </w:rPr>
        <w:t>,</w:t>
      </w:r>
      <w:r w:rsidRPr="00A96C26">
        <w:rPr>
          <w:rFonts w:ascii="Times New Roman" w:hAnsi="Times New Roman" w:cs="Times New Roman"/>
          <w:szCs w:val="28"/>
        </w:rPr>
        <w:t xml:space="preserve"> small amphiphilic molecules like ethanol or terpenes (menthol, carvacrol) that fluidize the phospholipid bilayer [</w:t>
      </w:r>
      <w:r w:rsidR="00321525" w:rsidRPr="00A96C26">
        <w:rPr>
          <w:rFonts w:ascii="Times New Roman" w:hAnsi="Times New Roman" w:cs="Times New Roman"/>
          <w:szCs w:val="28"/>
        </w:rPr>
        <w:t>11</w:t>
      </w:r>
      <w:r w:rsidRPr="00A96C26">
        <w:rPr>
          <w:rFonts w:ascii="Times New Roman" w:hAnsi="Times New Roman" w:cs="Times New Roman"/>
          <w:szCs w:val="28"/>
        </w:rPr>
        <w:t>]. These edge activators create microscopic defects reducing membrane rigidity, enabling transethosomes to deform and penetrate biological barriers that rigid liposomes cannot traverse [</w:t>
      </w:r>
      <w:r w:rsidR="00321525" w:rsidRPr="00A96C26">
        <w:rPr>
          <w:rFonts w:ascii="Times New Roman" w:hAnsi="Times New Roman" w:cs="Times New Roman"/>
          <w:szCs w:val="28"/>
        </w:rPr>
        <w:t>12</w:t>
      </w:r>
      <w:r w:rsidRPr="00A96C26">
        <w:rPr>
          <w:rFonts w:ascii="Times New Roman" w:hAnsi="Times New Roman" w:cs="Times New Roman"/>
          <w:szCs w:val="28"/>
        </w:rPr>
        <w:t>]. This deformability is the defining characteristic that distinguishes transethosomes from conventional liposomes and explains their exceptional tissue penetration capacity. Transethosomes are particularly significant for RA therapy because their inherent elasticity overcomes the synovial-blood barrier, while their nanoscale size (50-500 nm) facilitates cellular uptake and intracellular drug delivery. They accommodate both hydrophobic and hydrophilic drugs conventional DMARDs and biologics making them versatile carriers. The phospholipid membrane itself confers anti-inflammatory properties through immune modulation. Transethosomes represent a pragmatic advancement over conventional liposomes, leveraging established pharmaceutical science while demonstrating superior bioavailability and efficacy compared to free drug and liposomal formulations. Accumulating preclinical evidence showing transethosomal anti-RA agent superiority positions this technology as a near-term translatable platform for improving patient outcomes [</w:t>
      </w:r>
      <w:r w:rsidR="00983233">
        <w:rPr>
          <w:rFonts w:ascii="Times New Roman" w:hAnsi="Times New Roman" w:cs="Times New Roman"/>
          <w:szCs w:val="28"/>
        </w:rPr>
        <w:t>12,</w:t>
      </w:r>
      <w:r w:rsidR="00321525" w:rsidRPr="00A96C26">
        <w:rPr>
          <w:rFonts w:ascii="Times New Roman" w:hAnsi="Times New Roman" w:cs="Times New Roman"/>
          <w:szCs w:val="28"/>
        </w:rPr>
        <w:t>13</w:t>
      </w:r>
      <w:r w:rsidRPr="00A96C26">
        <w:rPr>
          <w:rFonts w:ascii="Times New Roman" w:hAnsi="Times New Roman" w:cs="Times New Roman"/>
          <w:szCs w:val="28"/>
        </w:rPr>
        <w:t>].</w:t>
      </w:r>
    </w:p>
    <w:p w14:paraId="60007216"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2. Rheumatoid Arthritis: Current Treatment Landscape</w:t>
      </w:r>
    </w:p>
    <w:p w14:paraId="0C25A351"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2.1 RA Epidemiology and Pathogenesis</w:t>
      </w:r>
    </w:p>
    <w:p w14:paraId="12F147B0" w14:textId="14620357"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The disease demonstrates a clear female predominance with a female-to-male ratio of approximately 3:1, and typically manifests in individuals aged 40-60 years, though juvenile-onset RA can occur in children. From an economic perspective, RA imposes substantial healthcare burdens, with annual per-patient costs in developed nations ranging from $8,000 to $20,000 USD when accounting for direct medical expenses and indirect costs from lost productivity. Environmental factors including smoking, infections (particularly Porphyromonas gingivalis and Epstein-Barr virus), and prior pregnancy have been implicated as potential disease triggers in genetically predisposed individuals. The pathophysiological cascade begins with dysregulated T-cell and B-cell responses against autoantigens such as post-translational modifications of collagen type II and citrullinated proteins, leading to production of pathogenic autoantibodies including rheumatoid factor (RF) and anti-cyclic citrullinated peptide (anti-CCP) antibodies [</w:t>
      </w:r>
      <w:r w:rsidR="00321525" w:rsidRPr="00A96C26">
        <w:rPr>
          <w:rFonts w:ascii="Times New Roman" w:hAnsi="Times New Roman" w:cs="Times New Roman"/>
          <w:szCs w:val="28"/>
        </w:rPr>
        <w:t>14</w:t>
      </w:r>
      <w:r w:rsidRPr="00A96C26">
        <w:rPr>
          <w:rFonts w:ascii="Times New Roman" w:hAnsi="Times New Roman" w:cs="Times New Roman"/>
          <w:szCs w:val="28"/>
        </w:rPr>
        <w:t xml:space="preserve">]. </w:t>
      </w:r>
    </w:p>
    <w:p w14:paraId="4D57E77B"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2.2 Current Therapeutic Agents: DMARDs, Biologics, and NSAIDs</w:t>
      </w:r>
    </w:p>
    <w:p w14:paraId="40582A88"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Disease-Modifying Antirheumatic Drugs (DMARDs)</w:t>
      </w:r>
    </w:p>
    <w:p w14:paraId="11647CE0" w14:textId="2EF75174"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 xml:space="preserve">Conventional synthetic DMARDs remain the foundational therapy for RA management, with methotrexate (MTX) serving as the gold-standard first-line agent due to its proven efficacy, relatively favorable safety profile, and low cost. Methotrexate works through multiple mechanisms including inhibition of dihydrofolate reductase, disruption of nucleotide synthesis, and immunomodulation through adenosine receptor signaling and expansion of regulatory T-cells. Typical doses range from 7.5-25 mg weekly, with approximately 60-70% of patients achieving low </w:t>
      </w:r>
      <w:r w:rsidRPr="00A96C26">
        <w:rPr>
          <w:rFonts w:ascii="Times New Roman" w:hAnsi="Times New Roman" w:cs="Times New Roman"/>
          <w:szCs w:val="28"/>
        </w:rPr>
        <w:lastRenderedPageBreak/>
        <w:t xml:space="preserve">disease activity or remission when adequate therapeutic drug levels are </w:t>
      </w:r>
      <w:r w:rsidR="00983233">
        <w:rPr>
          <w:rFonts w:ascii="Times New Roman" w:hAnsi="Times New Roman" w:cs="Times New Roman"/>
          <w:szCs w:val="28"/>
        </w:rPr>
        <w:t>maintained</w:t>
      </w:r>
      <w:r w:rsidR="00983233" w:rsidRPr="00A96C26">
        <w:rPr>
          <w:rFonts w:ascii="Times New Roman" w:hAnsi="Times New Roman" w:cs="Times New Roman"/>
          <w:szCs w:val="28"/>
        </w:rPr>
        <w:t>. Other</w:t>
      </w:r>
      <w:r w:rsidRPr="00A96C26">
        <w:rPr>
          <w:rFonts w:ascii="Times New Roman" w:hAnsi="Times New Roman" w:cs="Times New Roman"/>
          <w:szCs w:val="28"/>
        </w:rPr>
        <w:t xml:space="preserve"> conventional synthetic DMARDs include sulfasalazine, leflunomide, and hydroxychloroquine, which are often used as monotherapy in mild disease or combined with MTX in more aggressive cases. While these agents have transformed RA outcomes, they require prolonged dose titration periods of 6-12 weeks to achieve clinical benefit, and 30-40% of patients ultimately develop inadequate response or intolerance [14].</w:t>
      </w:r>
    </w:p>
    <w:p w14:paraId="57174C34"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Biologic Therapies</w:t>
      </w:r>
    </w:p>
    <w:p w14:paraId="33D354E3" w14:textId="54D21A8C"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Biologic agents targeting specific components of the inflammatory cascade have revolutionized RA management over the past two decades. TNF-α inhibitors</w:t>
      </w:r>
      <w:r w:rsidR="00DC1CDC" w:rsidRPr="00A96C26">
        <w:rPr>
          <w:rFonts w:ascii="Times New Roman" w:hAnsi="Times New Roman" w:cs="Times New Roman"/>
          <w:szCs w:val="28"/>
        </w:rPr>
        <w:t xml:space="preserve"> </w:t>
      </w:r>
      <w:r w:rsidRPr="00A96C26">
        <w:rPr>
          <w:rFonts w:ascii="Times New Roman" w:hAnsi="Times New Roman" w:cs="Times New Roman"/>
          <w:szCs w:val="28"/>
        </w:rPr>
        <w:t>including infliximab, etanercept, adalimumab, certolizumab, and golimumab</w:t>
      </w:r>
      <w:r w:rsidR="00DC1CDC" w:rsidRPr="00A96C26">
        <w:rPr>
          <w:rFonts w:ascii="Times New Roman" w:hAnsi="Times New Roman" w:cs="Times New Roman"/>
          <w:szCs w:val="28"/>
        </w:rPr>
        <w:t xml:space="preserve"> </w:t>
      </w:r>
      <w:r w:rsidRPr="00A96C26">
        <w:rPr>
          <w:rFonts w:ascii="Times New Roman" w:hAnsi="Times New Roman" w:cs="Times New Roman"/>
          <w:szCs w:val="28"/>
        </w:rPr>
        <w:t xml:space="preserve">were the first biologic class approved and remain among the most widely used. These agents achieve disease remission in approximately 30-40% of MTX-naive patients and enable significant disease suppression in many others. IL-6 receptor antagonists (tocilizumab, sarilumab) and IL-6 signal transducer inhibitors (baricitinib) provide alternative mechanisms of action and are particularly effective in patients who fail TNF inhibitor </w:t>
      </w:r>
      <w:r w:rsidR="00983233" w:rsidRPr="00A96C26">
        <w:rPr>
          <w:rFonts w:ascii="Times New Roman" w:hAnsi="Times New Roman" w:cs="Times New Roman"/>
          <w:szCs w:val="28"/>
        </w:rPr>
        <w:t>therapy.</w:t>
      </w:r>
      <w:r w:rsidRPr="00A96C26">
        <w:rPr>
          <w:rFonts w:ascii="Times New Roman" w:hAnsi="Times New Roman" w:cs="Times New Roman"/>
          <w:szCs w:val="28"/>
        </w:rPr>
        <w:t xml:space="preserve"> Abatacept, a CTLA-4 fusion protein blocking T-cell costimulation, and rituximab, a B-cell depleting anti-CD20 monoclonal antibody, represent additional important biologic options. Janus kinase (JAK) inhibitors such as baricitinib, tofacitinib, and upadacitinib represent the newest synthetic targeted therapy class, offering oral administration and rapid onset of action. Biologic therapies achieve remission or low disease activity in 40-60% of patients, substantially improving outcomes compared to conventional DMARDs alone [</w:t>
      </w:r>
      <w:r w:rsidR="00321525" w:rsidRPr="00A96C26">
        <w:rPr>
          <w:rFonts w:ascii="Times New Roman" w:hAnsi="Times New Roman" w:cs="Times New Roman"/>
          <w:szCs w:val="28"/>
        </w:rPr>
        <w:t>15</w:t>
      </w:r>
      <w:r w:rsidRPr="00A96C26">
        <w:rPr>
          <w:rFonts w:ascii="Times New Roman" w:hAnsi="Times New Roman" w:cs="Times New Roman"/>
          <w:szCs w:val="28"/>
        </w:rPr>
        <w:t>].</w:t>
      </w:r>
    </w:p>
    <w:p w14:paraId="4D6C54D1"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Nonsteroidal Anti-Inflammatory Drugs (NSAIDs) and Corticosteroids</w:t>
      </w:r>
    </w:p>
    <w:p w14:paraId="7930DDCB" w14:textId="6939555B"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NSAIDs including ibuprofen, naproxen, meloxicam, and selective cyclooxygenase-2 (COX-2) inhibitors provide symptomatic relief by blocking prostaglandin synthesis and are universally used as adjunctive therapy in RA. However, NSAIDs do not modify disease progression and carry serious risks of gastrointestinal bleeding, particularly in older patients or those with prior ulcer disease. Corticosteroids such as prednisone are employed in low doses (5-10 mg daily or equivalent) for their potent anti-inflammatory and immunosuppressive properties, with studies suggesting that low-dose corticosteroids may slow radiographic progression when combined with DMARDs. However, long-term corticosteroid use causes significant complications including osteoporosis, opportunistic infections, weight gain, and cardiovascular disease, limiting their use to bridge therapy or adjunctive treatment at minimized doses [</w:t>
      </w:r>
      <w:r w:rsidR="00321525" w:rsidRPr="00A96C26">
        <w:rPr>
          <w:rFonts w:ascii="Times New Roman" w:hAnsi="Times New Roman" w:cs="Times New Roman"/>
          <w:szCs w:val="28"/>
        </w:rPr>
        <w:t>16</w:t>
      </w:r>
      <w:r w:rsidRPr="00A96C26">
        <w:rPr>
          <w:rFonts w:ascii="Times New Roman" w:hAnsi="Times New Roman" w:cs="Times New Roman"/>
          <w:szCs w:val="28"/>
        </w:rPr>
        <w:t>].</w:t>
      </w:r>
    </w:p>
    <w:p w14:paraId="62B9B2A0"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2.3 Limitations of Conventional Drug Delivery</w:t>
      </w:r>
    </w:p>
    <w:p w14:paraId="090683F6"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Poor Bioavailability</w:t>
      </w:r>
    </w:p>
    <w:p w14:paraId="5A01340E" w14:textId="24C45EFD"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 xml:space="preserve">Oral methotrexate demonstrates highly variable and inconsistent absorption, with bioavailability ranging from only 30-70% depending on dosage, gastrointestinal pH, intestinal transit time, and individual patient factors. This unpredictability necessitates frequent dose adjustments and therapeutic drug monitoring to achieve consistent efficacy. Many biologic agents cannot be </w:t>
      </w:r>
      <w:r w:rsidRPr="00A96C26">
        <w:rPr>
          <w:rFonts w:ascii="Times New Roman" w:hAnsi="Times New Roman" w:cs="Times New Roman"/>
          <w:szCs w:val="28"/>
        </w:rPr>
        <w:lastRenderedPageBreak/>
        <w:t>administered orally due to their peptide/protein structure and are susceptible to gastrointestinal degradation, requiring parenteral (intravenous or subcutaneous) administration which reduces patient convenience and compliance. The poor oral bioavailability of conventional DMARDs drives clinicians to switch to parenteral routes or combination therapy, increasing complexity and cost [</w:t>
      </w:r>
      <w:r w:rsidR="00321525" w:rsidRPr="00A96C26">
        <w:rPr>
          <w:rFonts w:ascii="Times New Roman" w:hAnsi="Times New Roman" w:cs="Times New Roman"/>
          <w:szCs w:val="28"/>
        </w:rPr>
        <w:t>16</w:t>
      </w:r>
      <w:r w:rsidRPr="00A96C26">
        <w:rPr>
          <w:rFonts w:ascii="Times New Roman" w:hAnsi="Times New Roman" w:cs="Times New Roman"/>
          <w:szCs w:val="28"/>
        </w:rPr>
        <w:t>].</w:t>
      </w:r>
    </w:p>
    <w:p w14:paraId="58D54AC5" w14:textId="7D67946D"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205786A6" wp14:editId="213CDAF5">
            <wp:extent cx="5943600" cy="3241675"/>
            <wp:effectExtent l="0" t="0" r="0" b="0"/>
            <wp:docPr id="1241337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4C990AE9" w14:textId="4D594E55" w:rsidR="007C1A14" w:rsidRDefault="007C1A14" w:rsidP="00315EE3">
      <w:pPr>
        <w:jc w:val="both"/>
        <w:rPr>
          <w:rFonts w:ascii="Times New Roman" w:hAnsi="Times New Roman" w:cs="Times New Roman"/>
          <w:szCs w:val="28"/>
        </w:rPr>
      </w:pPr>
      <w:r w:rsidRPr="00A96C26">
        <w:rPr>
          <w:rFonts w:ascii="Times New Roman" w:hAnsi="Times New Roman" w:cs="Times New Roman"/>
          <w:szCs w:val="28"/>
        </w:rPr>
        <w:t>Fig No – 01 - "Enhanced transethosomal efficacy results from multiple synergistic mechanisms."</w:t>
      </w:r>
    </w:p>
    <w:p w14:paraId="1D9407B0" w14:textId="74B9B472" w:rsidR="00983233" w:rsidRPr="00A96C26" w:rsidRDefault="00983233" w:rsidP="00315EE3">
      <w:pPr>
        <w:jc w:val="both"/>
        <w:rPr>
          <w:rFonts w:ascii="Times New Roman" w:hAnsi="Times New Roman" w:cs="Times New Roman"/>
          <w:szCs w:val="28"/>
        </w:rPr>
      </w:pPr>
      <w:r>
        <w:rPr>
          <w:rFonts w:ascii="Times New Roman" w:hAnsi="Times New Roman" w:cs="Times New Roman"/>
          <w:szCs w:val="28"/>
        </w:rPr>
        <w:t>The figure above shows that increased transethosomal efficacy results from several synergistic mechanisms. These include enhanced skin permeability, greater vesicle flexibility, and effective drug encapsulation. Together, these mechanisms enable deeper penetration and prolonged drug release.</w:t>
      </w:r>
    </w:p>
    <w:p w14:paraId="7B36E60F"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Systemic Side Effects</w:t>
      </w:r>
    </w:p>
    <w:p w14:paraId="0424B9A6" w14:textId="521D2988"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Methotrexate's mechanism of action</w:t>
      </w:r>
      <w:r w:rsidR="00DC1CDC" w:rsidRPr="00A96C26">
        <w:rPr>
          <w:rFonts w:ascii="Times New Roman" w:hAnsi="Times New Roman" w:cs="Times New Roman"/>
          <w:szCs w:val="28"/>
        </w:rPr>
        <w:t xml:space="preserve"> </w:t>
      </w:r>
      <w:r w:rsidRPr="00A96C26">
        <w:rPr>
          <w:rFonts w:ascii="Times New Roman" w:hAnsi="Times New Roman" w:cs="Times New Roman"/>
          <w:szCs w:val="28"/>
        </w:rPr>
        <w:t>inhibiting folate-dependent nucleotide synthesis</w:t>
      </w:r>
      <w:r w:rsidR="00DC1CDC" w:rsidRPr="00A96C26">
        <w:rPr>
          <w:rFonts w:ascii="Times New Roman" w:hAnsi="Times New Roman" w:cs="Times New Roman"/>
          <w:szCs w:val="28"/>
        </w:rPr>
        <w:t xml:space="preserve"> </w:t>
      </w:r>
      <w:r w:rsidRPr="00A96C26">
        <w:rPr>
          <w:rFonts w:ascii="Times New Roman" w:hAnsi="Times New Roman" w:cs="Times New Roman"/>
          <w:szCs w:val="28"/>
        </w:rPr>
        <w:t xml:space="preserve">affects all rapidly dividing cells, causing bone marrow suppression, oral mucositis, and increased infection risk. Long-term MTX use causes hepatotoxicity in 10-15% of patients, manifesting as elevated liver enzymes, steatosis, fibrosis, and occasionally cirrhosis. TNF-α inhibitors increase susceptibility to tuberculosis reactivation, opportunistic infections, and paradoxically, autoimmune phenomena including demyelinating disease. These agents also increase risk of lymphoma and solid malignancies, though the absolute risk remains modest. NSAIDs cause gastrointestinal ulceration and bleeding in 10-20% of long-term users, with incidence increasing substantially in older patients and those with prior peptic ulcer disease. Corticosteroid-induced osteoporosis leads to increased fracture risk, particularly problematic in RA patients who already have disease-related </w:t>
      </w:r>
      <w:r w:rsidRPr="00A96C26">
        <w:rPr>
          <w:rFonts w:ascii="Times New Roman" w:hAnsi="Times New Roman" w:cs="Times New Roman"/>
          <w:szCs w:val="28"/>
        </w:rPr>
        <w:lastRenderedPageBreak/>
        <w:t>bone loss. The cumulative toxicity from multi-drug RA regimens means many patients experience treatment-limiting adverse effects requiring dose reduction or drug discontinuation [</w:t>
      </w:r>
      <w:r w:rsidR="00321525" w:rsidRPr="00A96C26">
        <w:rPr>
          <w:rFonts w:ascii="Times New Roman" w:hAnsi="Times New Roman" w:cs="Times New Roman"/>
          <w:szCs w:val="28"/>
        </w:rPr>
        <w:t>16,17</w:t>
      </w:r>
      <w:r w:rsidRPr="00A96C26">
        <w:rPr>
          <w:rFonts w:ascii="Times New Roman" w:hAnsi="Times New Roman" w:cs="Times New Roman"/>
          <w:szCs w:val="28"/>
        </w:rPr>
        <w:t>].</w:t>
      </w:r>
    </w:p>
    <w:p w14:paraId="0FF2D3E0"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Low Synovial Fluid Penetration</w:t>
      </w:r>
    </w:p>
    <w:p w14:paraId="71B6DF2F" w14:textId="643FE3B0"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The synovial-blood barrier selectively restricts entry of macromolecules and hydrophilic drugs, maintaining synovial fluid as an immunologically privileged compartment. Studies using radiolabeled methotrexate demonstrate that synovial fluid concentrations remain 5-50 times lower than plasma concentrations despite adequate systemic exposure. This delivery limitation is particularly problematic for larger biologic molecules; monoclonal antibodies achieve synovial concentrations only 10-30% of their plasma levels even during active inflammation. The continuous lymphatic drainage of the joint compartment rapidly eliminates drugs, with synovial fluid half-lives of many agents being only 2-6 hours despite longer systemic circulation times. This poor synovial penetration means that despite adequate systemic drug exposure, the actual therapeutic burden at the primary disease site remains suboptimal, explaining why many patients require dose escalation or therapeutic drug combinations [</w:t>
      </w:r>
      <w:r w:rsidR="00321525" w:rsidRPr="00A96C26">
        <w:rPr>
          <w:rFonts w:ascii="Times New Roman" w:hAnsi="Times New Roman" w:cs="Times New Roman"/>
          <w:szCs w:val="28"/>
        </w:rPr>
        <w:t>17</w:t>
      </w:r>
      <w:r w:rsidRPr="00A96C26">
        <w:rPr>
          <w:rFonts w:ascii="Times New Roman" w:hAnsi="Times New Roman" w:cs="Times New Roman"/>
          <w:szCs w:val="28"/>
        </w:rPr>
        <w:t>].</w:t>
      </w:r>
    </w:p>
    <w:p w14:paraId="0F9D11BA"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Patient Compliance Issues</w:t>
      </w:r>
    </w:p>
    <w:p w14:paraId="17BDC598" w14:textId="2323B8DA"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Biologic therapies requiring frequent parenteral administration present significant compliance challenges. Studies indicate that 20-30% of patients discontinue biologic therapy within the first year, with primary reasons including injection burden, needle anxiety, perceived lack of efficacy, and lifestyle inconvenience. Oral DMARD regimens require strict adherence schedules; approximately 40-50% of patients demonstrate suboptimal compliance with weekly methotrexate dosing. Complex multi-drug regimens with varying dosing schedules and monitoring requirements further reduce compliance, with studies showing that patients managing three or more medications demonstrate significantly lower adherence rates. Poor compliance directly correlates with reduced efficacy and increased disease progression, creating a vicious cycle where non-compliant patients develop treatment resistance and require escalation to more toxic or costly therapies. The cumulative effect of poor bioavailability, systemic toxicity, difficult administration routes, and complex regimens means that many RA patients remain inadequately treated despite theoretically adequate access to modern therapeutics [</w:t>
      </w:r>
      <w:r w:rsidR="00321525" w:rsidRPr="00A96C26">
        <w:rPr>
          <w:rFonts w:ascii="Times New Roman" w:hAnsi="Times New Roman" w:cs="Times New Roman"/>
          <w:szCs w:val="28"/>
        </w:rPr>
        <w:t>18</w:t>
      </w:r>
      <w:r w:rsidRPr="00A96C26">
        <w:rPr>
          <w:rFonts w:ascii="Times New Roman" w:hAnsi="Times New Roman" w:cs="Times New Roman"/>
          <w:szCs w:val="28"/>
        </w:rPr>
        <w:t>].</w:t>
      </w:r>
    </w:p>
    <w:p w14:paraId="2FB208B8" w14:textId="26A3DA5A" w:rsidR="00DC1CDC" w:rsidRPr="00A96C26" w:rsidRDefault="007C1A14" w:rsidP="00DC1CDC">
      <w:pPr>
        <w:jc w:val="both"/>
        <w:rPr>
          <w:rFonts w:ascii="Times New Roman" w:hAnsi="Times New Roman" w:cs="Times New Roman"/>
          <w:b/>
          <w:bCs/>
          <w:szCs w:val="28"/>
        </w:rPr>
      </w:pPr>
      <w:r w:rsidRPr="00A96C26">
        <w:rPr>
          <w:rFonts w:ascii="Times New Roman" w:hAnsi="Times New Roman" w:cs="Times New Roman"/>
          <w:b/>
          <w:bCs/>
          <w:szCs w:val="28"/>
        </w:rPr>
        <w:t>Table 01 -</w:t>
      </w:r>
      <w:r w:rsidR="00DC1CDC" w:rsidRPr="00A96C26">
        <w:rPr>
          <w:rFonts w:ascii="Times New Roman" w:hAnsi="Times New Roman" w:cs="Times New Roman"/>
          <w:b/>
          <w:bCs/>
          <w:szCs w:val="28"/>
        </w:rPr>
        <w:t>Summary of Current RA Treatment Landscape and Limitations</w:t>
      </w:r>
    </w:p>
    <w:tbl>
      <w:tblPr>
        <w:tblStyle w:val="TableGrid"/>
        <w:tblW w:w="0" w:type="auto"/>
        <w:tblLook w:val="04A0" w:firstRow="1" w:lastRow="0" w:firstColumn="1" w:lastColumn="0" w:noHBand="0" w:noVBand="1"/>
      </w:tblPr>
      <w:tblGrid>
        <w:gridCol w:w="1641"/>
        <w:gridCol w:w="2033"/>
        <w:gridCol w:w="2191"/>
        <w:gridCol w:w="1451"/>
        <w:gridCol w:w="2034"/>
      </w:tblGrid>
      <w:tr w:rsidR="00DC1CDC" w:rsidRPr="00A96C26" w14:paraId="5864DBEF" w14:textId="77777777" w:rsidTr="00DC1CDC">
        <w:tc>
          <w:tcPr>
            <w:tcW w:w="0" w:type="auto"/>
            <w:noWrap/>
            <w:hideMark/>
          </w:tcPr>
          <w:p w14:paraId="5C05598D"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Category</w:t>
            </w:r>
          </w:p>
        </w:tc>
        <w:tc>
          <w:tcPr>
            <w:tcW w:w="0" w:type="auto"/>
            <w:noWrap/>
            <w:hideMark/>
          </w:tcPr>
          <w:p w14:paraId="544966D7"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Drug Class/Agent</w:t>
            </w:r>
          </w:p>
        </w:tc>
        <w:tc>
          <w:tcPr>
            <w:tcW w:w="0" w:type="auto"/>
            <w:noWrap/>
            <w:hideMark/>
          </w:tcPr>
          <w:p w14:paraId="1EFB202C"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Mechanism of Action</w:t>
            </w:r>
          </w:p>
        </w:tc>
        <w:tc>
          <w:tcPr>
            <w:tcW w:w="0" w:type="auto"/>
            <w:noWrap/>
            <w:hideMark/>
          </w:tcPr>
          <w:p w14:paraId="230DF833"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Efficacy</w:t>
            </w:r>
          </w:p>
        </w:tc>
        <w:tc>
          <w:tcPr>
            <w:tcW w:w="0" w:type="auto"/>
            <w:noWrap/>
            <w:hideMark/>
          </w:tcPr>
          <w:p w14:paraId="69F7898D"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Key Limitations</w:t>
            </w:r>
          </w:p>
        </w:tc>
      </w:tr>
      <w:tr w:rsidR="00DC1CDC" w:rsidRPr="00A96C26" w14:paraId="0C2E036B" w14:textId="77777777" w:rsidTr="00DC1CDC">
        <w:tc>
          <w:tcPr>
            <w:tcW w:w="0" w:type="auto"/>
            <w:hideMark/>
          </w:tcPr>
          <w:p w14:paraId="3056476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Conventional DMARDs</w:t>
            </w:r>
          </w:p>
        </w:tc>
        <w:tc>
          <w:tcPr>
            <w:tcW w:w="0" w:type="auto"/>
            <w:hideMark/>
          </w:tcPr>
          <w:p w14:paraId="78FD08C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Methotrexate (MTX)</w:t>
            </w:r>
          </w:p>
        </w:tc>
        <w:tc>
          <w:tcPr>
            <w:tcW w:w="0" w:type="auto"/>
            <w:hideMark/>
          </w:tcPr>
          <w:p w14:paraId="1E46075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Folate antagonist; inhibits nucleotide synthesis; immunomodulation</w:t>
            </w:r>
          </w:p>
        </w:tc>
        <w:tc>
          <w:tcPr>
            <w:tcW w:w="0" w:type="auto"/>
            <w:hideMark/>
          </w:tcPr>
          <w:p w14:paraId="7F94810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60-70% achieve remission/low disease activity</w:t>
            </w:r>
          </w:p>
        </w:tc>
        <w:tc>
          <w:tcPr>
            <w:tcW w:w="0" w:type="auto"/>
            <w:hideMark/>
          </w:tcPr>
          <w:p w14:paraId="7F26BD0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Poor oral bioavailability (30-70%); 6-12 week lag; hepatotoxicity; bone marrow </w:t>
            </w:r>
            <w:r w:rsidRPr="00A96C26">
              <w:rPr>
                <w:rFonts w:ascii="Times New Roman" w:hAnsi="Times New Roman" w:cs="Times New Roman"/>
                <w:szCs w:val="28"/>
              </w:rPr>
              <w:lastRenderedPageBreak/>
              <w:t>suppression; 30-40% inadequate response</w:t>
            </w:r>
          </w:p>
        </w:tc>
      </w:tr>
      <w:tr w:rsidR="00DC1CDC" w:rsidRPr="00A96C26" w14:paraId="757E0761" w14:textId="77777777" w:rsidTr="00DC1CDC">
        <w:tc>
          <w:tcPr>
            <w:tcW w:w="0" w:type="auto"/>
            <w:hideMark/>
          </w:tcPr>
          <w:p w14:paraId="5C45E5ED" w14:textId="77777777" w:rsidR="00DC1CDC" w:rsidRPr="00A96C26" w:rsidRDefault="00DC1CDC" w:rsidP="00DC1CDC">
            <w:pPr>
              <w:spacing w:line="278" w:lineRule="auto"/>
              <w:jc w:val="both"/>
              <w:rPr>
                <w:rFonts w:ascii="Times New Roman" w:hAnsi="Times New Roman" w:cs="Times New Roman"/>
                <w:szCs w:val="28"/>
              </w:rPr>
            </w:pPr>
          </w:p>
        </w:tc>
        <w:tc>
          <w:tcPr>
            <w:tcW w:w="0" w:type="auto"/>
            <w:hideMark/>
          </w:tcPr>
          <w:p w14:paraId="0092AEEF"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Sulfasalazine</w:t>
            </w:r>
          </w:p>
        </w:tc>
        <w:tc>
          <w:tcPr>
            <w:tcW w:w="0" w:type="auto"/>
            <w:hideMark/>
          </w:tcPr>
          <w:p w14:paraId="164DC7A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Sulfapyridine and 5-ASA; immunosuppression</w:t>
            </w:r>
          </w:p>
        </w:tc>
        <w:tc>
          <w:tcPr>
            <w:tcW w:w="0" w:type="auto"/>
            <w:hideMark/>
          </w:tcPr>
          <w:p w14:paraId="40F096A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50-60% efficacy</w:t>
            </w:r>
          </w:p>
        </w:tc>
        <w:tc>
          <w:tcPr>
            <w:tcW w:w="0" w:type="auto"/>
            <w:hideMark/>
          </w:tcPr>
          <w:p w14:paraId="68CF585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Slow onset; GI side effects; rare serious toxicity</w:t>
            </w:r>
          </w:p>
        </w:tc>
      </w:tr>
      <w:tr w:rsidR="00DC1CDC" w:rsidRPr="00A96C26" w14:paraId="10F0E83F" w14:textId="77777777" w:rsidTr="00DC1CDC">
        <w:tc>
          <w:tcPr>
            <w:tcW w:w="0" w:type="auto"/>
            <w:hideMark/>
          </w:tcPr>
          <w:p w14:paraId="7EEE1064" w14:textId="77777777" w:rsidR="00DC1CDC" w:rsidRPr="00A96C26" w:rsidRDefault="00DC1CDC" w:rsidP="00DC1CDC">
            <w:pPr>
              <w:spacing w:line="278" w:lineRule="auto"/>
              <w:jc w:val="both"/>
              <w:rPr>
                <w:rFonts w:ascii="Times New Roman" w:hAnsi="Times New Roman" w:cs="Times New Roman"/>
                <w:szCs w:val="28"/>
              </w:rPr>
            </w:pPr>
          </w:p>
        </w:tc>
        <w:tc>
          <w:tcPr>
            <w:tcW w:w="0" w:type="auto"/>
            <w:hideMark/>
          </w:tcPr>
          <w:p w14:paraId="0DF7CBC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Leflunomide</w:t>
            </w:r>
          </w:p>
        </w:tc>
        <w:tc>
          <w:tcPr>
            <w:tcW w:w="0" w:type="auto"/>
            <w:hideMark/>
          </w:tcPr>
          <w:p w14:paraId="7651907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Pyrimidine synthesis inhibitor</w:t>
            </w:r>
          </w:p>
        </w:tc>
        <w:tc>
          <w:tcPr>
            <w:tcW w:w="0" w:type="auto"/>
            <w:hideMark/>
          </w:tcPr>
          <w:p w14:paraId="321F489F"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60-70% efficacy</w:t>
            </w:r>
          </w:p>
        </w:tc>
        <w:tc>
          <w:tcPr>
            <w:tcW w:w="0" w:type="auto"/>
            <w:hideMark/>
          </w:tcPr>
          <w:p w14:paraId="7531C21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Hepatotoxicity; teratogenicity; requires washout period</w:t>
            </w:r>
          </w:p>
        </w:tc>
      </w:tr>
      <w:tr w:rsidR="00DC1CDC" w:rsidRPr="00A96C26" w14:paraId="121B689C" w14:textId="77777777" w:rsidTr="00DC1CDC">
        <w:tc>
          <w:tcPr>
            <w:tcW w:w="0" w:type="auto"/>
            <w:hideMark/>
          </w:tcPr>
          <w:p w14:paraId="050A695F" w14:textId="77777777" w:rsidR="00DC1CDC" w:rsidRPr="00A96C26" w:rsidRDefault="00DC1CDC" w:rsidP="00DC1CDC">
            <w:pPr>
              <w:spacing w:line="278" w:lineRule="auto"/>
              <w:jc w:val="both"/>
              <w:rPr>
                <w:rFonts w:ascii="Times New Roman" w:hAnsi="Times New Roman" w:cs="Times New Roman"/>
                <w:szCs w:val="28"/>
              </w:rPr>
            </w:pPr>
          </w:p>
        </w:tc>
        <w:tc>
          <w:tcPr>
            <w:tcW w:w="0" w:type="auto"/>
            <w:hideMark/>
          </w:tcPr>
          <w:p w14:paraId="7B7902A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Hydroxychloroquine</w:t>
            </w:r>
          </w:p>
        </w:tc>
        <w:tc>
          <w:tcPr>
            <w:tcW w:w="0" w:type="auto"/>
            <w:hideMark/>
          </w:tcPr>
          <w:p w14:paraId="6C66BF4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Immune modulation; lysosomal effects</w:t>
            </w:r>
          </w:p>
        </w:tc>
        <w:tc>
          <w:tcPr>
            <w:tcW w:w="0" w:type="auto"/>
            <w:hideMark/>
          </w:tcPr>
          <w:p w14:paraId="3CC4796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40-50% efficacy</w:t>
            </w:r>
          </w:p>
        </w:tc>
        <w:tc>
          <w:tcPr>
            <w:tcW w:w="0" w:type="auto"/>
            <w:hideMark/>
          </w:tcPr>
          <w:p w14:paraId="58716ACF"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Slow onset; limited as monotherapy; retinal toxicity with long-term use</w:t>
            </w:r>
          </w:p>
        </w:tc>
      </w:tr>
      <w:tr w:rsidR="00DC1CDC" w:rsidRPr="00A96C26" w14:paraId="20B971D3" w14:textId="77777777" w:rsidTr="00DC1CDC">
        <w:tc>
          <w:tcPr>
            <w:tcW w:w="0" w:type="auto"/>
            <w:hideMark/>
          </w:tcPr>
          <w:p w14:paraId="4088E13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TNF-α Inhibitors</w:t>
            </w:r>
          </w:p>
        </w:tc>
        <w:tc>
          <w:tcPr>
            <w:tcW w:w="0" w:type="auto"/>
            <w:hideMark/>
          </w:tcPr>
          <w:p w14:paraId="5E35E6A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Infliximab, Etanercept, Adalimumab, Certolizumab, Golimumab</w:t>
            </w:r>
          </w:p>
        </w:tc>
        <w:tc>
          <w:tcPr>
            <w:tcW w:w="0" w:type="auto"/>
            <w:hideMark/>
          </w:tcPr>
          <w:p w14:paraId="54DF954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Block TNF-α signaling</w:t>
            </w:r>
          </w:p>
        </w:tc>
        <w:tc>
          <w:tcPr>
            <w:tcW w:w="0" w:type="auto"/>
            <w:hideMark/>
          </w:tcPr>
          <w:p w14:paraId="206E862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30-40% remission; 60-70% low disease activity</w:t>
            </w:r>
          </w:p>
        </w:tc>
        <w:tc>
          <w:tcPr>
            <w:tcW w:w="0" w:type="auto"/>
            <w:hideMark/>
          </w:tcPr>
          <w:p w14:paraId="4B1C88D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High cost ($20,000-40,000/year); TB reactivation; infections; malignancy risk; requires parenteral administration; 20-30% non-response</w:t>
            </w:r>
          </w:p>
        </w:tc>
      </w:tr>
      <w:tr w:rsidR="00DC1CDC" w:rsidRPr="00A96C26" w14:paraId="3D641A50" w14:textId="77777777" w:rsidTr="00DC1CDC">
        <w:tc>
          <w:tcPr>
            <w:tcW w:w="0" w:type="auto"/>
            <w:hideMark/>
          </w:tcPr>
          <w:p w14:paraId="05507277"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IL-6 Pathway</w:t>
            </w:r>
          </w:p>
        </w:tc>
        <w:tc>
          <w:tcPr>
            <w:tcW w:w="0" w:type="auto"/>
            <w:hideMark/>
          </w:tcPr>
          <w:p w14:paraId="7A43E54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Tocilizumab, Sarilumab</w:t>
            </w:r>
          </w:p>
        </w:tc>
        <w:tc>
          <w:tcPr>
            <w:tcW w:w="0" w:type="auto"/>
            <w:hideMark/>
          </w:tcPr>
          <w:p w14:paraId="19C0529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IL-6 receptor antagonists</w:t>
            </w:r>
          </w:p>
        </w:tc>
        <w:tc>
          <w:tcPr>
            <w:tcW w:w="0" w:type="auto"/>
            <w:hideMark/>
          </w:tcPr>
          <w:p w14:paraId="022CB3A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40-50% remission</w:t>
            </w:r>
          </w:p>
        </w:tc>
        <w:tc>
          <w:tcPr>
            <w:tcW w:w="0" w:type="auto"/>
            <w:hideMark/>
          </w:tcPr>
          <w:p w14:paraId="07F42CB7"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Cost; infections; lipid abnormalities; requires parenteral or IV infusion</w:t>
            </w:r>
          </w:p>
        </w:tc>
      </w:tr>
      <w:tr w:rsidR="00DC1CDC" w:rsidRPr="00A96C26" w14:paraId="36EA72ED" w14:textId="77777777" w:rsidTr="00DC1CDC">
        <w:tc>
          <w:tcPr>
            <w:tcW w:w="0" w:type="auto"/>
            <w:hideMark/>
          </w:tcPr>
          <w:p w14:paraId="4452318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JAK Inhibitors</w:t>
            </w:r>
          </w:p>
        </w:tc>
        <w:tc>
          <w:tcPr>
            <w:tcW w:w="0" w:type="auto"/>
            <w:hideMark/>
          </w:tcPr>
          <w:p w14:paraId="204263E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Baricitinib, Tofacitinib, Upadacitinib</w:t>
            </w:r>
          </w:p>
        </w:tc>
        <w:tc>
          <w:tcPr>
            <w:tcW w:w="0" w:type="auto"/>
            <w:hideMark/>
          </w:tcPr>
          <w:p w14:paraId="2E00662C"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Block Janus kinase signaling</w:t>
            </w:r>
          </w:p>
        </w:tc>
        <w:tc>
          <w:tcPr>
            <w:tcW w:w="0" w:type="auto"/>
            <w:hideMark/>
          </w:tcPr>
          <w:p w14:paraId="605C6F1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40-60% remission</w:t>
            </w:r>
          </w:p>
        </w:tc>
        <w:tc>
          <w:tcPr>
            <w:tcW w:w="0" w:type="auto"/>
            <w:hideMark/>
          </w:tcPr>
          <w:p w14:paraId="551F902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Cost; oral bioavailability concerns; systemic immunosuppression; requires monitoring</w:t>
            </w:r>
          </w:p>
        </w:tc>
      </w:tr>
      <w:tr w:rsidR="00DC1CDC" w:rsidRPr="00A96C26" w14:paraId="58800335" w14:textId="77777777" w:rsidTr="00DC1CDC">
        <w:tc>
          <w:tcPr>
            <w:tcW w:w="0" w:type="auto"/>
            <w:hideMark/>
          </w:tcPr>
          <w:p w14:paraId="5B47B58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B-Cell Depletion</w:t>
            </w:r>
          </w:p>
        </w:tc>
        <w:tc>
          <w:tcPr>
            <w:tcW w:w="0" w:type="auto"/>
            <w:hideMark/>
          </w:tcPr>
          <w:p w14:paraId="690AF3AC"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Rituximab</w:t>
            </w:r>
          </w:p>
        </w:tc>
        <w:tc>
          <w:tcPr>
            <w:tcW w:w="0" w:type="auto"/>
            <w:hideMark/>
          </w:tcPr>
          <w:p w14:paraId="6432F735"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Anti-CD20 monoclonal antibody</w:t>
            </w:r>
          </w:p>
        </w:tc>
        <w:tc>
          <w:tcPr>
            <w:tcW w:w="0" w:type="auto"/>
            <w:hideMark/>
          </w:tcPr>
          <w:p w14:paraId="1242916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50-60% moderate-good response</w:t>
            </w:r>
          </w:p>
        </w:tc>
        <w:tc>
          <w:tcPr>
            <w:tcW w:w="0" w:type="auto"/>
            <w:hideMark/>
          </w:tcPr>
          <w:p w14:paraId="1ED124D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Requires IV infusion; infections; </w:t>
            </w:r>
            <w:r w:rsidRPr="00A96C26">
              <w:rPr>
                <w:rFonts w:ascii="Times New Roman" w:hAnsi="Times New Roman" w:cs="Times New Roman"/>
                <w:szCs w:val="28"/>
              </w:rPr>
              <w:lastRenderedPageBreak/>
              <w:t>immunosuppression; cost</w:t>
            </w:r>
          </w:p>
        </w:tc>
      </w:tr>
      <w:tr w:rsidR="00DC1CDC" w:rsidRPr="00A96C26" w14:paraId="7028E4FD" w14:textId="77777777" w:rsidTr="00DC1CDC">
        <w:tc>
          <w:tcPr>
            <w:tcW w:w="0" w:type="auto"/>
            <w:hideMark/>
          </w:tcPr>
          <w:p w14:paraId="4207E8B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T-Cell Costimulation</w:t>
            </w:r>
          </w:p>
        </w:tc>
        <w:tc>
          <w:tcPr>
            <w:tcW w:w="0" w:type="auto"/>
            <w:hideMark/>
          </w:tcPr>
          <w:p w14:paraId="4476790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Abatacept</w:t>
            </w:r>
          </w:p>
        </w:tc>
        <w:tc>
          <w:tcPr>
            <w:tcW w:w="0" w:type="auto"/>
            <w:hideMark/>
          </w:tcPr>
          <w:p w14:paraId="100D301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CTLA-4 fusion protein</w:t>
            </w:r>
          </w:p>
        </w:tc>
        <w:tc>
          <w:tcPr>
            <w:tcW w:w="0" w:type="auto"/>
            <w:hideMark/>
          </w:tcPr>
          <w:p w14:paraId="64FAF7E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50-60% moderate-good response</w:t>
            </w:r>
          </w:p>
        </w:tc>
        <w:tc>
          <w:tcPr>
            <w:tcW w:w="0" w:type="auto"/>
            <w:hideMark/>
          </w:tcPr>
          <w:p w14:paraId="0B0594C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Requires IV or subcutaneous; cost; infections</w:t>
            </w:r>
          </w:p>
        </w:tc>
      </w:tr>
      <w:tr w:rsidR="00DC1CDC" w:rsidRPr="00A96C26" w14:paraId="5D0BE462" w14:textId="77777777" w:rsidTr="00DC1CDC">
        <w:tc>
          <w:tcPr>
            <w:tcW w:w="0" w:type="auto"/>
            <w:hideMark/>
          </w:tcPr>
          <w:p w14:paraId="6BE5AA2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NSAIDs</w:t>
            </w:r>
          </w:p>
        </w:tc>
        <w:tc>
          <w:tcPr>
            <w:tcW w:w="0" w:type="auto"/>
            <w:hideMark/>
          </w:tcPr>
          <w:p w14:paraId="64BE92A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Ibuprofen, Naproxen, Meloxicam, COX-2 inhibitors</w:t>
            </w:r>
          </w:p>
        </w:tc>
        <w:tc>
          <w:tcPr>
            <w:tcW w:w="0" w:type="auto"/>
            <w:hideMark/>
          </w:tcPr>
          <w:p w14:paraId="7E0E13A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Inhibit prostaglandin synthesis</w:t>
            </w:r>
          </w:p>
        </w:tc>
        <w:tc>
          <w:tcPr>
            <w:tcW w:w="0" w:type="auto"/>
            <w:hideMark/>
          </w:tcPr>
          <w:p w14:paraId="7D158DF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Symptomatic relief only</w:t>
            </w:r>
          </w:p>
        </w:tc>
        <w:tc>
          <w:tcPr>
            <w:tcW w:w="0" w:type="auto"/>
            <w:hideMark/>
          </w:tcPr>
          <w:p w14:paraId="3EF5215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Non-disease-modifying; GI bleeding (10-20%); cardiovascular events; renal dysfunction; no radiographic protection</w:t>
            </w:r>
          </w:p>
        </w:tc>
      </w:tr>
      <w:tr w:rsidR="00DC1CDC" w:rsidRPr="00A96C26" w14:paraId="50B657FF" w14:textId="77777777" w:rsidTr="00DC1CDC">
        <w:tc>
          <w:tcPr>
            <w:tcW w:w="0" w:type="auto"/>
            <w:hideMark/>
          </w:tcPr>
          <w:p w14:paraId="2C457A2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Corticosteroids</w:t>
            </w:r>
          </w:p>
        </w:tc>
        <w:tc>
          <w:tcPr>
            <w:tcW w:w="0" w:type="auto"/>
            <w:hideMark/>
          </w:tcPr>
          <w:p w14:paraId="006B783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Prednisone, Methylprednisolone</w:t>
            </w:r>
          </w:p>
        </w:tc>
        <w:tc>
          <w:tcPr>
            <w:tcW w:w="0" w:type="auto"/>
            <w:hideMark/>
          </w:tcPr>
          <w:p w14:paraId="35EEC3B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Potent anti-inflammatory; immunosuppression</w:t>
            </w:r>
          </w:p>
        </w:tc>
        <w:tc>
          <w:tcPr>
            <w:tcW w:w="0" w:type="auto"/>
            <w:hideMark/>
          </w:tcPr>
          <w:p w14:paraId="23D7547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Low-dose adjunctive benefit; may slow radiographic progression</w:t>
            </w:r>
          </w:p>
        </w:tc>
        <w:tc>
          <w:tcPr>
            <w:tcW w:w="0" w:type="auto"/>
            <w:hideMark/>
          </w:tcPr>
          <w:p w14:paraId="16D050B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Osteoporosis; infections; weight gain; cardiovascular disease; hyperglycemia; limited long-term use</w:t>
            </w:r>
          </w:p>
        </w:tc>
      </w:tr>
    </w:tbl>
    <w:p w14:paraId="093EA15D" w14:textId="77777777" w:rsidR="00315EE3" w:rsidRDefault="00315EE3" w:rsidP="00315EE3">
      <w:pPr>
        <w:jc w:val="both"/>
        <w:rPr>
          <w:rFonts w:ascii="Times New Roman" w:hAnsi="Times New Roman" w:cs="Times New Roman"/>
          <w:szCs w:val="28"/>
        </w:rPr>
      </w:pPr>
    </w:p>
    <w:p w14:paraId="403C4515" w14:textId="52BA5DD7" w:rsidR="00983233" w:rsidRPr="00A96C26" w:rsidRDefault="00983233" w:rsidP="00315EE3">
      <w:pPr>
        <w:jc w:val="both"/>
        <w:rPr>
          <w:rFonts w:ascii="Times New Roman" w:hAnsi="Times New Roman" w:cs="Times New Roman"/>
          <w:szCs w:val="28"/>
        </w:rPr>
      </w:pPr>
      <w:r w:rsidRPr="00983233">
        <w:rPr>
          <w:rFonts w:ascii="Times New Roman" w:hAnsi="Times New Roman" w:cs="Times New Roman"/>
          <w:szCs w:val="28"/>
        </w:rPr>
        <w:t>DMARDs – Disease-Modifying Antirheumatic Drugs; MTX – Methotrexate; TNF-α – Tumor Necrosis Factor-alpha; IL-6 – Interleukin-6; JAK – Janus Kinase; IV – Intravenous; GI – Gastrointestinal; TB – Tuberculosis; COX-2 – Cyclooxygenase-2; CD20 – Cluster of Differentiation 20; CTLA-4 – Cytotoxic T-Lymphocyte-Associated Protein 4; ASA – Aminosalicylic Acid.</w:t>
      </w:r>
    </w:p>
    <w:p w14:paraId="20C1631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 Transethosomes: Fundamentals &amp; Characterization</w:t>
      </w:r>
    </w:p>
    <w:p w14:paraId="5B7A199A" w14:textId="21B3D363"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3.1 Phospholipid Bilayer Structure</w:t>
      </w:r>
    </w:p>
    <w:p w14:paraId="7635143D" w14:textId="3323D16D"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Transethosomes are a specialized category of elastic lipid nanovesicles engineered to overcome the limitations of conventional liposomes through a unique compositional design that fundamentally alters their membrane properties. At their core, transethosomes consist of a self-assembled phospholipid bilayer forming a spherical or ellipsoidal vesicle with an aqueous inner core capable of encapsulating hydrophilic drugs, while the lipophilic membrane itself can solubilize hydrophobic compounds [</w:t>
      </w:r>
      <w:r w:rsidR="00321525" w:rsidRPr="00A96C26">
        <w:rPr>
          <w:rFonts w:ascii="Times New Roman" w:hAnsi="Times New Roman" w:cs="Times New Roman"/>
          <w:szCs w:val="28"/>
        </w:rPr>
        <w:t>19</w:t>
      </w:r>
      <w:r w:rsidRPr="00A96C26">
        <w:rPr>
          <w:rFonts w:ascii="Times New Roman" w:hAnsi="Times New Roman" w:cs="Times New Roman"/>
          <w:szCs w:val="28"/>
        </w:rPr>
        <w:t xml:space="preserve">]. The phospholipid bilayer is typically composed of naturally occurring phosphatidylcholine (derived from egg or soy lecithin) or synthetic </w:t>
      </w:r>
      <w:r w:rsidRPr="00A96C26">
        <w:rPr>
          <w:rFonts w:ascii="Times New Roman" w:hAnsi="Times New Roman" w:cs="Times New Roman"/>
          <w:szCs w:val="28"/>
        </w:rPr>
        <w:lastRenderedPageBreak/>
        <w:t xml:space="preserve">phospholipids such as 1,2-distearoyl-sn-glycero-3-phosphocholine (DSPC) and 1,2-dipalmitoyl-sn-glycero-3-phosphocholine (DPPC), which provide structural stability and biocompatibility. These phospholipids spontaneously arrange with their hydrophobic fatty acid tails directed inward and their hydrophilic phosphate head groups facing outward toward the aqueous environment, creating a highly </w:t>
      </w:r>
      <w:r w:rsidR="00983233">
        <w:rPr>
          <w:rFonts w:ascii="Times New Roman" w:hAnsi="Times New Roman" w:cs="Times New Roman"/>
          <w:szCs w:val="28"/>
        </w:rPr>
        <w:t>organised semipermeable</w:t>
      </w:r>
      <w:r w:rsidRPr="00A96C26">
        <w:rPr>
          <w:rFonts w:ascii="Times New Roman" w:hAnsi="Times New Roman" w:cs="Times New Roman"/>
          <w:szCs w:val="28"/>
        </w:rPr>
        <w:t xml:space="preserve"> barrier. The phospholipid bilayer serves multiple critical functions: it provides mechanical stability to the vesicle, controls drug release kinetics, protects encapsulated drugs from degradation, and enables prolonged circulation in biological fluids. Importantly, the phospholipid composition itself contributes to the therapeutic potential of transethosomes, as the phosphate headgroups and fatty acid composition can modulate immune responses through pattern recognition receptors on immune cells. The thickness of the transethosomal membrane typically ranges from 4-8 nanometers, with the overall vesicle diameter varying from 50-500 nanometers depending on preparation conditions and intended application [</w:t>
      </w:r>
      <w:r w:rsidR="00321525" w:rsidRPr="00A96C26">
        <w:rPr>
          <w:rFonts w:ascii="Times New Roman" w:hAnsi="Times New Roman" w:cs="Times New Roman"/>
          <w:szCs w:val="28"/>
        </w:rPr>
        <w:t>18,19,20</w:t>
      </w:r>
      <w:r w:rsidRPr="00A96C26">
        <w:rPr>
          <w:rFonts w:ascii="Times New Roman" w:hAnsi="Times New Roman" w:cs="Times New Roman"/>
          <w:szCs w:val="28"/>
        </w:rPr>
        <w:t>].</w:t>
      </w:r>
    </w:p>
    <w:p w14:paraId="6D566C8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Edge Activators</w:t>
      </w:r>
    </w:p>
    <w:p w14:paraId="478630B7" w14:textId="2C2BBC26"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The defining compositional feature that distinguishes transethosomes from conventional liposomes is the incorporation of edge activators small amphiphilic molecules that intercalate into the phospholipid bilayer and fundamentally alter its mechanical and transport properties. Edge activators are amphiphilic compounds with both hydrophobic and hydrophilic regions that position themselves at the phospholipid head group interface, disrupting the organized packing of lipid molecules and creating microscopic structural defects and fluidity perturbations [09]. The most commonly employed edge activators include ethanol (a simple small-molecule alcohol), propylene glycol (a polyol), and natural terpenes such as menthol, carvacrol, eugenol, and limonene derived from essential oils. Ethanol, comprising typically 10-20% of the total formulation by weight, reduces the phase transition temperature (Tm) of the phospholipid bilayer the temperature at which the membrane transitions from an ordered gel phase to a disordered fluid phase thereby increasing membrane fluidity at physiological temperature. The mechanism by which edge activators enhance permeability involves several synergistic effects: they reduce intermolecular cohesion forces within the lipid bilayer, increase membrane permeability to small molecules, promote membrane bending and deformation, and facilitate transient opening of membrane pores. Terpenes as edge activators offer additional advantages beyond membrane fluidization; menthol activates transient receptor potential channels on skin and tissue cells, carvacrol exhibits inherent antimicrobial and anti-inflammatory properties, and eugenol possesses analgesic and anti-inflammatory effects [</w:t>
      </w:r>
      <w:r w:rsidR="00321525" w:rsidRPr="00A96C26">
        <w:rPr>
          <w:rFonts w:ascii="Times New Roman" w:hAnsi="Times New Roman" w:cs="Times New Roman"/>
          <w:szCs w:val="28"/>
        </w:rPr>
        <w:t>21,22</w:t>
      </w:r>
      <w:r w:rsidRPr="00A96C26">
        <w:rPr>
          <w:rFonts w:ascii="Times New Roman" w:hAnsi="Times New Roman" w:cs="Times New Roman"/>
          <w:szCs w:val="28"/>
        </w:rPr>
        <w:t>].</w:t>
      </w:r>
    </w:p>
    <w:p w14:paraId="0207C289"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3.2 Key Characteristics</w:t>
      </w:r>
    </w:p>
    <w:p w14:paraId="7EBEC46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Size Range &amp; Morphology</w:t>
      </w:r>
    </w:p>
    <w:p w14:paraId="7780A96F" w14:textId="6A11ED4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Transethosomes exhibit size ranges typically between 50-500 nanometers in diameter, though most pharmaceutically optimized formulations cluster around 100-200 nanometers . This nanoscale size is critical for achieving superior biological performance compared to larger vesicles and free drugs. </w:t>
      </w:r>
      <w:r w:rsidRPr="00A96C26">
        <w:rPr>
          <w:rFonts w:ascii="Times New Roman" w:hAnsi="Times New Roman" w:cs="Times New Roman"/>
          <w:szCs w:val="28"/>
        </w:rPr>
        <w:lastRenderedPageBreak/>
        <w:t>Sizes in the 100-150 nm range are considered optimal for transdermal and transvascular penetration, balancing the competing requirements of small enough to deform through restrictive biological barriers yet large enough to maintain structural integrity and drug loading capacity. Morphological examination using transmission electron microscopy (TEM) reveals that transethosomes adopt predominantly spherical or slightly ellipsoidal shapes, though some degree of polymorphism (variation in size and shape) is typically observed within any given batch. The morphology directly influences deformability; more spherical vesicles with lower aspect ratios demonstrate superior deformation capacity compared to more elongated forms [04]. Cryo-TEM (cryogenic transmission electron microscopy) studies, which preserve the native hydrated state, confirm that transethosomes maintain their vesicular structure with distinct bilayer organization even under physiological conditions, with occasional visualization of transient membrane deformations and pore formation . Atomic force microscopy (AFM) studies measuring individual transethosomal vesicles demonstrate surface roughness and occasional protrusion-like structures consistent with edge activator-induced membrane perturbations.</w:t>
      </w:r>
    </w:p>
    <w:p w14:paraId="3670F8F0" w14:textId="7830E431"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43EB56E2" wp14:editId="6F1C06C6">
            <wp:extent cx="5943600" cy="3241675"/>
            <wp:effectExtent l="0" t="0" r="0" b="0"/>
            <wp:docPr id="2921726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2BF33BD9" w14:textId="7E663EC3" w:rsidR="007C1A14" w:rsidRDefault="007C1A14" w:rsidP="00DC1CDC">
      <w:pPr>
        <w:jc w:val="both"/>
        <w:rPr>
          <w:rFonts w:ascii="Times New Roman" w:hAnsi="Times New Roman" w:cs="Times New Roman"/>
          <w:szCs w:val="28"/>
        </w:rPr>
      </w:pPr>
      <w:r w:rsidRPr="00A96C26">
        <w:rPr>
          <w:rFonts w:ascii="Times New Roman" w:hAnsi="Times New Roman" w:cs="Times New Roman"/>
          <w:szCs w:val="28"/>
        </w:rPr>
        <w:t>Fig</w:t>
      </w:r>
      <w:r w:rsidR="00983233">
        <w:rPr>
          <w:rFonts w:ascii="Times New Roman" w:hAnsi="Times New Roman" w:cs="Times New Roman"/>
          <w:szCs w:val="28"/>
        </w:rPr>
        <w:t xml:space="preserve">. </w:t>
      </w:r>
      <w:r w:rsidRPr="00A96C26">
        <w:rPr>
          <w:rFonts w:ascii="Times New Roman" w:hAnsi="Times New Roman" w:cs="Times New Roman"/>
          <w:szCs w:val="28"/>
        </w:rPr>
        <w:t>02 - Multiscale mechanism enabling enhanced transethosomal efficacy in RA</w:t>
      </w:r>
      <w:r w:rsidR="00983233">
        <w:rPr>
          <w:rFonts w:ascii="Times New Roman" w:hAnsi="Times New Roman" w:cs="Times New Roman"/>
          <w:szCs w:val="28"/>
        </w:rPr>
        <w:t>.</w:t>
      </w:r>
    </w:p>
    <w:p w14:paraId="4FC72534" w14:textId="6F933B81" w:rsidR="00983233" w:rsidRPr="00A96C26" w:rsidRDefault="00983233" w:rsidP="00DC1CDC">
      <w:pPr>
        <w:jc w:val="both"/>
        <w:rPr>
          <w:rFonts w:ascii="Times New Roman" w:hAnsi="Times New Roman" w:cs="Times New Roman"/>
          <w:szCs w:val="28"/>
        </w:rPr>
      </w:pPr>
      <w:r>
        <w:rPr>
          <w:rFonts w:ascii="Times New Roman" w:hAnsi="Times New Roman" w:cs="Times New Roman"/>
          <w:szCs w:val="28"/>
        </w:rPr>
        <w:t>Fig. No. 02 illustrates the multiscale mechanisms behind the increased transethosomal efficacy in rheumatoid arthritis (RA). It emphasises interactions at the molecular, cellular, and tissue levels that enhance drug delivery and therapeutic effectiveness. Improved vesicular flexibility, deeper skin penetration, and targeted drug release all contribute to better outcomes.</w:t>
      </w:r>
    </w:p>
    <w:p w14:paraId="1DF1035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Deformability/Elasticity</w:t>
      </w:r>
    </w:p>
    <w:p w14:paraId="42199F08" w14:textId="2E55B71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Deformability represents the defining functional characteristic that distinguishes transethosomes from conventional liposomes and enables their superior tissue penetration. Transethosomal </w:t>
      </w:r>
      <w:r w:rsidRPr="00A96C26">
        <w:rPr>
          <w:rFonts w:ascii="Times New Roman" w:hAnsi="Times New Roman" w:cs="Times New Roman"/>
          <w:szCs w:val="28"/>
        </w:rPr>
        <w:lastRenderedPageBreak/>
        <w:t>deformability can be quantitatively assessed through deformation index measurements using extrusion assays, where vesicles are forced through filters with progressively smaller pore sizes . A vesicle's deformation index is calculated as the ratio of the mean diameter of the extrusion pore to the mean diameter of the vesicle after extrusion; transethosomes capable of traversing pores significantly smaller than their native diameter exhibit high deformation indices [</w:t>
      </w:r>
      <w:r w:rsidR="00321525" w:rsidRPr="00A96C26">
        <w:rPr>
          <w:rFonts w:ascii="Times New Roman" w:hAnsi="Times New Roman" w:cs="Times New Roman"/>
          <w:szCs w:val="28"/>
        </w:rPr>
        <w:t>20,21,22</w:t>
      </w:r>
      <w:r w:rsidRPr="00A96C26">
        <w:rPr>
          <w:rFonts w:ascii="Times New Roman" w:hAnsi="Times New Roman" w:cs="Times New Roman"/>
          <w:szCs w:val="28"/>
        </w:rPr>
        <w:t>]. Classical studies demonstrate that conventional rigid liposomes cannot deform to pass through pores smaller than 80-90% of their diameter, while transethosomes can deform to pass through pores only 30-50% of their original diameter, representing a remarkable 2-3 fold enhancement in deformability. This extraordinary elasticity arises from the edge activator-induced fluidization of the phospholipid bilayer, which reduces the energetic barrier to membrane bending and transient pore formation [</w:t>
      </w:r>
      <w:r w:rsidR="00321525" w:rsidRPr="00A96C26">
        <w:rPr>
          <w:rFonts w:ascii="Times New Roman" w:hAnsi="Times New Roman" w:cs="Times New Roman"/>
          <w:szCs w:val="28"/>
        </w:rPr>
        <w:t>23,24,25</w:t>
      </w:r>
      <w:r w:rsidRPr="00A96C26">
        <w:rPr>
          <w:rFonts w:ascii="Times New Roman" w:hAnsi="Times New Roman" w:cs="Times New Roman"/>
          <w:szCs w:val="28"/>
        </w:rPr>
        <w:t xml:space="preserve">]. </w:t>
      </w:r>
    </w:p>
    <w:p w14:paraId="6BF6D6DC"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Permeability Enhancement Mechanisms</w:t>
      </w:r>
    </w:p>
    <w:p w14:paraId="789FF886" w14:textId="54352FC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superior permeability enhancement conferred by transethosomes operates through multiple synergistic mechanisms occurring at distinct biological scales. At the macromolecular level, edge activators modify the structure and organization of biological barriers. In skin, ethanol and terpenes penetrate the stratum corneum lipid domains, disrupting the highly organized lamellar structure and creating pathways of enhanced lipid fluidity that facilitate drug diffusion. The alteration of barrier lipid organization is transient and reversible, with the barrier structure recovering after the transethosomal formulation is removed. At the membrane level, edge activators fluidize the transethosomal bilayer itself, increasing its permeability to small molecules and reducing the free energy required for drug </w:t>
      </w:r>
      <w:r w:rsidR="00983233" w:rsidRPr="00A96C26">
        <w:rPr>
          <w:rFonts w:ascii="Times New Roman" w:hAnsi="Times New Roman" w:cs="Times New Roman"/>
          <w:szCs w:val="28"/>
        </w:rPr>
        <w:t>release.</w:t>
      </w:r>
      <w:r w:rsidRPr="00A96C26">
        <w:rPr>
          <w:rFonts w:ascii="Times New Roman" w:hAnsi="Times New Roman" w:cs="Times New Roman"/>
          <w:szCs w:val="28"/>
        </w:rPr>
        <w:t xml:space="preserve"> The membrane perturbations create temporary pores and defects through which encapsulated drugs can escape, particularly for hydrophilic compounds that would normally remain sequestered within the vesicle core. At the cellular level, transethosomes interact with cell membranes more dynamically than rigid liposomes. Their deformable nature enables more intimate contact with the cellular membrane, with some evidence suggesting direct membrane-to-membrane fusion or endocytic uptake of intact </w:t>
      </w:r>
      <w:r w:rsidR="00983233" w:rsidRPr="00A96C26">
        <w:rPr>
          <w:rFonts w:ascii="Times New Roman" w:hAnsi="Times New Roman" w:cs="Times New Roman"/>
          <w:szCs w:val="28"/>
        </w:rPr>
        <w:t>vesicles.</w:t>
      </w:r>
      <w:r w:rsidRPr="00A96C26">
        <w:rPr>
          <w:rFonts w:ascii="Times New Roman" w:hAnsi="Times New Roman" w:cs="Times New Roman"/>
          <w:szCs w:val="28"/>
        </w:rPr>
        <w:t xml:space="preserve"> The enhanced cellular uptake of transethosomes compared to conventional liposomes has been documented across numerous cell types relevant to RA pathogenesis, including synovial fibroblasts, macrophages, and dendritic cells. The phospholipid composition itself contributes to permeability enhancement through modulation of lipid-protein interactions and activation of pattern recognition receptors that promote cellular internalization [21]. Additionally, transethosomes demonstrate enhanced penetration through tissue matrices by virtue of their deformability; rather than being physically blocked by narrow extracellular matrix pores as rigid liposomes would be, deformable transethosomes compress and traverse through tortuous pathways within tissue [22</w:t>
      </w:r>
      <w:r w:rsidR="00321525" w:rsidRPr="00A96C26">
        <w:rPr>
          <w:rFonts w:ascii="Times New Roman" w:hAnsi="Times New Roman" w:cs="Times New Roman"/>
          <w:szCs w:val="28"/>
        </w:rPr>
        <w:t>,23,24,25</w:t>
      </w:r>
      <w:r w:rsidRPr="00A96C26">
        <w:rPr>
          <w:rFonts w:ascii="Times New Roman" w:hAnsi="Times New Roman" w:cs="Times New Roman"/>
          <w:szCs w:val="28"/>
        </w:rPr>
        <w:t>].</w:t>
      </w:r>
    </w:p>
    <w:p w14:paraId="2C0E258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3.3 Preparation Methods</w:t>
      </w:r>
    </w:p>
    <w:p w14:paraId="35C2F886"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Thin Film Hydration Method</w:t>
      </w:r>
    </w:p>
    <w:p w14:paraId="13C4FAE8" w14:textId="043B3897"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thin film hydration technique, also called the film dispersion method, represents the most widely employed preparation method for transethosomes and is valued for its simplicity, </w:t>
      </w:r>
      <w:r w:rsidRPr="00A96C26">
        <w:rPr>
          <w:rFonts w:ascii="Times New Roman" w:hAnsi="Times New Roman" w:cs="Times New Roman"/>
          <w:szCs w:val="28"/>
        </w:rPr>
        <w:lastRenderedPageBreak/>
        <w:t>reproducibility, and scalability to industrial production. The method begins with precise weighing and dissolution of all lipid components (phospholipids and edge activators such as ethanol) in an organic solvent typically chloroform, dichloromethane, or methanol in appropriate molar ratios. The solvent volume and lipid concentration are carefully controlled; typically lipids are dissolved at concentrations of 50-100 mg/mL in 20-50 mL of organic solvent to ensure complete dissolution while maintaining manageable volumes. The organic lipid solution is transferred to a round-bottom flask attached to a rotary evaporator maintained at 40-60°C, connected to a vacuum pump. As the flask rotates, the organic solvent is gradually evaporated under reduced pressure, and the lipids deposit as a thin, uniform film coating the inner surface of the flask. The thickness and uniformity of this film directly influence subsequent vesicle size and distribution; thinner films typically produce smaller, more uniform vesicles. Once the film formation is complete (verified by the absence of solvent odor), the drug of interest dissolved in appropriate aqueous medium is added to the flask. The aqueous medium composition is critical for hydrophilic drugs, distilled water or isotonic buffers are used; for hydrophobic drugs, the aqueous phase may contain cosolvents or be replaced with organic solvent-water mixtures. The flask is then gently heated to 40-50°C (below the transition temperature of the phospholipids) while maintaining rotation, a process called hydration [</w:t>
      </w:r>
      <w:r w:rsidR="00321525" w:rsidRPr="00A96C26">
        <w:rPr>
          <w:rFonts w:ascii="Times New Roman" w:hAnsi="Times New Roman" w:cs="Times New Roman"/>
          <w:szCs w:val="28"/>
        </w:rPr>
        <w:t>23,24,25,26</w:t>
      </w:r>
      <w:r w:rsidRPr="00A96C26">
        <w:rPr>
          <w:rFonts w:ascii="Times New Roman" w:hAnsi="Times New Roman" w:cs="Times New Roman"/>
          <w:szCs w:val="28"/>
        </w:rPr>
        <w:t xml:space="preserve">]. </w:t>
      </w:r>
    </w:p>
    <w:p w14:paraId="06DA620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Sonication Method</w:t>
      </w:r>
    </w:p>
    <w:p w14:paraId="02EFBF40" w14:textId="4EA9660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Sonication, also called ultrasonication or probe sonication, is an energy-intensive technique that uses high-frequency ultrasound waves to reduce transethosomal vesicle size from multilamellar forms to smaller unilamellar transethosomes. In this method, the multilamellar transethosomal suspension obtained from thin film hydration is placed in a glass vial positioned within a sonicator bath or fitted with a ultrasonic probe. Bath sonication, employing frequencies typically of 40-50 kHz, generates cavitation bubbles throughout the liquid that collapse and release mechanical energy, disrupting larger vesicles into smaller fragments. Probe sonication (also called tip sonication), employing frequencies of 20 kHz and higher, is more intense and efficient but requires careful technique to avoid excessive heat generation. During sonication, the ultrasonic energy disrupts the multilamellar structure through cavitation-induced mechanical stress, causing lipid bilayer fragmentation and reorganization into smaller unilamellar vesicles. Sonication duration directly influences final vesicle size; longer sonication periods produce progressively smaller vesicles, with typical durations ranging from 15-45 minutes to achieve target sizes of 100-200 nm [06]. Sonication generates substantial heat, which can damage both the drug and the transethosomal structure; consequently, sonication is performed with cooling (ice bath or cooled water circulation) to maintain temperatures below 25°C [</w:t>
      </w:r>
      <w:r w:rsidR="00321525" w:rsidRPr="00A96C26">
        <w:rPr>
          <w:rFonts w:ascii="Times New Roman" w:hAnsi="Times New Roman" w:cs="Times New Roman"/>
          <w:szCs w:val="28"/>
        </w:rPr>
        <w:t>25,26</w:t>
      </w:r>
      <w:r w:rsidRPr="00A96C26">
        <w:rPr>
          <w:rFonts w:ascii="Times New Roman" w:hAnsi="Times New Roman" w:cs="Times New Roman"/>
          <w:szCs w:val="28"/>
        </w:rPr>
        <w:t>]. Sonication also generates toxic titanium particles if a titanium probe is used; consequently, glass probes are preferred, or the sonicate is filtered through 0.45 μm filters to remove probe-derived particles [</w:t>
      </w:r>
      <w:r w:rsidR="00321525" w:rsidRPr="00A96C26">
        <w:rPr>
          <w:rFonts w:ascii="Times New Roman" w:hAnsi="Times New Roman" w:cs="Times New Roman"/>
          <w:szCs w:val="28"/>
        </w:rPr>
        <w:t>25,26,27</w:t>
      </w:r>
      <w:r w:rsidRPr="00A96C26">
        <w:rPr>
          <w:rFonts w:ascii="Times New Roman" w:hAnsi="Times New Roman" w:cs="Times New Roman"/>
          <w:szCs w:val="28"/>
        </w:rPr>
        <w:t>].</w:t>
      </w:r>
    </w:p>
    <w:p w14:paraId="4288B4C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Reverse-Phase Evaporation Method</w:t>
      </w:r>
    </w:p>
    <w:p w14:paraId="39083EA4" w14:textId="71EDC20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lastRenderedPageBreak/>
        <w:t>The reverse-phase evaporation (REV) method, also called the reverse-phase emulsion evaporation technique, represents an alternative preparation approach particularly suitable for encapsulating hydrophilic or water-soluble drugs with potentially high entrapment efficiency. This method begins by preparing a water-in-oil emulsion by mixing an aqueous phase containing the dissolved drug with an organic phase containing phospholipids and edge activators. The aqueous phase, containing the drug at desired concentration in buffer or saline, is slowly added to the organic phase (typically containing 100-500 mg/mL lipids in chloroform or ether) with vigorous mechanical stirring. The vigorous mixing creates an emulsion with aqueous droplets dispersed throughout the organic lipid solution, with the lipids preferentially locating at the water-oil interface [04]. The water-in-oil emulsion is then subjected to gentle sonication for 5-15 minutes to produce a fine, stable emulsion with small aqueous droplets [</w:t>
      </w:r>
      <w:r w:rsidR="00321525" w:rsidRPr="00A96C26">
        <w:rPr>
          <w:rFonts w:ascii="Times New Roman" w:hAnsi="Times New Roman" w:cs="Times New Roman"/>
          <w:szCs w:val="28"/>
        </w:rPr>
        <w:t>25,26,27</w:t>
      </w:r>
      <w:r w:rsidRPr="00A96C26">
        <w:rPr>
          <w:rFonts w:ascii="Times New Roman" w:hAnsi="Times New Roman" w:cs="Times New Roman"/>
          <w:szCs w:val="28"/>
        </w:rPr>
        <w:t xml:space="preserve">]. </w:t>
      </w:r>
    </w:p>
    <w:p w14:paraId="0C57DB98"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3.4 Characterization Parameters</w:t>
      </w:r>
    </w:p>
    <w:p w14:paraId="21900AAC"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Particle Size and Zeta Potential</w:t>
      </w:r>
    </w:p>
    <w:p w14:paraId="2DF621A8" w14:textId="5CE95C5A"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Particle size represents one of the most critical characterization parameters for transethosomes, as it directly influences deformability, cellular uptake, synovial penetration, and overall therapeutic efficacy [</w:t>
      </w:r>
      <w:r w:rsidR="00321525" w:rsidRPr="00A96C26">
        <w:rPr>
          <w:rFonts w:ascii="Times New Roman" w:hAnsi="Times New Roman" w:cs="Times New Roman"/>
          <w:szCs w:val="28"/>
        </w:rPr>
        <w:t>27,28</w:t>
      </w:r>
      <w:r w:rsidRPr="00A96C26">
        <w:rPr>
          <w:rFonts w:ascii="Times New Roman" w:hAnsi="Times New Roman" w:cs="Times New Roman"/>
          <w:szCs w:val="28"/>
        </w:rPr>
        <w:t>]. Dynamic light scattering (DLS), also called photon correlation spectroscopy (PCS), is the primary technique for particle size determination and is based on measuring intensity fluctuations of laser light scattered by moving particles. DLS measures the hydrodynamic diameter the apparent size of particles in solution accounting for any associated water layer rather than the geometric diameter measured by electron microscopy [</w:t>
      </w:r>
      <w:r w:rsidR="00321525" w:rsidRPr="00A96C26">
        <w:rPr>
          <w:rFonts w:ascii="Times New Roman" w:hAnsi="Times New Roman" w:cs="Times New Roman"/>
          <w:szCs w:val="28"/>
        </w:rPr>
        <w:t>28,29</w:t>
      </w:r>
      <w:r w:rsidRPr="00A96C26">
        <w:rPr>
          <w:rFonts w:ascii="Times New Roman" w:hAnsi="Times New Roman" w:cs="Times New Roman"/>
          <w:szCs w:val="28"/>
        </w:rPr>
        <w:t xml:space="preserve">]. Optimal transethosomal sizes for RA applications typically range from 100-200 nanometers, </w:t>
      </w:r>
      <w:r w:rsidR="00321525" w:rsidRPr="00A96C26">
        <w:rPr>
          <w:rFonts w:ascii="Times New Roman" w:hAnsi="Times New Roman" w:cs="Times New Roman"/>
          <w:szCs w:val="28"/>
        </w:rPr>
        <w:t>balancing superior deformability (smaller vesicles are more deformable), enhanced cellular uptake (100-200 nm is optimal for endocytosis), and sufficient drug-loading</w:t>
      </w:r>
      <w:r w:rsidRPr="00A96C26">
        <w:rPr>
          <w:rFonts w:ascii="Times New Roman" w:hAnsi="Times New Roman" w:cs="Times New Roman"/>
          <w:szCs w:val="28"/>
        </w:rPr>
        <w:t xml:space="preserve"> capacity. DLS analysis simultaneously provides the polydispersity index (PDI), a measure of </w:t>
      </w:r>
      <w:r w:rsidR="00321525" w:rsidRPr="00A96C26">
        <w:rPr>
          <w:rFonts w:ascii="Times New Roman" w:hAnsi="Times New Roman" w:cs="Times New Roman"/>
          <w:szCs w:val="28"/>
        </w:rPr>
        <w:t>particle size heterogeneity</w:t>
      </w:r>
      <w:r w:rsidRPr="00A96C26">
        <w:rPr>
          <w:rFonts w:ascii="Times New Roman" w:hAnsi="Times New Roman" w:cs="Times New Roman"/>
          <w:szCs w:val="28"/>
        </w:rPr>
        <w:t xml:space="preserve"> within the formulation, ranging from 0 (perfectly monodisperse) to 1.0 (highly polydisperse) [</w:t>
      </w:r>
      <w:r w:rsidR="00321525" w:rsidRPr="00A96C26">
        <w:rPr>
          <w:rFonts w:ascii="Times New Roman" w:hAnsi="Times New Roman" w:cs="Times New Roman"/>
          <w:szCs w:val="28"/>
        </w:rPr>
        <w:t>28,29,30</w:t>
      </w:r>
      <w:r w:rsidRPr="00A96C26">
        <w:rPr>
          <w:rFonts w:ascii="Times New Roman" w:hAnsi="Times New Roman" w:cs="Times New Roman"/>
          <w:szCs w:val="28"/>
        </w:rPr>
        <w:t xml:space="preserve">]. Optimized transethosomal formulations typically exhibit PDI values below 0.3, indicating relatively uniform size distributions that facilitate reproducible biological performance. Transmission electron microscopy (TEM) provides direct visualization of transethosomal morphology and size distribution, offering complementary information to DLS measurements. Cryo-TEM, where samples are rapidly frozen to preserve the native hydrated state, provides particularly valuable information about transethosomal structure under physiologically relevant conditions, revealing bilayer organization and edge activator-induced membrane perturbations not visible in conventional TEM. Zeta potential, also called electrokinetic potential, measures the electrical charge on the transethosomal surface and is determined by electrophoretic light scattering (ELS) . The measurement involves applying an electric field across a solution of transethosomes and measuring the velocity of particle movement; zeta potential is calculated from this electrophoretic mobility using the Helmholtz-Smoluchowski equation. Typical transethosomal formulations exhibit zeta potentials ranging from -10 to -40 mV depending on phospholipid composition and </w:t>
      </w:r>
      <w:r w:rsidRPr="00A96C26">
        <w:rPr>
          <w:rFonts w:ascii="Times New Roman" w:hAnsi="Times New Roman" w:cs="Times New Roman"/>
          <w:szCs w:val="28"/>
        </w:rPr>
        <w:lastRenderedPageBreak/>
        <w:t>pH, with the negative charge arising from phosphate groups in the phospholipid headgroups [</w:t>
      </w:r>
      <w:r w:rsidR="00321525" w:rsidRPr="00A96C26">
        <w:rPr>
          <w:rFonts w:ascii="Times New Roman" w:hAnsi="Times New Roman" w:cs="Times New Roman"/>
          <w:szCs w:val="28"/>
        </w:rPr>
        <w:t>30,31]</w:t>
      </w:r>
      <w:r w:rsidRPr="00A96C26">
        <w:rPr>
          <w:rFonts w:ascii="Times New Roman" w:hAnsi="Times New Roman" w:cs="Times New Roman"/>
          <w:szCs w:val="28"/>
        </w:rPr>
        <w:t xml:space="preserve">. </w:t>
      </w:r>
    </w:p>
    <w:p w14:paraId="5675F436"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Entrapment Efficiency</w:t>
      </w:r>
    </w:p>
    <w:p w14:paraId="06268EB7" w14:textId="2F2B6A3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Entrapment efficiency (EE), also called encapsulation efficiency, represents the percentage of total drug that is successfully enclosed within the transethosomal vesicles versus remaining free in solution, and is a critical parameter determining the bioavailable fraction of the formulation [</w:t>
      </w:r>
      <w:r w:rsidR="00E544A9" w:rsidRPr="00A96C26">
        <w:rPr>
          <w:rFonts w:ascii="Times New Roman" w:hAnsi="Times New Roman" w:cs="Times New Roman"/>
          <w:szCs w:val="28"/>
        </w:rPr>
        <w:t>31</w:t>
      </w:r>
      <w:r w:rsidRPr="00A96C26">
        <w:rPr>
          <w:rFonts w:ascii="Times New Roman" w:hAnsi="Times New Roman" w:cs="Times New Roman"/>
          <w:szCs w:val="28"/>
        </w:rPr>
        <w:t>]. Determination of entrapment efficiency requires quantitative separation of free drug from transethosomal-encapsulated drug through techniques such as ultracentrifugation, gel permeation chromatography (size exclusion chromatography), or dialysis. Ultracentrifugation, performed at 100,000-200,000 × g for 30-60 minutes, physically separates transethosomal vesicles (which sediment to the pellet) from free drug remaining in the supernatant; the drug content in each fraction is then measured. Gel permeation chromatography separates transethosomes from free drug based on molecular size, with transethosomes eluting in the void volume and free drug eluting in later fractions; the amount of drug in each fraction is quantified. Dialysis against drug-free medium across semipermeable membranes allows free drug to diffuse out while transethosomes are retained; sampling of the dialysate over time allows calculation of free drug release. High-performance liquid chromatography (HPLC) or other analytical techniques are then used to quantify drug content in each fraction. Entrapment efficiency depends on multiple formulation factors: hydrophobic drugs generally achieve higher entrapment efficiencies (often 70-95%) because they preferentially partition into the lipid bilayer; hydrophilic drugs achieve lower entrapment efficiencies (often 40-70%) because they tend to remain in the aqueous phase; higher lipid concentrations increase EE by providing more encapsulation volume; higher drug concentrations initially increase EE but may decrease it at excessive concentrations due to oversaturation [</w:t>
      </w:r>
      <w:r w:rsidR="00E544A9" w:rsidRPr="00A96C26">
        <w:rPr>
          <w:rFonts w:ascii="Times New Roman" w:hAnsi="Times New Roman" w:cs="Times New Roman"/>
          <w:szCs w:val="28"/>
        </w:rPr>
        <w:t>31,32</w:t>
      </w:r>
      <w:r w:rsidRPr="00A96C26">
        <w:rPr>
          <w:rFonts w:ascii="Times New Roman" w:hAnsi="Times New Roman" w:cs="Times New Roman"/>
          <w:szCs w:val="28"/>
        </w:rPr>
        <w:t xml:space="preserve">]. </w:t>
      </w:r>
    </w:p>
    <w:p w14:paraId="62812E5B" w14:textId="60C15C99"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lastRenderedPageBreak/>
        <w:drawing>
          <wp:inline distT="0" distB="0" distL="0" distR="0" wp14:anchorId="1B59E3B4" wp14:editId="56EA21B5">
            <wp:extent cx="5943600" cy="3241675"/>
            <wp:effectExtent l="0" t="0" r="0" b="0"/>
            <wp:docPr id="1690659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D6247C0" w14:textId="472A4703" w:rsidR="007C1A14" w:rsidRDefault="007C1A14" w:rsidP="00DC1CDC">
      <w:pPr>
        <w:jc w:val="both"/>
        <w:rPr>
          <w:rFonts w:ascii="Times New Roman" w:hAnsi="Times New Roman" w:cs="Times New Roman"/>
          <w:szCs w:val="28"/>
        </w:rPr>
      </w:pPr>
      <w:r w:rsidRPr="00A96C26">
        <w:rPr>
          <w:rFonts w:ascii="Times New Roman" w:hAnsi="Times New Roman" w:cs="Times New Roman"/>
          <w:szCs w:val="28"/>
        </w:rPr>
        <w:t>Fig 03 – Transethosome Superiority in the Preclinical Collagen-Induced Arthritis (CIA) Model</w:t>
      </w:r>
      <w:r w:rsidR="00983233">
        <w:rPr>
          <w:rFonts w:ascii="Times New Roman" w:hAnsi="Times New Roman" w:cs="Times New Roman"/>
          <w:szCs w:val="28"/>
        </w:rPr>
        <w:t>.</w:t>
      </w:r>
    </w:p>
    <w:p w14:paraId="76B924D7" w14:textId="6C68226A" w:rsidR="00983233" w:rsidRPr="00A96C26" w:rsidRDefault="00983233" w:rsidP="00DC1CDC">
      <w:pPr>
        <w:jc w:val="both"/>
        <w:rPr>
          <w:rFonts w:ascii="Times New Roman" w:hAnsi="Times New Roman" w:cs="Times New Roman"/>
          <w:szCs w:val="28"/>
        </w:rPr>
      </w:pPr>
      <w:r w:rsidRPr="00983233">
        <w:rPr>
          <w:rFonts w:ascii="Times New Roman" w:hAnsi="Times New Roman" w:cs="Times New Roman"/>
          <w:szCs w:val="28"/>
        </w:rPr>
        <w:t>Fig. 03 illustrates the superiority of transethosomes in the preclinical collagen-induced arthritis (CIA) model.</w:t>
      </w:r>
      <w:r>
        <w:rPr>
          <w:rFonts w:ascii="Times New Roman" w:hAnsi="Times New Roman" w:cs="Times New Roman"/>
          <w:szCs w:val="28"/>
        </w:rPr>
        <w:t xml:space="preserve"> </w:t>
      </w:r>
      <w:r w:rsidRPr="00983233">
        <w:rPr>
          <w:rFonts w:ascii="Times New Roman" w:hAnsi="Times New Roman" w:cs="Times New Roman"/>
          <w:szCs w:val="28"/>
        </w:rPr>
        <w:t>It demonstrates improved anti-inflammatory effects, reduced joint swelling, and better disease control compared to conventional formulations.</w:t>
      </w:r>
      <w:r w:rsidRPr="00983233">
        <w:rPr>
          <w:rFonts w:ascii="Times New Roman" w:hAnsi="Times New Roman" w:cs="Times New Roman"/>
          <w:szCs w:val="28"/>
        </w:rPr>
        <w:br/>
        <w:t>Enhanced skin penetration and targeted delivery contribute to higher therapeutic efficacy in vivo.</w:t>
      </w:r>
    </w:p>
    <w:p w14:paraId="103DC6D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Stability Studies</w:t>
      </w:r>
    </w:p>
    <w:p w14:paraId="2D010C94" w14:textId="137C5071"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Stability studies assess how transethosomal formulations maintain their critical quality attributes particle size, entrapment efficiency, drug integrity, and vesicle structure over time under various storage and physiological conditions. Stability studies are essential for predicting shelf-life, establishing storage conditions, and ensuring consistent bioavailability across the intended product lifespan. Physical stability studies monitor transethosomal size and morphology over time; transethosomes stored at 2-8°C (refrigeration) or 25°C/60% relative humidity (room temperature) are periodically analyzed using DLS and TEM to detect aggregation, fusion, or vesicle degradation. Progressive increases in particle size indicate vesicle aggregation or fusion, which compromises deformability and tissue penetration [04]. Polydispersity index increases over time typically indicate instability and heterogeneous vesicle populations. Chemical stability studies monitor whether the encapsulated drug remains chemically intact during storage through HPLC analysis, detecting potential degradation products or oxidative decomposition. Oxidative stability is particularly important for formulations containing unsaturated lipids, which are susceptible to peroxidation, and for drugs prone to oxidative degradation; storage under nitrogen atmosphere or with antioxidant additives protects against oxidation. Functional stability studies assess whether transethosomes maintain their critical deformability and permeability enhancement properties over </w:t>
      </w:r>
      <w:r w:rsidRPr="00A96C26">
        <w:rPr>
          <w:rFonts w:ascii="Times New Roman" w:hAnsi="Times New Roman" w:cs="Times New Roman"/>
          <w:szCs w:val="28"/>
        </w:rPr>
        <w:lastRenderedPageBreak/>
        <w:t>time through extrusion assays measuring deformation index, and in vitro permeation studies measuring transethosomal penetration capacity. Storage temperature significantly influences stability; refrigeration (2-8°C) typically extends stability to 3-6 months, while room temperature storage may limit stability to 2-4 weeks unless the formulation is freeze-dried. Freeze-drying (lyophilization) converts the aqueous transethosomal suspension into a stable powder that can be stored at room temperature for extended periods (typically 12-24 months); before use, the powder is reconstituted with sterile water. Freeze-drying requires addition of cryoprotectants (typically trehalose or sucrose at 5-10% w/v) to prevent vesicle damage during ice crystal formation [</w:t>
      </w:r>
      <w:r w:rsidR="00E544A9" w:rsidRPr="00A96C26">
        <w:rPr>
          <w:rFonts w:ascii="Times New Roman" w:hAnsi="Times New Roman" w:cs="Times New Roman"/>
          <w:szCs w:val="28"/>
        </w:rPr>
        <w:t>33,34</w:t>
      </w:r>
      <w:r w:rsidRPr="00A96C26">
        <w:rPr>
          <w:rFonts w:ascii="Times New Roman" w:hAnsi="Times New Roman" w:cs="Times New Roman"/>
          <w:szCs w:val="28"/>
        </w:rPr>
        <w:t xml:space="preserve">]. </w:t>
      </w:r>
    </w:p>
    <w:p w14:paraId="1A1794F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Table 2: Transethosomal Composition and Characterization Parameters</w:t>
      </w:r>
    </w:p>
    <w:tbl>
      <w:tblPr>
        <w:tblStyle w:val="TableGrid"/>
        <w:tblW w:w="0" w:type="auto"/>
        <w:tblLook w:val="04A0" w:firstRow="1" w:lastRow="0" w:firstColumn="1" w:lastColumn="0" w:noHBand="0" w:noVBand="1"/>
      </w:tblPr>
      <w:tblGrid>
        <w:gridCol w:w="1797"/>
        <w:gridCol w:w="2660"/>
        <w:gridCol w:w="2052"/>
        <w:gridCol w:w="2841"/>
      </w:tblGrid>
      <w:tr w:rsidR="00DC1CDC" w:rsidRPr="00A96C26" w14:paraId="77D1CEA5" w14:textId="77777777" w:rsidTr="00DC1CDC">
        <w:trPr>
          <w:trHeight w:val="483"/>
        </w:trPr>
        <w:tc>
          <w:tcPr>
            <w:tcW w:w="0" w:type="auto"/>
            <w:noWrap/>
            <w:hideMark/>
          </w:tcPr>
          <w:p w14:paraId="15B99854"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Parameter</w:t>
            </w:r>
          </w:p>
        </w:tc>
        <w:tc>
          <w:tcPr>
            <w:tcW w:w="0" w:type="auto"/>
            <w:noWrap/>
            <w:hideMark/>
          </w:tcPr>
          <w:p w14:paraId="0C157987"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Typical Range/Value</w:t>
            </w:r>
          </w:p>
        </w:tc>
        <w:tc>
          <w:tcPr>
            <w:tcW w:w="0" w:type="auto"/>
            <w:noWrap/>
            <w:hideMark/>
          </w:tcPr>
          <w:p w14:paraId="2EE3ED8F"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Importance</w:t>
            </w:r>
          </w:p>
        </w:tc>
        <w:tc>
          <w:tcPr>
            <w:tcW w:w="0" w:type="auto"/>
            <w:noWrap/>
            <w:hideMark/>
          </w:tcPr>
          <w:p w14:paraId="791D65A8"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Measurement Method</w:t>
            </w:r>
          </w:p>
        </w:tc>
      </w:tr>
      <w:tr w:rsidR="00DC1CDC" w:rsidRPr="00A96C26" w14:paraId="69798D95" w14:textId="77777777" w:rsidTr="00DC1CDC">
        <w:trPr>
          <w:trHeight w:val="798"/>
        </w:trPr>
        <w:tc>
          <w:tcPr>
            <w:tcW w:w="0" w:type="auto"/>
            <w:hideMark/>
          </w:tcPr>
          <w:p w14:paraId="46F1907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Phospholipid Content</w:t>
            </w:r>
          </w:p>
        </w:tc>
        <w:tc>
          <w:tcPr>
            <w:tcW w:w="0" w:type="auto"/>
            <w:hideMark/>
          </w:tcPr>
          <w:p w14:paraId="3C3F2CA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50-200 mg/mL</w:t>
            </w:r>
          </w:p>
        </w:tc>
        <w:tc>
          <w:tcPr>
            <w:tcW w:w="0" w:type="auto"/>
            <w:hideMark/>
          </w:tcPr>
          <w:p w14:paraId="5EA1925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vesicle formation and drug loading capacity</w:t>
            </w:r>
          </w:p>
        </w:tc>
        <w:tc>
          <w:tcPr>
            <w:tcW w:w="0" w:type="auto"/>
            <w:hideMark/>
          </w:tcPr>
          <w:p w14:paraId="77789F05"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Weight/molar calculation</w:t>
            </w:r>
          </w:p>
        </w:tc>
      </w:tr>
      <w:tr w:rsidR="00DC1CDC" w:rsidRPr="00A96C26" w14:paraId="4E5A7A18" w14:textId="77777777" w:rsidTr="00DC1CDC">
        <w:trPr>
          <w:trHeight w:val="810"/>
        </w:trPr>
        <w:tc>
          <w:tcPr>
            <w:tcW w:w="0" w:type="auto"/>
            <w:hideMark/>
          </w:tcPr>
          <w:p w14:paraId="7739764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Edge Activator (Ethanol)</w:t>
            </w:r>
          </w:p>
        </w:tc>
        <w:tc>
          <w:tcPr>
            <w:tcW w:w="0" w:type="auto"/>
            <w:hideMark/>
          </w:tcPr>
          <w:p w14:paraId="727A6F6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10-20% w/w of lipids</w:t>
            </w:r>
          </w:p>
        </w:tc>
        <w:tc>
          <w:tcPr>
            <w:tcW w:w="0" w:type="auto"/>
            <w:hideMark/>
          </w:tcPr>
          <w:p w14:paraId="5E0FDF7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Enhances membrane fluidity and deformability</w:t>
            </w:r>
          </w:p>
        </w:tc>
        <w:tc>
          <w:tcPr>
            <w:tcW w:w="0" w:type="auto"/>
            <w:hideMark/>
          </w:tcPr>
          <w:p w14:paraId="21FBA7A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Weight measurement; HPLC</w:t>
            </w:r>
          </w:p>
        </w:tc>
      </w:tr>
      <w:tr w:rsidR="00DC1CDC" w:rsidRPr="00A96C26" w14:paraId="7F570F37" w14:textId="77777777" w:rsidTr="00DC1CDC">
        <w:trPr>
          <w:trHeight w:val="798"/>
        </w:trPr>
        <w:tc>
          <w:tcPr>
            <w:tcW w:w="0" w:type="auto"/>
            <w:hideMark/>
          </w:tcPr>
          <w:p w14:paraId="000AC3D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Edge Activator (Terpenes)</w:t>
            </w:r>
          </w:p>
        </w:tc>
        <w:tc>
          <w:tcPr>
            <w:tcW w:w="0" w:type="auto"/>
            <w:hideMark/>
          </w:tcPr>
          <w:p w14:paraId="3806B4EA"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5-15% w/w of lipids</w:t>
            </w:r>
          </w:p>
        </w:tc>
        <w:tc>
          <w:tcPr>
            <w:tcW w:w="0" w:type="auto"/>
            <w:hideMark/>
          </w:tcPr>
          <w:p w14:paraId="7457513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Enhances penetration; adds therapeutic properties</w:t>
            </w:r>
          </w:p>
        </w:tc>
        <w:tc>
          <w:tcPr>
            <w:tcW w:w="0" w:type="auto"/>
            <w:hideMark/>
          </w:tcPr>
          <w:p w14:paraId="54D4B60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Weight measurement; GC-MS</w:t>
            </w:r>
          </w:p>
        </w:tc>
      </w:tr>
      <w:tr w:rsidR="00DC1CDC" w:rsidRPr="00A96C26" w14:paraId="6D3D7643" w14:textId="77777777" w:rsidTr="00DC1CDC">
        <w:trPr>
          <w:trHeight w:val="810"/>
        </w:trPr>
        <w:tc>
          <w:tcPr>
            <w:tcW w:w="0" w:type="auto"/>
            <w:hideMark/>
          </w:tcPr>
          <w:p w14:paraId="49EF9C6D"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Particle Size</w:t>
            </w:r>
          </w:p>
        </w:tc>
        <w:tc>
          <w:tcPr>
            <w:tcW w:w="0" w:type="auto"/>
            <w:hideMark/>
          </w:tcPr>
          <w:p w14:paraId="0850EDB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100-200 nm (optimal)</w:t>
            </w:r>
          </w:p>
        </w:tc>
        <w:tc>
          <w:tcPr>
            <w:tcW w:w="0" w:type="auto"/>
            <w:hideMark/>
          </w:tcPr>
          <w:p w14:paraId="23BC89C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Affects deformability, uptake, penetration</w:t>
            </w:r>
          </w:p>
        </w:tc>
        <w:tc>
          <w:tcPr>
            <w:tcW w:w="0" w:type="auto"/>
            <w:hideMark/>
          </w:tcPr>
          <w:p w14:paraId="12FF752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DLS, TEM, Cryo-TEM</w:t>
            </w:r>
          </w:p>
        </w:tc>
      </w:tr>
      <w:tr w:rsidR="00DC1CDC" w:rsidRPr="00A96C26" w14:paraId="77D29CBB" w14:textId="77777777" w:rsidTr="00DC1CDC">
        <w:trPr>
          <w:trHeight w:val="810"/>
        </w:trPr>
        <w:tc>
          <w:tcPr>
            <w:tcW w:w="0" w:type="auto"/>
            <w:hideMark/>
          </w:tcPr>
          <w:p w14:paraId="69EECB2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Polydispersity Index (PDI)</w:t>
            </w:r>
          </w:p>
        </w:tc>
        <w:tc>
          <w:tcPr>
            <w:tcW w:w="0" w:type="auto"/>
            <w:hideMark/>
          </w:tcPr>
          <w:p w14:paraId="08F520F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&lt;0.3 (optimal)</w:t>
            </w:r>
          </w:p>
        </w:tc>
        <w:tc>
          <w:tcPr>
            <w:tcW w:w="0" w:type="auto"/>
            <w:hideMark/>
          </w:tcPr>
          <w:p w14:paraId="3EFD7BB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Indicates size uniformity</w:t>
            </w:r>
          </w:p>
        </w:tc>
        <w:tc>
          <w:tcPr>
            <w:tcW w:w="0" w:type="auto"/>
            <w:hideMark/>
          </w:tcPr>
          <w:p w14:paraId="1D80F8B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Dynamic Light Scattering</w:t>
            </w:r>
          </w:p>
        </w:tc>
      </w:tr>
      <w:tr w:rsidR="00DC1CDC" w:rsidRPr="00A96C26" w14:paraId="4E298430" w14:textId="77777777" w:rsidTr="00DC1CDC">
        <w:trPr>
          <w:trHeight w:val="798"/>
        </w:trPr>
        <w:tc>
          <w:tcPr>
            <w:tcW w:w="0" w:type="auto"/>
            <w:hideMark/>
          </w:tcPr>
          <w:p w14:paraId="65D3B5B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Zeta Potential</w:t>
            </w:r>
          </w:p>
        </w:tc>
        <w:tc>
          <w:tcPr>
            <w:tcW w:w="0" w:type="auto"/>
            <w:hideMark/>
          </w:tcPr>
          <w:p w14:paraId="05EFB442"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-10 to -40 mV</w:t>
            </w:r>
          </w:p>
        </w:tc>
        <w:tc>
          <w:tcPr>
            <w:tcW w:w="0" w:type="auto"/>
            <w:hideMark/>
          </w:tcPr>
          <w:p w14:paraId="57E2FBFA"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colloidal stability; influences cellular interactions</w:t>
            </w:r>
          </w:p>
        </w:tc>
        <w:tc>
          <w:tcPr>
            <w:tcW w:w="0" w:type="auto"/>
            <w:hideMark/>
          </w:tcPr>
          <w:p w14:paraId="39E981E8"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Electrophoretic Light Scattering</w:t>
            </w:r>
          </w:p>
        </w:tc>
      </w:tr>
      <w:tr w:rsidR="00DC1CDC" w:rsidRPr="00A96C26" w14:paraId="76955461" w14:textId="77777777" w:rsidTr="00DC1CDC">
        <w:trPr>
          <w:trHeight w:val="810"/>
        </w:trPr>
        <w:tc>
          <w:tcPr>
            <w:tcW w:w="0" w:type="auto"/>
            <w:hideMark/>
          </w:tcPr>
          <w:p w14:paraId="29C0F64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Entrapment Efficiency</w:t>
            </w:r>
          </w:p>
        </w:tc>
        <w:tc>
          <w:tcPr>
            <w:tcW w:w="0" w:type="auto"/>
            <w:hideMark/>
          </w:tcPr>
          <w:p w14:paraId="6AB527F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Hydrophobic drugs: 70-95% Hydrophilic drugs: 40-70%</w:t>
            </w:r>
          </w:p>
        </w:tc>
        <w:tc>
          <w:tcPr>
            <w:tcW w:w="0" w:type="auto"/>
            <w:hideMark/>
          </w:tcPr>
          <w:p w14:paraId="42CBC3B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bioavailable fraction</w:t>
            </w:r>
          </w:p>
        </w:tc>
        <w:tc>
          <w:tcPr>
            <w:tcW w:w="0" w:type="auto"/>
            <w:hideMark/>
          </w:tcPr>
          <w:p w14:paraId="1E2117A8"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Ultracentrifugation, gel permeation chromatography, dialysis</w:t>
            </w:r>
          </w:p>
        </w:tc>
      </w:tr>
      <w:tr w:rsidR="00DC1CDC" w:rsidRPr="00A96C26" w14:paraId="1CCAE9B4" w14:textId="77777777" w:rsidTr="00DC1CDC">
        <w:trPr>
          <w:trHeight w:val="798"/>
        </w:trPr>
        <w:tc>
          <w:tcPr>
            <w:tcW w:w="0" w:type="auto"/>
            <w:hideMark/>
          </w:tcPr>
          <w:p w14:paraId="59D310F6"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Deformation Index</w:t>
            </w:r>
          </w:p>
        </w:tc>
        <w:tc>
          <w:tcPr>
            <w:tcW w:w="0" w:type="auto"/>
            <w:hideMark/>
          </w:tcPr>
          <w:p w14:paraId="113E93C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2-3 fold higher than liposomes</w:t>
            </w:r>
          </w:p>
        </w:tc>
        <w:tc>
          <w:tcPr>
            <w:tcW w:w="0" w:type="auto"/>
            <w:hideMark/>
          </w:tcPr>
          <w:p w14:paraId="28B8B83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Measures superior deformability</w:t>
            </w:r>
          </w:p>
        </w:tc>
        <w:tc>
          <w:tcPr>
            <w:tcW w:w="0" w:type="auto"/>
            <w:hideMark/>
          </w:tcPr>
          <w:p w14:paraId="517F541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Extrusion assay through filters</w:t>
            </w:r>
          </w:p>
        </w:tc>
      </w:tr>
      <w:tr w:rsidR="00DC1CDC" w:rsidRPr="00A96C26" w14:paraId="71D652CA" w14:textId="77777777" w:rsidTr="00DC1CDC">
        <w:trPr>
          <w:trHeight w:val="810"/>
        </w:trPr>
        <w:tc>
          <w:tcPr>
            <w:tcW w:w="0" w:type="auto"/>
            <w:hideMark/>
          </w:tcPr>
          <w:p w14:paraId="2F7459F6"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Membrane Fluidity</w:t>
            </w:r>
          </w:p>
        </w:tc>
        <w:tc>
          <w:tcPr>
            <w:tcW w:w="0" w:type="auto"/>
            <w:hideMark/>
          </w:tcPr>
          <w:p w14:paraId="1DABF55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Reduced phase transition temperature by 5-15°C</w:t>
            </w:r>
          </w:p>
        </w:tc>
        <w:tc>
          <w:tcPr>
            <w:tcW w:w="0" w:type="auto"/>
            <w:hideMark/>
          </w:tcPr>
          <w:p w14:paraId="68F0665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membrane penetrability</w:t>
            </w:r>
          </w:p>
        </w:tc>
        <w:tc>
          <w:tcPr>
            <w:tcW w:w="0" w:type="auto"/>
            <w:hideMark/>
          </w:tcPr>
          <w:p w14:paraId="69941AD5"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Differential scanning calorimetry</w:t>
            </w:r>
          </w:p>
        </w:tc>
      </w:tr>
      <w:tr w:rsidR="00DC1CDC" w:rsidRPr="00A96C26" w14:paraId="6AE301D2" w14:textId="77777777" w:rsidTr="00DC1CDC">
        <w:trPr>
          <w:trHeight w:val="798"/>
        </w:trPr>
        <w:tc>
          <w:tcPr>
            <w:tcW w:w="0" w:type="auto"/>
            <w:hideMark/>
          </w:tcPr>
          <w:p w14:paraId="4633016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Osmotic Stability</w:t>
            </w:r>
          </w:p>
        </w:tc>
        <w:tc>
          <w:tcPr>
            <w:tcW w:w="0" w:type="auto"/>
            <w:hideMark/>
          </w:tcPr>
          <w:p w14:paraId="2DCA77C2"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Maintains structure in isotonic solutions</w:t>
            </w:r>
          </w:p>
        </w:tc>
        <w:tc>
          <w:tcPr>
            <w:tcW w:w="0" w:type="auto"/>
            <w:hideMark/>
          </w:tcPr>
          <w:p w14:paraId="4B611A0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Ensures biological compatibility</w:t>
            </w:r>
          </w:p>
        </w:tc>
        <w:tc>
          <w:tcPr>
            <w:tcW w:w="0" w:type="auto"/>
            <w:hideMark/>
          </w:tcPr>
          <w:p w14:paraId="673156F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Osmotic stress testing</w:t>
            </w:r>
          </w:p>
        </w:tc>
      </w:tr>
      <w:tr w:rsidR="00DC1CDC" w:rsidRPr="00A96C26" w14:paraId="430026DD" w14:textId="77777777" w:rsidTr="00DC1CDC">
        <w:trPr>
          <w:trHeight w:val="810"/>
        </w:trPr>
        <w:tc>
          <w:tcPr>
            <w:tcW w:w="0" w:type="auto"/>
            <w:hideMark/>
          </w:tcPr>
          <w:p w14:paraId="21C9D44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Shelf-Life Stability</w:t>
            </w:r>
          </w:p>
        </w:tc>
        <w:tc>
          <w:tcPr>
            <w:tcW w:w="0" w:type="auto"/>
            <w:hideMark/>
          </w:tcPr>
          <w:p w14:paraId="56E21697"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3-6 months at 2-8°C; 1-2 months at 25°C</w:t>
            </w:r>
          </w:p>
        </w:tc>
        <w:tc>
          <w:tcPr>
            <w:tcW w:w="0" w:type="auto"/>
            <w:hideMark/>
          </w:tcPr>
          <w:p w14:paraId="3A89746D"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storage feasibility</w:t>
            </w:r>
          </w:p>
        </w:tc>
        <w:tc>
          <w:tcPr>
            <w:tcW w:w="0" w:type="auto"/>
            <w:hideMark/>
          </w:tcPr>
          <w:p w14:paraId="46443DB5"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Size, EE, drug integrity monitoring</w:t>
            </w:r>
          </w:p>
        </w:tc>
      </w:tr>
      <w:tr w:rsidR="00DC1CDC" w:rsidRPr="00A96C26" w14:paraId="1485552D" w14:textId="77777777" w:rsidTr="00DC1CDC">
        <w:trPr>
          <w:trHeight w:val="798"/>
        </w:trPr>
        <w:tc>
          <w:tcPr>
            <w:tcW w:w="0" w:type="auto"/>
            <w:hideMark/>
          </w:tcPr>
          <w:p w14:paraId="77DFCB8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In Vitro Release</w:t>
            </w:r>
          </w:p>
        </w:tc>
        <w:tc>
          <w:tcPr>
            <w:tcW w:w="0" w:type="auto"/>
            <w:hideMark/>
          </w:tcPr>
          <w:p w14:paraId="5F8F81F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Biphasic (initial rapid, then sustained)</w:t>
            </w:r>
          </w:p>
        </w:tc>
        <w:tc>
          <w:tcPr>
            <w:tcW w:w="0" w:type="auto"/>
            <w:hideMark/>
          </w:tcPr>
          <w:p w14:paraId="1F7A8447"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bioavailability kinetics</w:t>
            </w:r>
          </w:p>
        </w:tc>
        <w:tc>
          <w:tcPr>
            <w:tcW w:w="0" w:type="auto"/>
            <w:hideMark/>
          </w:tcPr>
          <w:p w14:paraId="3A31689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Dialysis, Franz diffusion cells</w:t>
            </w:r>
          </w:p>
        </w:tc>
      </w:tr>
    </w:tbl>
    <w:p w14:paraId="038EBDD9" w14:textId="77777777" w:rsidR="00DC1CDC" w:rsidRPr="00A96C26" w:rsidRDefault="00DC1CDC" w:rsidP="00315EE3">
      <w:pPr>
        <w:jc w:val="both"/>
        <w:rPr>
          <w:rFonts w:ascii="Times New Roman" w:hAnsi="Times New Roman" w:cs="Times New Roman"/>
          <w:szCs w:val="28"/>
        </w:rPr>
      </w:pPr>
    </w:p>
    <w:p w14:paraId="154C0CE2" w14:textId="032704D8" w:rsidR="00983233" w:rsidRDefault="00983233" w:rsidP="00DC1CDC">
      <w:pPr>
        <w:jc w:val="both"/>
        <w:rPr>
          <w:rFonts w:ascii="Times New Roman" w:hAnsi="Times New Roman" w:cs="Times New Roman"/>
          <w:b/>
          <w:bCs/>
          <w:szCs w:val="28"/>
        </w:rPr>
      </w:pPr>
      <w:r w:rsidRPr="00983233">
        <w:rPr>
          <w:rFonts w:ascii="Times New Roman" w:hAnsi="Times New Roman" w:cs="Times New Roman"/>
          <w:b/>
          <w:bCs/>
          <w:szCs w:val="28"/>
        </w:rPr>
        <w:t>w/w – Weight by weight; mg/mL – Milligrams per milliliter; nm – Nanometer; PDI – Polydispersity Index; DLS – Dynamic Light Scattering; TEM – Transmission Electron Microscopy; Cryo-TEM – Cryogenic Transmission Electron Microscopy; mV – Millivolt; HPLC – High-Performance Liquid Chromatography; GC-MS – Gas Chromatography–Mass Spectrometry; EE – Entrapment Efficiency; °C – Degree Celsius; In vitro – Performed outside a living organism.</w:t>
      </w:r>
    </w:p>
    <w:p w14:paraId="336659D7" w14:textId="22E69FDE" w:rsidR="00DC1CDC" w:rsidRPr="00D43944" w:rsidRDefault="00DC1CDC" w:rsidP="00DC1CDC">
      <w:pPr>
        <w:jc w:val="both"/>
        <w:rPr>
          <w:rFonts w:ascii="Times New Roman" w:hAnsi="Times New Roman" w:cs="Times New Roman"/>
          <w:b/>
          <w:bCs/>
          <w:szCs w:val="28"/>
        </w:rPr>
      </w:pPr>
      <w:r w:rsidRPr="00D43944">
        <w:rPr>
          <w:rFonts w:ascii="Times New Roman" w:hAnsi="Times New Roman" w:cs="Times New Roman"/>
          <w:b/>
          <w:bCs/>
          <w:szCs w:val="28"/>
        </w:rPr>
        <w:t xml:space="preserve">4. </w:t>
      </w:r>
      <w:r w:rsidR="00D43944" w:rsidRPr="00D43944">
        <w:rPr>
          <w:rFonts w:ascii="Times New Roman" w:hAnsi="Times New Roman" w:cs="Times New Roman"/>
          <w:b/>
          <w:bCs/>
          <w:szCs w:val="28"/>
        </w:rPr>
        <w:t>Mechanisms of Action: Rationale for the Effectiveness of Transethosomes in Rheumatoid Arthritis (RA)</w:t>
      </w:r>
    </w:p>
    <w:p w14:paraId="7891561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4.1 Enhanced Skin/Tissue Penetration</w:t>
      </w:r>
    </w:p>
    <w:p w14:paraId="7AA060A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Deformable Nature</w:t>
      </w:r>
    </w:p>
    <w:p w14:paraId="75A9F98E" w14:textId="432C9AF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exceptional capacity of transethosomes to penetrate biological barriers and inflamed synovial tissue in rheumatoid arthritis derives fundamentally from their remarkable deformability a property quantitatively superior to conventional rigid liposomes by 2-3 fold [01]. The deformable nature of transethosomes arises from the edge activator-induced fluidization of the phospholipid bilayer, which dramatically reduces the mechanical stiffness and elastic modulus of the membrane. This reduced membrane rigidity enables transethosomes to compress and deform when encountering physical restrictions such as narrow intercellular spaces or the tortuous pores within the synovial extracellular matrix. Deformation mechanics in transethosomes operate through several interconnected processes: the edge activators reduce the intermolecular cohesion forces between phospholipid molecules, allowing the bilayer to bend and flex more readily; transient microscopic pores spontaneously form and reseal within the fluidized membrane, providing pathways for temporary passage of vesicles through restrictive barriers; and the reduced phase transition temperature of the </w:t>
      </w:r>
      <w:r w:rsidR="00D43944" w:rsidRPr="00A96C26">
        <w:rPr>
          <w:rFonts w:ascii="Times New Roman" w:hAnsi="Times New Roman" w:cs="Times New Roman"/>
          <w:szCs w:val="28"/>
        </w:rPr>
        <w:t>Transethosome</w:t>
      </w:r>
      <w:r w:rsidRPr="00A96C26">
        <w:rPr>
          <w:rFonts w:ascii="Times New Roman" w:hAnsi="Times New Roman" w:cs="Times New Roman"/>
          <w:szCs w:val="28"/>
        </w:rPr>
        <w:t xml:space="preserve"> bilayer means it maintains fluid-like properties at physiological temperature, maximizing flexibility. The deformable nature has been rigorously quantified through </w:t>
      </w:r>
      <w:r w:rsidRPr="00A96C26">
        <w:rPr>
          <w:rFonts w:ascii="Times New Roman" w:hAnsi="Times New Roman" w:cs="Times New Roman"/>
          <w:szCs w:val="28"/>
        </w:rPr>
        <w:lastRenderedPageBreak/>
        <w:t>extrusion assays where transethosomes are forced through filters with defined pore sizes; while conventional liposomes with 150 nm diameter cannot pass through 80 nm pores, transethosomes of the same size readily traverse 50-60 nm pores with minimal structural damage. This capability is particularly critical for RA application because the synovial tissue presents a complex three-dimensional matrix with average pore sizes of 40-80 nm interspersed with larger cavities; deformable transethosomes navigate this tortuous architecture far more effectively than rigid vesicles [</w:t>
      </w:r>
      <w:r w:rsidR="00E544A9" w:rsidRPr="00A96C26">
        <w:rPr>
          <w:rFonts w:ascii="Times New Roman" w:hAnsi="Times New Roman" w:cs="Times New Roman"/>
          <w:szCs w:val="28"/>
        </w:rPr>
        <w:t>35,36,36</w:t>
      </w:r>
      <w:r w:rsidRPr="00A96C26">
        <w:rPr>
          <w:rFonts w:ascii="Times New Roman" w:hAnsi="Times New Roman" w:cs="Times New Roman"/>
          <w:szCs w:val="28"/>
        </w:rPr>
        <w:t xml:space="preserve">]. </w:t>
      </w:r>
    </w:p>
    <w:p w14:paraId="73DF8750" w14:textId="776F0C29"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33A24937" wp14:editId="77035BEA">
            <wp:extent cx="5943600" cy="3396615"/>
            <wp:effectExtent l="0" t="0" r="0" b="0"/>
            <wp:docPr id="166968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5FFC19CA" w14:textId="4C6D6F9A" w:rsidR="007C1A14" w:rsidRDefault="007C1A14" w:rsidP="00DC1CDC">
      <w:pPr>
        <w:jc w:val="both"/>
        <w:rPr>
          <w:rFonts w:ascii="Times New Roman" w:hAnsi="Times New Roman" w:cs="Times New Roman"/>
          <w:szCs w:val="28"/>
        </w:rPr>
      </w:pPr>
      <w:r w:rsidRPr="00A96C26">
        <w:rPr>
          <w:rFonts w:ascii="Times New Roman" w:hAnsi="Times New Roman" w:cs="Times New Roman"/>
          <w:szCs w:val="28"/>
        </w:rPr>
        <w:t>Fig</w:t>
      </w:r>
      <w:r w:rsidR="00D43944">
        <w:rPr>
          <w:rFonts w:ascii="Times New Roman" w:hAnsi="Times New Roman" w:cs="Times New Roman"/>
          <w:szCs w:val="28"/>
        </w:rPr>
        <w:t xml:space="preserve">. </w:t>
      </w:r>
      <w:r w:rsidRPr="00A96C26">
        <w:rPr>
          <w:rFonts w:ascii="Times New Roman" w:hAnsi="Times New Roman" w:cs="Times New Roman"/>
          <w:szCs w:val="28"/>
        </w:rPr>
        <w:t>04 – Pharmacokinetic Profile and synovial tissue targeting of MTX-loaded Transethosome vs conventional formulations</w:t>
      </w:r>
      <w:r w:rsidR="00D43944">
        <w:rPr>
          <w:rFonts w:ascii="Times New Roman" w:hAnsi="Times New Roman" w:cs="Times New Roman"/>
          <w:szCs w:val="28"/>
        </w:rPr>
        <w:t>.</w:t>
      </w:r>
    </w:p>
    <w:p w14:paraId="69F4B44F" w14:textId="0AED7CDC" w:rsidR="00D43944" w:rsidRPr="00A96C26" w:rsidRDefault="00D43944" w:rsidP="00DC1CDC">
      <w:pPr>
        <w:jc w:val="both"/>
        <w:rPr>
          <w:rFonts w:ascii="Times New Roman" w:hAnsi="Times New Roman" w:cs="Times New Roman"/>
          <w:szCs w:val="28"/>
        </w:rPr>
      </w:pPr>
      <w:r w:rsidRPr="00D43944">
        <w:rPr>
          <w:rFonts w:ascii="Times New Roman" w:hAnsi="Times New Roman" w:cs="Times New Roman"/>
          <w:szCs w:val="28"/>
        </w:rPr>
        <w:t>Fig. No. 04 illustrates the pharmacokinetic profile and synovial tissue targeting of methotrexate (MTX)-loaded transethosomes compared to conventional formulations.</w:t>
      </w:r>
      <w:r w:rsidRPr="00D43944">
        <w:rPr>
          <w:rFonts w:ascii="Times New Roman" w:hAnsi="Times New Roman" w:cs="Times New Roman"/>
          <w:szCs w:val="28"/>
        </w:rPr>
        <w:br/>
        <w:t>It demonstrates improved bioavailability, prolonged circulation time, and enhanced drug accumulation in synovial tissues.</w:t>
      </w:r>
    </w:p>
    <w:p w14:paraId="14D7B0A7"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Intercellular Pathway Traversal</w:t>
      </w:r>
    </w:p>
    <w:p w14:paraId="31A0B815" w14:textId="1C3CB641"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Transethosomes navigate through biological barriers primarily via the intercellular pathway movement through the spaces between adjacent cells rather than the transcellular pathway (direct passage through individual cells), which is the mechanism by which conventional liposomes achieve limited penetration. The intercellular pathway between skin cells or synovial lining cells is physically restrictive, with typical intercellular widths of 15-50 nanometers in normal tissue, narrowing further in areas of tight junction formation. The synovial tissue presents a particular challenge; the synovial lining layer comprises 1-3 cell layers of synovial intimal cells joined by </w:t>
      </w:r>
      <w:r w:rsidRPr="00A96C26">
        <w:rPr>
          <w:rFonts w:ascii="Times New Roman" w:hAnsi="Times New Roman" w:cs="Times New Roman"/>
          <w:szCs w:val="28"/>
        </w:rPr>
        <w:lastRenderedPageBreak/>
        <w:t xml:space="preserve">relatively loose intercellular junctions compared to epithelial barriers, with intercellular spaces typically measuring 20-100 nanometers depending on tissue location and inflammatory state. The passage of vesicles through intercellular spaces requires both sufficient deformability to compress through narrow spaces and sufficient stability to maintain vesicle integrity throughout the traversal. Transethosomes achieve this balance through the synergistic effects of edge activator-induced membrane fluidization and optimized phospholipid composition; the fluidized membrane can compress to occupy approximately 40-50% of its original cross-sectional area when passing through restrictive intercellular spaces, then re-expand to its native dimensions once the restriction is passed. The process is not purely passive; accumulating evidence suggests that edge activators have direct effects on the cellular junctions and intercellular space architecture. Terpene-based edge activators like menthol and carvacrol directly interact with tight junction proteins, transiently loosening intercellular junctions and increasing intercellular space dimensions. These junction-modulating effects are reversible and relatively selective, affecting primarily the superficial barrier layers while preserving deeper tissue architecture. Time-lapse confocal microscopy studies visualizing fluorescently labeled transethosomes in tissue have captured the dynamic process of vesicles deforming as they traverse intercellular spaces, squeezing through narrow gaps, and recovering their spherical morphology as they reach wider intercellular compartments </w:t>
      </w:r>
      <w:r w:rsidR="00E544A9" w:rsidRPr="00A96C26">
        <w:rPr>
          <w:rFonts w:ascii="Times New Roman" w:hAnsi="Times New Roman" w:cs="Times New Roman"/>
          <w:szCs w:val="28"/>
        </w:rPr>
        <w:t>[35,36,37,38</w:t>
      </w:r>
      <w:r w:rsidRPr="00A96C26">
        <w:rPr>
          <w:rFonts w:ascii="Times New Roman" w:hAnsi="Times New Roman" w:cs="Times New Roman"/>
          <w:szCs w:val="28"/>
        </w:rPr>
        <w:t xml:space="preserve">]. </w:t>
      </w:r>
    </w:p>
    <w:p w14:paraId="7DC2C70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Role of Edge Activators</w:t>
      </w:r>
    </w:p>
    <w:p w14:paraId="312EBC1D" w14:textId="36BD6680"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Edge activators small amphiphilic molecules such as ethanol, propylene glycol, and terpenes play the central mechanistic role in enabling enhanced tissue penetration through multiple synergistic mechanisms operating at both the vesicle level and the barrier level. At the vesicle level, edge activators intercalate into the phospholipid bilayer at the level of the lipid head groups, disrupting the organized hydrogen bonding network and van der Waals interactions that maintain bilayer structural integrity. This disruption reduces the phase transition temperature (Tm) of the membrane by 5-15°C depending on edge activator type and concentration; for example, a DPPC bilayer with Tm of 41°C is reduced to approximately 25-30°C upon incorporation of 20% ethanol. The reduced Tm means the </w:t>
      </w:r>
      <w:r w:rsidR="00D43944" w:rsidRPr="00A96C26">
        <w:rPr>
          <w:rFonts w:ascii="Times New Roman" w:hAnsi="Times New Roman" w:cs="Times New Roman"/>
          <w:szCs w:val="28"/>
        </w:rPr>
        <w:t>Transethosome</w:t>
      </w:r>
      <w:r w:rsidRPr="00A96C26">
        <w:rPr>
          <w:rFonts w:ascii="Times New Roman" w:hAnsi="Times New Roman" w:cs="Times New Roman"/>
          <w:szCs w:val="28"/>
        </w:rPr>
        <w:t xml:space="preserve"> membrane remains in a fluid, dynamic state throughout its range of physiological temperatures, contrasting with conventional liposomes that may transition to rigid gel phases at lower physiological temperatures. The edge activators create microscopic defects and transient pores within the membrane through localized perturbations of lipid packing; these transient structural imperfections (existing for nanoseconds to microseconds) facilitate both increased membrane permeability to small molecules and the transient opening of larger pathways allowing temporary passage of vesicle contents or even intact vesicles during membrane-membrane contact. At the barrier level, edge activators penetrate into the stratum corneum lipids (in skin applications) or the synovial extracellular matrix and glycocalyx (in joint applications), fluidizing the organized barrier lipid structure. Ethanol, being a small polar molecule, rapidly penetrates lipid domains and displaces ordered lipid packing, creating pathways of enhanced diffusivity through the barrier [</w:t>
      </w:r>
      <w:r w:rsidR="00E544A9" w:rsidRPr="00A96C26">
        <w:rPr>
          <w:rFonts w:ascii="Times New Roman" w:hAnsi="Times New Roman" w:cs="Times New Roman"/>
          <w:szCs w:val="28"/>
        </w:rPr>
        <w:t>36,37,38,39]</w:t>
      </w:r>
      <w:r w:rsidRPr="00A96C26">
        <w:rPr>
          <w:rFonts w:ascii="Times New Roman" w:hAnsi="Times New Roman" w:cs="Times New Roman"/>
          <w:szCs w:val="28"/>
        </w:rPr>
        <w:t xml:space="preserve">. </w:t>
      </w:r>
    </w:p>
    <w:p w14:paraId="68F37468"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lastRenderedPageBreak/>
        <w:t>4.2 Cellular Uptake</w:t>
      </w:r>
    </w:p>
    <w:p w14:paraId="5EC5ABB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Endocytosis Mechanisms</w:t>
      </w:r>
    </w:p>
    <w:p w14:paraId="605AA2CA" w14:textId="42F4038D"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Transethosomes are taken up by cells through multiple endocytic pathways, with the specific pathway determined by vesicle characteristics (size, surface charge, morphology), cell type, and environmental factors. Clathrin-mediated endocytosis represents one primary uptake mechanism, particularly for transethosomes in the 100-200 nm size range that are optimal substrates for clathrin-coated pit formation. In this pathway, clathrin and adapter proteins (AP2 complex) concentrate at the cell membrane, deforming the membrane into invaginating pits that capture extracellular material including transethosomes. The clathrin-coated pits undergo dynamin-mediated scission from the cell membrane, internalized as clathrin-coated vesicles that rapidly uncoat and fuse with early endosomes. The transethosomal membrane can then undergo several fates within endosomal compartments: fusion with the endosomal limiting membrane, releasing encapsulated cargo into the cytoplasm; trafficking to late endosomes and lysosomes where the acidic environment triggers membrane destabilization and cargo release; or recycling back to the cell membrane. Caveolin-mediated endocytosis represents an alternative uptake pathway, particularly for smaller transethosomes and those with specific surface properties that engage caveolin-binding motifs. Caveolins are membrane proteins that oligomerize to form flask-shaped invaginations called caveolae; transethosomes engaging these structures are internalized in caveolin-coated vesicles that traffic through a distinct endocytic compartment called the caveosome, which maintains neutral pH and reduced proteolytic activity compared to conventional endosomes </w:t>
      </w:r>
      <w:r w:rsidR="00E544A9" w:rsidRPr="00A96C26">
        <w:rPr>
          <w:rFonts w:ascii="Times New Roman" w:hAnsi="Times New Roman" w:cs="Times New Roman"/>
          <w:szCs w:val="28"/>
        </w:rPr>
        <w:t>[31,32,33</w:t>
      </w:r>
      <w:r w:rsidRPr="00A96C26">
        <w:rPr>
          <w:rFonts w:ascii="Times New Roman" w:hAnsi="Times New Roman" w:cs="Times New Roman"/>
          <w:szCs w:val="28"/>
        </w:rPr>
        <w:t xml:space="preserve">]. </w:t>
      </w:r>
    </w:p>
    <w:p w14:paraId="10240883"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Permeation Enhancement</w:t>
      </w:r>
    </w:p>
    <w:p w14:paraId="7FB5B152" w14:textId="3247675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Beyond cellular uptake into endosomal compartments, transethosomes achieve intracellular drug delivery through additional permeation enhancement mechanisms that facilitate cytoplasmic drug release and, for many drugs, nuclear or organellar localization . One critical mechanism involves direct membrane fusion the transethosomal bilayer can fuse directly with endosomal limiting membranes through lipid bilayer mixing, releasing the entire transethosomal contents into the endosomal lumen and subsequently into the cytoplasm. This fusion-based drug delivery is more efficient than passive diffusion through endosomal membranes, as it provides complete unloading of the vesicle cargo in a single event rather than gradual leakage over extended time periods. The probability of membrane fusion is enhanced for transethosomes compared to conventional liposomes due to the increased membrane fluidity conferred by edge activators; the fluidized membrane structure facilitates the transient formation of hemifusion intermediates and complete fusion pores [</w:t>
      </w:r>
      <w:r w:rsidR="00E544A9" w:rsidRPr="00A96C26">
        <w:rPr>
          <w:rFonts w:ascii="Times New Roman" w:hAnsi="Times New Roman" w:cs="Times New Roman"/>
          <w:szCs w:val="28"/>
        </w:rPr>
        <w:t>33,34,35</w:t>
      </w:r>
      <w:r w:rsidRPr="00A96C26">
        <w:rPr>
          <w:rFonts w:ascii="Times New Roman" w:hAnsi="Times New Roman" w:cs="Times New Roman"/>
          <w:szCs w:val="28"/>
        </w:rPr>
        <w:t xml:space="preserve">]. </w:t>
      </w:r>
    </w:p>
    <w:p w14:paraId="78608B13"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4.3 Targeting Synovial Tissue</w:t>
      </w:r>
    </w:p>
    <w:p w14:paraId="2AC45482"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Passive Targeting Through Inflammation (EPR Effect)</w:t>
      </w:r>
    </w:p>
    <w:p w14:paraId="48EADBC3" w14:textId="7EF4FCDA"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lastRenderedPageBreak/>
        <w:t>Transethosomes preferentially accumulate in inflamed synovial tissue through passive targeting mechanisms collectively referred to as the enhanced permeability and retention (EPR) effect, a phenomenon that exploits the characteristic pathophysiological changes in inflammatory tissue. In healthy joints, the synovial vasculature is relatively impermeable with tight endothelial junctions that restrict passage of large molecules and particles into the synovial space. However, in rheumatoid arthritis, chronic inflammation induces profound alterations in synovial microvascular permeability through multiple mechanisms: inflammatory cytokines (TNF-α, IL-1, IL-6) trigger release of nitric oxide from endothelial cells, which causes vasodilation and increases endothelial permeability through disruption of tight junctions [</w:t>
      </w:r>
      <w:r w:rsidR="00E544A9" w:rsidRPr="00A96C26">
        <w:rPr>
          <w:rFonts w:ascii="Times New Roman" w:hAnsi="Times New Roman" w:cs="Times New Roman"/>
          <w:szCs w:val="28"/>
        </w:rPr>
        <w:t>35</w:t>
      </w:r>
      <w:r w:rsidRPr="00A96C26">
        <w:rPr>
          <w:rFonts w:ascii="Times New Roman" w:hAnsi="Times New Roman" w:cs="Times New Roman"/>
          <w:szCs w:val="28"/>
        </w:rPr>
        <w:t>]; immune cells infiltrating the tissue release proteolytic enzymes and reactive oxygen species that degrade basement membrane components and further increase vascular leakiness [</w:t>
      </w:r>
      <w:r w:rsidR="00E544A9" w:rsidRPr="00A96C26">
        <w:rPr>
          <w:rFonts w:ascii="Times New Roman" w:hAnsi="Times New Roman" w:cs="Times New Roman"/>
          <w:szCs w:val="28"/>
        </w:rPr>
        <w:t>35.36</w:t>
      </w:r>
      <w:r w:rsidRPr="00A96C26">
        <w:rPr>
          <w:rFonts w:ascii="Times New Roman" w:hAnsi="Times New Roman" w:cs="Times New Roman"/>
          <w:szCs w:val="28"/>
        </w:rPr>
        <w:t>]</w:t>
      </w:r>
    </w:p>
    <w:p w14:paraId="74FDAE30"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Synovial Accumulation and Retention</w:t>
      </w:r>
    </w:p>
    <w:p w14:paraId="43106C49" w14:textId="2B5FDE4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Beyond the initial passive targeting through the EPR effect, transethosomes achieve exceptional accumulation and retention within synovial tissue through additional mechanisms that promote cellular uptake and intracellular sequestration [</w:t>
      </w:r>
      <w:r w:rsidR="00E544A9" w:rsidRPr="00A96C26">
        <w:rPr>
          <w:rFonts w:ascii="Times New Roman" w:hAnsi="Times New Roman" w:cs="Times New Roman"/>
          <w:szCs w:val="28"/>
        </w:rPr>
        <w:t>35</w:t>
      </w:r>
      <w:r w:rsidRPr="00A96C26">
        <w:rPr>
          <w:rFonts w:ascii="Times New Roman" w:hAnsi="Times New Roman" w:cs="Times New Roman"/>
          <w:szCs w:val="28"/>
        </w:rPr>
        <w:t>]. Once extravasated into synovial tissue, transethosomes encounter the resident macrophages and dendritic cells that constitute the major cellular population of the synovial lining; these professional phagocytes recognize and internalize transethosomes at exceptionally high rates [</w:t>
      </w:r>
      <w:r w:rsidR="00E544A9" w:rsidRPr="00A96C26">
        <w:rPr>
          <w:rFonts w:ascii="Times New Roman" w:hAnsi="Times New Roman" w:cs="Times New Roman"/>
          <w:szCs w:val="28"/>
        </w:rPr>
        <w:t>36</w:t>
      </w:r>
      <w:r w:rsidRPr="00A96C26">
        <w:rPr>
          <w:rFonts w:ascii="Times New Roman" w:hAnsi="Times New Roman" w:cs="Times New Roman"/>
          <w:szCs w:val="28"/>
        </w:rPr>
        <w:t>]. The cellular uptake by macrophages and dendritic cells effectively sequesters transethosomes within these long-lived cells, dramatically extending the residence time of drug within the joint compartment. Intra-articular residence time of free drug is typically only 4-8 hours due to rapid lymphatic clearance; encapsulation of drug within transethosomes and subsequent cellular internalization extends effective residence times to 24-48 hours or longer [</w:t>
      </w:r>
      <w:r w:rsidR="00E544A9" w:rsidRPr="00A96C26">
        <w:rPr>
          <w:rFonts w:ascii="Times New Roman" w:hAnsi="Times New Roman" w:cs="Times New Roman"/>
          <w:szCs w:val="28"/>
        </w:rPr>
        <w:t>36,37</w:t>
      </w:r>
      <w:r w:rsidRPr="00A96C26">
        <w:rPr>
          <w:rFonts w:ascii="Times New Roman" w:hAnsi="Times New Roman" w:cs="Times New Roman"/>
          <w:szCs w:val="28"/>
        </w:rPr>
        <w:t xml:space="preserve">]. </w:t>
      </w:r>
    </w:p>
    <w:p w14:paraId="6817084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Anti-Inflammatory Modulation Through Localized Delivery</w:t>
      </w:r>
    </w:p>
    <w:p w14:paraId="56A685BB" w14:textId="36DA8EB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Perhaps equally important to the physical mechanisms enabling synovial tissue accumulation is the pharmacological impact of transethosomal localization on reducing systemic toxicity and enhancing local anti-inflammatory efficacy. By concentrating drug within the inflamed joint microenvironment and within synovial cells, transethosomes minimize systemic drug exposure and thus dramatically reduce the incidence and severity of systemic toxicity. This is particularly important for methotrexate-based transethosomes; traditional systemic MTX therapy requires doses of 15-25 mg weekly to achieve adequate synovial drug concentrations, resulting in plasma MTX levels that cause hepatotoxicity and bone marrow suppression in 10-30% of patients. Transethosomal MTX formulations achieve effective synovial concentrations at substantially lower systemic doses (estimated 50-70% reduction in effective systemic dose), dramatically reducing MTX-related toxicity while maintaining or improving anti-inflammatory efficacy at the disease site [</w:t>
      </w:r>
      <w:r w:rsidR="00E544A9" w:rsidRPr="00A96C26">
        <w:rPr>
          <w:rFonts w:ascii="Times New Roman" w:hAnsi="Times New Roman" w:cs="Times New Roman"/>
          <w:szCs w:val="28"/>
        </w:rPr>
        <w:t>36,37,38</w:t>
      </w:r>
      <w:r w:rsidRPr="00A96C26">
        <w:rPr>
          <w:rFonts w:ascii="Times New Roman" w:hAnsi="Times New Roman" w:cs="Times New Roman"/>
          <w:szCs w:val="28"/>
        </w:rPr>
        <w:t xml:space="preserve">]. </w:t>
      </w:r>
    </w:p>
    <w:p w14:paraId="5CC8CBD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Table 3: Mechanisms of Transethosomal Action in RA</w:t>
      </w:r>
    </w:p>
    <w:tbl>
      <w:tblPr>
        <w:tblStyle w:val="TableGrid"/>
        <w:tblW w:w="0" w:type="auto"/>
        <w:tblLook w:val="04A0" w:firstRow="1" w:lastRow="0" w:firstColumn="1" w:lastColumn="0" w:noHBand="0" w:noVBand="1"/>
      </w:tblPr>
      <w:tblGrid>
        <w:gridCol w:w="2635"/>
        <w:gridCol w:w="2111"/>
        <w:gridCol w:w="2247"/>
        <w:gridCol w:w="2357"/>
      </w:tblGrid>
      <w:tr w:rsidR="00DC1CDC" w:rsidRPr="00A96C26" w14:paraId="626D7C60" w14:textId="77777777" w:rsidTr="00DC1CDC">
        <w:trPr>
          <w:trHeight w:val="481"/>
        </w:trPr>
        <w:tc>
          <w:tcPr>
            <w:tcW w:w="0" w:type="auto"/>
            <w:noWrap/>
            <w:hideMark/>
          </w:tcPr>
          <w:p w14:paraId="1E409A8D"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lastRenderedPageBreak/>
              <w:t>Mechanism</w:t>
            </w:r>
          </w:p>
        </w:tc>
        <w:tc>
          <w:tcPr>
            <w:tcW w:w="0" w:type="auto"/>
            <w:noWrap/>
            <w:hideMark/>
          </w:tcPr>
          <w:p w14:paraId="2F75C37A"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Description</w:t>
            </w:r>
          </w:p>
        </w:tc>
        <w:tc>
          <w:tcPr>
            <w:tcW w:w="0" w:type="auto"/>
            <w:noWrap/>
            <w:hideMark/>
          </w:tcPr>
          <w:p w14:paraId="53D8F842"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Functional Outcome</w:t>
            </w:r>
          </w:p>
        </w:tc>
        <w:tc>
          <w:tcPr>
            <w:tcW w:w="0" w:type="auto"/>
            <w:noWrap/>
            <w:hideMark/>
          </w:tcPr>
          <w:p w14:paraId="45B8ED1E"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Evidence</w:t>
            </w:r>
          </w:p>
        </w:tc>
      </w:tr>
      <w:tr w:rsidR="00DC1CDC" w:rsidRPr="00A96C26" w14:paraId="506429B1" w14:textId="77777777" w:rsidTr="00DC1CDC">
        <w:trPr>
          <w:trHeight w:val="1118"/>
        </w:trPr>
        <w:tc>
          <w:tcPr>
            <w:tcW w:w="0" w:type="auto"/>
            <w:hideMark/>
          </w:tcPr>
          <w:p w14:paraId="1D495EF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Deformability-Enhanced Penetration</w:t>
            </w:r>
          </w:p>
        </w:tc>
        <w:tc>
          <w:tcPr>
            <w:tcW w:w="0" w:type="auto"/>
            <w:hideMark/>
          </w:tcPr>
          <w:p w14:paraId="22CD1FBF"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Edge activators fluidize bilayer, enabling compression through 40-50 nm pores</w:t>
            </w:r>
          </w:p>
        </w:tc>
        <w:tc>
          <w:tcPr>
            <w:tcW w:w="0" w:type="auto"/>
            <w:hideMark/>
          </w:tcPr>
          <w:p w14:paraId="3247991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2-3 fold deeper synovial tissue penetration vs. liposomes</w:t>
            </w:r>
          </w:p>
        </w:tc>
        <w:tc>
          <w:tcPr>
            <w:tcW w:w="0" w:type="auto"/>
            <w:hideMark/>
          </w:tcPr>
          <w:p w14:paraId="7FC8AB6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Extrusion assays; confocal microscopy of tissue penetration</w:t>
            </w:r>
          </w:p>
        </w:tc>
      </w:tr>
      <w:tr w:rsidR="00DC1CDC" w:rsidRPr="00A96C26" w14:paraId="0033971A" w14:textId="77777777" w:rsidTr="00DC1CDC">
        <w:trPr>
          <w:trHeight w:val="1118"/>
        </w:trPr>
        <w:tc>
          <w:tcPr>
            <w:tcW w:w="0" w:type="auto"/>
            <w:hideMark/>
          </w:tcPr>
          <w:p w14:paraId="2DA049A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Intercellular Pathway Traversal</w:t>
            </w:r>
          </w:p>
        </w:tc>
        <w:tc>
          <w:tcPr>
            <w:tcW w:w="0" w:type="auto"/>
            <w:hideMark/>
          </w:tcPr>
          <w:p w14:paraId="7935BFF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Deformable vesicles navigate intercellular spaces; terpenes loosen tight junctions</w:t>
            </w:r>
          </w:p>
        </w:tc>
        <w:tc>
          <w:tcPr>
            <w:tcW w:w="0" w:type="auto"/>
            <w:hideMark/>
          </w:tcPr>
          <w:p w14:paraId="1E133B95"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Access to synovial subintimal layer; rapid (1-2 hr) penetration</w:t>
            </w:r>
          </w:p>
        </w:tc>
        <w:tc>
          <w:tcPr>
            <w:tcW w:w="0" w:type="auto"/>
            <w:hideMark/>
          </w:tcPr>
          <w:p w14:paraId="62E1818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Time-lapse confocal microscopy; immunohistochemistry</w:t>
            </w:r>
          </w:p>
        </w:tc>
      </w:tr>
      <w:tr w:rsidR="00DC1CDC" w:rsidRPr="00A96C26" w14:paraId="0D618EF2" w14:textId="77777777" w:rsidTr="00DC1CDC">
        <w:trPr>
          <w:trHeight w:val="1443"/>
        </w:trPr>
        <w:tc>
          <w:tcPr>
            <w:tcW w:w="0" w:type="auto"/>
            <w:hideMark/>
          </w:tcPr>
          <w:p w14:paraId="56387F9C"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Edge Activator Barrier Modulation</w:t>
            </w:r>
          </w:p>
        </w:tc>
        <w:tc>
          <w:tcPr>
            <w:tcW w:w="0" w:type="auto"/>
            <w:hideMark/>
          </w:tcPr>
          <w:p w14:paraId="5084623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Ethanol fluidizes lipids; terpenes activate TRPV1/TRPA1; reversible tight junction opening</w:t>
            </w:r>
          </w:p>
        </w:tc>
        <w:tc>
          <w:tcPr>
            <w:tcW w:w="0" w:type="auto"/>
            <w:hideMark/>
          </w:tcPr>
          <w:p w14:paraId="01B9628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Transient barrier modification; minimal permanent damage</w:t>
            </w:r>
          </w:p>
        </w:tc>
        <w:tc>
          <w:tcPr>
            <w:tcW w:w="0" w:type="auto"/>
            <w:hideMark/>
          </w:tcPr>
          <w:p w14:paraId="4004A60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Electron microscopy; tight junction protein studies</w:t>
            </w:r>
          </w:p>
        </w:tc>
      </w:tr>
      <w:tr w:rsidR="00DC1CDC" w:rsidRPr="00A96C26" w14:paraId="5D3BA097" w14:textId="77777777" w:rsidTr="00DC1CDC">
        <w:trPr>
          <w:trHeight w:val="1118"/>
        </w:trPr>
        <w:tc>
          <w:tcPr>
            <w:tcW w:w="0" w:type="auto"/>
            <w:hideMark/>
          </w:tcPr>
          <w:p w14:paraId="72B599D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Clathrin-Mediated Endocytosis</w:t>
            </w:r>
          </w:p>
        </w:tc>
        <w:tc>
          <w:tcPr>
            <w:tcW w:w="0" w:type="auto"/>
            <w:hideMark/>
          </w:tcPr>
          <w:p w14:paraId="3BDB318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100-200 nm size optimal for clathrin-coated pit uptake</w:t>
            </w:r>
          </w:p>
        </w:tc>
        <w:tc>
          <w:tcPr>
            <w:tcW w:w="0" w:type="auto"/>
            <w:hideMark/>
          </w:tcPr>
          <w:p w14:paraId="63080E3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3-5 fold enhanced cellular uptake vs. liposomes</w:t>
            </w:r>
          </w:p>
        </w:tc>
        <w:tc>
          <w:tcPr>
            <w:tcW w:w="0" w:type="auto"/>
            <w:hideMark/>
          </w:tcPr>
          <w:p w14:paraId="4717203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Quantitative cellular uptake studies; endocytosis inhibition assays</w:t>
            </w:r>
          </w:p>
        </w:tc>
      </w:tr>
      <w:tr w:rsidR="00DC1CDC" w:rsidRPr="00A96C26" w14:paraId="1F8A556D" w14:textId="77777777" w:rsidTr="00DC1CDC">
        <w:trPr>
          <w:trHeight w:val="1443"/>
        </w:trPr>
        <w:tc>
          <w:tcPr>
            <w:tcW w:w="0" w:type="auto"/>
            <w:hideMark/>
          </w:tcPr>
          <w:p w14:paraId="538CAD0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Membrane Fusion with Endosomes</w:t>
            </w:r>
          </w:p>
        </w:tc>
        <w:tc>
          <w:tcPr>
            <w:tcW w:w="0" w:type="auto"/>
            <w:hideMark/>
          </w:tcPr>
          <w:p w14:paraId="56D7B0A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Fluidized transethosomal membrane fuses with endosomal limiting membrane</w:t>
            </w:r>
          </w:p>
        </w:tc>
        <w:tc>
          <w:tcPr>
            <w:tcW w:w="0" w:type="auto"/>
            <w:hideMark/>
          </w:tcPr>
          <w:p w14:paraId="2BA0C3D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Rapid cytoplasmic drug release; complete cargo unloading</w:t>
            </w:r>
          </w:p>
        </w:tc>
        <w:tc>
          <w:tcPr>
            <w:tcW w:w="0" w:type="auto"/>
            <w:hideMark/>
          </w:tcPr>
          <w:p w14:paraId="518612C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Confocal microscopy with pH-sensitive dyes; intracellular trafficking studies</w:t>
            </w:r>
          </w:p>
        </w:tc>
      </w:tr>
      <w:tr w:rsidR="00DC1CDC" w:rsidRPr="00A96C26" w14:paraId="14203E12" w14:textId="77777777" w:rsidTr="00DC1CDC">
        <w:trPr>
          <w:trHeight w:val="1443"/>
        </w:trPr>
        <w:tc>
          <w:tcPr>
            <w:tcW w:w="0" w:type="auto"/>
            <w:hideMark/>
          </w:tcPr>
          <w:p w14:paraId="18FBEBE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Proton Sponge Effect</w:t>
            </w:r>
          </w:p>
        </w:tc>
        <w:tc>
          <w:tcPr>
            <w:tcW w:w="0" w:type="auto"/>
            <w:hideMark/>
          </w:tcPr>
          <w:p w14:paraId="1394A97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Protonatable edge activators buffer endosomal pH; osmotic swelling ruptures endosome</w:t>
            </w:r>
          </w:p>
        </w:tc>
        <w:tc>
          <w:tcPr>
            <w:tcW w:w="0" w:type="auto"/>
            <w:hideMark/>
          </w:tcPr>
          <w:p w14:paraId="49364A2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Endosomal escape without lysosomal routing; preserved drug activity</w:t>
            </w:r>
          </w:p>
        </w:tc>
        <w:tc>
          <w:tcPr>
            <w:tcW w:w="0" w:type="auto"/>
            <w:hideMark/>
          </w:tcPr>
          <w:p w14:paraId="42C82AD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Endosomal pH measurements; intracellular localization studies</w:t>
            </w:r>
          </w:p>
        </w:tc>
      </w:tr>
      <w:tr w:rsidR="00DC1CDC" w:rsidRPr="00A96C26" w14:paraId="28C7135D" w14:textId="77777777" w:rsidTr="00DC1CDC">
        <w:trPr>
          <w:trHeight w:val="1118"/>
        </w:trPr>
        <w:tc>
          <w:tcPr>
            <w:tcW w:w="0" w:type="auto"/>
            <w:hideMark/>
          </w:tcPr>
          <w:p w14:paraId="33F9E25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Direct Endosomal Permeabilization</w:t>
            </w:r>
          </w:p>
        </w:tc>
        <w:tc>
          <w:tcPr>
            <w:tcW w:w="0" w:type="auto"/>
            <w:hideMark/>
          </w:tcPr>
          <w:p w14:paraId="146D57D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Edge activators fluidize endosomal membranes; transient pore formation</w:t>
            </w:r>
          </w:p>
        </w:tc>
        <w:tc>
          <w:tcPr>
            <w:tcW w:w="0" w:type="auto"/>
            <w:hideMark/>
          </w:tcPr>
          <w:p w14:paraId="41CE741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Cytoplasmic escape of intact transethosomes</w:t>
            </w:r>
          </w:p>
        </w:tc>
        <w:tc>
          <w:tcPr>
            <w:tcW w:w="0" w:type="auto"/>
            <w:hideMark/>
          </w:tcPr>
          <w:p w14:paraId="28498D8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Endosomal integrity assays; live-cell imaging</w:t>
            </w:r>
          </w:p>
        </w:tc>
      </w:tr>
      <w:tr w:rsidR="00DC1CDC" w:rsidRPr="00A96C26" w14:paraId="6CB2E94C" w14:textId="77777777" w:rsidTr="00DC1CDC">
        <w:trPr>
          <w:trHeight w:val="1118"/>
        </w:trPr>
        <w:tc>
          <w:tcPr>
            <w:tcW w:w="0" w:type="auto"/>
            <w:hideMark/>
          </w:tcPr>
          <w:p w14:paraId="783EADC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Enhanced Intracellular Drug Bioavailability</w:t>
            </w:r>
          </w:p>
        </w:tc>
        <w:tc>
          <w:tcPr>
            <w:tcW w:w="0" w:type="auto"/>
            <w:hideMark/>
          </w:tcPr>
          <w:p w14:paraId="179D80B7"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Multiple mechanisms enable 2-5 fold higher intracellular drug concentration</w:t>
            </w:r>
          </w:p>
        </w:tc>
        <w:tc>
          <w:tcPr>
            <w:tcW w:w="0" w:type="auto"/>
            <w:hideMark/>
          </w:tcPr>
          <w:p w14:paraId="105FA2A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Direct access to intracellular targets; preserved drug activity</w:t>
            </w:r>
          </w:p>
        </w:tc>
        <w:tc>
          <w:tcPr>
            <w:tcW w:w="0" w:type="auto"/>
            <w:hideMark/>
          </w:tcPr>
          <w:p w14:paraId="3FEFC705"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HPLC quantification of intracellular drug; knockdown studies of target enzymes</w:t>
            </w:r>
          </w:p>
        </w:tc>
      </w:tr>
      <w:tr w:rsidR="00DC1CDC" w:rsidRPr="00A96C26" w14:paraId="79D938BB" w14:textId="77777777" w:rsidTr="00DC1CDC">
        <w:trPr>
          <w:trHeight w:val="1118"/>
        </w:trPr>
        <w:tc>
          <w:tcPr>
            <w:tcW w:w="0" w:type="auto"/>
            <w:hideMark/>
          </w:tcPr>
          <w:p w14:paraId="26AD0AB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EPR Effect (Passive Targeting)</w:t>
            </w:r>
          </w:p>
        </w:tc>
        <w:tc>
          <w:tcPr>
            <w:tcW w:w="0" w:type="auto"/>
            <w:hideMark/>
          </w:tcPr>
          <w:p w14:paraId="577FC20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Inflamed joint increased vascular permeability; reduced lymphatic clearance</w:t>
            </w:r>
          </w:p>
        </w:tc>
        <w:tc>
          <w:tcPr>
            <w:tcW w:w="0" w:type="auto"/>
            <w:hideMark/>
          </w:tcPr>
          <w:p w14:paraId="5B425F7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10-20 fold transethosomal accumulation in arthritic vs. healthy joints</w:t>
            </w:r>
          </w:p>
        </w:tc>
        <w:tc>
          <w:tcPr>
            <w:tcW w:w="0" w:type="auto"/>
            <w:hideMark/>
          </w:tcPr>
          <w:p w14:paraId="1C54BCBC"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Radiolabeled transethosome biodistribution; scintigraphy</w:t>
            </w:r>
          </w:p>
        </w:tc>
      </w:tr>
      <w:tr w:rsidR="00DC1CDC" w:rsidRPr="00A96C26" w14:paraId="1E8A6A67" w14:textId="77777777" w:rsidTr="00DC1CDC">
        <w:trPr>
          <w:trHeight w:val="1443"/>
        </w:trPr>
        <w:tc>
          <w:tcPr>
            <w:tcW w:w="0" w:type="auto"/>
            <w:hideMark/>
          </w:tcPr>
          <w:p w14:paraId="1D62663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Cellular Sequestration (Macrophages/Dendritic Cells)</w:t>
            </w:r>
          </w:p>
        </w:tc>
        <w:tc>
          <w:tcPr>
            <w:tcW w:w="0" w:type="auto"/>
            <w:hideMark/>
          </w:tcPr>
          <w:p w14:paraId="62F8A87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Resident synovial immune cells phagocytose transethosomes</w:t>
            </w:r>
          </w:p>
        </w:tc>
        <w:tc>
          <w:tcPr>
            <w:tcW w:w="0" w:type="auto"/>
            <w:hideMark/>
          </w:tcPr>
          <w:p w14:paraId="7864D96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Extended joint residence time (24-48 hrs vs. 4-8 hrs for free drug); targeting to inflammatory cells</w:t>
            </w:r>
          </w:p>
        </w:tc>
        <w:tc>
          <w:tcPr>
            <w:tcW w:w="0" w:type="auto"/>
            <w:hideMark/>
          </w:tcPr>
          <w:p w14:paraId="4FF5AA1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Quantitative cellular uptake; immunohistochemistry for transethosomal location</w:t>
            </w:r>
          </w:p>
        </w:tc>
      </w:tr>
      <w:tr w:rsidR="00DC1CDC" w:rsidRPr="00A96C26" w14:paraId="61497FE3" w14:textId="77777777" w:rsidTr="00DC1CDC">
        <w:trPr>
          <w:trHeight w:val="1106"/>
        </w:trPr>
        <w:tc>
          <w:tcPr>
            <w:tcW w:w="0" w:type="auto"/>
            <w:hideMark/>
          </w:tcPr>
          <w:p w14:paraId="3F20C08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Stimulus-Responsive Release</w:t>
            </w:r>
          </w:p>
        </w:tc>
        <w:tc>
          <w:tcPr>
            <w:tcW w:w="0" w:type="auto"/>
            <w:hideMark/>
          </w:tcPr>
          <w:p w14:paraId="6687672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Elevated synovial temperature, pH, proteolytic enzymes trigger drug release</w:t>
            </w:r>
          </w:p>
        </w:tc>
        <w:tc>
          <w:tcPr>
            <w:tcW w:w="0" w:type="auto"/>
            <w:hideMark/>
          </w:tcPr>
          <w:p w14:paraId="738CB75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Drug release tuned to inflammatory microenvironment specificity</w:t>
            </w:r>
          </w:p>
        </w:tc>
        <w:tc>
          <w:tcPr>
            <w:tcW w:w="0" w:type="auto"/>
            <w:hideMark/>
          </w:tcPr>
          <w:p w14:paraId="7861F6E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In vitro release kinetics at various pH/temperature; MMP-triggered release studies</w:t>
            </w:r>
          </w:p>
        </w:tc>
      </w:tr>
      <w:tr w:rsidR="00DC1CDC" w:rsidRPr="00A96C26" w14:paraId="2066A632" w14:textId="77777777" w:rsidTr="00DC1CDC">
        <w:trPr>
          <w:trHeight w:val="1443"/>
        </w:trPr>
        <w:tc>
          <w:tcPr>
            <w:tcW w:w="0" w:type="auto"/>
            <w:hideMark/>
          </w:tcPr>
          <w:p w14:paraId="5BBC196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Reduced Systemic Toxicity</w:t>
            </w:r>
          </w:p>
        </w:tc>
        <w:tc>
          <w:tcPr>
            <w:tcW w:w="0" w:type="auto"/>
            <w:hideMark/>
          </w:tcPr>
          <w:p w14:paraId="5A28755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Localized delivery minimizes systemic drug exposure</w:t>
            </w:r>
          </w:p>
        </w:tc>
        <w:tc>
          <w:tcPr>
            <w:tcW w:w="0" w:type="auto"/>
            <w:hideMark/>
          </w:tcPr>
          <w:p w14:paraId="5D2B59E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50-70% reduction in effective systemic dose requirements</w:t>
            </w:r>
          </w:p>
        </w:tc>
        <w:tc>
          <w:tcPr>
            <w:tcW w:w="0" w:type="auto"/>
            <w:hideMark/>
          </w:tcPr>
          <w:p w14:paraId="6325136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Pharmacokinetic studies comparing plasma concentrations; clinical toxicity assessments</w:t>
            </w:r>
          </w:p>
        </w:tc>
      </w:tr>
      <w:tr w:rsidR="00DC1CDC" w:rsidRPr="00A96C26" w14:paraId="1B0278EC" w14:textId="77777777" w:rsidTr="00DC1CDC">
        <w:trPr>
          <w:trHeight w:val="1118"/>
        </w:trPr>
        <w:tc>
          <w:tcPr>
            <w:tcW w:w="0" w:type="auto"/>
            <w:hideMark/>
          </w:tcPr>
          <w:p w14:paraId="1D029A1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Intracellular Target Engagement</w:t>
            </w:r>
          </w:p>
        </w:tc>
        <w:tc>
          <w:tcPr>
            <w:tcW w:w="0" w:type="auto"/>
            <w:hideMark/>
          </w:tcPr>
          <w:p w14:paraId="07DE3A9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Cytoplasmic drug release localizes drugs to intracellular signaling enzymes</w:t>
            </w:r>
          </w:p>
        </w:tc>
        <w:tc>
          <w:tcPr>
            <w:tcW w:w="0" w:type="auto"/>
            <w:hideMark/>
          </w:tcPr>
          <w:p w14:paraId="737ADC0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Optimized pharmacodynamic response for intracellular targets</w:t>
            </w:r>
          </w:p>
        </w:tc>
        <w:tc>
          <w:tcPr>
            <w:tcW w:w="0" w:type="auto"/>
            <w:hideMark/>
          </w:tcPr>
          <w:p w14:paraId="4B58716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Biochemical assays of target inhibition; cell-based reporter assays</w:t>
            </w:r>
          </w:p>
        </w:tc>
      </w:tr>
      <w:tr w:rsidR="00DC1CDC" w:rsidRPr="00A96C26" w14:paraId="49A73E7B" w14:textId="77777777" w:rsidTr="00DC1CDC">
        <w:trPr>
          <w:trHeight w:val="1431"/>
        </w:trPr>
        <w:tc>
          <w:tcPr>
            <w:tcW w:w="0" w:type="auto"/>
            <w:hideMark/>
          </w:tcPr>
          <w:p w14:paraId="48E5B1A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Phospholipid-Mediated Immunomodulation</w:t>
            </w:r>
          </w:p>
        </w:tc>
        <w:tc>
          <w:tcPr>
            <w:tcW w:w="0" w:type="auto"/>
            <w:hideMark/>
          </w:tcPr>
          <w:p w14:paraId="2EDE1FA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Phosphatidylcholine engages pattern recognition receptors; M2 macrophage differentiation</w:t>
            </w:r>
          </w:p>
        </w:tc>
        <w:tc>
          <w:tcPr>
            <w:tcW w:w="0" w:type="auto"/>
            <w:hideMark/>
          </w:tcPr>
          <w:p w14:paraId="1A7203E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Synergistic anti-inflammatory effects beyond drug cargo</w:t>
            </w:r>
          </w:p>
        </w:tc>
        <w:tc>
          <w:tcPr>
            <w:tcW w:w="0" w:type="auto"/>
            <w:hideMark/>
          </w:tcPr>
          <w:p w14:paraId="230D209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Cytokine production assays; macrophage polarization studies</w:t>
            </w:r>
          </w:p>
        </w:tc>
      </w:tr>
    </w:tbl>
    <w:p w14:paraId="2C4EB3F3" w14:textId="77777777" w:rsidR="00DC1CDC" w:rsidRPr="00A96C26" w:rsidRDefault="00DC1CDC" w:rsidP="00315EE3">
      <w:pPr>
        <w:jc w:val="both"/>
        <w:rPr>
          <w:rFonts w:ascii="Times New Roman" w:hAnsi="Times New Roman" w:cs="Times New Roman"/>
          <w:szCs w:val="28"/>
        </w:rPr>
      </w:pPr>
    </w:p>
    <w:p w14:paraId="402922A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5. Transethosomes in RA: Formulation Strategies</w:t>
      </w:r>
    </w:p>
    <w:p w14:paraId="052457B0"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lastRenderedPageBreak/>
        <w:t>5.1 Drug Candidates for RA</w:t>
      </w:r>
    </w:p>
    <w:p w14:paraId="5E44B2A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Methotrexate (MTX)</w:t>
      </w:r>
    </w:p>
    <w:p w14:paraId="0C87C2D0" w14:textId="2020B71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Methotrexate </w:t>
      </w:r>
      <w:r w:rsidR="00E544A9" w:rsidRPr="00A96C26">
        <w:rPr>
          <w:rFonts w:ascii="Times New Roman" w:hAnsi="Times New Roman" w:cs="Times New Roman"/>
          <w:szCs w:val="28"/>
        </w:rPr>
        <w:t xml:space="preserve">is the gold standard for transethosomal encapsulation in RA therapy, given its status as a backbone DMARD </w:t>
      </w:r>
      <w:r w:rsidRPr="00A96C26">
        <w:rPr>
          <w:rFonts w:ascii="Times New Roman" w:hAnsi="Times New Roman" w:cs="Times New Roman"/>
          <w:szCs w:val="28"/>
        </w:rPr>
        <w:t>and its well-documented limitations with conventional delivery systems [</w:t>
      </w:r>
      <w:r w:rsidR="00E544A9" w:rsidRPr="00A96C26">
        <w:rPr>
          <w:rFonts w:ascii="Times New Roman" w:hAnsi="Times New Roman" w:cs="Times New Roman"/>
          <w:szCs w:val="28"/>
        </w:rPr>
        <w:t>36</w:t>
      </w:r>
      <w:r w:rsidRPr="00A96C26">
        <w:rPr>
          <w:rFonts w:ascii="Times New Roman" w:hAnsi="Times New Roman" w:cs="Times New Roman"/>
          <w:szCs w:val="28"/>
        </w:rPr>
        <w:t xml:space="preserve">]. MTX is a hydrophilic folate antagonist with </w:t>
      </w:r>
      <w:r w:rsidR="00D43944">
        <w:rPr>
          <w:rFonts w:ascii="Times New Roman" w:hAnsi="Times New Roman" w:cs="Times New Roman"/>
          <w:szCs w:val="28"/>
        </w:rPr>
        <w:t xml:space="preserve">a </w:t>
      </w:r>
      <w:r w:rsidRPr="00A96C26">
        <w:rPr>
          <w:rFonts w:ascii="Times New Roman" w:hAnsi="Times New Roman" w:cs="Times New Roman"/>
          <w:szCs w:val="28"/>
        </w:rPr>
        <w:t>molecular weight of 454 Da and multiple ionizable groups (pKa values 3.8, 4.8, 5.5), rendering it highly water-soluble but poorly membrane-permeable [02]. Conventional oral MTX bioavailability of only 30-70% necessitates either higher doses with increased toxicity or parenteral administration with reduced patient acceptability [</w:t>
      </w:r>
      <w:r w:rsidR="00E544A9" w:rsidRPr="00A96C26">
        <w:rPr>
          <w:rFonts w:ascii="Times New Roman" w:hAnsi="Times New Roman" w:cs="Times New Roman"/>
          <w:szCs w:val="28"/>
        </w:rPr>
        <w:t>37</w:t>
      </w:r>
      <w:r w:rsidRPr="00A96C26">
        <w:rPr>
          <w:rFonts w:ascii="Times New Roman" w:hAnsi="Times New Roman" w:cs="Times New Roman"/>
          <w:szCs w:val="28"/>
        </w:rPr>
        <w:t>]. Transethosomal MTX formulations overcome these limitations through multiple mechanisms: the deformable vesicles enhance intestinal penetration if administered orally, potentially improving bioavailability to 80-95%; cellular uptake mechanisms deliver MTX directly into cytoplasm where the target enzyme (dihydrofolate reductase) resides, maximizing intracellular pharmacodynamic activity; and synovial tissue targeting achieves effective therapeutic MTX concentrations at joint-specific doses while minimizing systemic exposure and hepatotoxicity [</w:t>
      </w:r>
      <w:r w:rsidR="00E544A9" w:rsidRPr="00A96C26">
        <w:rPr>
          <w:rFonts w:ascii="Times New Roman" w:hAnsi="Times New Roman" w:cs="Times New Roman"/>
          <w:szCs w:val="28"/>
        </w:rPr>
        <w:t>38,39</w:t>
      </w:r>
      <w:r w:rsidRPr="00A96C26">
        <w:rPr>
          <w:rFonts w:ascii="Times New Roman" w:hAnsi="Times New Roman" w:cs="Times New Roman"/>
          <w:szCs w:val="28"/>
        </w:rPr>
        <w:t xml:space="preserve">]. </w:t>
      </w:r>
    </w:p>
    <w:p w14:paraId="4F4953D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NSAIDs (Indomethacin, Diclofenac)</w:t>
      </w:r>
    </w:p>
    <w:p w14:paraId="4B234F3A" w14:textId="5DD84D3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Nonsteroidal anti-inflammatory drugs including indomethacin and diclofenac are hydrophobic compounds with pKa values around 3-4, rendering them poorly water-soluble and susceptible to gastrointestinal degradation [</w:t>
      </w:r>
      <w:r w:rsidR="00E544A9" w:rsidRPr="00A96C26">
        <w:rPr>
          <w:rFonts w:ascii="Times New Roman" w:hAnsi="Times New Roman" w:cs="Times New Roman"/>
          <w:szCs w:val="28"/>
        </w:rPr>
        <w:t>36,37</w:t>
      </w:r>
      <w:r w:rsidRPr="00A96C26">
        <w:rPr>
          <w:rFonts w:ascii="Times New Roman" w:hAnsi="Times New Roman" w:cs="Times New Roman"/>
          <w:szCs w:val="28"/>
        </w:rPr>
        <w:t>]. Conventional NSAID formulations achieve only 50-70% bioavailability with substantial gastrointestinal side effects in 10-20% of chronic users. Transethosomal NSAID formulations leverage the amphiphilic nature of NSAIDs (acidic groups but overall lipophilicity) to achieve exceptional encapsulation efficiencies of 85-95% [</w:t>
      </w:r>
      <w:r w:rsidR="00E544A9" w:rsidRPr="00A96C26">
        <w:rPr>
          <w:rFonts w:ascii="Times New Roman" w:hAnsi="Times New Roman" w:cs="Times New Roman"/>
          <w:szCs w:val="28"/>
        </w:rPr>
        <w:t>38</w:t>
      </w:r>
      <w:r w:rsidRPr="00A96C26">
        <w:rPr>
          <w:rFonts w:ascii="Times New Roman" w:hAnsi="Times New Roman" w:cs="Times New Roman"/>
          <w:szCs w:val="28"/>
        </w:rPr>
        <w:t>]. The deformable vesicles enhance intestinal permeation, potentially improving systemic bioavailability to 80-90%; additionally, the nanoscale size reduces local NSAID concentration-dependent irritation of gastric mucosa [</w:t>
      </w:r>
      <w:r w:rsidR="00E544A9" w:rsidRPr="00A96C26">
        <w:rPr>
          <w:rFonts w:ascii="Times New Roman" w:hAnsi="Times New Roman" w:cs="Times New Roman"/>
          <w:szCs w:val="28"/>
        </w:rPr>
        <w:t>39,40</w:t>
      </w:r>
      <w:r w:rsidRPr="00A96C26">
        <w:rPr>
          <w:rFonts w:ascii="Times New Roman" w:hAnsi="Times New Roman" w:cs="Times New Roman"/>
          <w:szCs w:val="28"/>
        </w:rPr>
        <w:t xml:space="preserve">]. </w:t>
      </w:r>
    </w:p>
    <w:p w14:paraId="24A34D46"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Corticosteroids (Dexamethasone)</w:t>
      </w:r>
    </w:p>
    <w:p w14:paraId="27D82ACE" w14:textId="094F3079"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Dexamethasone and other corticosteroids are moderately lipophilic compounds with moderate membrane permeability; conventional systemic corticosteroid therapy achieves reasonable bioavailability but causes substantial systemic side effects including osteoporosis and immunosuppression even at minimized doses. Transethosomal dexamethasone formulations achieve entrapment efficiencies of 75-88% and preferentially target inflamed synovial tissue, enabling dose reduction to 40-60% of systemic levels while maintaining or improving local anti-inflammatory efficacy. </w:t>
      </w:r>
      <w:r w:rsidR="00E544A9" w:rsidRPr="00A96C26">
        <w:rPr>
          <w:rFonts w:ascii="Times New Roman" w:hAnsi="Times New Roman" w:cs="Times New Roman"/>
          <w:szCs w:val="28"/>
        </w:rPr>
        <w:t xml:space="preserve">Reduced systemic corticosteroid exposure substantially mitigates the development of osteoporosis and the risk of opportunistic infections </w:t>
      </w:r>
      <w:r w:rsidRPr="00A96C26">
        <w:rPr>
          <w:rFonts w:ascii="Times New Roman" w:hAnsi="Times New Roman" w:cs="Times New Roman"/>
          <w:szCs w:val="28"/>
        </w:rPr>
        <w:t>while maintaining the potent local immunosuppressive effects needed for RA control [03]. Combination approaches pairing transethosomal dexamethasone with transethosomal DMARDs offer synergistic anti-inflammatory effects with minimal additive toxicity [</w:t>
      </w:r>
      <w:r w:rsidR="00E544A9" w:rsidRPr="00A96C26">
        <w:rPr>
          <w:rFonts w:ascii="Times New Roman" w:hAnsi="Times New Roman" w:cs="Times New Roman"/>
          <w:szCs w:val="28"/>
        </w:rPr>
        <w:t>37,38</w:t>
      </w:r>
      <w:r w:rsidRPr="00A96C26">
        <w:rPr>
          <w:rFonts w:ascii="Times New Roman" w:hAnsi="Times New Roman" w:cs="Times New Roman"/>
          <w:szCs w:val="28"/>
        </w:rPr>
        <w:t>].</w:t>
      </w:r>
    </w:p>
    <w:p w14:paraId="2AEEF967"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lastRenderedPageBreak/>
        <w:t>Biological Agents (TNF-α Inhibitors)</w:t>
      </w:r>
    </w:p>
    <w:p w14:paraId="2CE2B2B8" w14:textId="0CB471DE"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Biological therapeutics including TNF-α inhibitors (infliximab, adalimumab, etanercept) represent a significant challenge for transethosomal encapsulation due to their large size (monoclonal antibodies ~150 kDa; fusion proteins ~75 kDa) and protein structure. Traditional transethosomal encapsulation techniques are poorly suited to large proteins; however, emerging approaches including surface functionalization with TNF-α binding peptides or engineered protein domains, and bioconjugation techniques, enable incorporation of TNF-α targeting functionality into transethosomes. Additionally, transethosomes can be designed to deliver conventional DMARDs or natural anti-inflammatory compounds that modulate TNF-α production and signaling, providing indirect TNF-targeting approaches [</w:t>
      </w:r>
      <w:r w:rsidR="00E544A9" w:rsidRPr="00A96C26">
        <w:rPr>
          <w:rFonts w:ascii="Times New Roman" w:hAnsi="Times New Roman" w:cs="Times New Roman"/>
          <w:szCs w:val="28"/>
        </w:rPr>
        <w:t>37,38</w:t>
      </w:r>
      <w:r w:rsidRPr="00A96C26">
        <w:rPr>
          <w:rFonts w:ascii="Times New Roman" w:hAnsi="Times New Roman" w:cs="Times New Roman"/>
          <w:szCs w:val="28"/>
        </w:rPr>
        <w:t>].</w:t>
      </w:r>
    </w:p>
    <w:p w14:paraId="0FEF0F9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Herbal/Natural Compounds</w:t>
      </w:r>
    </w:p>
    <w:p w14:paraId="47BC43AA" w14:textId="1A9E7130"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Natural compounds including curcumin, quercetin, resveratrol, and essential oils (containing terpenes) possess well-documented anti-inflammatory properties through NF-κB inhibition, TNF-α suppression, and antioxidant mechanisms . These compounds often exhibit poor bioavailability and rapid metabolism; transethosomal encapsulation dramatically improves bioavailability (2-5 fold increases documented) while enabling synovial targeting. Curcumin-loaded transethosomes achieve intracellular concentrations sufficient for NF-κB pathway inhibition at doses 50-70% lower than free curcumin, with preclinical efficacy comparable to conventional DMARDs in arthritis models. The natural origin and safety profile of herbal compounds combined with transethosomal enhancement position these formulations as attractive for patients seeking complementary approaches or for developing countries with cost constraints [</w:t>
      </w:r>
      <w:r w:rsidR="00E544A9" w:rsidRPr="00A96C26">
        <w:rPr>
          <w:rFonts w:ascii="Times New Roman" w:hAnsi="Times New Roman" w:cs="Times New Roman"/>
          <w:szCs w:val="28"/>
        </w:rPr>
        <w:t>39,40</w:t>
      </w:r>
      <w:r w:rsidRPr="00A96C26">
        <w:rPr>
          <w:rFonts w:ascii="Times New Roman" w:hAnsi="Times New Roman" w:cs="Times New Roman"/>
          <w:szCs w:val="28"/>
        </w:rPr>
        <w:t>].</w:t>
      </w:r>
    </w:p>
    <w:p w14:paraId="1C7CA1C2"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5.2 Formulation Optimization</w:t>
      </w:r>
    </w:p>
    <w:p w14:paraId="74565083"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Lipid Selection &amp; Concentration</w:t>
      </w:r>
    </w:p>
    <w:p w14:paraId="2E5BA4E8" w14:textId="3B751CD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Optimal transethosomal formulations require careful lipid selection balancing multiple competing requirements: sufficient membrane rigidity to maintain vesicle structure, adequate membrane fluidity to enable deformability, appropriate charge characteristics for stability and cellular interaction, and biocompatibility/biodegradability [</w:t>
      </w:r>
      <w:r w:rsidR="00E544A9" w:rsidRPr="00A96C26">
        <w:rPr>
          <w:rFonts w:ascii="Times New Roman" w:hAnsi="Times New Roman" w:cs="Times New Roman"/>
          <w:szCs w:val="28"/>
        </w:rPr>
        <w:t>39,40</w:t>
      </w:r>
      <w:r w:rsidRPr="00A96C26">
        <w:rPr>
          <w:rFonts w:ascii="Times New Roman" w:hAnsi="Times New Roman" w:cs="Times New Roman"/>
          <w:szCs w:val="28"/>
        </w:rPr>
        <w:t>]. Phosphatidylcholine (PC) derived from natural sources (egg lecithin, soy lecithin) remains the most commonly employed primary lipid due to its biocompatibility, availability, and well-characterized properties [</w:t>
      </w:r>
      <w:r w:rsidR="00E544A9" w:rsidRPr="00A96C26">
        <w:rPr>
          <w:rFonts w:ascii="Times New Roman" w:hAnsi="Times New Roman" w:cs="Times New Roman"/>
          <w:szCs w:val="28"/>
        </w:rPr>
        <w:t>41</w:t>
      </w:r>
      <w:r w:rsidRPr="00A96C26">
        <w:rPr>
          <w:rFonts w:ascii="Times New Roman" w:hAnsi="Times New Roman" w:cs="Times New Roman"/>
          <w:szCs w:val="28"/>
        </w:rPr>
        <w:t>]. Synthetic phospholipids including 1,2-distearoyl-sn-glycero-3-phosphocholine (DSPC) and 1,2-dipalmitoyl-sn-glycero-3-phosphocholine (DPPC) offer advantages of defined composition and batch-to-batch consistency. Lipid concentration (typically 50-200 mg/mL) directly influences vesicle size, encapsulation efficiency, and membrane characteristics; higher concentrations increase encapsulation capacity but may reduce membrane fluidity and deformability [</w:t>
      </w:r>
      <w:r w:rsidR="00E544A9" w:rsidRPr="00A96C26">
        <w:rPr>
          <w:rFonts w:ascii="Times New Roman" w:hAnsi="Times New Roman" w:cs="Times New Roman"/>
          <w:szCs w:val="28"/>
        </w:rPr>
        <w:t>40</w:t>
      </w:r>
      <w:r w:rsidRPr="00A96C26">
        <w:rPr>
          <w:rFonts w:ascii="Times New Roman" w:hAnsi="Times New Roman" w:cs="Times New Roman"/>
          <w:szCs w:val="28"/>
        </w:rPr>
        <w:t>]. Cholesterol incorporation (typically 20-30% molar ratio relative to phospholipid) increases membrane rigidity, reducing deformability but enhancing long-term stability [</w:t>
      </w:r>
      <w:r w:rsidR="00E544A9" w:rsidRPr="00A96C26">
        <w:rPr>
          <w:rFonts w:ascii="Times New Roman" w:hAnsi="Times New Roman" w:cs="Times New Roman"/>
          <w:szCs w:val="28"/>
        </w:rPr>
        <w:t>42]</w:t>
      </w:r>
      <w:r w:rsidRPr="00A96C26">
        <w:rPr>
          <w:rFonts w:ascii="Times New Roman" w:hAnsi="Times New Roman" w:cs="Times New Roman"/>
          <w:szCs w:val="28"/>
        </w:rPr>
        <w:t>.</w:t>
      </w:r>
    </w:p>
    <w:p w14:paraId="0CD220B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Edge Activator Types &amp; Ratios</w:t>
      </w:r>
    </w:p>
    <w:p w14:paraId="743EBEEF" w14:textId="0194EB4F"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lastRenderedPageBreak/>
        <w:t>Ethanol (10-20% w/w) provides baseline membrane fluidization; terpenes (5-15% w/w) add enhanced penetration and intrinsic therapeutic properties [</w:t>
      </w:r>
      <w:r w:rsidR="00E544A9" w:rsidRPr="00A96C26">
        <w:rPr>
          <w:rFonts w:ascii="Times New Roman" w:hAnsi="Times New Roman" w:cs="Times New Roman"/>
          <w:szCs w:val="28"/>
        </w:rPr>
        <w:t>41</w:t>
      </w:r>
      <w:r w:rsidRPr="00A96C26">
        <w:rPr>
          <w:rFonts w:ascii="Times New Roman" w:hAnsi="Times New Roman" w:cs="Times New Roman"/>
          <w:szCs w:val="28"/>
        </w:rPr>
        <w:t>]. Optimal edge activator ratios are determined empirically; combinations of ethanol plus menthol at 15:8 weight ratios, or ethanol plus carvacrol at 15:10 ratios, demonstrate synergistic penetration enhancement [</w:t>
      </w:r>
      <w:r w:rsidR="00E544A9" w:rsidRPr="00A96C26">
        <w:rPr>
          <w:rFonts w:ascii="Times New Roman" w:hAnsi="Times New Roman" w:cs="Times New Roman"/>
          <w:szCs w:val="28"/>
        </w:rPr>
        <w:t>42</w:t>
      </w:r>
      <w:r w:rsidRPr="00A96C26">
        <w:rPr>
          <w:rFonts w:ascii="Times New Roman" w:hAnsi="Times New Roman" w:cs="Times New Roman"/>
          <w:szCs w:val="28"/>
        </w:rPr>
        <w:t>].</w:t>
      </w:r>
    </w:p>
    <w:p w14:paraId="262FD39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Drug Loading Techniques</w:t>
      </w:r>
    </w:p>
    <w:p w14:paraId="13D4BF3E" w14:textId="2EAC798B"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Passive loading (drug incorporation during vesicle formation) achieves 40-50% efficiency for hydrophilic drugs; remote loading using pH gradients (ammonium sulfate gradient method) improves efficiency to 70-85% [</w:t>
      </w:r>
      <w:r w:rsidR="00E544A9" w:rsidRPr="00A96C26">
        <w:rPr>
          <w:rFonts w:ascii="Times New Roman" w:hAnsi="Times New Roman" w:cs="Times New Roman"/>
          <w:szCs w:val="28"/>
        </w:rPr>
        <w:t>41</w:t>
      </w:r>
      <w:r w:rsidRPr="00A96C26">
        <w:rPr>
          <w:rFonts w:ascii="Times New Roman" w:hAnsi="Times New Roman" w:cs="Times New Roman"/>
          <w:szCs w:val="28"/>
        </w:rPr>
        <w:t>]. Ion-pair complexation with lipophilic counterions enhances loading of charged hydrophilic drugs [</w:t>
      </w:r>
      <w:r w:rsidR="00E544A9" w:rsidRPr="00A96C26">
        <w:rPr>
          <w:rFonts w:ascii="Times New Roman" w:hAnsi="Times New Roman" w:cs="Times New Roman"/>
          <w:szCs w:val="28"/>
        </w:rPr>
        <w:t>42</w:t>
      </w:r>
      <w:r w:rsidRPr="00A96C26">
        <w:rPr>
          <w:rFonts w:ascii="Times New Roman" w:hAnsi="Times New Roman" w:cs="Times New Roman"/>
          <w:szCs w:val="28"/>
        </w:rPr>
        <w:t>].</w:t>
      </w:r>
    </w:p>
    <w:p w14:paraId="63B9654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pH &amp; Osmolarity Adjustments</w:t>
      </w:r>
    </w:p>
    <w:p w14:paraId="6BAC49A4" w14:textId="3A8D679E"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Physiological pH (7.2-7.4) and osmolarity (300-310 mOsm/kg) optimize transethosomal stability and cellular compatibility; acidification to pH 6.5 facilitates pH-triggered drug release in inflamed synovial tissue [</w:t>
      </w:r>
      <w:r w:rsidR="00E544A9" w:rsidRPr="00A96C26">
        <w:rPr>
          <w:rFonts w:ascii="Times New Roman" w:hAnsi="Times New Roman" w:cs="Times New Roman"/>
          <w:szCs w:val="28"/>
        </w:rPr>
        <w:t>43</w:t>
      </w:r>
      <w:r w:rsidRPr="00A96C26">
        <w:rPr>
          <w:rFonts w:ascii="Times New Roman" w:hAnsi="Times New Roman" w:cs="Times New Roman"/>
          <w:szCs w:val="28"/>
        </w:rPr>
        <w:t>].</w:t>
      </w:r>
    </w:p>
    <w:p w14:paraId="4B91FC28"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5.3 Case Studies</w:t>
      </w:r>
    </w:p>
    <w:p w14:paraId="3A8373C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MTX-Loaded Transethosomes</w:t>
      </w:r>
    </w:p>
    <w:p w14:paraId="5FFE878A" w14:textId="44FB627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Preclinical studies demonstrate that MTX-loaded transethosomes (lipid:MTX ratio 10:1, ethanol:PC ratio 15:100, size 120 nm, PDI 0.25, EE 78%) achieve synovial accumulation 8-fold higher than free MTX at equivalent doses in collagen-induced arthritis (CIA) models [</w:t>
      </w:r>
      <w:r w:rsidR="00E544A9" w:rsidRPr="00A96C26">
        <w:rPr>
          <w:rFonts w:ascii="Times New Roman" w:hAnsi="Times New Roman" w:cs="Times New Roman"/>
          <w:szCs w:val="28"/>
        </w:rPr>
        <w:t>41</w:t>
      </w:r>
      <w:r w:rsidRPr="00A96C26">
        <w:rPr>
          <w:rFonts w:ascii="Times New Roman" w:hAnsi="Times New Roman" w:cs="Times New Roman"/>
          <w:szCs w:val="28"/>
        </w:rPr>
        <w:t>]. Disease suppression (paw thickness reduction of 65-75%) exceeds free MTX at 50% lower systemic doses, with minimal hepatotoxicity [</w:t>
      </w:r>
      <w:r w:rsidR="00E544A9" w:rsidRPr="00A96C26">
        <w:rPr>
          <w:rFonts w:ascii="Times New Roman" w:hAnsi="Times New Roman" w:cs="Times New Roman"/>
          <w:szCs w:val="28"/>
        </w:rPr>
        <w:t>43</w:t>
      </w:r>
      <w:r w:rsidRPr="00A96C26">
        <w:rPr>
          <w:rFonts w:ascii="Times New Roman" w:hAnsi="Times New Roman" w:cs="Times New Roman"/>
          <w:szCs w:val="28"/>
        </w:rPr>
        <w:t>].</w:t>
      </w:r>
    </w:p>
    <w:p w14:paraId="42A2B3F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Herbal Extract Transethosomes</w:t>
      </w:r>
    </w:p>
    <w:p w14:paraId="76DDF339" w14:textId="7E8E69E0"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Curcumin-loaded transethosomes (curcumin:phospholipid 1:20, menthol edge activator, size 115 nm, EE 82%) suppress TNF-α production by synovial macrophages in vitro by 60-70% at concentrations producing minimal effects with free curcumin [</w:t>
      </w:r>
      <w:r w:rsidR="00E544A9" w:rsidRPr="00A96C26">
        <w:rPr>
          <w:rFonts w:ascii="Times New Roman" w:hAnsi="Times New Roman" w:cs="Times New Roman"/>
          <w:szCs w:val="28"/>
        </w:rPr>
        <w:t>42</w:t>
      </w:r>
      <w:r w:rsidRPr="00A96C26">
        <w:rPr>
          <w:rFonts w:ascii="Times New Roman" w:hAnsi="Times New Roman" w:cs="Times New Roman"/>
          <w:szCs w:val="28"/>
        </w:rPr>
        <w:t>]. In vivo studies in adjuvant-induced arthritis demonstrate efficacy comparable to methotrexate [</w:t>
      </w:r>
      <w:r w:rsidR="00E544A9" w:rsidRPr="00A96C26">
        <w:rPr>
          <w:rFonts w:ascii="Times New Roman" w:hAnsi="Times New Roman" w:cs="Times New Roman"/>
          <w:szCs w:val="28"/>
        </w:rPr>
        <w:t>43</w:t>
      </w:r>
      <w:r w:rsidRPr="00A96C26">
        <w:rPr>
          <w:rFonts w:ascii="Times New Roman" w:hAnsi="Times New Roman" w:cs="Times New Roman"/>
          <w:szCs w:val="28"/>
        </w:rPr>
        <w:t>].</w:t>
      </w:r>
    </w:p>
    <w:p w14:paraId="3BC8C74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Combination Therapy Approaches</w:t>
      </w:r>
    </w:p>
    <w:p w14:paraId="20917BC2" w14:textId="27A92419"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MTX-loaded + dexamethasone-loaded transethosomes (dual-loaded formulations) achieve synergistic disease suppression in CIA models, with significantly lower cumulative toxicity than combination free drugs [</w:t>
      </w:r>
      <w:r w:rsidR="00E544A9" w:rsidRPr="00A96C26">
        <w:rPr>
          <w:rFonts w:ascii="Times New Roman" w:hAnsi="Times New Roman" w:cs="Times New Roman"/>
          <w:szCs w:val="28"/>
        </w:rPr>
        <w:t>43</w:t>
      </w:r>
      <w:r w:rsidRPr="00A96C26">
        <w:rPr>
          <w:rFonts w:ascii="Times New Roman" w:hAnsi="Times New Roman" w:cs="Times New Roman"/>
          <w:szCs w:val="28"/>
        </w:rPr>
        <w:t>].</w:t>
      </w:r>
    </w:p>
    <w:p w14:paraId="609BAF2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Table 4: Transethosomal Drug Candidates and Formulation Parameters</w:t>
      </w:r>
    </w:p>
    <w:tbl>
      <w:tblPr>
        <w:tblStyle w:val="TableGrid"/>
        <w:tblW w:w="0" w:type="auto"/>
        <w:tblLook w:val="04A0" w:firstRow="1" w:lastRow="0" w:firstColumn="1" w:lastColumn="0" w:noHBand="0" w:noVBand="1"/>
      </w:tblPr>
      <w:tblGrid>
        <w:gridCol w:w="1710"/>
        <w:gridCol w:w="1290"/>
        <w:gridCol w:w="1853"/>
        <w:gridCol w:w="1546"/>
        <w:gridCol w:w="1426"/>
        <w:gridCol w:w="1525"/>
      </w:tblGrid>
      <w:tr w:rsidR="00DC1CDC" w:rsidRPr="00A96C26" w14:paraId="57D9C42A" w14:textId="77777777" w:rsidTr="00DC1CDC">
        <w:tc>
          <w:tcPr>
            <w:tcW w:w="0" w:type="auto"/>
            <w:noWrap/>
            <w:hideMark/>
          </w:tcPr>
          <w:p w14:paraId="4F9BC0A3"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Drug</w:t>
            </w:r>
          </w:p>
        </w:tc>
        <w:tc>
          <w:tcPr>
            <w:tcW w:w="0" w:type="auto"/>
            <w:noWrap/>
            <w:hideMark/>
          </w:tcPr>
          <w:p w14:paraId="253A1A03"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Solubility</w:t>
            </w:r>
          </w:p>
        </w:tc>
        <w:tc>
          <w:tcPr>
            <w:tcW w:w="0" w:type="auto"/>
            <w:noWrap/>
            <w:hideMark/>
          </w:tcPr>
          <w:p w14:paraId="4104B50A"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Optimal Loading</w:t>
            </w:r>
          </w:p>
        </w:tc>
        <w:tc>
          <w:tcPr>
            <w:tcW w:w="0" w:type="auto"/>
            <w:noWrap/>
            <w:hideMark/>
          </w:tcPr>
          <w:p w14:paraId="6CA21334"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Typical EE %</w:t>
            </w:r>
          </w:p>
        </w:tc>
        <w:tc>
          <w:tcPr>
            <w:tcW w:w="0" w:type="auto"/>
            <w:noWrap/>
            <w:hideMark/>
          </w:tcPr>
          <w:p w14:paraId="20C7922D"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Advantage</w:t>
            </w:r>
          </w:p>
        </w:tc>
        <w:tc>
          <w:tcPr>
            <w:tcW w:w="0" w:type="auto"/>
            <w:noWrap/>
            <w:hideMark/>
          </w:tcPr>
          <w:p w14:paraId="233F8B8F"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Challenge</w:t>
            </w:r>
          </w:p>
        </w:tc>
      </w:tr>
      <w:tr w:rsidR="00DC1CDC" w:rsidRPr="00A96C26" w14:paraId="3F012DAB" w14:textId="77777777" w:rsidTr="00DC1CDC">
        <w:tc>
          <w:tcPr>
            <w:tcW w:w="0" w:type="auto"/>
            <w:hideMark/>
          </w:tcPr>
          <w:p w14:paraId="5847699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MTX</w:t>
            </w:r>
          </w:p>
        </w:tc>
        <w:tc>
          <w:tcPr>
            <w:tcW w:w="0" w:type="auto"/>
            <w:hideMark/>
          </w:tcPr>
          <w:p w14:paraId="46AA494D"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Hydrophilic</w:t>
            </w:r>
          </w:p>
        </w:tc>
        <w:tc>
          <w:tcPr>
            <w:tcW w:w="0" w:type="auto"/>
            <w:hideMark/>
          </w:tcPr>
          <w:p w14:paraId="0DCAF67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Remote loading/pH gradient</w:t>
            </w:r>
          </w:p>
        </w:tc>
        <w:tc>
          <w:tcPr>
            <w:tcW w:w="0" w:type="auto"/>
            <w:hideMark/>
          </w:tcPr>
          <w:p w14:paraId="3E5D6DB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70-85%</w:t>
            </w:r>
          </w:p>
        </w:tc>
        <w:tc>
          <w:tcPr>
            <w:tcW w:w="0" w:type="auto"/>
            <w:hideMark/>
          </w:tcPr>
          <w:p w14:paraId="2146304A"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Backbone DMARD; reduced toxicity</w:t>
            </w:r>
          </w:p>
        </w:tc>
        <w:tc>
          <w:tcPr>
            <w:tcW w:w="0" w:type="auto"/>
            <w:hideMark/>
          </w:tcPr>
          <w:p w14:paraId="1CB74C92"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Hydrophilicity complicates loading</w:t>
            </w:r>
          </w:p>
        </w:tc>
      </w:tr>
      <w:tr w:rsidR="00DC1CDC" w:rsidRPr="00A96C26" w14:paraId="24AE3928" w14:textId="77777777" w:rsidTr="00DC1CDC">
        <w:tc>
          <w:tcPr>
            <w:tcW w:w="0" w:type="auto"/>
            <w:hideMark/>
          </w:tcPr>
          <w:p w14:paraId="2B41CE8A"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Indomethacin</w:t>
            </w:r>
          </w:p>
        </w:tc>
        <w:tc>
          <w:tcPr>
            <w:tcW w:w="0" w:type="auto"/>
            <w:hideMark/>
          </w:tcPr>
          <w:p w14:paraId="169D60A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Lipophilic</w:t>
            </w:r>
          </w:p>
        </w:tc>
        <w:tc>
          <w:tcPr>
            <w:tcW w:w="0" w:type="auto"/>
            <w:hideMark/>
          </w:tcPr>
          <w:p w14:paraId="2E92667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Passive loading</w:t>
            </w:r>
          </w:p>
        </w:tc>
        <w:tc>
          <w:tcPr>
            <w:tcW w:w="0" w:type="auto"/>
            <w:hideMark/>
          </w:tcPr>
          <w:p w14:paraId="41720E7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85-95%</w:t>
            </w:r>
          </w:p>
        </w:tc>
        <w:tc>
          <w:tcPr>
            <w:tcW w:w="0" w:type="auto"/>
            <w:hideMark/>
          </w:tcPr>
          <w:p w14:paraId="4FA0E0C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High EE; GI sparing</w:t>
            </w:r>
          </w:p>
        </w:tc>
        <w:tc>
          <w:tcPr>
            <w:tcW w:w="0" w:type="auto"/>
            <w:hideMark/>
          </w:tcPr>
          <w:p w14:paraId="69DB7F4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Systemic toxicity still concern</w:t>
            </w:r>
          </w:p>
        </w:tc>
      </w:tr>
      <w:tr w:rsidR="00DC1CDC" w:rsidRPr="00A96C26" w14:paraId="174581E4" w14:textId="77777777" w:rsidTr="00DC1CDC">
        <w:tc>
          <w:tcPr>
            <w:tcW w:w="0" w:type="auto"/>
            <w:hideMark/>
          </w:tcPr>
          <w:p w14:paraId="4AD38B1F"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Dexamethasone</w:t>
            </w:r>
          </w:p>
        </w:tc>
        <w:tc>
          <w:tcPr>
            <w:tcW w:w="0" w:type="auto"/>
            <w:hideMark/>
          </w:tcPr>
          <w:p w14:paraId="308D0B1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Moderately lipophilic</w:t>
            </w:r>
          </w:p>
        </w:tc>
        <w:tc>
          <w:tcPr>
            <w:tcW w:w="0" w:type="auto"/>
            <w:hideMark/>
          </w:tcPr>
          <w:p w14:paraId="2DEE46BF"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Passive loading</w:t>
            </w:r>
          </w:p>
        </w:tc>
        <w:tc>
          <w:tcPr>
            <w:tcW w:w="0" w:type="auto"/>
            <w:hideMark/>
          </w:tcPr>
          <w:p w14:paraId="291CD06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75-88%</w:t>
            </w:r>
          </w:p>
        </w:tc>
        <w:tc>
          <w:tcPr>
            <w:tcW w:w="0" w:type="auto"/>
            <w:hideMark/>
          </w:tcPr>
          <w:p w14:paraId="5172B53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Potent anti-inflammatory</w:t>
            </w:r>
          </w:p>
        </w:tc>
        <w:tc>
          <w:tcPr>
            <w:tcW w:w="0" w:type="auto"/>
            <w:hideMark/>
          </w:tcPr>
          <w:p w14:paraId="389DC2C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Systemic side effects at high dose</w:t>
            </w:r>
          </w:p>
        </w:tc>
      </w:tr>
      <w:tr w:rsidR="00DC1CDC" w:rsidRPr="00A96C26" w14:paraId="353D24C1" w14:textId="77777777" w:rsidTr="00DC1CDC">
        <w:tc>
          <w:tcPr>
            <w:tcW w:w="0" w:type="auto"/>
            <w:hideMark/>
          </w:tcPr>
          <w:p w14:paraId="6094D38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Curcumin</w:t>
            </w:r>
          </w:p>
        </w:tc>
        <w:tc>
          <w:tcPr>
            <w:tcW w:w="0" w:type="auto"/>
            <w:hideMark/>
          </w:tcPr>
          <w:p w14:paraId="4882E73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Poorly soluble</w:t>
            </w:r>
          </w:p>
        </w:tc>
        <w:tc>
          <w:tcPr>
            <w:tcW w:w="0" w:type="auto"/>
            <w:hideMark/>
          </w:tcPr>
          <w:p w14:paraId="60EDCDC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Passive loading</w:t>
            </w:r>
          </w:p>
        </w:tc>
        <w:tc>
          <w:tcPr>
            <w:tcW w:w="0" w:type="auto"/>
            <w:hideMark/>
          </w:tcPr>
          <w:p w14:paraId="1DFD059F"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80-90%</w:t>
            </w:r>
          </w:p>
        </w:tc>
        <w:tc>
          <w:tcPr>
            <w:tcW w:w="0" w:type="auto"/>
            <w:hideMark/>
          </w:tcPr>
          <w:p w14:paraId="0ECD579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Natural; synergistic with MTX</w:t>
            </w:r>
          </w:p>
        </w:tc>
        <w:tc>
          <w:tcPr>
            <w:tcW w:w="0" w:type="auto"/>
            <w:hideMark/>
          </w:tcPr>
          <w:p w14:paraId="76A50EF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Limited clinical data</w:t>
            </w:r>
          </w:p>
        </w:tc>
      </w:tr>
      <w:tr w:rsidR="00DC1CDC" w:rsidRPr="00A96C26" w14:paraId="22B7C263" w14:textId="77777777" w:rsidTr="00DC1CDC">
        <w:tc>
          <w:tcPr>
            <w:tcW w:w="0" w:type="auto"/>
            <w:hideMark/>
          </w:tcPr>
          <w:p w14:paraId="05B7CAF8"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TNF-α inhibitors</w:t>
            </w:r>
          </w:p>
        </w:tc>
        <w:tc>
          <w:tcPr>
            <w:tcW w:w="0" w:type="auto"/>
            <w:hideMark/>
          </w:tcPr>
          <w:p w14:paraId="76F2512D"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Protein; large MW</w:t>
            </w:r>
          </w:p>
        </w:tc>
        <w:tc>
          <w:tcPr>
            <w:tcW w:w="0" w:type="auto"/>
            <w:hideMark/>
          </w:tcPr>
          <w:p w14:paraId="49211752"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Surface functionalization</w:t>
            </w:r>
          </w:p>
        </w:tc>
        <w:tc>
          <w:tcPr>
            <w:tcW w:w="0" w:type="auto"/>
            <w:hideMark/>
          </w:tcPr>
          <w:p w14:paraId="158874E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Variable</w:t>
            </w:r>
          </w:p>
        </w:tc>
        <w:tc>
          <w:tcPr>
            <w:tcW w:w="0" w:type="auto"/>
            <w:hideMark/>
          </w:tcPr>
          <w:p w14:paraId="2EF908F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Target key cytokine</w:t>
            </w:r>
          </w:p>
        </w:tc>
        <w:tc>
          <w:tcPr>
            <w:tcW w:w="0" w:type="auto"/>
            <w:hideMark/>
          </w:tcPr>
          <w:p w14:paraId="22DA108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Technical encapsulation difficulty</w:t>
            </w:r>
          </w:p>
        </w:tc>
      </w:tr>
    </w:tbl>
    <w:p w14:paraId="02879D84" w14:textId="59F3F1C8" w:rsidR="00DC1CDC" w:rsidRPr="00A96C26" w:rsidRDefault="00D43944" w:rsidP="00315EE3">
      <w:pPr>
        <w:jc w:val="both"/>
        <w:rPr>
          <w:rFonts w:ascii="Times New Roman" w:hAnsi="Times New Roman" w:cs="Times New Roman"/>
          <w:szCs w:val="28"/>
        </w:rPr>
      </w:pPr>
      <w:r w:rsidRPr="00D43944">
        <w:rPr>
          <w:rFonts w:ascii="Times New Roman" w:hAnsi="Times New Roman" w:cs="Times New Roman"/>
          <w:szCs w:val="28"/>
        </w:rPr>
        <w:t>MTX – Methotrexate; EE – Entrapment Efficiency; DMARD – Disease-Modifying Antirheumatic Drug; GI – Gastrointestinal; TNF-α – Tumor Necrosis Factor-alpha; MW – Molecular Weight.</w:t>
      </w:r>
    </w:p>
    <w:p w14:paraId="24BEE3B3"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6. Preclinical Evidence &amp; Research Findings</w:t>
      </w:r>
    </w:p>
    <w:p w14:paraId="4A32127C"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6.1 In Vitro Studies</w:t>
      </w:r>
    </w:p>
    <w:p w14:paraId="7DFBEB52"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Permeation Studies (Franz Diffusion Cells)</w:t>
      </w:r>
    </w:p>
    <w:p w14:paraId="447FA58B" w14:textId="59113D0A"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Franz diffusion cell studies represent the gold-standard in vitro methodology for quantifying drug permeation across biological barriers and comparing transethosomal formulations to conventional alternatives. The Franz cell apparatus consists of donor and receptor compartments separated by a biological membrane (typically human or animal skin, or synovial tissue membrane preparations), maintained at 37°C with continuous magnetic stirring to simulate physiological conditions . Drug formulations are applied to the donor compartment, and samples are periodically withdrawn from the receptor compartment and analyzed via HPLC to quantify cumulative drug permeation over time [</w:t>
      </w:r>
      <w:r w:rsidR="00676188" w:rsidRPr="00A96C26">
        <w:rPr>
          <w:rFonts w:ascii="Times New Roman" w:hAnsi="Times New Roman" w:cs="Times New Roman"/>
          <w:szCs w:val="28"/>
        </w:rPr>
        <w:t>44</w:t>
      </w:r>
      <w:r w:rsidRPr="00A96C26">
        <w:rPr>
          <w:rFonts w:ascii="Times New Roman" w:hAnsi="Times New Roman" w:cs="Times New Roman"/>
          <w:szCs w:val="28"/>
        </w:rPr>
        <w:t>]. Permeation studies comparing methotrexate-loaded transethosomes to free MTX and MTX-loaded conventional liposomes demonstrate remarkable quantitative differences: MTX transethosomes achieve cumulative permeation of 65-75% across skin over 24 hours, compared to only 15-20% for free MTX and 30-40% for conventional liposomes [</w:t>
      </w:r>
      <w:r w:rsidR="00676188" w:rsidRPr="00A96C26">
        <w:rPr>
          <w:rFonts w:ascii="Times New Roman" w:hAnsi="Times New Roman" w:cs="Times New Roman"/>
          <w:szCs w:val="28"/>
        </w:rPr>
        <w:t>45,46</w:t>
      </w:r>
      <w:r w:rsidRPr="00A96C26">
        <w:rPr>
          <w:rFonts w:ascii="Times New Roman" w:hAnsi="Times New Roman" w:cs="Times New Roman"/>
          <w:szCs w:val="28"/>
        </w:rPr>
        <w:t xml:space="preserve">]. </w:t>
      </w:r>
    </w:p>
    <w:p w14:paraId="6FFEAFF7"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Cellular Uptake &amp; Cytotoxicity</w:t>
      </w:r>
    </w:p>
    <w:p w14:paraId="18B19B35" w14:textId="313163D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lastRenderedPageBreak/>
        <w:t>Quantitative cellular uptake studies employing fluorescently labeled transethosomes and flow cytometry or confocal microscopy consistently demonstrate superior transethosomal internalization compared to conventional liposomes across multiple cell types relevant to RA pathogenesis. In primary human synovial fibroblasts, incubation with DiI-labeled (lipophilic dye) transethosomes at 10 μg/mL lipid concentration for 2 hours results in mean fluorescence intensity (MFI) measurements of 850-1050 arbitrary units, compared to 250-350 units for equivalent conventional liposomes and 80-120 units for free dye. Quantitative assessment indicates that synovial fibroblasts internalize 3-4 fold higher amounts of transethosomal lipid compared to conventional liposomes [</w:t>
      </w:r>
      <w:r w:rsidR="00676188" w:rsidRPr="00A96C26">
        <w:rPr>
          <w:rFonts w:ascii="Times New Roman" w:hAnsi="Times New Roman" w:cs="Times New Roman"/>
          <w:szCs w:val="28"/>
        </w:rPr>
        <w:t>46,47</w:t>
      </w:r>
      <w:r w:rsidRPr="00A96C26">
        <w:rPr>
          <w:rFonts w:ascii="Times New Roman" w:hAnsi="Times New Roman" w:cs="Times New Roman"/>
          <w:szCs w:val="28"/>
        </w:rPr>
        <w:t>].</w:t>
      </w:r>
    </w:p>
    <w:p w14:paraId="709BF91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Inflammatory Marker Reduction</w:t>
      </w:r>
    </w:p>
    <w:p w14:paraId="2FACA902" w14:textId="46CA0E68" w:rsidR="00676188"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primary objective of RA therapeutics is suppression of synovial inflammation, assessed through quantification of pro-inflammatory cytokines, chemokines, and inflammatory mediators in culture supernatants of activated synovial cells. In vitro stimulation of synovial fibroblasts and macrophages with TNF-α (10 ng/mL) and/or lipopolysaccharide (LPS, 100 ng/mL) induces robust production of IL-6, TNF-α, IL-8, GM-CSF, and other inflammatory mediators that can be suppressed by therapeutic compounds. Treatment of TNF-α/LPS-stimulated synovial fibroblasts with methotrexate-loaded transethosomes at </w:t>
      </w:r>
      <w:r w:rsidR="00A666A6" w:rsidRPr="00A96C26">
        <w:rPr>
          <w:rFonts w:ascii="Times New Roman" w:hAnsi="Times New Roman" w:cs="Times New Roman"/>
          <w:szCs w:val="28"/>
        </w:rPr>
        <w:t>a 1 μM MTX-equivalent</w:t>
      </w:r>
      <w:r w:rsidRPr="00A96C26">
        <w:rPr>
          <w:rFonts w:ascii="Times New Roman" w:hAnsi="Times New Roman" w:cs="Times New Roman"/>
          <w:szCs w:val="28"/>
        </w:rPr>
        <w:t xml:space="preserve"> concentration produces 60-70% suppression of IL-6 production (measured by ELISA in culture supernatants) compared to baseline inflammatory levels [</w:t>
      </w:r>
      <w:r w:rsidR="00676188" w:rsidRPr="00A96C26">
        <w:rPr>
          <w:rFonts w:ascii="Times New Roman" w:hAnsi="Times New Roman" w:cs="Times New Roman"/>
          <w:szCs w:val="28"/>
        </w:rPr>
        <w:t>47,48</w:t>
      </w:r>
      <w:r w:rsidRPr="00A96C26">
        <w:rPr>
          <w:rFonts w:ascii="Times New Roman" w:hAnsi="Times New Roman" w:cs="Times New Roman"/>
          <w:szCs w:val="28"/>
        </w:rPr>
        <w:t xml:space="preserve">]. </w:t>
      </w:r>
    </w:p>
    <w:p w14:paraId="74406497" w14:textId="2240EC0E"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6.2 Ex Vivo Models</w:t>
      </w:r>
    </w:p>
    <w:p w14:paraId="655FEDB6"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Skin Penetration</w:t>
      </w:r>
    </w:p>
    <w:p w14:paraId="2C2F5EDF" w14:textId="58437E9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Ex vivo skin penetration studies employ excised human or animal skin mounted in Franz diffusion cells, providing more physiologically relevant assessment than purely in vitro membrane studies while avoiding systemic absorption complications of in vivo models. Fresh or cryopreserved human skin (typically abdominal skin) is mounted with dermal side in the receptor compartment and stratum corneum side in the donor compartment, maintaining 37°C and physiological pH. After 24 hours of transdermal application of drug formulations, the skin can be sectioned horizontally into sequential layers (stratum corneum, viable epidermis, dermis) using a microtome or cryotome, with drug content in each layer quantified via HPLC [</w:t>
      </w:r>
      <w:r w:rsidR="00A666A6" w:rsidRPr="00A96C26">
        <w:rPr>
          <w:rFonts w:ascii="Times New Roman" w:hAnsi="Times New Roman" w:cs="Times New Roman"/>
          <w:szCs w:val="28"/>
        </w:rPr>
        <w:t>47,48</w:t>
      </w:r>
      <w:r w:rsidRPr="00A96C26">
        <w:rPr>
          <w:rFonts w:ascii="Times New Roman" w:hAnsi="Times New Roman" w:cs="Times New Roman"/>
          <w:szCs w:val="28"/>
        </w:rPr>
        <w:t xml:space="preserve">]. </w:t>
      </w:r>
    </w:p>
    <w:p w14:paraId="30575F3D"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Synovial Tissue Interaction</w:t>
      </w:r>
    </w:p>
    <w:p w14:paraId="0A5E46FD" w14:textId="1CB220C3"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Synovial tissue explants (typically 1-2 cm diameter pieces of synovial tissue from patients undergoing joint replacement surgery or arthroscopy) represent a more relevant model for RA applications than skin [</w:t>
      </w:r>
      <w:r w:rsidR="005530F6" w:rsidRPr="00A96C26">
        <w:rPr>
          <w:rFonts w:ascii="Times New Roman" w:hAnsi="Times New Roman" w:cs="Times New Roman"/>
          <w:szCs w:val="28"/>
        </w:rPr>
        <w:t>49</w:t>
      </w:r>
      <w:r w:rsidRPr="00A96C26">
        <w:rPr>
          <w:rFonts w:ascii="Times New Roman" w:hAnsi="Times New Roman" w:cs="Times New Roman"/>
          <w:szCs w:val="28"/>
        </w:rPr>
        <w:t xml:space="preserve">]. Explants are cultured in serum-free medium at 37°C in 5% CO₂, with transethosomal or comparison formulations added to the culture medium. After 2-4 hours of incubation, explants are embedded in OCT medium, frozen, and sectioned (10 μm thick cryosections) for analysis. Immunofluorescence staining for the transethosomal lipid label (DiI, </w:t>
      </w:r>
      <w:r w:rsidRPr="00A96C26">
        <w:rPr>
          <w:rFonts w:ascii="Times New Roman" w:hAnsi="Times New Roman" w:cs="Times New Roman"/>
          <w:szCs w:val="28"/>
        </w:rPr>
        <w:lastRenderedPageBreak/>
        <w:t>DiO, or equivalent) combined with DAPI nuclear staining reveals transethosomal distribution within tissue [</w:t>
      </w:r>
      <w:r w:rsidR="005530F6" w:rsidRPr="00A96C26">
        <w:rPr>
          <w:rFonts w:ascii="Times New Roman" w:hAnsi="Times New Roman" w:cs="Times New Roman"/>
          <w:szCs w:val="28"/>
        </w:rPr>
        <w:t>50,51</w:t>
      </w:r>
      <w:r w:rsidRPr="00A96C26">
        <w:rPr>
          <w:rFonts w:ascii="Times New Roman" w:hAnsi="Times New Roman" w:cs="Times New Roman"/>
          <w:szCs w:val="28"/>
        </w:rPr>
        <w:t xml:space="preserve">]. </w:t>
      </w:r>
    </w:p>
    <w:p w14:paraId="5DD6126D"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6.3 In Vivo Animal Models</w:t>
      </w:r>
    </w:p>
    <w:p w14:paraId="788DDA7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Arthritis Induction Models (CIA, AIA)</w:t>
      </w:r>
    </w:p>
    <w:p w14:paraId="75037653" w14:textId="6700DACE"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Collagen-induced arthritis (CIA) and adjuvant-induced arthritis (AIA) represent the two most widely employed preclinical animal models for assessing RA therapeutics efficacy and safety. CIA involves immunization of susceptible strains (typically DBA/1 or C57BL/6 mice, or Lewis rats) with bovine or chick type II collagen emulsified in complete Freund's adjuvant (CFA), inducing adaptive immune responses against endogenous collagen present in joint tissue. This model recapitulates key immunological features of RA including anti-collagen antibodies, T-cell mediated responses, and progressive erosive joint inflammation [</w:t>
      </w:r>
      <w:r w:rsidR="005530F6" w:rsidRPr="00A96C26">
        <w:rPr>
          <w:rFonts w:ascii="Times New Roman" w:hAnsi="Times New Roman" w:cs="Times New Roman"/>
          <w:szCs w:val="28"/>
        </w:rPr>
        <w:t>52</w:t>
      </w:r>
      <w:r w:rsidRPr="00A96C26">
        <w:rPr>
          <w:rFonts w:ascii="Times New Roman" w:hAnsi="Times New Roman" w:cs="Times New Roman"/>
          <w:szCs w:val="28"/>
        </w:rPr>
        <w:t>]. Disease typically initiates 3-4 weeks post-immunization and progresses over 8-12 weeks if untreated [</w:t>
      </w:r>
      <w:r w:rsidR="005530F6" w:rsidRPr="00A96C26">
        <w:rPr>
          <w:rFonts w:ascii="Times New Roman" w:hAnsi="Times New Roman" w:cs="Times New Roman"/>
          <w:szCs w:val="28"/>
        </w:rPr>
        <w:t>51,52</w:t>
      </w:r>
      <w:r w:rsidRPr="00A96C26">
        <w:rPr>
          <w:rFonts w:ascii="Times New Roman" w:hAnsi="Times New Roman" w:cs="Times New Roman"/>
          <w:szCs w:val="28"/>
        </w:rPr>
        <w:t xml:space="preserve">]. </w:t>
      </w:r>
    </w:p>
    <w:p w14:paraId="20DF3FAC"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Efficacy Comparisons vs. Conventional Formulations</w:t>
      </w:r>
    </w:p>
    <w:p w14:paraId="2F9A6428" w14:textId="2549455D"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In vivo efficacy studies in CIA or AIA models typically involve induction of arthritis, randomization of mice/rats into treatment groups (vehicle control, free drug, conventional liposomal drug, transethosomal drug) at treatment initiation, and assessment of disease progression over 4-8 weeks. Primary efficacy endpoints include paw thickness (measured daily using digital calipers), clinical arthritis score (0-4 scale assessing redness, swelling, and mobility), and radiographic scoring of joint erosions. Mechanistic endpoints include histopathological assessment (inflammation score, pannus formation, cartilage erosion, bone erosion on H&amp;E and safranin-O staining), immunological markers (anti-collagen or anti-CII antibodies, synovial cytokine production), and molecular markers (synovial MMP-9 and -13 activity, RANKL expression). Representative studies in CIA models demonstrate that MTX-loaded transethosomes at 0.5-1.0 mg/kg dose (administered intra-articularly twice weekly) produce 65-75% reduction in paw thickness and clinical arthritis score suppression compared to vehicle controls, with maximal effects evident by week 3-4 [</w:t>
      </w:r>
      <w:r w:rsidR="005530F6" w:rsidRPr="00A96C26">
        <w:rPr>
          <w:rFonts w:ascii="Times New Roman" w:hAnsi="Times New Roman" w:cs="Times New Roman"/>
          <w:szCs w:val="28"/>
        </w:rPr>
        <w:t>52,53</w:t>
      </w:r>
      <w:r w:rsidRPr="00A96C26">
        <w:rPr>
          <w:rFonts w:ascii="Times New Roman" w:hAnsi="Times New Roman" w:cs="Times New Roman"/>
          <w:szCs w:val="28"/>
        </w:rPr>
        <w:t xml:space="preserve">]. </w:t>
      </w:r>
    </w:p>
    <w:p w14:paraId="51010E9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Pharmacokinetic Profiles</w:t>
      </w:r>
    </w:p>
    <w:p w14:paraId="309ADD87" w14:textId="4603ACC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Pharmacokinetic (PK) studies characterize drug absorption, distribution, metabolism, and elimination following transethosomal administration, employing radiolabeled or fluorescently labeled drug or carrier to track movement through the body [</w:t>
      </w:r>
      <w:r w:rsidR="005530F6" w:rsidRPr="00A96C26">
        <w:rPr>
          <w:rFonts w:ascii="Times New Roman" w:hAnsi="Times New Roman" w:cs="Times New Roman"/>
          <w:szCs w:val="28"/>
        </w:rPr>
        <w:t>52</w:t>
      </w:r>
      <w:r w:rsidRPr="00A96C26">
        <w:rPr>
          <w:rFonts w:ascii="Times New Roman" w:hAnsi="Times New Roman" w:cs="Times New Roman"/>
          <w:szCs w:val="28"/>
        </w:rPr>
        <w:t>]. Following intra-articular injection of ¹⁴C-labeled MTX-loaded transethosomes (or equivalent radioisotope labeling of conventional formulations) into CIA mice, blood samples are collected serially over 48-72 hours, with plasma separated and radioactivity quantified via liquid scintillation counting [</w:t>
      </w:r>
      <w:r w:rsidR="005530F6" w:rsidRPr="00A96C26">
        <w:rPr>
          <w:rFonts w:ascii="Times New Roman" w:hAnsi="Times New Roman" w:cs="Times New Roman"/>
          <w:szCs w:val="28"/>
        </w:rPr>
        <w:t>53</w:t>
      </w:r>
      <w:r w:rsidRPr="00A96C26">
        <w:rPr>
          <w:rFonts w:ascii="Times New Roman" w:hAnsi="Times New Roman" w:cs="Times New Roman"/>
          <w:szCs w:val="28"/>
        </w:rPr>
        <w:t>]. Pharmacokinetic parameters including peak plasma concentration (Cmax), time to peak (Tmax), area under the curve (AUC), and half-life (t₁/₂) are calculated [</w:t>
      </w:r>
      <w:r w:rsidR="005530F6" w:rsidRPr="00A96C26">
        <w:rPr>
          <w:rFonts w:ascii="Times New Roman" w:hAnsi="Times New Roman" w:cs="Times New Roman"/>
          <w:szCs w:val="28"/>
        </w:rPr>
        <w:t>54,55</w:t>
      </w:r>
      <w:r w:rsidRPr="00A96C26">
        <w:rPr>
          <w:rFonts w:ascii="Times New Roman" w:hAnsi="Times New Roman" w:cs="Times New Roman"/>
          <w:szCs w:val="28"/>
        </w:rPr>
        <w:t xml:space="preserve">]. </w:t>
      </w:r>
    </w:p>
    <w:p w14:paraId="40314FD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Safety &amp; Tolerability Data</w:t>
      </w:r>
    </w:p>
    <w:p w14:paraId="3ED1F0F5" w14:textId="7481C354"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lastRenderedPageBreak/>
        <w:t>Safety assessment of transethosomal formulations employs multiple complementary approaches: clinical monitoring (body weight, behavior, water/food intake) throughout the study; blood chemistry and hematology at endpoint (serum ALT, AST, creatinine, albumin, hemoglobin, white blood cell count); histopathological examination of liver, kidney, and bone marrow; and assessment of local joint tolerance [</w:t>
      </w:r>
      <w:r w:rsidR="005530F6" w:rsidRPr="00A96C26">
        <w:rPr>
          <w:rFonts w:ascii="Times New Roman" w:hAnsi="Times New Roman" w:cs="Times New Roman"/>
          <w:szCs w:val="28"/>
        </w:rPr>
        <w:t>52</w:t>
      </w:r>
      <w:r w:rsidRPr="00A96C26">
        <w:rPr>
          <w:rFonts w:ascii="Times New Roman" w:hAnsi="Times New Roman" w:cs="Times New Roman"/>
          <w:szCs w:val="28"/>
        </w:rPr>
        <w:t>]. In CIA studies with MTX-loaded transethosomes at doses producing maximal efficacy (0.5-1.0 mg/kg intra-articularly twice weekly for 4-8 weeks), representative safety data demonstrate: body weight maintenance equivalent to vehicle controls (no weight loss attributable to MTX treatment); liver enzyme levels (ALT, AST) within normal ranges in transethosomal MTX group, compared to 2-3 fold elevations in free MTX or conventional liposomal MTX groups; white blood cell counts and hemoglobin levels maintained near baseline in transethosomal group, versus 20-30% reductions in systemic MTX groups [</w:t>
      </w:r>
      <w:r w:rsidR="005530F6" w:rsidRPr="00A96C26">
        <w:rPr>
          <w:rFonts w:ascii="Times New Roman" w:hAnsi="Times New Roman" w:cs="Times New Roman"/>
          <w:szCs w:val="28"/>
        </w:rPr>
        <w:t>53,54</w:t>
      </w:r>
      <w:r w:rsidRPr="00A96C26">
        <w:rPr>
          <w:rFonts w:ascii="Times New Roman" w:hAnsi="Times New Roman" w:cs="Times New Roman"/>
          <w:szCs w:val="28"/>
        </w:rPr>
        <w:t xml:space="preserve">]. </w:t>
      </w:r>
    </w:p>
    <w:p w14:paraId="2B878271"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7. Clinical Advantages &amp; Potential Benefits</w:t>
      </w:r>
    </w:p>
    <w:p w14:paraId="08A3E3B9"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7.1 Superior Efficacy</w:t>
      </w:r>
    </w:p>
    <w:p w14:paraId="1263EC4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Increased Bioavailability</w:t>
      </w:r>
    </w:p>
    <w:p w14:paraId="1E6D1360" w14:textId="6DA6F9B1"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Transethosomal formulations achieve substantially superior drug bioavailability compared to conventional formulations through multiple synergistic mechanisms operating at gastrointestinal, tissue, and cellular levels. For methotrexate, the flagship DMARD therapy for RA, oral bioavailability remains one of the major clinical limitations of conventional therapy; oral MTX demonstrates bioavailability of only 30-70% with considerable inter-individual variability that necessitates therapeutic drug monitoring and frequent dose adjustments. Transethosomal MTX formulations designed for oral administration potentially achieve bioavailability of 75-90% through enhanced intestinal epithelial penetration via the deformable vesicles, bypassing the carrier-mediated active transport limitations that restrict conventional MTX absorption [</w:t>
      </w:r>
      <w:r w:rsidR="005530F6" w:rsidRPr="00A96C26">
        <w:rPr>
          <w:rFonts w:ascii="Times New Roman" w:hAnsi="Times New Roman" w:cs="Times New Roman"/>
          <w:szCs w:val="28"/>
        </w:rPr>
        <w:t>53,54</w:t>
      </w:r>
      <w:r w:rsidRPr="00A96C26">
        <w:rPr>
          <w:rFonts w:ascii="Times New Roman" w:hAnsi="Times New Roman" w:cs="Times New Roman"/>
          <w:szCs w:val="28"/>
        </w:rPr>
        <w:t>]. This increased oral bioavailability translates to more predictable plasma concentrations and more consistent intracellular MTX levels within synovial cells, enabling more stable disease control with less frequent dose adjustments [</w:t>
      </w:r>
      <w:r w:rsidR="005530F6" w:rsidRPr="00A96C26">
        <w:rPr>
          <w:rFonts w:ascii="Times New Roman" w:hAnsi="Times New Roman" w:cs="Times New Roman"/>
          <w:szCs w:val="28"/>
        </w:rPr>
        <w:t>53</w:t>
      </w:r>
      <w:r w:rsidRPr="00A96C26">
        <w:rPr>
          <w:rFonts w:ascii="Times New Roman" w:hAnsi="Times New Roman" w:cs="Times New Roman"/>
          <w:szCs w:val="28"/>
        </w:rPr>
        <w:t xml:space="preserve">]. </w:t>
      </w:r>
    </w:p>
    <w:p w14:paraId="598D15B4"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Better Synovial Targeting</w:t>
      </w:r>
    </w:p>
    <w:p w14:paraId="14866D57" w14:textId="56D73BD6"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The preferential accumulation of transethosomes in inflamed synovial tissue through the enhanced permeability and retention (EPR) effect represents a fundamental advantage over conventional formulations that distribute systemically without tissue selectivity. Quantitative biodistribution studies employing radiolabeled transethosomes demonstrate that inflamed RA joints accumulate 10-20 fold higher transethosomal concentrations than healthy non-inflamed joints, and 3-5 fold higher concentrations than systemic blood compartment at 4-8 hours post-administration. This remarkable selectivity for inflamed tissue arises from the unique combination of increased vascular permeability in inflamed synovium (permitting extravasation of 100-200 nm particles while restricting them from healthy tissue), reduced lymphatic clearance in inflamed joints (due to inflammatory-induced lymphatic dysfunction), and the nanoscale size of transethosomes (optimal </w:t>
      </w:r>
      <w:r w:rsidRPr="00A96C26">
        <w:rPr>
          <w:rFonts w:ascii="Times New Roman" w:hAnsi="Times New Roman" w:cs="Times New Roman"/>
          <w:szCs w:val="28"/>
        </w:rPr>
        <w:lastRenderedPageBreak/>
        <w:t>for EPR-mediated targeting) [</w:t>
      </w:r>
      <w:r w:rsidR="005530F6" w:rsidRPr="00A96C26">
        <w:rPr>
          <w:rFonts w:ascii="Times New Roman" w:hAnsi="Times New Roman" w:cs="Times New Roman"/>
          <w:szCs w:val="28"/>
        </w:rPr>
        <w:t>53</w:t>
      </w:r>
      <w:r w:rsidRPr="00A96C26">
        <w:rPr>
          <w:rFonts w:ascii="Times New Roman" w:hAnsi="Times New Roman" w:cs="Times New Roman"/>
          <w:szCs w:val="28"/>
        </w:rPr>
        <w:t>]. In contrast, conventional free drugs or non-targeted liposomes distribute relatively non-selectively throughout the body, with synovial concentrations only marginally elevated (if at all) relative to plasma concentrations [</w:t>
      </w:r>
      <w:r w:rsidR="005530F6" w:rsidRPr="00A96C26">
        <w:rPr>
          <w:rFonts w:ascii="Times New Roman" w:hAnsi="Times New Roman" w:cs="Times New Roman"/>
          <w:szCs w:val="28"/>
        </w:rPr>
        <w:t>53,54</w:t>
      </w:r>
      <w:r w:rsidRPr="00A96C26">
        <w:rPr>
          <w:rFonts w:ascii="Times New Roman" w:hAnsi="Times New Roman" w:cs="Times New Roman"/>
          <w:szCs w:val="28"/>
        </w:rPr>
        <w:t xml:space="preserve">]. </w:t>
      </w:r>
    </w:p>
    <w:p w14:paraId="041D5902"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Enhanced Anti-Inflammatory Response</w:t>
      </w:r>
    </w:p>
    <w:p w14:paraId="3ACF8C30" w14:textId="3ECED414" w:rsidR="005530F6"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The superior anti-inflammatory efficacy of transethosomal formulations manifests through multiple complementary mechanisms operating synergistically to maximize suppression of RA disease pathogenesis. The increased intracellular drug bioavailability achieved through transethosomal delivery enables more effective engagement of intracellular drug targets; for example, methotrexate functions as a cytoplasmic dihydrofolate reductase inhibitor, and the 3-5 fold higher intracellular MTX concentrations achieved via transethosomes produce proportionally greater DHFR inhibition and downstream suppression of nucleotide synthesis and inflammatory gene expression. The combination of enhanced synovial tissue penetration and cellular uptake means that transethosomes effectively deliver drug to all cellular compartments within the inflamed synovium</w:t>
      </w:r>
      <w:r w:rsidR="00321525" w:rsidRPr="00A96C26">
        <w:rPr>
          <w:rFonts w:ascii="Times New Roman" w:hAnsi="Times New Roman" w:cs="Times New Roman"/>
          <w:szCs w:val="28"/>
        </w:rPr>
        <w:t xml:space="preserve"> </w:t>
      </w:r>
      <w:r w:rsidRPr="00A96C26">
        <w:rPr>
          <w:rFonts w:ascii="Times New Roman" w:hAnsi="Times New Roman" w:cs="Times New Roman"/>
          <w:szCs w:val="28"/>
        </w:rPr>
        <w:t>synovial lining cells, sublining macrophages, activated fibroblasts, infiltrating T-cells and B-cells</w:t>
      </w:r>
      <w:r w:rsidR="00321525" w:rsidRPr="00A96C26">
        <w:rPr>
          <w:rFonts w:ascii="Times New Roman" w:hAnsi="Times New Roman" w:cs="Times New Roman"/>
          <w:szCs w:val="28"/>
        </w:rPr>
        <w:t xml:space="preserve"> </w:t>
      </w:r>
      <w:r w:rsidRPr="00A96C26">
        <w:rPr>
          <w:rFonts w:ascii="Times New Roman" w:hAnsi="Times New Roman" w:cs="Times New Roman"/>
          <w:szCs w:val="28"/>
        </w:rPr>
        <w:t>rather than concentrating primarily at the tissue surface as conventional formulations do. This comprehensive cellular targeting enables suppression of inflammatory processes throughout the synovial depth, not just superficial layers [</w:t>
      </w:r>
      <w:r w:rsidR="005530F6" w:rsidRPr="00A96C26">
        <w:rPr>
          <w:rFonts w:ascii="Times New Roman" w:hAnsi="Times New Roman" w:cs="Times New Roman"/>
          <w:szCs w:val="28"/>
        </w:rPr>
        <w:t>53,54,55</w:t>
      </w:r>
      <w:r w:rsidRPr="00A96C26">
        <w:rPr>
          <w:rFonts w:ascii="Times New Roman" w:hAnsi="Times New Roman" w:cs="Times New Roman"/>
          <w:szCs w:val="28"/>
        </w:rPr>
        <w:t xml:space="preserve">]. </w:t>
      </w:r>
    </w:p>
    <w:p w14:paraId="45EF89EB" w14:textId="441027B1"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7.2 Reduced Systemic Side Effects</w:t>
      </w:r>
    </w:p>
    <w:p w14:paraId="118AD83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Lower Systemic Exposure</w:t>
      </w:r>
    </w:p>
    <w:p w14:paraId="169643CD" w14:textId="774E6CC9"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The fundamental mechanism enabling dramatically reduced systemic side effects of transethosomal formulations is the preferential synovial tissue accumulation and cellular sequestration that minimizes the free drug concentration in systemic circulation and extra-articular tissues. Pharmacokinetic studies comparing methotrexate-loaded transethosomes to free MTX and conventional liposomal MTX following intra-articular or periarticular injection demonstrate remarkable differences in systemic MTX exposure: transethosomal MTX achieves peak plasma MTX concentration (Cmax) of 1.5-2.5 μM, compared to 8-12 μM for free MTX and 5-7 μM for conventional liposomal MTX at equivalent doses. The area under the plasma concentration-time curve (AUC), a measure of total systemic drug exposure, is correspondingly 4-8 fold lower for transethosomal MTX compared to free MTX. This dramatically reduced systemic exposure arises from multiple mechanisms: the preferential extravasation of transethosomes into inflamed synovial tissue removes a substantial fraction of the injected dose from the systemic circulation; the cellular uptake and sequestration of transethosomes by macrophages and dendritic cells within synovial tissue further reduces the circulating free drug concentration; and the encapsulation of MTX within the transethosomal lipid bilayer makes it unavailable for immediate binding to plasma proteins and cellular targets outside the joint</w:t>
      </w:r>
      <w:r w:rsidR="005530F6" w:rsidRPr="00A96C26">
        <w:rPr>
          <w:rFonts w:ascii="Times New Roman" w:hAnsi="Times New Roman" w:cs="Times New Roman"/>
          <w:szCs w:val="28"/>
        </w:rPr>
        <w:t>.</w:t>
      </w:r>
    </w:p>
    <w:p w14:paraId="1DB3C653"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Decreased Hepatotoxicity (Especially MTX)</w:t>
      </w:r>
    </w:p>
    <w:p w14:paraId="14CC1022" w14:textId="5BE058CE"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lastRenderedPageBreak/>
        <w:t>Methotrexate-induced hepatotoxicity represents one of the most serious dose-limiting adverse effects in RA management, affecting 10-30% of patients on chronic therapy and potentially progressing to cirrhosis and hepatic failure [</w:t>
      </w:r>
      <w:r w:rsidR="005530F6" w:rsidRPr="00A96C26">
        <w:rPr>
          <w:rFonts w:ascii="Times New Roman" w:hAnsi="Times New Roman" w:cs="Times New Roman"/>
          <w:szCs w:val="28"/>
        </w:rPr>
        <w:t>53</w:t>
      </w:r>
      <w:r w:rsidRPr="00A96C26">
        <w:rPr>
          <w:rFonts w:ascii="Times New Roman" w:hAnsi="Times New Roman" w:cs="Times New Roman"/>
          <w:szCs w:val="28"/>
        </w:rPr>
        <w:t>]. MTX hepatotoxicity arises through multiple mechanisms: MTX accumulation in hepatocytes triggers oxidative stress through mitochondrial dysfunction; MTX metabolites generate reactive oxygen species that cause lipid peroxidation and hepatocyte apoptosis; chronic MTX exposure depletes folate cofactors essential for hepatocyte methylation and nucleotide synthesis; and MTX-induced inflammation recruits immune cells that perpetuate hepatic injury [</w:t>
      </w:r>
      <w:r w:rsidR="005530F6" w:rsidRPr="00A96C26">
        <w:rPr>
          <w:rFonts w:ascii="Times New Roman" w:hAnsi="Times New Roman" w:cs="Times New Roman"/>
          <w:szCs w:val="28"/>
        </w:rPr>
        <w:t>52</w:t>
      </w:r>
      <w:r w:rsidRPr="00A96C26">
        <w:rPr>
          <w:rFonts w:ascii="Times New Roman" w:hAnsi="Times New Roman" w:cs="Times New Roman"/>
          <w:szCs w:val="28"/>
        </w:rPr>
        <w:t>]. The risk of hepatotoxicity increases substantially with cumulative MTX dose, chronic alcohol use, obesity, and pre-existing hepatic disease [</w:t>
      </w:r>
      <w:r w:rsidR="005530F6" w:rsidRPr="00A96C26">
        <w:rPr>
          <w:rFonts w:ascii="Times New Roman" w:hAnsi="Times New Roman" w:cs="Times New Roman"/>
          <w:szCs w:val="28"/>
        </w:rPr>
        <w:t>53.54.55</w:t>
      </w:r>
      <w:r w:rsidRPr="00A96C26">
        <w:rPr>
          <w:rFonts w:ascii="Times New Roman" w:hAnsi="Times New Roman" w:cs="Times New Roman"/>
          <w:szCs w:val="28"/>
        </w:rPr>
        <w:t xml:space="preserve">]. </w:t>
      </w:r>
    </w:p>
    <w:p w14:paraId="71CAC671" w14:textId="2A61D93A"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21DE8CC3" wp14:editId="58EC2990">
            <wp:extent cx="5943600" cy="2407920"/>
            <wp:effectExtent l="0" t="0" r="0" b="0"/>
            <wp:docPr id="1276004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41" b="20078"/>
                    <a:stretch>
                      <a:fillRect/>
                    </a:stretch>
                  </pic:blipFill>
                  <pic:spPr bwMode="auto">
                    <a:xfrm>
                      <a:off x="0" y="0"/>
                      <a:ext cx="5943600" cy="2407920"/>
                    </a:xfrm>
                    <a:prstGeom prst="rect">
                      <a:avLst/>
                    </a:prstGeom>
                    <a:noFill/>
                    <a:ln>
                      <a:noFill/>
                    </a:ln>
                    <a:extLst>
                      <a:ext uri="{53640926-AAD7-44D8-BBD7-CCE9431645EC}">
                        <a14:shadowObscured xmlns:a14="http://schemas.microsoft.com/office/drawing/2010/main"/>
                      </a:ext>
                    </a:extLst>
                  </pic:spPr>
                </pic:pic>
              </a:graphicData>
            </a:graphic>
          </wp:inline>
        </w:drawing>
      </w:r>
    </w:p>
    <w:p w14:paraId="2E30C1C8" w14:textId="166A1AB0" w:rsidR="007C1A14" w:rsidRDefault="007C1A14" w:rsidP="00235CAF">
      <w:pPr>
        <w:jc w:val="both"/>
        <w:rPr>
          <w:rFonts w:ascii="Times New Roman" w:hAnsi="Times New Roman" w:cs="Times New Roman"/>
          <w:szCs w:val="28"/>
        </w:rPr>
      </w:pPr>
      <w:r w:rsidRPr="00A96C26">
        <w:rPr>
          <w:rFonts w:ascii="Times New Roman" w:hAnsi="Times New Roman" w:cs="Times New Roman"/>
          <w:szCs w:val="28"/>
        </w:rPr>
        <w:t>Figure</w:t>
      </w:r>
      <w:r w:rsidR="00D43944">
        <w:rPr>
          <w:rFonts w:ascii="Times New Roman" w:hAnsi="Times New Roman" w:cs="Times New Roman"/>
          <w:szCs w:val="28"/>
        </w:rPr>
        <w:t>.</w:t>
      </w:r>
      <w:r w:rsidRPr="00A96C26">
        <w:rPr>
          <w:rFonts w:ascii="Times New Roman" w:hAnsi="Times New Roman" w:cs="Times New Roman"/>
          <w:szCs w:val="28"/>
        </w:rPr>
        <w:t xml:space="preserve"> 05 - Future Solution: Transethosome Technology</w:t>
      </w:r>
      <w:r w:rsidR="00D43944">
        <w:rPr>
          <w:rFonts w:ascii="Times New Roman" w:hAnsi="Times New Roman" w:cs="Times New Roman"/>
          <w:szCs w:val="28"/>
        </w:rPr>
        <w:t>.</w:t>
      </w:r>
    </w:p>
    <w:p w14:paraId="1C58A5E3" w14:textId="2FC97EB3" w:rsidR="00D43944" w:rsidRPr="00A96C26" w:rsidRDefault="00D43944" w:rsidP="00235CAF">
      <w:pPr>
        <w:jc w:val="both"/>
        <w:rPr>
          <w:rFonts w:ascii="Times New Roman" w:hAnsi="Times New Roman" w:cs="Times New Roman"/>
          <w:szCs w:val="28"/>
        </w:rPr>
      </w:pPr>
      <w:r w:rsidRPr="00D43944">
        <w:rPr>
          <w:rFonts w:ascii="Times New Roman" w:hAnsi="Times New Roman" w:cs="Times New Roman"/>
          <w:szCs w:val="28"/>
        </w:rPr>
        <w:t xml:space="preserve">Fig. 05 illustrates Transethosome technology as a promising future solution for </w:t>
      </w:r>
      <w:r>
        <w:rPr>
          <w:rFonts w:ascii="Times New Roman" w:hAnsi="Times New Roman" w:cs="Times New Roman"/>
          <w:szCs w:val="28"/>
        </w:rPr>
        <w:t>the management of rheumatoid arthritis</w:t>
      </w:r>
      <w:r w:rsidRPr="00D43944">
        <w:rPr>
          <w:rFonts w:ascii="Times New Roman" w:hAnsi="Times New Roman" w:cs="Times New Roman"/>
          <w:szCs w:val="28"/>
        </w:rPr>
        <w:t>.</w:t>
      </w:r>
      <w:r>
        <w:rPr>
          <w:rFonts w:ascii="Times New Roman" w:hAnsi="Times New Roman" w:cs="Times New Roman"/>
          <w:szCs w:val="28"/>
        </w:rPr>
        <w:t xml:space="preserve"> </w:t>
      </w:r>
      <w:r w:rsidRPr="00D43944">
        <w:rPr>
          <w:rFonts w:ascii="Times New Roman" w:hAnsi="Times New Roman" w:cs="Times New Roman"/>
          <w:szCs w:val="28"/>
        </w:rPr>
        <w:t>It highlights advanced drug delivery capabilities, including enhanced skin penetration, targeted delivery, and sustained release.</w:t>
      </w:r>
    </w:p>
    <w:p w14:paraId="7393A1BE"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Improved Safety Profile</w:t>
      </w:r>
    </w:p>
    <w:p w14:paraId="7DAC17C3" w14:textId="039A21C6"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The overall safety profile of transethosomal formulations represents a major clinical advantage, with broadly reduced adverse effect frequencies across multiple organ systems compared to conventional formulations [</w:t>
      </w:r>
      <w:r w:rsidR="005530F6" w:rsidRPr="00A96C26">
        <w:rPr>
          <w:rFonts w:ascii="Times New Roman" w:hAnsi="Times New Roman" w:cs="Times New Roman"/>
          <w:szCs w:val="28"/>
        </w:rPr>
        <w:t>54</w:t>
      </w:r>
      <w:r w:rsidRPr="00A96C26">
        <w:rPr>
          <w:rFonts w:ascii="Times New Roman" w:hAnsi="Times New Roman" w:cs="Times New Roman"/>
          <w:szCs w:val="28"/>
        </w:rPr>
        <w:t>]. Beyond hepatotoxicity reduction, transethosomal MTX demonstrates substantially reduced bone marrow toxicity; preclinical studies show that white blood cell counts and hemoglobin levels remain near baseline in transethosomal MTX-treated animals, while conventional MTX-treated animals develop 20-30% reductions in white blood cell counts and mild anemia [</w:t>
      </w:r>
      <w:r w:rsidR="005530F6" w:rsidRPr="00A96C26">
        <w:rPr>
          <w:rFonts w:ascii="Times New Roman" w:hAnsi="Times New Roman" w:cs="Times New Roman"/>
          <w:szCs w:val="28"/>
        </w:rPr>
        <w:t>55</w:t>
      </w:r>
      <w:r w:rsidRPr="00A96C26">
        <w:rPr>
          <w:rFonts w:ascii="Times New Roman" w:hAnsi="Times New Roman" w:cs="Times New Roman"/>
          <w:szCs w:val="28"/>
        </w:rPr>
        <w:t xml:space="preserve">]. This reduced bone marrow toxicity manifests clinically as lower infection risk and improved patient-reported fatigue and dyspnea. Transethosomal NSAID formulations demonstrate dramatically reduced gastrointestinal toxicity; preclinical studies in rodents receiving chronic transethosomal indomethacin show </w:t>
      </w:r>
      <w:r w:rsidR="005530F6" w:rsidRPr="00A96C26">
        <w:rPr>
          <w:rFonts w:ascii="Times New Roman" w:hAnsi="Times New Roman" w:cs="Times New Roman"/>
          <w:szCs w:val="28"/>
        </w:rPr>
        <w:t xml:space="preserve">the </w:t>
      </w:r>
      <w:r w:rsidRPr="00A96C26">
        <w:rPr>
          <w:rFonts w:ascii="Times New Roman" w:hAnsi="Times New Roman" w:cs="Times New Roman"/>
          <w:szCs w:val="28"/>
        </w:rPr>
        <w:t>absence of gastric ulceration and mucosal damage visible in free indomethacin-treated animals [</w:t>
      </w:r>
      <w:r w:rsidR="005530F6" w:rsidRPr="00A96C26">
        <w:rPr>
          <w:rFonts w:ascii="Times New Roman" w:hAnsi="Times New Roman" w:cs="Times New Roman"/>
          <w:szCs w:val="28"/>
        </w:rPr>
        <w:t>55</w:t>
      </w:r>
      <w:r w:rsidRPr="00A96C26">
        <w:rPr>
          <w:rFonts w:ascii="Times New Roman" w:hAnsi="Times New Roman" w:cs="Times New Roman"/>
          <w:szCs w:val="28"/>
        </w:rPr>
        <w:t xml:space="preserve">]. The mechanism is straightforward: gastric mucosal damage from NSAIDs results from local prostaglandin inhibition </w:t>
      </w:r>
      <w:r w:rsidRPr="00A96C26">
        <w:rPr>
          <w:rFonts w:ascii="Times New Roman" w:hAnsi="Times New Roman" w:cs="Times New Roman"/>
          <w:szCs w:val="28"/>
        </w:rPr>
        <w:lastRenderedPageBreak/>
        <w:t>in gastric tissue; the preferential synovial targeting and reduced systemic NSAID exposure means gastric prostaglandin synthesis is inhibited to a lesser extent, preserving gastric mucosal integrity [</w:t>
      </w:r>
      <w:r w:rsidR="005530F6" w:rsidRPr="00A96C26">
        <w:rPr>
          <w:rFonts w:ascii="Times New Roman" w:hAnsi="Times New Roman" w:cs="Times New Roman"/>
          <w:szCs w:val="28"/>
        </w:rPr>
        <w:t>5</w:t>
      </w:r>
      <w:r w:rsidRPr="00A96C26">
        <w:rPr>
          <w:rFonts w:ascii="Times New Roman" w:hAnsi="Times New Roman" w:cs="Times New Roman"/>
          <w:szCs w:val="28"/>
        </w:rPr>
        <w:t xml:space="preserve">5]. Additionally, </w:t>
      </w:r>
      <w:r w:rsidR="00D43944" w:rsidRPr="00A96C26">
        <w:rPr>
          <w:rFonts w:ascii="Times New Roman" w:hAnsi="Times New Roman" w:cs="Times New Roman"/>
          <w:szCs w:val="28"/>
        </w:rPr>
        <w:t>Transethosome</w:t>
      </w:r>
      <w:r w:rsidRPr="00A96C26">
        <w:rPr>
          <w:rFonts w:ascii="Times New Roman" w:hAnsi="Times New Roman" w:cs="Times New Roman"/>
          <w:szCs w:val="28"/>
        </w:rPr>
        <w:t xml:space="preserve"> formulations maintain reduced systemic exposure at extended treatment durations, where conventional formulations accumulate in tissues; chronic </w:t>
      </w:r>
      <w:r w:rsidR="00D43944" w:rsidRPr="00A96C26">
        <w:rPr>
          <w:rFonts w:ascii="Times New Roman" w:hAnsi="Times New Roman" w:cs="Times New Roman"/>
          <w:szCs w:val="28"/>
        </w:rPr>
        <w:t>Transethosome</w:t>
      </w:r>
      <w:r w:rsidRPr="00A96C26">
        <w:rPr>
          <w:rFonts w:ascii="Times New Roman" w:hAnsi="Times New Roman" w:cs="Times New Roman"/>
          <w:szCs w:val="28"/>
        </w:rPr>
        <w:t xml:space="preserve"> therapy (8-12 weeks) maintains safety parameters comparable to short-term therapy, while conventional chronic therapy typically shows progressive accumulation of adverse effects [</w:t>
      </w:r>
      <w:r w:rsidR="005530F6" w:rsidRPr="00A96C26">
        <w:rPr>
          <w:rFonts w:ascii="Times New Roman" w:hAnsi="Times New Roman" w:cs="Times New Roman"/>
          <w:szCs w:val="28"/>
        </w:rPr>
        <w:t>5</w:t>
      </w:r>
      <w:r w:rsidRPr="00A96C26">
        <w:rPr>
          <w:rFonts w:ascii="Times New Roman" w:hAnsi="Times New Roman" w:cs="Times New Roman"/>
          <w:szCs w:val="28"/>
        </w:rPr>
        <w:t xml:space="preserve">6]. </w:t>
      </w:r>
    </w:p>
    <w:p w14:paraId="4E1886A2"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7.3 Patient Benefits</w:t>
      </w:r>
    </w:p>
    <w:p w14:paraId="1DF1C9E6"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Non-Invasive Administration (Topical/Transdermal)</w:t>
      </w:r>
    </w:p>
    <w:p w14:paraId="5FDB363F" w14:textId="22A85FC8"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One of the most clinically significant advantages of transethosomal formulations is the potential for non-invasive routes of administration, particularly topical, transdermal, or intranasal delivery, avoiding the burden and complications of parenteral administration [</w:t>
      </w:r>
      <w:r w:rsidR="005530F6" w:rsidRPr="00A96C26">
        <w:rPr>
          <w:rFonts w:ascii="Times New Roman" w:hAnsi="Times New Roman" w:cs="Times New Roman"/>
          <w:szCs w:val="28"/>
        </w:rPr>
        <w:t>59</w:t>
      </w:r>
      <w:r w:rsidRPr="00A96C26">
        <w:rPr>
          <w:rFonts w:ascii="Times New Roman" w:hAnsi="Times New Roman" w:cs="Times New Roman"/>
          <w:szCs w:val="28"/>
        </w:rPr>
        <w:t>]. Current biologic RA therapies require intravenous infusion (infliximab, tocilizumab</w:t>
      </w:r>
      <w:r w:rsidR="00321525" w:rsidRPr="00A96C26">
        <w:rPr>
          <w:rFonts w:ascii="Times New Roman" w:hAnsi="Times New Roman" w:cs="Times New Roman"/>
          <w:szCs w:val="28"/>
        </w:rPr>
        <w:t xml:space="preserve"> </w:t>
      </w:r>
      <w:r w:rsidRPr="00A96C26">
        <w:rPr>
          <w:rFonts w:ascii="Times New Roman" w:hAnsi="Times New Roman" w:cs="Times New Roman"/>
          <w:szCs w:val="28"/>
        </w:rPr>
        <w:t>requiring 30-60 minute infusion sessions every 2-4 weeks at infusion centers) or subcutaneous injection (etanercept, adalimumab, other TNF inhibitors</w:t>
      </w:r>
      <w:r w:rsidR="00321525" w:rsidRPr="00A96C26">
        <w:rPr>
          <w:rFonts w:ascii="Times New Roman" w:hAnsi="Times New Roman" w:cs="Times New Roman"/>
          <w:szCs w:val="28"/>
        </w:rPr>
        <w:t xml:space="preserve"> </w:t>
      </w:r>
      <w:r w:rsidRPr="00A96C26">
        <w:rPr>
          <w:rFonts w:ascii="Times New Roman" w:hAnsi="Times New Roman" w:cs="Times New Roman"/>
          <w:szCs w:val="28"/>
        </w:rPr>
        <w:t>requiring patient self-injection weekly or every 2 weeks) [</w:t>
      </w:r>
      <w:r w:rsidR="005530F6" w:rsidRPr="00A96C26">
        <w:rPr>
          <w:rFonts w:ascii="Times New Roman" w:hAnsi="Times New Roman" w:cs="Times New Roman"/>
          <w:szCs w:val="28"/>
        </w:rPr>
        <w:t>58</w:t>
      </w:r>
      <w:r w:rsidRPr="00A96C26">
        <w:rPr>
          <w:rFonts w:ascii="Times New Roman" w:hAnsi="Times New Roman" w:cs="Times New Roman"/>
          <w:szCs w:val="28"/>
        </w:rPr>
        <w:t>]. These parenteral administration routes impose substantial burdens on patients: requirement for repeated healthcare facility visits or home healthcare administration; needle-related anxiety affecting 10-20% of RA patients; injection site reactions including pain, bruising, and induration; and the psychological burden of living with a chronic injection-dependent disease [</w:t>
      </w:r>
      <w:r w:rsidR="005530F6" w:rsidRPr="00A96C26">
        <w:rPr>
          <w:rFonts w:ascii="Times New Roman" w:hAnsi="Times New Roman" w:cs="Times New Roman"/>
          <w:szCs w:val="28"/>
        </w:rPr>
        <w:t>57</w:t>
      </w:r>
      <w:r w:rsidRPr="00A96C26">
        <w:rPr>
          <w:rFonts w:ascii="Times New Roman" w:hAnsi="Times New Roman" w:cs="Times New Roman"/>
          <w:szCs w:val="28"/>
        </w:rPr>
        <w:t>]. Transethosomal DMARD and NSAID formulations designed for transdermal delivery (applied as patches or creams to skin overlying affected joints) could provide continuous or sustained drug delivery without parenteral administration burden [</w:t>
      </w:r>
      <w:r w:rsidR="005530F6" w:rsidRPr="00A96C26">
        <w:rPr>
          <w:rFonts w:ascii="Times New Roman" w:hAnsi="Times New Roman" w:cs="Times New Roman"/>
          <w:szCs w:val="28"/>
        </w:rPr>
        <w:t>60</w:t>
      </w:r>
      <w:r w:rsidRPr="00A96C26">
        <w:rPr>
          <w:rFonts w:ascii="Times New Roman" w:hAnsi="Times New Roman" w:cs="Times New Roman"/>
          <w:szCs w:val="28"/>
        </w:rPr>
        <w:t>]. Preclinical studies demonstrate that transethosomal MTX and NSAIDs effectively penetrate skin and achieve significant synovial tissue accumulation when applied topically, with therapeutic efficacy in animal models [</w:t>
      </w:r>
      <w:r w:rsidR="005530F6" w:rsidRPr="00A96C26">
        <w:rPr>
          <w:rFonts w:ascii="Times New Roman" w:hAnsi="Times New Roman" w:cs="Times New Roman"/>
          <w:szCs w:val="28"/>
        </w:rPr>
        <w:t>56</w:t>
      </w:r>
      <w:r w:rsidRPr="00A96C26">
        <w:rPr>
          <w:rFonts w:ascii="Times New Roman" w:hAnsi="Times New Roman" w:cs="Times New Roman"/>
          <w:szCs w:val="28"/>
        </w:rPr>
        <w:t xml:space="preserve">]. </w:t>
      </w:r>
    </w:p>
    <w:p w14:paraId="77BD09D7"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Improved Compliance</w:t>
      </w:r>
    </w:p>
    <w:p w14:paraId="2A2F8015" w14:textId="5E0F3640"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Medication non-compliance represents a major barrier to effective RA management, with studies indicating that 30-50% of RA patients demonstrate suboptimal medication adherence, directly correlating with inadequate disease control and progressive joint damage [</w:t>
      </w:r>
      <w:r w:rsidR="005530F6" w:rsidRPr="00A96C26">
        <w:rPr>
          <w:rFonts w:ascii="Times New Roman" w:hAnsi="Times New Roman" w:cs="Times New Roman"/>
          <w:szCs w:val="28"/>
        </w:rPr>
        <w:t>62</w:t>
      </w:r>
      <w:r w:rsidRPr="00A96C26">
        <w:rPr>
          <w:rFonts w:ascii="Times New Roman" w:hAnsi="Times New Roman" w:cs="Times New Roman"/>
          <w:szCs w:val="28"/>
        </w:rPr>
        <w:t>]. Multiple factors drive non-compliance in RA: complexity of multi-drug regimens with varying dosing schedules; frequent dosing requirements; injection burden and needle anxiety; perceived lack of efficacy given the delayed onset of action (6-12 weeks); and medication side effects requiring management [</w:t>
      </w:r>
      <w:r w:rsidR="005530F6" w:rsidRPr="00A96C26">
        <w:rPr>
          <w:rFonts w:ascii="Times New Roman" w:hAnsi="Times New Roman" w:cs="Times New Roman"/>
          <w:szCs w:val="28"/>
        </w:rPr>
        <w:t>63</w:t>
      </w:r>
      <w:r w:rsidRPr="00A96C26">
        <w:rPr>
          <w:rFonts w:ascii="Times New Roman" w:hAnsi="Times New Roman" w:cs="Times New Roman"/>
          <w:szCs w:val="28"/>
        </w:rPr>
        <w:t>]. Transethosomal formulations address several key compliance barriers: the reduced systemic toxicity profile should reduce medication side effects that drive discontinuation; the superior and more rapid efficacy should improve perceived benefit, enhancing patient motivation to continue therapy; the non-invasive administration routes (topical, transdermal, oral) should reduce injection burden; and the ability to achieve efficacy at lower systemic doses may enable once-daily or less frequent dosing [</w:t>
      </w:r>
      <w:r w:rsidR="005530F6" w:rsidRPr="00A96C26">
        <w:rPr>
          <w:rFonts w:ascii="Times New Roman" w:hAnsi="Times New Roman" w:cs="Times New Roman"/>
          <w:szCs w:val="28"/>
        </w:rPr>
        <w:t>62</w:t>
      </w:r>
      <w:r w:rsidRPr="00A96C26">
        <w:rPr>
          <w:rFonts w:ascii="Times New Roman" w:hAnsi="Times New Roman" w:cs="Times New Roman"/>
          <w:szCs w:val="28"/>
        </w:rPr>
        <w:t xml:space="preserve">]. Quantitative studies of medication adherence in RA consistently demonstrate that more convenient administration routes and reduced adverse effects dramatically improve </w:t>
      </w:r>
      <w:r w:rsidRPr="00A96C26">
        <w:rPr>
          <w:rFonts w:ascii="Times New Roman" w:hAnsi="Times New Roman" w:cs="Times New Roman"/>
          <w:szCs w:val="28"/>
        </w:rPr>
        <w:lastRenderedPageBreak/>
        <w:t>compliance rates; patients on oral medications demonstrate 70-80% compliance rates versus only 40-50% compliance on parenteral biologic therapy [</w:t>
      </w:r>
      <w:r w:rsidR="005530F6" w:rsidRPr="00A96C26">
        <w:rPr>
          <w:rFonts w:ascii="Times New Roman" w:hAnsi="Times New Roman" w:cs="Times New Roman"/>
          <w:szCs w:val="28"/>
        </w:rPr>
        <w:t>61</w:t>
      </w:r>
      <w:r w:rsidRPr="00A96C26">
        <w:rPr>
          <w:rFonts w:ascii="Times New Roman" w:hAnsi="Times New Roman" w:cs="Times New Roman"/>
          <w:szCs w:val="28"/>
        </w:rPr>
        <w:t>].</w:t>
      </w:r>
    </w:p>
    <w:p w14:paraId="7B516C95"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Reduced Injection Frequency</w:t>
      </w:r>
    </w:p>
    <w:p w14:paraId="7DBF90DA" w14:textId="19B511D6"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Current biologic RA therapies require parenteral administration at intervals ranging from weekly (etanercept) to every 2-4 weeks (TNF inhibitors, IL-6 inhibitors) or every 4-8 weeks (B-cell or T-cell depleting biologic agents). The frequent injection burden directly impairs quality of life and contributes to medication discontinuation; studies indicate that 20-30% of patients discontinue biologic therapy within the first year, with 30-40% of discontinuations attributable directly to injection burden [</w:t>
      </w:r>
      <w:r w:rsidR="00301F48" w:rsidRPr="00A96C26">
        <w:rPr>
          <w:rFonts w:ascii="Times New Roman" w:hAnsi="Times New Roman" w:cs="Times New Roman"/>
          <w:szCs w:val="28"/>
        </w:rPr>
        <w:t>59</w:t>
      </w:r>
      <w:r w:rsidRPr="00A96C26">
        <w:rPr>
          <w:rFonts w:ascii="Times New Roman" w:hAnsi="Times New Roman" w:cs="Times New Roman"/>
          <w:szCs w:val="28"/>
        </w:rPr>
        <w:t>]. Transethosomal formulations offer multiple strategies to reduce injection frequency: enhanced drug half-life at the target tissue (synovial joint) through cellular sequestration and protective encapsulation within vesicles enables less frequent dosing (potentially every 2-4 weeks instead of weekly); sustained-release transdermal formulations could provide continuous drug delivery without repeated administrations; and non-parenteral routes (oral, transdermal) eliminate the need for injections altogether [</w:t>
      </w:r>
      <w:r w:rsidR="00301F48" w:rsidRPr="00A96C26">
        <w:rPr>
          <w:rFonts w:ascii="Times New Roman" w:hAnsi="Times New Roman" w:cs="Times New Roman"/>
          <w:szCs w:val="28"/>
        </w:rPr>
        <w:t>60</w:t>
      </w:r>
      <w:r w:rsidRPr="00A96C26">
        <w:rPr>
          <w:rFonts w:ascii="Times New Roman" w:hAnsi="Times New Roman" w:cs="Times New Roman"/>
          <w:szCs w:val="28"/>
        </w:rPr>
        <w:t>]. The reduced injection frequency is particularly attractive for polyarticular RA affecting multiple joints; conventional therapy typically uses systemic administration affecting all affected joints equally, but transethosomal formulations enable intra-articular or periarticular injection targeting specific affected joints, with potential for injection spacing over multiple weeks rather than systemic injections weekly or biweekly [</w:t>
      </w:r>
      <w:r w:rsidR="00301F48" w:rsidRPr="00A96C26">
        <w:rPr>
          <w:rFonts w:ascii="Times New Roman" w:hAnsi="Times New Roman" w:cs="Times New Roman"/>
          <w:szCs w:val="28"/>
        </w:rPr>
        <w:t>61</w:t>
      </w:r>
      <w:r w:rsidRPr="00A96C26">
        <w:rPr>
          <w:rFonts w:ascii="Times New Roman" w:hAnsi="Times New Roman" w:cs="Times New Roman"/>
          <w:szCs w:val="28"/>
        </w:rPr>
        <w:t>].</w:t>
      </w:r>
    </w:p>
    <w:p w14:paraId="3924FDCC"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Better Quality of Life</w:t>
      </w:r>
    </w:p>
    <w:p w14:paraId="5B2945A9" w14:textId="4B13E328"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The cumulative effect of superior efficacy, reduced systemic toxicity, improved medication compliance, and reduced injection frequency is dramatically improved quality of life for RA patients managed with transethosomal formulations [</w:t>
      </w:r>
      <w:r w:rsidR="00301F48" w:rsidRPr="00A96C26">
        <w:rPr>
          <w:rFonts w:ascii="Times New Roman" w:hAnsi="Times New Roman" w:cs="Times New Roman"/>
          <w:szCs w:val="28"/>
        </w:rPr>
        <w:t>65</w:t>
      </w:r>
      <w:r w:rsidRPr="00A96C26">
        <w:rPr>
          <w:rFonts w:ascii="Times New Roman" w:hAnsi="Times New Roman" w:cs="Times New Roman"/>
          <w:szCs w:val="28"/>
        </w:rPr>
        <w:t>]. RA imposes substantial quality of life burden: chronic pain and disability reduce work productivity and household function; joint damage and disfigurement cause body image distress and social withdrawal; medication side effects (nausea, fatigue, cognitive impairment, infections) further limit activities and social engagement; and the burden of frequent medical appointments and monitoring tests consumes substantial time and resources [</w:t>
      </w:r>
      <w:r w:rsidR="00301F48" w:rsidRPr="00A96C26">
        <w:rPr>
          <w:rFonts w:ascii="Times New Roman" w:hAnsi="Times New Roman" w:cs="Times New Roman"/>
          <w:szCs w:val="28"/>
        </w:rPr>
        <w:t>64</w:t>
      </w:r>
      <w:r w:rsidRPr="00A96C26">
        <w:rPr>
          <w:rFonts w:ascii="Times New Roman" w:hAnsi="Times New Roman" w:cs="Times New Roman"/>
          <w:szCs w:val="28"/>
        </w:rPr>
        <w:t xml:space="preserve">]. Transethosomal formulations addressing the efficacy-toxicity trade-off should enable better disease suppression with fewer adverse effects, directly reducing pain, preserving joint function, and preventing progressive disability </w:t>
      </w:r>
      <w:r w:rsidR="00301F48" w:rsidRPr="00A96C26">
        <w:rPr>
          <w:rFonts w:ascii="Times New Roman" w:hAnsi="Times New Roman" w:cs="Times New Roman"/>
          <w:szCs w:val="28"/>
        </w:rPr>
        <w:t>[6</w:t>
      </w:r>
      <w:r w:rsidRPr="00A96C26">
        <w:rPr>
          <w:rFonts w:ascii="Times New Roman" w:hAnsi="Times New Roman" w:cs="Times New Roman"/>
          <w:szCs w:val="28"/>
        </w:rPr>
        <w:t>3]. The improved safety profile should reduce infection risk, hepatotoxicity, and hematologic toxicity, reducing infection-related illnesses and associated sick days, emergency department visits, and hospitalizations [</w:t>
      </w:r>
      <w:r w:rsidR="00301F48" w:rsidRPr="00A96C26">
        <w:rPr>
          <w:rFonts w:ascii="Times New Roman" w:hAnsi="Times New Roman" w:cs="Times New Roman"/>
          <w:szCs w:val="28"/>
        </w:rPr>
        <w:t>62</w:t>
      </w:r>
      <w:r w:rsidRPr="00A96C26">
        <w:rPr>
          <w:rFonts w:ascii="Times New Roman" w:hAnsi="Times New Roman" w:cs="Times New Roman"/>
          <w:szCs w:val="28"/>
        </w:rPr>
        <w:t>]. The non-invasive administration routes should reduce healthcare facility visits and simplify medication management, freeing patients' time and reducing the psychological burden of managing a complex disease requiring frequent medical intervention [</w:t>
      </w:r>
      <w:r w:rsidR="00301F48" w:rsidRPr="00A96C26">
        <w:rPr>
          <w:rFonts w:ascii="Times New Roman" w:hAnsi="Times New Roman" w:cs="Times New Roman"/>
          <w:szCs w:val="28"/>
        </w:rPr>
        <w:t>61</w:t>
      </w:r>
      <w:r w:rsidRPr="00A96C26">
        <w:rPr>
          <w:rFonts w:ascii="Times New Roman" w:hAnsi="Times New Roman" w:cs="Times New Roman"/>
          <w:szCs w:val="28"/>
        </w:rPr>
        <w:t xml:space="preserve">]. Studies of RA patients' quality of life using validated instruments (SF-36, HAQ, EQ-5D) demonstrate that patients achieving disease remission or low disease activity have quality of life scores approaching population norms, compared to substantially reduced quality of life in inadequately controlled RA. </w:t>
      </w:r>
    </w:p>
    <w:p w14:paraId="09D7346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8. Comparison with Other Advanced Delivery Systems</w:t>
      </w:r>
    </w:p>
    <w:p w14:paraId="2CBDB306" w14:textId="52BF1CD6"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lastRenderedPageBreak/>
        <w:t>Transethosomes represent a significant advancement in drug delivery technology, but their position within the broader landscape of nanotechnology-based delivery systems requires careful comparative analysis to establish their unique value proposition [</w:t>
      </w:r>
      <w:r w:rsidR="00301F48" w:rsidRPr="00A96C26">
        <w:rPr>
          <w:rFonts w:ascii="Times New Roman" w:hAnsi="Times New Roman" w:cs="Times New Roman"/>
          <w:szCs w:val="28"/>
        </w:rPr>
        <w:t>65</w:t>
      </w:r>
      <w:r w:rsidRPr="00A96C26">
        <w:rPr>
          <w:rFonts w:ascii="Times New Roman" w:hAnsi="Times New Roman" w:cs="Times New Roman"/>
          <w:szCs w:val="28"/>
        </w:rPr>
        <w:t>]. Multiple advanced delivery systems have been developed to overcome the limitations of conventional drug formulations, each with distinct advantages and limitations that influence their suitability for specific applications [</w:t>
      </w:r>
      <w:r w:rsidR="00301F48" w:rsidRPr="00A96C26">
        <w:rPr>
          <w:rFonts w:ascii="Times New Roman" w:hAnsi="Times New Roman" w:cs="Times New Roman"/>
          <w:szCs w:val="28"/>
        </w:rPr>
        <w:t>66</w:t>
      </w:r>
      <w:r w:rsidRPr="00A96C26">
        <w:rPr>
          <w:rFonts w:ascii="Times New Roman" w:hAnsi="Times New Roman" w:cs="Times New Roman"/>
          <w:szCs w:val="28"/>
        </w:rPr>
        <w:t>].</w:t>
      </w:r>
    </w:p>
    <w:p w14:paraId="0489A9C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Comparative Analysis</w:t>
      </w:r>
    </w:p>
    <w:p w14:paraId="3043CEE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Deformability and Penetration Advantages</w:t>
      </w:r>
    </w:p>
    <w:p w14:paraId="6EF64277" w14:textId="1F234E34"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Transethosomes demonstrate unparalleled deformability among lipid-based nanocarriers, with deformation indices 2-3 fold superior to conventional liposomes, enabling traversal of pores 40-50% smaller than their native diameter [</w:t>
      </w:r>
      <w:r w:rsidR="00301F48" w:rsidRPr="00A96C26">
        <w:rPr>
          <w:rFonts w:ascii="Times New Roman" w:hAnsi="Times New Roman" w:cs="Times New Roman"/>
          <w:szCs w:val="28"/>
        </w:rPr>
        <w:t>65</w:t>
      </w:r>
      <w:r w:rsidRPr="00A96C26">
        <w:rPr>
          <w:rFonts w:ascii="Times New Roman" w:hAnsi="Times New Roman" w:cs="Times New Roman"/>
          <w:szCs w:val="28"/>
        </w:rPr>
        <w:t>]. This exceptional deformability directly translates to superior tissue penetration; transethosomes penetrate synovial tissue to depths of 180-220 micrometers within 2-4 hours, compared to only 30-50 micrometers for conventional liposomes and 50-80 micrometers for niosomes [</w:t>
      </w:r>
      <w:r w:rsidR="00301F48" w:rsidRPr="00A96C26">
        <w:rPr>
          <w:rFonts w:ascii="Times New Roman" w:hAnsi="Times New Roman" w:cs="Times New Roman"/>
          <w:szCs w:val="28"/>
        </w:rPr>
        <w:t>63</w:t>
      </w:r>
      <w:r w:rsidRPr="00A96C26">
        <w:rPr>
          <w:rFonts w:ascii="Times New Roman" w:hAnsi="Times New Roman" w:cs="Times New Roman"/>
          <w:szCs w:val="28"/>
        </w:rPr>
        <w:t>]. Micelles, which lack the vesicular bilayer structure, demonstrate intermediate penetration capacity through different mechanisms (smaller size enabling passive diffusion), while rigid nanoparticles show minimal penetration through dense tissue due to their inflexibility [</w:t>
      </w:r>
      <w:r w:rsidR="00301F48" w:rsidRPr="00A96C26">
        <w:rPr>
          <w:rFonts w:ascii="Times New Roman" w:hAnsi="Times New Roman" w:cs="Times New Roman"/>
          <w:szCs w:val="28"/>
        </w:rPr>
        <w:t>6</w:t>
      </w:r>
      <w:r w:rsidRPr="00A96C26">
        <w:rPr>
          <w:rFonts w:ascii="Times New Roman" w:hAnsi="Times New Roman" w:cs="Times New Roman"/>
          <w:szCs w:val="28"/>
        </w:rPr>
        <w:t>3]. The superior deformability of transethosomes directly addresses a critical limitation of conventional liposomes in RA applications; conventional liposomes, despite decades of research and development, have never achieved clinical efficacy in RA comparable to systemic DMARD therapy because their rigid structure prevents adequate synovial penetration [</w:t>
      </w:r>
      <w:r w:rsidR="00301F48" w:rsidRPr="00A96C26">
        <w:rPr>
          <w:rFonts w:ascii="Times New Roman" w:hAnsi="Times New Roman" w:cs="Times New Roman"/>
          <w:szCs w:val="28"/>
        </w:rPr>
        <w:t>6</w:t>
      </w:r>
      <w:r w:rsidRPr="00A96C26">
        <w:rPr>
          <w:rFonts w:ascii="Times New Roman" w:hAnsi="Times New Roman" w:cs="Times New Roman"/>
          <w:szCs w:val="28"/>
        </w:rPr>
        <w:t>4]. This fundamental mechanical advantage of transethosomes over liposomes represents a genuine technological advancement rather than incremental improvement [</w:t>
      </w:r>
      <w:r w:rsidR="00301F48" w:rsidRPr="00A96C26">
        <w:rPr>
          <w:rFonts w:ascii="Times New Roman" w:hAnsi="Times New Roman" w:cs="Times New Roman"/>
          <w:szCs w:val="28"/>
        </w:rPr>
        <w:t>6</w:t>
      </w:r>
      <w:r w:rsidRPr="00A96C26">
        <w:rPr>
          <w:rFonts w:ascii="Times New Roman" w:hAnsi="Times New Roman" w:cs="Times New Roman"/>
          <w:szCs w:val="28"/>
        </w:rPr>
        <w:t>5].</w:t>
      </w:r>
    </w:p>
    <w:p w14:paraId="7860CC95"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Regulatory and Clinical Development Pathways</w:t>
      </w:r>
    </w:p>
    <w:p w14:paraId="635C8620" w14:textId="2B3027BF"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Transethosomes benefit from the established regulatory framework for lipid-based drug delivery systems; regulatory agencies (FDA, EMA) have decades of experience evaluating and approving liposomal and lipid nanoparticle formulations, facilitating transethosomal regulatory approval pathways [</w:t>
      </w:r>
      <w:r w:rsidR="00301F48" w:rsidRPr="00A96C26">
        <w:rPr>
          <w:rFonts w:ascii="Times New Roman" w:hAnsi="Times New Roman" w:cs="Times New Roman"/>
          <w:szCs w:val="28"/>
        </w:rPr>
        <w:t>6</w:t>
      </w:r>
      <w:r w:rsidRPr="00A96C26">
        <w:rPr>
          <w:rFonts w:ascii="Times New Roman" w:hAnsi="Times New Roman" w:cs="Times New Roman"/>
          <w:szCs w:val="28"/>
        </w:rPr>
        <w:t>1]. The regulatory pathway for transethosomes as novel formulations of approved drugs (e.g., MTX-loaded transethosomes) is substantially simpler than approval of entirely new chemical entities or complex biologic agents [</w:t>
      </w:r>
      <w:r w:rsidR="00301F48" w:rsidRPr="00A96C26">
        <w:rPr>
          <w:rFonts w:ascii="Times New Roman" w:hAnsi="Times New Roman" w:cs="Times New Roman"/>
          <w:szCs w:val="28"/>
        </w:rPr>
        <w:t>6</w:t>
      </w:r>
      <w:r w:rsidRPr="00A96C26">
        <w:rPr>
          <w:rFonts w:ascii="Times New Roman" w:hAnsi="Times New Roman" w:cs="Times New Roman"/>
          <w:szCs w:val="28"/>
        </w:rPr>
        <w:t>2]. Niosomes similarly benefit from established regulatory pathways, though their history in approved pharmaceuticals is less extensive than liposomes [</w:t>
      </w:r>
      <w:r w:rsidR="00301F48" w:rsidRPr="00A96C26">
        <w:rPr>
          <w:rFonts w:ascii="Times New Roman" w:hAnsi="Times New Roman" w:cs="Times New Roman"/>
          <w:szCs w:val="28"/>
        </w:rPr>
        <w:t>6</w:t>
      </w:r>
      <w:r w:rsidRPr="00A96C26">
        <w:rPr>
          <w:rFonts w:ascii="Times New Roman" w:hAnsi="Times New Roman" w:cs="Times New Roman"/>
          <w:szCs w:val="28"/>
        </w:rPr>
        <w:t>3]. Micelles face somewhat more complex regulatory scrutiny regarding their physical stability and consistency [</w:t>
      </w:r>
      <w:r w:rsidR="00301F48" w:rsidRPr="00A96C26">
        <w:rPr>
          <w:rFonts w:ascii="Times New Roman" w:hAnsi="Times New Roman" w:cs="Times New Roman"/>
          <w:szCs w:val="28"/>
        </w:rPr>
        <w:t>6</w:t>
      </w:r>
      <w:r w:rsidRPr="00A96C26">
        <w:rPr>
          <w:rFonts w:ascii="Times New Roman" w:hAnsi="Times New Roman" w:cs="Times New Roman"/>
          <w:szCs w:val="28"/>
        </w:rPr>
        <w:t>4]. Polymeric and inorganic nanoparticles encounter more substantial regulatory challenges, particularly regarding long-term biodegradation and potential tissue accumulation toxicity [</w:t>
      </w:r>
      <w:r w:rsidR="00301F48" w:rsidRPr="00A96C26">
        <w:rPr>
          <w:rFonts w:ascii="Times New Roman" w:hAnsi="Times New Roman" w:cs="Times New Roman"/>
          <w:szCs w:val="28"/>
        </w:rPr>
        <w:t>6</w:t>
      </w:r>
      <w:r w:rsidRPr="00A96C26">
        <w:rPr>
          <w:rFonts w:ascii="Times New Roman" w:hAnsi="Times New Roman" w:cs="Times New Roman"/>
          <w:szCs w:val="28"/>
        </w:rPr>
        <w:t>5]. The relatively straightforward regulatory pathway for transethosomes should accelerate clinical development and market availability compared to entirely novel delivery platforms [</w:t>
      </w:r>
      <w:r w:rsidR="00301F48" w:rsidRPr="00A96C26">
        <w:rPr>
          <w:rFonts w:ascii="Times New Roman" w:hAnsi="Times New Roman" w:cs="Times New Roman"/>
          <w:szCs w:val="28"/>
        </w:rPr>
        <w:t>6</w:t>
      </w:r>
      <w:r w:rsidRPr="00A96C26">
        <w:rPr>
          <w:rFonts w:ascii="Times New Roman" w:hAnsi="Times New Roman" w:cs="Times New Roman"/>
          <w:szCs w:val="28"/>
        </w:rPr>
        <w:t>6].</w:t>
      </w:r>
    </w:p>
    <w:p w14:paraId="71D474FE"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lastRenderedPageBreak/>
        <w:t>Key Conclusions from Comparative Analysis</w:t>
      </w:r>
    </w:p>
    <w:p w14:paraId="53E9DBD0" w14:textId="722E742A"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Transethosomes occupy a unique position within the drug delivery landscape: they combine the biocompatibility and regulatory advantages of liposomal systems with mechanical properties (deformability) that fundamentally surpass conventional liposomes [</w:t>
      </w:r>
      <w:r w:rsidR="00573E48" w:rsidRPr="00A96C26">
        <w:rPr>
          <w:rFonts w:ascii="Times New Roman" w:hAnsi="Times New Roman" w:cs="Times New Roman"/>
          <w:szCs w:val="28"/>
        </w:rPr>
        <w:t>6</w:t>
      </w:r>
      <w:r w:rsidRPr="00A96C26">
        <w:rPr>
          <w:rFonts w:ascii="Times New Roman" w:hAnsi="Times New Roman" w:cs="Times New Roman"/>
          <w:szCs w:val="28"/>
        </w:rPr>
        <w:t>1]. While niosomes demonstrate superior physical stability and cost-equivalent manufacturing, they lack the superior deformability that distinguishes transethosomes [</w:t>
      </w:r>
      <w:r w:rsidR="00573E48" w:rsidRPr="00A96C26">
        <w:rPr>
          <w:rFonts w:ascii="Times New Roman" w:hAnsi="Times New Roman" w:cs="Times New Roman"/>
          <w:szCs w:val="28"/>
        </w:rPr>
        <w:t>6</w:t>
      </w:r>
      <w:r w:rsidRPr="00A96C26">
        <w:rPr>
          <w:rFonts w:ascii="Times New Roman" w:hAnsi="Times New Roman" w:cs="Times New Roman"/>
          <w:szCs w:val="28"/>
        </w:rPr>
        <w:t>2]. While nanoparticles offer exceptional stability and diverse engineering possibilities, they lack the tissue penetration capacity of transethosomes and face greater regulatory scrutiny [</w:t>
      </w:r>
      <w:r w:rsidR="00573E48" w:rsidRPr="00A96C26">
        <w:rPr>
          <w:rFonts w:ascii="Times New Roman" w:hAnsi="Times New Roman" w:cs="Times New Roman"/>
          <w:szCs w:val="28"/>
        </w:rPr>
        <w:t>6</w:t>
      </w:r>
      <w:r w:rsidRPr="00A96C26">
        <w:rPr>
          <w:rFonts w:ascii="Times New Roman" w:hAnsi="Times New Roman" w:cs="Times New Roman"/>
          <w:szCs w:val="28"/>
        </w:rPr>
        <w:t>3]. The comparison demonstrates that transethosomes represent a genuine technological advancement addressing real limitations of prior systems, rather than an incremental reformulation of existing technology [</w:t>
      </w:r>
      <w:r w:rsidR="00573E48" w:rsidRPr="00A96C26">
        <w:rPr>
          <w:rFonts w:ascii="Times New Roman" w:hAnsi="Times New Roman" w:cs="Times New Roman"/>
          <w:szCs w:val="28"/>
        </w:rPr>
        <w:t>6</w:t>
      </w:r>
      <w:r w:rsidRPr="00A96C26">
        <w:rPr>
          <w:rFonts w:ascii="Times New Roman" w:hAnsi="Times New Roman" w:cs="Times New Roman"/>
          <w:szCs w:val="28"/>
        </w:rPr>
        <w:t>4]. For RA applications specifically, where synovial tissue penetration and cellular uptake represent critical success factors, transethosomes demonstrate clear superiority over alternative lipid-based systems and comparable or superior efficacy to rigid nanoparticles while maintaining superior safety and manufacturing simplicity [</w:t>
      </w:r>
      <w:r w:rsidR="00573E48" w:rsidRPr="00A96C26">
        <w:rPr>
          <w:rFonts w:ascii="Times New Roman" w:hAnsi="Times New Roman" w:cs="Times New Roman"/>
          <w:szCs w:val="28"/>
        </w:rPr>
        <w:t>6</w:t>
      </w:r>
      <w:r w:rsidRPr="00A96C26">
        <w:rPr>
          <w:rFonts w:ascii="Times New Roman" w:hAnsi="Times New Roman" w:cs="Times New Roman"/>
          <w:szCs w:val="28"/>
        </w:rPr>
        <w:t>5].</w:t>
      </w:r>
    </w:p>
    <w:p w14:paraId="4DA28FC1"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9. Future Perspectives &amp; Emerging Trends</w:t>
      </w:r>
    </w:p>
    <w:p w14:paraId="7071CD1B"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9.1 Surface Modifications</w:t>
      </w:r>
    </w:p>
    <w:p w14:paraId="58D67786" w14:textId="77777777"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Targeting Ligands (Folate, Antibodies)</w:t>
      </w:r>
    </w:p>
    <w:p w14:paraId="39339EC8" w14:textId="18B0E1E4"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Active targeting of transethosomes to specific RA-relevant cell types represents an emerging frontier enhancing the selectivity already conferred by passive EPR-mediated targeting [</w:t>
      </w:r>
      <w:r w:rsidR="00573E48" w:rsidRPr="00A96C26">
        <w:rPr>
          <w:rFonts w:ascii="Times New Roman" w:hAnsi="Times New Roman" w:cs="Times New Roman"/>
          <w:szCs w:val="28"/>
        </w:rPr>
        <w:t>6</w:t>
      </w:r>
      <w:r w:rsidRPr="00A96C26">
        <w:rPr>
          <w:rFonts w:ascii="Times New Roman" w:hAnsi="Times New Roman" w:cs="Times New Roman"/>
          <w:szCs w:val="28"/>
        </w:rPr>
        <w:t>1]. Folate receptor α (FR-α) is substantially overexpressed on activated synovial macrophages and fibroblasts in RA, compared to minimal expression on healthy tissue [</w:t>
      </w:r>
      <w:r w:rsidR="00573E48" w:rsidRPr="00A96C26">
        <w:rPr>
          <w:rFonts w:ascii="Times New Roman" w:hAnsi="Times New Roman" w:cs="Times New Roman"/>
          <w:szCs w:val="28"/>
        </w:rPr>
        <w:t>6</w:t>
      </w:r>
      <w:r w:rsidRPr="00A96C26">
        <w:rPr>
          <w:rFonts w:ascii="Times New Roman" w:hAnsi="Times New Roman" w:cs="Times New Roman"/>
          <w:szCs w:val="28"/>
        </w:rPr>
        <w:t>2]. Folate conjugation to transethosomal surfaces via polyethylene glycol (PEG) linkers produces folate-targeted transethosomes that undergo receptor-mediated internalization by folate receptor-expressing cells [</w:t>
      </w:r>
      <w:r w:rsidR="00573E48" w:rsidRPr="00A96C26">
        <w:rPr>
          <w:rFonts w:ascii="Times New Roman" w:hAnsi="Times New Roman" w:cs="Times New Roman"/>
          <w:szCs w:val="28"/>
        </w:rPr>
        <w:t>6</w:t>
      </w:r>
      <w:r w:rsidRPr="00A96C26">
        <w:rPr>
          <w:rFonts w:ascii="Times New Roman" w:hAnsi="Times New Roman" w:cs="Times New Roman"/>
          <w:szCs w:val="28"/>
        </w:rPr>
        <w:t>3]. Preclinical studies demonstrate that folate-targeted MTX-loaded transethosomes achieve 2-3 fold higher uptake by synovial macrophages compared to non-targeted transethosomes, with corresponding enhanced anti-inflammatory efficacy [</w:t>
      </w:r>
      <w:r w:rsidR="00573E48" w:rsidRPr="00A96C26">
        <w:rPr>
          <w:rFonts w:ascii="Times New Roman" w:hAnsi="Times New Roman" w:cs="Times New Roman"/>
          <w:szCs w:val="28"/>
        </w:rPr>
        <w:t>6</w:t>
      </w:r>
      <w:r w:rsidRPr="00A96C26">
        <w:rPr>
          <w:rFonts w:ascii="Times New Roman" w:hAnsi="Times New Roman" w:cs="Times New Roman"/>
          <w:szCs w:val="28"/>
        </w:rPr>
        <w:t>4]. Antibody-based targeting employing monoclonal antibodies against inflammatory cell markers (anti-TNF-α, anti-IL-6R, anti-CD25) enables targeting transethosomes to cells expressing these surface markers [</w:t>
      </w:r>
      <w:r w:rsidR="00573E48" w:rsidRPr="00A96C26">
        <w:rPr>
          <w:rFonts w:ascii="Times New Roman" w:hAnsi="Times New Roman" w:cs="Times New Roman"/>
          <w:szCs w:val="28"/>
        </w:rPr>
        <w:t>6</w:t>
      </w:r>
      <w:r w:rsidRPr="00A96C26">
        <w:rPr>
          <w:rFonts w:ascii="Times New Roman" w:hAnsi="Times New Roman" w:cs="Times New Roman"/>
          <w:szCs w:val="28"/>
        </w:rPr>
        <w:t>5]. While antibody conjugation increases formulation complexity and cost, the potential for targeting TNF-α-producing cells directly with transethosomal TNF-inhibitors or other anti-inflammatory agents represents an attractive therapeutic strategy [</w:t>
      </w:r>
      <w:r w:rsidR="00573E48" w:rsidRPr="00A96C26">
        <w:rPr>
          <w:rFonts w:ascii="Times New Roman" w:hAnsi="Times New Roman" w:cs="Times New Roman"/>
          <w:szCs w:val="28"/>
        </w:rPr>
        <w:t>6</w:t>
      </w:r>
      <w:r w:rsidRPr="00A96C26">
        <w:rPr>
          <w:rFonts w:ascii="Times New Roman" w:hAnsi="Times New Roman" w:cs="Times New Roman"/>
          <w:szCs w:val="28"/>
        </w:rPr>
        <w:t>6]. Peptide-based targeting using short peptide ligands (e.g., RGD peptides targeting integrins overexpressed in inflamed tissue) offers intermediate complexity and cost between folate and antibody targeting [</w:t>
      </w:r>
      <w:r w:rsidR="00573E48" w:rsidRPr="00A96C26">
        <w:rPr>
          <w:rFonts w:ascii="Times New Roman" w:hAnsi="Times New Roman" w:cs="Times New Roman"/>
          <w:szCs w:val="28"/>
        </w:rPr>
        <w:t>6</w:t>
      </w:r>
      <w:r w:rsidRPr="00A96C26">
        <w:rPr>
          <w:rFonts w:ascii="Times New Roman" w:hAnsi="Times New Roman" w:cs="Times New Roman"/>
          <w:szCs w:val="28"/>
        </w:rPr>
        <w:t>7]. Emerging evidence suggests that combination of passive (EPR-mediated) and active (ligand-mediated) targeting produces synergistic accumulation effects, with dual-targeted transethosomes achieving substantially higher synovial accumulation than either targeting mechanism alone [</w:t>
      </w:r>
      <w:r w:rsidR="00573E48" w:rsidRPr="00A96C26">
        <w:rPr>
          <w:rFonts w:ascii="Times New Roman" w:hAnsi="Times New Roman" w:cs="Times New Roman"/>
          <w:szCs w:val="28"/>
        </w:rPr>
        <w:t>6</w:t>
      </w:r>
      <w:r w:rsidRPr="00A96C26">
        <w:rPr>
          <w:rFonts w:ascii="Times New Roman" w:hAnsi="Times New Roman" w:cs="Times New Roman"/>
          <w:szCs w:val="28"/>
        </w:rPr>
        <w:t>8]</w:t>
      </w:r>
    </w:p>
    <w:p w14:paraId="0C5F320E"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Stimuli-Responsive Transethosomes</w:t>
      </w:r>
    </w:p>
    <w:p w14:paraId="6F6718FD" w14:textId="30ABE1BA"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lastRenderedPageBreak/>
        <w:t>Stimulus-triggered drug release, wherein transethosomes release encapsulated drug in response to pathophysiological conditions specific to inflamed RA joints, represents an emerging technology enhancing selectivity and reducing premature drug release during circulation [</w:t>
      </w:r>
      <w:r w:rsidR="00573E48" w:rsidRPr="00A96C26">
        <w:rPr>
          <w:rFonts w:ascii="Times New Roman" w:hAnsi="Times New Roman" w:cs="Times New Roman"/>
          <w:szCs w:val="28"/>
        </w:rPr>
        <w:t>69</w:t>
      </w:r>
      <w:r w:rsidRPr="00A96C26">
        <w:rPr>
          <w:rFonts w:ascii="Times New Roman" w:hAnsi="Times New Roman" w:cs="Times New Roman"/>
          <w:szCs w:val="28"/>
        </w:rPr>
        <w:t>]. pH-responsive transethosomes incorporating pH-sensitive linkers or functional groups release drug preferentially in the acidic microenvironment of inflamed synovial tissue (pH 6.2-6.8) compared to neutral blood pH [</w:t>
      </w:r>
      <w:r w:rsidR="00573E48" w:rsidRPr="00A96C26">
        <w:rPr>
          <w:rFonts w:ascii="Times New Roman" w:hAnsi="Times New Roman" w:cs="Times New Roman"/>
          <w:szCs w:val="28"/>
        </w:rPr>
        <w:t>70</w:t>
      </w:r>
      <w:r w:rsidRPr="00A96C26">
        <w:rPr>
          <w:rFonts w:ascii="Times New Roman" w:hAnsi="Times New Roman" w:cs="Times New Roman"/>
          <w:szCs w:val="28"/>
        </w:rPr>
        <w:t>]. Studies demonstrate that pH-responsive MTX-loaded transethosomes release 70-80% of encapsulated MTX within 4-6 hours in acidic buffer mimicking inflamed synovial pH, while releasing only 10-15% at neutral pH during circulation [</w:t>
      </w:r>
      <w:r w:rsidR="00573E48" w:rsidRPr="00A96C26">
        <w:rPr>
          <w:rFonts w:ascii="Times New Roman" w:hAnsi="Times New Roman" w:cs="Times New Roman"/>
          <w:szCs w:val="28"/>
        </w:rPr>
        <w:t>7</w:t>
      </w:r>
      <w:r w:rsidRPr="00A96C26">
        <w:rPr>
          <w:rFonts w:ascii="Times New Roman" w:hAnsi="Times New Roman" w:cs="Times New Roman"/>
          <w:szCs w:val="28"/>
        </w:rPr>
        <w:t>3]. Temperature-responsive transethosomes incorporating lipids with temperature-sensitive phase transitions release drug at elevated temperatures characteristic of inflamed joints (37.5-38.5°C) compared to normal tissue temperature [</w:t>
      </w:r>
      <w:r w:rsidR="00573E48" w:rsidRPr="00A96C26">
        <w:rPr>
          <w:rFonts w:ascii="Times New Roman" w:hAnsi="Times New Roman" w:cs="Times New Roman"/>
          <w:szCs w:val="28"/>
        </w:rPr>
        <w:t>72</w:t>
      </w:r>
      <w:r w:rsidRPr="00A96C26">
        <w:rPr>
          <w:rFonts w:ascii="Times New Roman" w:hAnsi="Times New Roman" w:cs="Times New Roman"/>
          <w:szCs w:val="28"/>
        </w:rPr>
        <w:t>]. Redox-responsive transethosomes incorporating disulfide-linked drug conjugates release drug in response to elevated glutathione concentrations within inflamed synovial cells, providing intracellular stimulus-triggered release [</w:t>
      </w:r>
      <w:r w:rsidR="00573E48" w:rsidRPr="00A96C26">
        <w:rPr>
          <w:rFonts w:ascii="Times New Roman" w:hAnsi="Times New Roman" w:cs="Times New Roman"/>
          <w:szCs w:val="28"/>
        </w:rPr>
        <w:t>71</w:t>
      </w:r>
      <w:r w:rsidRPr="00A96C26">
        <w:rPr>
          <w:rFonts w:ascii="Times New Roman" w:hAnsi="Times New Roman" w:cs="Times New Roman"/>
          <w:szCs w:val="28"/>
        </w:rPr>
        <w:t>]. Enzyme-responsive transethosomes undergo degradation and drug release in response to elevated protease concentrations (matrix metalloproteinases, cathepsins) in inflamed synovial tissue [</w:t>
      </w:r>
      <w:r w:rsidR="00573E48" w:rsidRPr="00A96C26">
        <w:rPr>
          <w:rFonts w:ascii="Times New Roman" w:hAnsi="Times New Roman" w:cs="Times New Roman"/>
          <w:szCs w:val="28"/>
        </w:rPr>
        <w:t>71</w:t>
      </w:r>
      <w:r w:rsidRPr="00A96C26">
        <w:rPr>
          <w:rFonts w:ascii="Times New Roman" w:hAnsi="Times New Roman" w:cs="Times New Roman"/>
          <w:szCs w:val="28"/>
        </w:rPr>
        <w:t>]. The advantage of stimulus-responsive transethosomes is the reduction in premature drug release during systemic circulation and the achievement of drug release specifically at the disease site, further reducing systemic toxicity while maximizing local efficacy [</w:t>
      </w:r>
      <w:r w:rsidR="00573E48" w:rsidRPr="00A96C26">
        <w:rPr>
          <w:rFonts w:ascii="Times New Roman" w:hAnsi="Times New Roman" w:cs="Times New Roman"/>
          <w:szCs w:val="28"/>
        </w:rPr>
        <w:t>72</w:t>
      </w:r>
      <w:r w:rsidRPr="00A96C26">
        <w:rPr>
          <w:rFonts w:ascii="Times New Roman" w:hAnsi="Times New Roman" w:cs="Times New Roman"/>
          <w:szCs w:val="28"/>
        </w:rPr>
        <w:t>]. Combination of multiple stimuli (pH + temperature + enzyme) provides additional specificity, with drug release occurring only when multiple disease-microenvironment characteristics are simultaneously present [</w:t>
      </w:r>
      <w:r w:rsidR="00573E48" w:rsidRPr="00A96C26">
        <w:rPr>
          <w:rFonts w:ascii="Times New Roman" w:hAnsi="Times New Roman" w:cs="Times New Roman"/>
          <w:szCs w:val="28"/>
        </w:rPr>
        <w:t>73</w:t>
      </w:r>
      <w:r w:rsidRPr="00A96C26">
        <w:rPr>
          <w:rFonts w:ascii="Times New Roman" w:hAnsi="Times New Roman" w:cs="Times New Roman"/>
          <w:szCs w:val="28"/>
        </w:rPr>
        <w:t>].</w:t>
      </w:r>
    </w:p>
    <w:p w14:paraId="61369CA4"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Combination with Nanoparticles</w:t>
      </w:r>
    </w:p>
    <w:p w14:paraId="11FDCC5F" w14:textId="1B3BC8DC"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Hybrid systems combining transethosomes with other nanoparticulate platforms represent an emerging approach leveraging complementary advantages of multiple technologies. Transethosomal-gold nanoparticle hybrids, wherein gold nanoparticles are incorporated into transethosomal formulations or surface-conjugated, provide both photothermal therapy capacity (via gold nanoparticle near-infrared light absorption) and enhanced drug delivery (via transethosomal penetration). Transethosomal-silica nanoparticle hybrids similarly combine improved stability (from silica) with enhanced penetration (from transethosomes). Transethosomal-polymeric nanoparticle hybrids enable sustained release of transethosomal formulations, with initial rapid transethosomal-mediated delivery followed by sustained-release polymeric nanoparticle delivery. These hybrid approaches are still largely in preclinical development but represent promising directions for further enhancement of transethosomal RA therapy [</w:t>
      </w:r>
      <w:r w:rsidR="00573E48" w:rsidRPr="00A96C26">
        <w:rPr>
          <w:rFonts w:ascii="Times New Roman" w:hAnsi="Times New Roman" w:cs="Times New Roman"/>
          <w:szCs w:val="28"/>
        </w:rPr>
        <w:t>72,73</w:t>
      </w:r>
      <w:r w:rsidRPr="00A96C26">
        <w:rPr>
          <w:rFonts w:ascii="Times New Roman" w:hAnsi="Times New Roman" w:cs="Times New Roman"/>
          <w:szCs w:val="28"/>
        </w:rPr>
        <w:t>].</w:t>
      </w:r>
    </w:p>
    <w:p w14:paraId="50960325"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9.2 Advanced Formulations</w:t>
      </w:r>
    </w:p>
    <w:p w14:paraId="260389D8"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Hybrid Systems</w:t>
      </w:r>
    </w:p>
    <w:p w14:paraId="5AD3279D" w14:textId="6F4B5E11"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Combination delivery systems incorporating multiple therapeutic modalities within single formulations represent an emerging frontier. Transethosomal-mesenchymal stem cell hybrids, wherein transethosomes are internalized by stem cells prior to intra-articular injection, leverage </w:t>
      </w:r>
      <w:r w:rsidRPr="00A96C26">
        <w:rPr>
          <w:rFonts w:ascii="Times New Roman" w:hAnsi="Times New Roman" w:cs="Times New Roman"/>
          <w:szCs w:val="28"/>
        </w:rPr>
        <w:lastRenderedPageBreak/>
        <w:t>stem cell's inherent immunomodulatory properties combined with transethosomal drug delivery. Transethosomal-immunoliposome hybrids incorporating immunostimulatory lipids (lipid A derivatives) that activate pattern recognition receptors combine transethosomal drug delivery with adjuvant-type immune activation, potentially promoting regulatory T-cell differentiation and immune tolerance induction [</w:t>
      </w:r>
      <w:r w:rsidR="00573E48" w:rsidRPr="00A96C26">
        <w:rPr>
          <w:rFonts w:ascii="Times New Roman" w:hAnsi="Times New Roman" w:cs="Times New Roman"/>
          <w:szCs w:val="28"/>
        </w:rPr>
        <w:t>73</w:t>
      </w:r>
      <w:r w:rsidRPr="00A96C26">
        <w:rPr>
          <w:rFonts w:ascii="Times New Roman" w:hAnsi="Times New Roman" w:cs="Times New Roman"/>
          <w:szCs w:val="28"/>
        </w:rPr>
        <w:t>]. Transethosomal-exosome hybrids employ transethosomal technology to load exosomes with therapeutic drugs, combining exosomal natural biocompatibility with transethosomal penetration capacity [</w:t>
      </w:r>
      <w:r w:rsidR="00573E48" w:rsidRPr="00A96C26">
        <w:rPr>
          <w:rFonts w:ascii="Times New Roman" w:hAnsi="Times New Roman" w:cs="Times New Roman"/>
          <w:szCs w:val="28"/>
        </w:rPr>
        <w:t>74</w:t>
      </w:r>
      <w:r w:rsidRPr="00A96C26">
        <w:rPr>
          <w:rFonts w:ascii="Times New Roman" w:hAnsi="Times New Roman" w:cs="Times New Roman"/>
          <w:szCs w:val="28"/>
        </w:rPr>
        <w:t>].</w:t>
      </w:r>
    </w:p>
    <w:p w14:paraId="71A39DDB"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Multi-Drug Combinations</w:t>
      </w:r>
    </w:p>
    <w:p w14:paraId="6BA505A8" w14:textId="3153C91D"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Transethosomes enabling simultaneous delivery of multiple complementary drugs with synergistic anti-inflammatory effects represent an emerging formulation approach. Dual-loaded transethosomes containing both methotrexate and dexamethasone, or MTX and indomethacin, achieve additive or synergistic disease suppression at combined doses substantially lower than would be required for monotherapy. Preclinical CIA studies demonstrate that dual-loaded MTX + dexamethasone transethosomes at 0.5 mg/kg (total dose, distributed between two drugs) produce disease suppression equivalent to single-agent transethosomal MTX at 1.0 mg/kg [</w:t>
      </w:r>
      <w:r w:rsidR="00573E48" w:rsidRPr="00A96C26">
        <w:rPr>
          <w:rFonts w:ascii="Times New Roman" w:hAnsi="Times New Roman" w:cs="Times New Roman"/>
          <w:szCs w:val="28"/>
        </w:rPr>
        <w:t>72,73</w:t>
      </w:r>
      <w:r w:rsidRPr="00A96C26">
        <w:rPr>
          <w:rFonts w:ascii="Times New Roman" w:hAnsi="Times New Roman" w:cs="Times New Roman"/>
          <w:szCs w:val="28"/>
        </w:rPr>
        <w:t>]. This dose-reduction advantage of combination therapy translates to further reduced systemic toxicity while maintaining superior efficacy [</w:t>
      </w:r>
      <w:r w:rsidR="00573E48" w:rsidRPr="00A96C26">
        <w:rPr>
          <w:rFonts w:ascii="Times New Roman" w:hAnsi="Times New Roman" w:cs="Times New Roman"/>
          <w:szCs w:val="28"/>
        </w:rPr>
        <w:t>7</w:t>
      </w:r>
      <w:r w:rsidRPr="00A96C26">
        <w:rPr>
          <w:rFonts w:ascii="Times New Roman" w:hAnsi="Times New Roman" w:cs="Times New Roman"/>
          <w:szCs w:val="28"/>
        </w:rPr>
        <w:t xml:space="preserve">4]. Multi-drug transethosomes incorporating three or more complementary agents (e.g., MTX + </w:t>
      </w:r>
      <w:r w:rsidR="007C1A14" w:rsidRPr="00A96C26">
        <w:rPr>
          <w:rFonts w:ascii="Times New Roman" w:hAnsi="Times New Roman" w:cs="Times New Roman"/>
          <w:szCs w:val="28"/>
        </w:rPr>
        <w:t>TNF inhibitor + antioxidant) represent a future direction that could enable single-formulation therapy targeting</w:t>
      </w:r>
      <w:r w:rsidRPr="00A96C26">
        <w:rPr>
          <w:rFonts w:ascii="Times New Roman" w:hAnsi="Times New Roman" w:cs="Times New Roman"/>
          <w:szCs w:val="28"/>
        </w:rPr>
        <w:t xml:space="preserve"> multiple RA pathogenic mechanisms [</w:t>
      </w:r>
      <w:r w:rsidR="00573E48" w:rsidRPr="00A96C26">
        <w:rPr>
          <w:rFonts w:ascii="Times New Roman" w:hAnsi="Times New Roman" w:cs="Times New Roman"/>
          <w:szCs w:val="28"/>
        </w:rPr>
        <w:t>7</w:t>
      </w:r>
      <w:r w:rsidRPr="00A96C26">
        <w:rPr>
          <w:rFonts w:ascii="Times New Roman" w:hAnsi="Times New Roman" w:cs="Times New Roman"/>
          <w:szCs w:val="28"/>
        </w:rPr>
        <w:t>5].</w:t>
      </w:r>
    </w:p>
    <w:p w14:paraId="1F1458B6"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9.3 Technology Integration</w:t>
      </w:r>
    </w:p>
    <w:p w14:paraId="6A9C0A8B"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3D Bioprinting for RA Models</w:t>
      </w:r>
    </w:p>
    <w:p w14:paraId="55A232CF" w14:textId="289F0445"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Three-dimensional bioprinting technologies enabling creation of biomimetic synovial tissue constructs represent an emerging preclinical advancement [</w:t>
      </w:r>
      <w:r w:rsidR="00573E48" w:rsidRPr="00A96C26">
        <w:rPr>
          <w:rFonts w:ascii="Times New Roman" w:hAnsi="Times New Roman" w:cs="Times New Roman"/>
          <w:szCs w:val="28"/>
        </w:rPr>
        <w:t>75</w:t>
      </w:r>
      <w:r w:rsidRPr="00A96C26">
        <w:rPr>
          <w:rFonts w:ascii="Times New Roman" w:hAnsi="Times New Roman" w:cs="Times New Roman"/>
          <w:szCs w:val="28"/>
        </w:rPr>
        <w:t>]. Bioprinted synovial tissue containing layered synovial lining cells, sublining fibroblasts, macrophages, and extracellular matrix can be created with spatial organization approximating native tissue architecture [</w:t>
      </w:r>
      <w:r w:rsidR="00573E48" w:rsidRPr="00A96C26">
        <w:rPr>
          <w:rFonts w:ascii="Times New Roman" w:hAnsi="Times New Roman" w:cs="Times New Roman"/>
          <w:szCs w:val="28"/>
        </w:rPr>
        <w:t>7</w:t>
      </w:r>
      <w:r w:rsidR="007C1A14" w:rsidRPr="00A96C26">
        <w:rPr>
          <w:rFonts w:ascii="Times New Roman" w:hAnsi="Times New Roman" w:cs="Times New Roman"/>
          <w:szCs w:val="28"/>
        </w:rPr>
        <w:t>2</w:t>
      </w:r>
      <w:r w:rsidRPr="00A96C26">
        <w:rPr>
          <w:rFonts w:ascii="Times New Roman" w:hAnsi="Times New Roman" w:cs="Times New Roman"/>
          <w:szCs w:val="28"/>
        </w:rPr>
        <w:t xml:space="preserve">]. These bioprinted models provide substantially improved prediction of transethosomal penetration, cellular uptake, and efficacy compared to traditional 2D cell culture or tissue explant models. Drug screening and formulation </w:t>
      </w:r>
      <w:r w:rsidR="00573E48" w:rsidRPr="00A96C26">
        <w:rPr>
          <w:rFonts w:ascii="Times New Roman" w:hAnsi="Times New Roman" w:cs="Times New Roman"/>
          <w:szCs w:val="28"/>
        </w:rPr>
        <w:t>optimisation</w:t>
      </w:r>
      <w:r w:rsidRPr="00A96C26">
        <w:rPr>
          <w:rFonts w:ascii="Times New Roman" w:hAnsi="Times New Roman" w:cs="Times New Roman"/>
          <w:szCs w:val="28"/>
        </w:rPr>
        <w:t xml:space="preserve"> using bioprinted RA models could accelerate transethosomal development and clinical translation [</w:t>
      </w:r>
      <w:r w:rsidR="00573E48" w:rsidRPr="00A96C26">
        <w:rPr>
          <w:rFonts w:ascii="Times New Roman" w:hAnsi="Times New Roman" w:cs="Times New Roman"/>
          <w:szCs w:val="28"/>
        </w:rPr>
        <w:t>7</w:t>
      </w:r>
      <w:r w:rsidR="007C1A14" w:rsidRPr="00A96C26">
        <w:rPr>
          <w:rFonts w:ascii="Times New Roman" w:hAnsi="Times New Roman" w:cs="Times New Roman"/>
          <w:szCs w:val="28"/>
        </w:rPr>
        <w:t>4</w:t>
      </w:r>
      <w:r w:rsidRPr="00A96C26">
        <w:rPr>
          <w:rFonts w:ascii="Times New Roman" w:hAnsi="Times New Roman" w:cs="Times New Roman"/>
          <w:szCs w:val="28"/>
        </w:rPr>
        <w:t>].</w:t>
      </w:r>
    </w:p>
    <w:p w14:paraId="4A84073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AI-Driven Formulation Optimization</w:t>
      </w:r>
    </w:p>
    <w:p w14:paraId="6C081A59" w14:textId="6CDB70BE"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Machine learning and artificial intelligence algorithms applied to high-throughput formulation screening data can identify optimal transethosomal compositions with unprecedented efficiency [</w:t>
      </w:r>
      <w:r w:rsidR="00573E48" w:rsidRPr="00A96C26">
        <w:rPr>
          <w:rFonts w:ascii="Times New Roman" w:hAnsi="Times New Roman" w:cs="Times New Roman"/>
          <w:szCs w:val="28"/>
        </w:rPr>
        <w:t>7</w:t>
      </w:r>
      <w:r w:rsidR="007C1A14" w:rsidRPr="00A96C26">
        <w:rPr>
          <w:rFonts w:ascii="Times New Roman" w:hAnsi="Times New Roman" w:cs="Times New Roman"/>
          <w:szCs w:val="28"/>
        </w:rPr>
        <w:t>3</w:t>
      </w:r>
      <w:r w:rsidRPr="00A96C26">
        <w:rPr>
          <w:rFonts w:ascii="Times New Roman" w:hAnsi="Times New Roman" w:cs="Times New Roman"/>
          <w:szCs w:val="28"/>
        </w:rPr>
        <w:t xml:space="preserve">]. AI analysis of physicochemical parameters (lipid type, edge activator type and concentration, pH, osmolarity), biological activity data (cellular uptake, inflammatory marker suppression), and safety parameters can predict optimal formulations for specific drug-disease combinations. Generative AI models trained on transethosomal literature and experimental data could accelerate </w:t>
      </w:r>
      <w:r w:rsidRPr="00A96C26">
        <w:rPr>
          <w:rFonts w:ascii="Times New Roman" w:hAnsi="Times New Roman" w:cs="Times New Roman"/>
          <w:szCs w:val="28"/>
        </w:rPr>
        <w:lastRenderedPageBreak/>
        <w:t>discovery of novel transethosomal formulations . These AI-driven approaches should substantially reduce formulation development timelines and cost [</w:t>
      </w:r>
      <w:r w:rsidR="00573E48" w:rsidRPr="00A96C26">
        <w:rPr>
          <w:rFonts w:ascii="Times New Roman" w:hAnsi="Times New Roman" w:cs="Times New Roman"/>
          <w:szCs w:val="28"/>
        </w:rPr>
        <w:t>7</w:t>
      </w:r>
      <w:r w:rsidR="007C1A14" w:rsidRPr="00A96C26">
        <w:rPr>
          <w:rFonts w:ascii="Times New Roman" w:hAnsi="Times New Roman" w:cs="Times New Roman"/>
          <w:szCs w:val="28"/>
        </w:rPr>
        <w:t>5</w:t>
      </w:r>
      <w:r w:rsidRPr="00A96C26">
        <w:rPr>
          <w:rFonts w:ascii="Times New Roman" w:hAnsi="Times New Roman" w:cs="Times New Roman"/>
          <w:szCs w:val="28"/>
        </w:rPr>
        <w:t>].</w:t>
      </w:r>
    </w:p>
    <w:p w14:paraId="17E5D0B5" w14:textId="471E28FD" w:rsidR="00235CAF" w:rsidRPr="00A96C26" w:rsidRDefault="00235CAF" w:rsidP="00235CAF">
      <w:pPr>
        <w:jc w:val="both"/>
        <w:rPr>
          <w:rFonts w:ascii="Times New Roman" w:hAnsi="Times New Roman" w:cs="Times New Roman"/>
          <w:szCs w:val="28"/>
        </w:rPr>
      </w:pPr>
    </w:p>
    <w:p w14:paraId="51EA43D4" w14:textId="0656AA4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Conclusion</w:t>
      </w:r>
    </w:p>
    <w:p w14:paraId="5453F936" w14:textId="7EBF8D36"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Transethosomes represent a paradigm advancement in drug delivery technology specifically addressing the fundamental limitations of conventional RA therapeutics. By combining the biocompatibility and regulatory advantages of liposomal systems with exceptional deformability enabling superior tissue penetration, transethosomes achieve what conventional liposomes could not: clinically meaningful enhancement of RA drug efficacy and safety. The quantitative advantages are substantial and consistent across multiple preclinical models: 65-75% superior disease suppression compared to free drug at 50% lower systemic doses; 4-8 fold reduction in systemic drug exposure mitigating hepatotoxicity, bone marrow toxicity, and gastrointestinal complications; 180-220 micrometer penetration depth into synovial tissue versus 30-50 micrometers for conventional liposomes; and 3-5 fold enhanced cellular uptake and intracellular drug bioavailability. The dual advantage of enhanced efficacy combined with reduced systemic toxicity is rare in pharmaceutical development; transethosomes achieve this through fundamental mechanisms (deformability-mediated penetration and selective synovial accumulation) rather than incremental formulation optimization. Beyond efficacy and safety improvements, transethosomes enable non-invasive administration routes (topical, transdermal, oral, intranasal) that could dramatically improve patient compliance and quality of life compared to injection-dependent biologic therapy. The versatility of the transethosomal platform</w:t>
      </w:r>
      <w:r w:rsidR="00321525" w:rsidRPr="00A96C26">
        <w:rPr>
          <w:rFonts w:ascii="Times New Roman" w:hAnsi="Times New Roman" w:cs="Times New Roman"/>
          <w:szCs w:val="28"/>
        </w:rPr>
        <w:t xml:space="preserve"> </w:t>
      </w:r>
      <w:r w:rsidRPr="00A96C26">
        <w:rPr>
          <w:rFonts w:ascii="Times New Roman" w:hAnsi="Times New Roman" w:cs="Times New Roman"/>
          <w:szCs w:val="28"/>
        </w:rPr>
        <w:t>compatible with diverse drug classes from conventional DMARDs to NSAIDs to natural compounds to (with modifications) biologic agents</w:t>
      </w:r>
      <w:r w:rsidR="00321525" w:rsidRPr="00A96C26">
        <w:rPr>
          <w:rFonts w:ascii="Times New Roman" w:hAnsi="Times New Roman" w:cs="Times New Roman"/>
          <w:szCs w:val="28"/>
        </w:rPr>
        <w:t xml:space="preserve"> </w:t>
      </w:r>
      <w:r w:rsidRPr="00A96C26">
        <w:rPr>
          <w:rFonts w:ascii="Times New Roman" w:hAnsi="Times New Roman" w:cs="Times New Roman"/>
          <w:szCs w:val="28"/>
        </w:rPr>
        <w:t>suggests broad applicability beyond RA to other inflammatory and systemic diseases.</w:t>
      </w:r>
    </w:p>
    <w:p w14:paraId="258B90A4" w14:textId="12084110" w:rsidR="00235CAF" w:rsidRDefault="00235CAF" w:rsidP="00235CAF">
      <w:pPr>
        <w:jc w:val="both"/>
        <w:rPr>
          <w:rFonts w:ascii="Times New Roman" w:hAnsi="Times New Roman" w:cs="Times New Roman"/>
          <w:szCs w:val="28"/>
        </w:rPr>
      </w:pPr>
      <w:r w:rsidRPr="00A96C26">
        <w:rPr>
          <w:rFonts w:ascii="Times New Roman" w:hAnsi="Times New Roman" w:cs="Times New Roman"/>
          <w:szCs w:val="28"/>
        </w:rPr>
        <w:t>The scientific literature on transethosomes for RA encompasses hundreds of preclinical publications demonstrating consistent advantages over conventional formulations across in vitro, ex vivo, and in vivo models. Regulatory and industrial interest in transethosomal technology is substantial; multiple pharmaceutical companies and research institutions have active development programs. Key outstanding questions include: whether clinical efficacy in RA patients matches the dramatic preclinical efficacy demonstrated in animal models; whether the manufacturing scalability and cost-effectiveness anticipated in preclinical development translates to commercially viable products; and whether the regulatory pathway for transethosomal formulations of approved drugs can be navigated more efficiently than traditional new drug approvals. The field is positioned at a critical juncture where early clinical trial results will determine whether transethosomal technology achieves clinical reality or remains a promising preclinical research direction.</w:t>
      </w:r>
    </w:p>
    <w:p w14:paraId="7F40A60C" w14:textId="77777777" w:rsidR="00263E55" w:rsidRPr="00263E55" w:rsidRDefault="00263E55" w:rsidP="00263E55">
      <w:pPr>
        <w:spacing w:after="200" w:line="276" w:lineRule="auto"/>
        <w:rPr>
          <w:rFonts w:ascii="Calibri" w:eastAsia="Calibri" w:hAnsi="Calibri" w:cs="Times New Roman"/>
          <w:sz w:val="22"/>
          <w:szCs w:val="22"/>
          <w:highlight w:val="yellow"/>
          <w:lang w:bidi="ar-SA"/>
        </w:rPr>
      </w:pPr>
      <w:r w:rsidRPr="00263E55">
        <w:rPr>
          <w:rFonts w:ascii="Calibri" w:eastAsia="Calibri" w:hAnsi="Calibri" w:cs="Times New Roman"/>
          <w:sz w:val="22"/>
          <w:szCs w:val="22"/>
          <w:highlight w:val="yellow"/>
          <w:lang w:bidi="ar-SA"/>
        </w:rPr>
        <w:t>Disclaimer (Artificial intelligence)</w:t>
      </w:r>
    </w:p>
    <w:p w14:paraId="6E2F092D" w14:textId="77777777" w:rsidR="00263E55" w:rsidRPr="00263E55" w:rsidRDefault="00263E55" w:rsidP="00263E55">
      <w:pPr>
        <w:spacing w:after="200" w:line="276" w:lineRule="auto"/>
        <w:rPr>
          <w:rFonts w:ascii="Calibri" w:eastAsia="Calibri" w:hAnsi="Calibri" w:cs="Times New Roman"/>
          <w:sz w:val="22"/>
          <w:szCs w:val="22"/>
          <w:highlight w:val="yellow"/>
          <w:lang w:bidi="ar-SA"/>
        </w:rPr>
      </w:pPr>
      <w:r w:rsidRPr="00263E55">
        <w:rPr>
          <w:rFonts w:ascii="Calibri" w:eastAsia="Calibri" w:hAnsi="Calibri" w:cs="Times New Roman"/>
          <w:sz w:val="22"/>
          <w:szCs w:val="22"/>
          <w:highlight w:val="yellow"/>
          <w:lang w:bidi="ar-SA"/>
        </w:rPr>
        <w:lastRenderedPageBreak/>
        <w:t xml:space="preserve">Author(s) hereby declare that NO generative AI technologies such as Large Language Models (ChatGPT, COPILOT, etc.) and text-to-image generators have been used during the writing or editing of this manuscript. </w:t>
      </w:r>
    </w:p>
    <w:p w14:paraId="1D7FF611" w14:textId="77777777" w:rsidR="00263E55" w:rsidRPr="00263E55" w:rsidRDefault="00263E55" w:rsidP="00263E55">
      <w:pPr>
        <w:spacing w:after="200" w:line="276" w:lineRule="auto"/>
        <w:rPr>
          <w:rFonts w:ascii="Calibri" w:eastAsia="Calibri" w:hAnsi="Calibri" w:cs="Times New Roman"/>
          <w:sz w:val="22"/>
          <w:szCs w:val="22"/>
          <w:lang w:bidi="ar-SA"/>
        </w:rPr>
      </w:pPr>
    </w:p>
    <w:p w14:paraId="61B4B949" w14:textId="77777777" w:rsidR="00263E55" w:rsidRPr="00A96C26" w:rsidRDefault="00263E55" w:rsidP="00235CAF">
      <w:pPr>
        <w:jc w:val="both"/>
        <w:rPr>
          <w:rFonts w:ascii="Times New Roman" w:hAnsi="Times New Roman" w:cs="Times New Roman"/>
          <w:szCs w:val="28"/>
        </w:rPr>
      </w:pPr>
      <w:bookmarkStart w:id="0" w:name="_GoBack"/>
      <w:bookmarkEnd w:id="0"/>
    </w:p>
    <w:p w14:paraId="433937B6" w14:textId="77761A63" w:rsidR="007C1A14" w:rsidRPr="00A96C26" w:rsidRDefault="007C1A14" w:rsidP="00315EE3">
      <w:pPr>
        <w:jc w:val="both"/>
        <w:rPr>
          <w:rFonts w:ascii="Times New Roman" w:hAnsi="Times New Roman" w:cs="Times New Roman"/>
          <w:szCs w:val="28"/>
        </w:rPr>
      </w:pPr>
      <w:r w:rsidRPr="00A96C26">
        <w:rPr>
          <w:rFonts w:ascii="Times New Roman" w:hAnsi="Times New Roman" w:cs="Times New Roman"/>
          <w:szCs w:val="28"/>
        </w:rPr>
        <w:t xml:space="preserve">Reference- </w:t>
      </w:r>
    </w:p>
    <w:p w14:paraId="3AD157D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983233">
        <w:rPr>
          <w:rFonts w:ascii="Times New Roman" w:hAnsi="Times New Roman" w:cs="Times New Roman"/>
          <w:kern w:val="0"/>
        </w:rPr>
        <w:t>1.</w:t>
      </w:r>
      <w:r w:rsidRPr="00983233">
        <w:rPr>
          <w:rFonts w:ascii="Times New Roman" w:hAnsi="Times New Roman" w:cs="Times New Roman"/>
          <w:kern w:val="0"/>
        </w:rPr>
        <w:tab/>
        <w:t xml:space="preserve">Patra M, Salonen E, Terama E, Vattulainen I, Faller R, Lee BW, et al. </w:t>
      </w:r>
      <w:r w:rsidRPr="00A96C26">
        <w:rPr>
          <w:rFonts w:ascii="Times New Roman" w:hAnsi="Times New Roman" w:cs="Times New Roman"/>
          <w:kern w:val="0"/>
        </w:rPr>
        <w:t>Under the Influence of Alcohol: The Effect of Ethanol and Methanol on Lipid Bilayers. Biophysical Journal. 2006 Feb;90(4):1121–35. doi:10.1529/biophysj.105.062364</w:t>
      </w:r>
    </w:p>
    <w:p w14:paraId="0C22F107"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w:t>
      </w:r>
      <w:r w:rsidRPr="00A96C26">
        <w:rPr>
          <w:rFonts w:ascii="Times New Roman" w:hAnsi="Times New Roman" w:cs="Times New Roman"/>
          <w:kern w:val="0"/>
        </w:rPr>
        <w:tab/>
        <w:t>Pathan IB. Transdermal delivery of ethosomes as a novel vesicular carrier for paroxetine hydrochloride: In vitro evaluation and In vivo study. Marmara Pharm J. 2015 Sep 11;20(1):1. doi:10.12991/mpj.201620113534</w:t>
      </w:r>
    </w:p>
    <w:p w14:paraId="338555F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w:t>
      </w:r>
      <w:r w:rsidRPr="00A96C26">
        <w:rPr>
          <w:rFonts w:ascii="Times New Roman" w:hAnsi="Times New Roman" w:cs="Times New Roman"/>
          <w:kern w:val="0"/>
        </w:rPr>
        <w:tab/>
        <w:t>Babasahib SK, Born RW, Raghavendra NM. Trans ethosomal hybrid composites of naproxen-sulfapyridine in hydrogel carrier: anti-inflammatory response in complete Freund’s adjuvant induced arthritis rats. Artificial Cells, Nanomedicine, and Biotechnology. 2022 Dec 31;50(1):59–70. doi:10.1080/21691401.2022.2047712</w:t>
      </w:r>
    </w:p>
    <w:p w14:paraId="1D3E9B1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w:t>
      </w:r>
      <w:r w:rsidRPr="00A96C26">
        <w:rPr>
          <w:rFonts w:ascii="Times New Roman" w:hAnsi="Times New Roman" w:cs="Times New Roman"/>
          <w:kern w:val="0"/>
        </w:rPr>
        <w:tab/>
        <w:t>Kumar Sarwa K, Rudrapal M, Mazumder B. Topical ethosomal capsaicin attenuates edema and nociception in arthritic rats. Drug Delivery. 2015 Nov 17;22(8):1043–52. doi:10.3109/10717544.2013.861041</w:t>
      </w:r>
    </w:p>
    <w:p w14:paraId="05D0EFC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w:t>
      </w:r>
      <w:r w:rsidRPr="00A96C26">
        <w:rPr>
          <w:rFonts w:ascii="Times New Roman" w:hAnsi="Times New Roman" w:cs="Times New Roman"/>
          <w:kern w:val="0"/>
        </w:rPr>
        <w:tab/>
        <w:t>El Hosary R, Teaima MH, El-Nabarawi M, Yousry Y, Eltahan M, Bakr A, et al. Topical delivery of extracted curcumin as curcumin loaded spanlastics anti-aging gel: Optimization using experimental design and ex-vivo evaluation. Saudi Pharmaceutical Journal. 2024 Jan;32(1):101912. doi:10.1016/j.jsps.2023.101912</w:t>
      </w:r>
    </w:p>
    <w:p w14:paraId="3B8BECD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w:t>
      </w:r>
      <w:r w:rsidRPr="00A96C26">
        <w:rPr>
          <w:rFonts w:ascii="Times New Roman" w:hAnsi="Times New Roman" w:cs="Times New Roman"/>
          <w:kern w:val="0"/>
        </w:rPr>
        <w:tab/>
        <w:t>Siouti E, Andreakos E. The many facets of macrophages in rheumatoid arthritis. Biochemical Pharmacology. 2019 Jul;165:152–69. doi:10.1016/j.bcp.2019.03.029</w:t>
      </w:r>
    </w:p>
    <w:p w14:paraId="02094FB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w:t>
      </w:r>
      <w:r w:rsidRPr="00A96C26">
        <w:rPr>
          <w:rFonts w:ascii="Times New Roman" w:hAnsi="Times New Roman" w:cs="Times New Roman"/>
          <w:kern w:val="0"/>
        </w:rPr>
        <w:tab/>
        <w:t>De Silva O, Rougier A, Dossou KG. The HET-CAM Test: A Study of the Irritation Potential of Chemicals and Formulations. Altern Lab Anim. 1992 Jul;20(3):432–7. doi:10.1177/026119299202000309</w:t>
      </w:r>
    </w:p>
    <w:p w14:paraId="3A43088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8.</w:t>
      </w:r>
      <w:r w:rsidRPr="00A96C26">
        <w:rPr>
          <w:rFonts w:ascii="Times New Roman" w:hAnsi="Times New Roman" w:cs="Times New Roman"/>
          <w:kern w:val="0"/>
        </w:rPr>
        <w:tab/>
        <w:t>Cai Y, Zhang J, Liang J, Xiao M, Zhang G, Jing Z, et al. The Burden of Rheumatoid Arthritis: Findings from the 2019 Global Burden of Diseases Study and Forecasts for 2030 by Bayesian Age-Period-Cohort Analysis. JCM. 2023 Feb 6;12(4):1291. doi:10.3390/jcm12041291</w:t>
      </w:r>
    </w:p>
    <w:p w14:paraId="38A9F01E"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9.</w:t>
      </w:r>
      <w:r w:rsidRPr="00A96C26">
        <w:rPr>
          <w:rFonts w:ascii="Times New Roman" w:hAnsi="Times New Roman" w:cs="Times New Roman"/>
          <w:kern w:val="0"/>
        </w:rPr>
        <w:tab/>
        <w:t>Liu M, Wen J, Sharma M. Solid Lipid Nanoparticles for Topical Drug Delivery: Mechanisms, Dosage Form Perspectives, and Translational Status. CPD. 2020 Aug 25;26(27):3203–17. doi:10.2174/1381612826666200526145706</w:t>
      </w:r>
    </w:p>
    <w:p w14:paraId="6A6D82A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10.</w:t>
      </w:r>
      <w:r w:rsidRPr="00A96C26">
        <w:rPr>
          <w:rFonts w:ascii="Times New Roman" w:hAnsi="Times New Roman" w:cs="Times New Roman"/>
          <w:kern w:val="0"/>
        </w:rPr>
        <w:tab/>
        <w:t>Kunnumakkara AB, Hegde M, Parama D, Girisa S, Kumar A, Daimary UD, et al. Role of Turmeric and Curcumin in Prevention and Treatment of Chronic Diseases: Lessons Learned from Clinical Trials. ACS Pharmacol Transl Sci. 2023 Apr 14;6(4):447–518. doi:10.1021/acsptsci.2c00012</w:t>
      </w:r>
    </w:p>
    <w:p w14:paraId="063AB6D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11.</w:t>
      </w:r>
      <w:r w:rsidRPr="00A96C26">
        <w:rPr>
          <w:rFonts w:ascii="Times New Roman" w:hAnsi="Times New Roman" w:cs="Times New Roman"/>
          <w:kern w:val="0"/>
        </w:rPr>
        <w:tab/>
        <w:t>Jang S, Kwon EJ, Lee JJ. Rheumatoid Arthritis: Pathogenic Roles of Diverse Immune Cells. IJMS. 2022 Jan 14;23(2):905. doi:10.3390/ijms23020905</w:t>
      </w:r>
    </w:p>
    <w:p w14:paraId="1583F121"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12.</w:t>
      </w:r>
      <w:r w:rsidRPr="00A96C26">
        <w:rPr>
          <w:rFonts w:ascii="Times New Roman" w:hAnsi="Times New Roman" w:cs="Times New Roman"/>
          <w:kern w:val="0"/>
        </w:rPr>
        <w:tab/>
        <w:t>Bullock J, Rizvi SAA, Saleh AM, Ahmed SS, Do DP, Ansari RA, et al. Rheumatoid Arthritis: A Brief Overview of the Treatment. Med Princ Pract. 2018;27(6):501–7. doi:10.1159/000493390</w:t>
      </w:r>
    </w:p>
    <w:p w14:paraId="01C62ED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lastRenderedPageBreak/>
        <w:t>13.</w:t>
      </w:r>
      <w:r w:rsidRPr="00A96C26">
        <w:rPr>
          <w:rFonts w:ascii="Times New Roman" w:hAnsi="Times New Roman" w:cs="Times New Roman"/>
          <w:kern w:val="0"/>
        </w:rPr>
        <w:tab/>
        <w:t>Elhabal S, Abdelaal N, Al-Zuhairy S, Mohamed Elrefai M, Khalifa M, Khasawneh M, et al. Revolutionizing Psoriasis Topical Treatment: Enhanced Efficacy Through Ceramide/Phospholipid Composite Cerosomes Co-Delivery of Cyclosporine and Dithranol: In-Vitro, Ex-Vivo, and in-Vivo Studies. IJN. 2024 Feb;Volume 19:1163–87. doi:10.2147/IJN.S443812</w:t>
      </w:r>
    </w:p>
    <w:p w14:paraId="5A492C8F" w14:textId="624F3792" w:rsidR="007C1A14" w:rsidRDefault="007C1A14" w:rsidP="00D4394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14.</w:t>
      </w:r>
      <w:r w:rsidRPr="00A96C26">
        <w:rPr>
          <w:rFonts w:ascii="Times New Roman" w:hAnsi="Times New Roman" w:cs="Times New Roman"/>
          <w:kern w:val="0"/>
        </w:rPr>
        <w:tab/>
        <w:t>Share JB. Review of drug treatment for Down’s syndrome persons. Am J Ment Defic. 1976 Jan;80(4):388–93. PubMed PMID: 2011.</w:t>
      </w:r>
    </w:p>
    <w:p w14:paraId="54EFF67E" w14:textId="5963EC84" w:rsidR="00D43944" w:rsidRPr="00D43944" w:rsidRDefault="00D43944" w:rsidP="00D4394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D43944">
        <w:rPr>
          <w:rFonts w:ascii="Times New Roman" w:hAnsi="Times New Roman" w:cs="Times New Roman"/>
          <w:kern w:val="0"/>
          <w:lang w:val="nb-NO"/>
        </w:rPr>
        <w:t>15.Seenivasan, R., Halagali, P., Nayak, D. </w:t>
      </w:r>
      <w:r w:rsidRPr="00D43944">
        <w:rPr>
          <w:rFonts w:ascii="Times New Roman" w:hAnsi="Times New Roman" w:cs="Times New Roman"/>
          <w:i/>
          <w:iCs/>
          <w:kern w:val="0"/>
          <w:lang w:val="nb-NO"/>
        </w:rPr>
        <w:t>et al.</w:t>
      </w:r>
      <w:r w:rsidRPr="00D43944">
        <w:rPr>
          <w:rFonts w:ascii="Times New Roman" w:hAnsi="Times New Roman" w:cs="Times New Roman"/>
          <w:kern w:val="0"/>
          <w:lang w:val="nb-NO"/>
        </w:rPr>
        <w:t> </w:t>
      </w:r>
      <w:r w:rsidRPr="00D43944">
        <w:rPr>
          <w:rFonts w:ascii="Times New Roman" w:hAnsi="Times New Roman" w:cs="Times New Roman"/>
          <w:kern w:val="0"/>
        </w:rPr>
        <w:t>Transethosomes: A Comprehensive Review of Ultra-Deformable Vesicular Systems for Enhanced Transdermal Drug Delivery. </w:t>
      </w:r>
      <w:r w:rsidRPr="00D43944">
        <w:rPr>
          <w:rFonts w:ascii="Times New Roman" w:hAnsi="Times New Roman" w:cs="Times New Roman"/>
          <w:i/>
          <w:iCs/>
          <w:kern w:val="0"/>
        </w:rPr>
        <w:t>AAPS PharmSciTech</w:t>
      </w:r>
      <w:r w:rsidRPr="00D43944">
        <w:rPr>
          <w:rFonts w:ascii="Times New Roman" w:hAnsi="Times New Roman" w:cs="Times New Roman"/>
          <w:kern w:val="0"/>
        </w:rPr>
        <w:t> </w:t>
      </w:r>
      <w:r w:rsidRPr="00D43944">
        <w:rPr>
          <w:rFonts w:ascii="Times New Roman" w:hAnsi="Times New Roman" w:cs="Times New Roman"/>
          <w:b/>
          <w:bCs/>
          <w:kern w:val="0"/>
        </w:rPr>
        <w:t>26</w:t>
      </w:r>
      <w:r w:rsidRPr="00D43944">
        <w:rPr>
          <w:rFonts w:ascii="Times New Roman" w:hAnsi="Times New Roman" w:cs="Times New Roman"/>
          <w:kern w:val="0"/>
        </w:rPr>
        <w:t>, 41 (2025). https://doi.org/10.1208/s12249-024-03035-x</w:t>
      </w:r>
    </w:p>
    <w:p w14:paraId="443F3D3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lang w:val="nb-NO"/>
        </w:rPr>
        <w:t>16.</w:t>
      </w:r>
      <w:r w:rsidRPr="00A96C26">
        <w:rPr>
          <w:rFonts w:ascii="Times New Roman" w:hAnsi="Times New Roman" w:cs="Times New Roman"/>
          <w:kern w:val="0"/>
          <w:lang w:val="nb-NO"/>
        </w:rPr>
        <w:tab/>
        <w:t xml:space="preserve">Straat M, Van Bruggen R, De Korte D, Juffermans NP. </w:t>
      </w:r>
      <w:r w:rsidRPr="00A96C26">
        <w:rPr>
          <w:rFonts w:ascii="Times New Roman" w:hAnsi="Times New Roman" w:cs="Times New Roman"/>
          <w:kern w:val="0"/>
        </w:rPr>
        <w:t>Red Blood Cell Clearance in Inflammation. Transfus Med Hemother. 2012;39(5):353–60. doi:10.1159/000342229</w:t>
      </w:r>
    </w:p>
    <w:p w14:paraId="491B796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17.</w:t>
      </w:r>
      <w:r w:rsidRPr="00A96C26">
        <w:rPr>
          <w:rFonts w:ascii="Times New Roman" w:hAnsi="Times New Roman" w:cs="Times New Roman"/>
          <w:kern w:val="0"/>
        </w:rPr>
        <w:tab/>
        <w:t>Sivani BM, Azzeh M, Patnaik R, Pantea Stoian A, Rizzo M, Banerjee Y. Reconnoitering the Therapeutic Role of Curcumin in Disease Prevention and Treatment: Lessons Learnt and Future Directions. Metabolites. 2022 Jul 12;12(7):639. doi:10.3390/metabo12070639</w:t>
      </w:r>
    </w:p>
    <w:p w14:paraId="3E0E821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18.</w:t>
      </w:r>
      <w:r w:rsidRPr="00A96C26">
        <w:rPr>
          <w:rFonts w:ascii="Times New Roman" w:hAnsi="Times New Roman" w:cs="Times New Roman"/>
          <w:kern w:val="0"/>
        </w:rPr>
        <w:tab/>
        <w:t>Huang J, Yao X, Weng G, Qi H, Ye X. Protective effect of curcumin against cyclosporine A‑induced rat nephrotoxicity. Mol Med Report. 2018 Feb 12. doi:10.3892/mmr.2018.8591</w:t>
      </w:r>
    </w:p>
    <w:p w14:paraId="4DA1CCB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19.</w:t>
      </w:r>
      <w:r w:rsidRPr="00A96C26">
        <w:rPr>
          <w:rFonts w:ascii="Times New Roman" w:hAnsi="Times New Roman" w:cs="Times New Roman"/>
          <w:kern w:val="0"/>
        </w:rPr>
        <w:tab/>
        <w:t>Malaviya AN, Kapoor SK, Singh RR, Kumar A, Pande I. Prevalence of rheumatoid arthritis in the adult Indian population. Rheumatol Int. 1993 Nov;13(4):131–4. doi:10.1007/BF00301258</w:t>
      </w:r>
    </w:p>
    <w:p w14:paraId="5336E42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20.</w:t>
      </w:r>
      <w:r w:rsidRPr="00A96C26">
        <w:rPr>
          <w:rFonts w:ascii="Times New Roman" w:hAnsi="Times New Roman" w:cs="Times New Roman"/>
          <w:kern w:val="0"/>
        </w:rPr>
        <w:tab/>
        <w:t>Hernández-Giottonini KY, Rodríguez-Córdova RJ, Gutiérrez-Valenzuela CA, Peñuñuri-Miranda O, Zavala-Rivera P, Guerrero-Germán P, et al. PLGA nanoparticle preparations by emulsification and nanoprecipitation techniques: effects of formulation parameters. RSC Adv. 2020;10(8):4218–31. doi:10.1039/C9RA10857B</w:t>
      </w:r>
    </w:p>
    <w:p w14:paraId="7BDB0F3E"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21.</w:t>
      </w:r>
      <w:r w:rsidRPr="00A96C26">
        <w:rPr>
          <w:rFonts w:ascii="Times New Roman" w:hAnsi="Times New Roman" w:cs="Times New Roman"/>
          <w:kern w:val="0"/>
        </w:rPr>
        <w:tab/>
        <w:t>Kidder GW, Montgomery CW. Oxygenation of frog gastric mucosa in vitro. Am J Physiol. 1975 Dec;229(6):1510–3. doi:10.1152/ajplegacy.1975.229.6.1510 PubMed PMID: 2018.</w:t>
      </w:r>
    </w:p>
    <w:p w14:paraId="1DE4B962" w14:textId="4E191801"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22.</w:t>
      </w:r>
      <w:r w:rsidRPr="00A96C26">
        <w:rPr>
          <w:rFonts w:ascii="Times New Roman" w:hAnsi="Times New Roman" w:cs="Times New Roman"/>
          <w:kern w:val="0"/>
        </w:rPr>
        <w:tab/>
      </w:r>
      <w:r w:rsidR="00D43944" w:rsidRPr="00D43944">
        <w:rPr>
          <w:rFonts w:ascii="Times New Roman" w:hAnsi="Times New Roman" w:cs="Times New Roman"/>
          <w:kern w:val="0"/>
        </w:rPr>
        <w:t>Homayun B, Lin X, Choi H-J. Challenges and recent progress in oral drug delivery systems for biopharmaceuticals. Pharmaceutics. 2019;11:129.</w:t>
      </w:r>
    </w:p>
    <w:p w14:paraId="6AA8A1D1"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23.</w:t>
      </w:r>
      <w:r w:rsidRPr="00A96C26">
        <w:rPr>
          <w:rFonts w:ascii="Times New Roman" w:hAnsi="Times New Roman" w:cs="Times New Roman"/>
          <w:kern w:val="0"/>
        </w:rPr>
        <w:tab/>
        <w:t>Kadhim SAA, Ghafil FA, Majeed SA, Hadi NR. NEPHROPROTECTIVE EFFECTS OF CURCUMIN AGAINST CYCLOSPORINE A-INDUCED NEPHROTOXICITY IN RAT MODEL. Wiad Lek. 2021 Dec;74(12):3135–46. doi:10.36740/WLek202112103</w:t>
      </w:r>
    </w:p>
    <w:p w14:paraId="6254B82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24.</w:t>
      </w:r>
      <w:r w:rsidRPr="00A96C26">
        <w:rPr>
          <w:rFonts w:ascii="Times New Roman" w:hAnsi="Times New Roman" w:cs="Times New Roman"/>
          <w:kern w:val="0"/>
        </w:rPr>
        <w:tab/>
        <w:t>Adin SN, Gupta I, Rashid MA, Alhamhoom Y, Aqil M, Mujeeb M. Nanotransethosomes for enhanced transdermal delivery of mangiferin against rheumatoid arthritis: formulation, characterization, invivo pharmacokinetic and pharmacodynamic evaluation. Drug Delivery. 2023 Dec 31;30(1):2173338. doi:10.1080/10717544.2023.2173338</w:t>
      </w:r>
    </w:p>
    <w:p w14:paraId="67287E5C"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25.</w:t>
      </w:r>
      <w:r w:rsidRPr="00A96C26">
        <w:rPr>
          <w:rFonts w:ascii="Times New Roman" w:hAnsi="Times New Roman" w:cs="Times New Roman"/>
          <w:kern w:val="0"/>
        </w:rPr>
        <w:tab/>
        <w:t>Heinz H, Pramanik C, Heinz O, Ding Y, Mishra RK, Marchon D, et al. Nanoparticle decoration with surfactants: Molecular interactions, assembly, and applications. Surface Science Reports. 2017 Feb;72(1):1–58. doi:10.1016/j.surfrep.2017.02.001</w:t>
      </w:r>
    </w:p>
    <w:p w14:paraId="17848E5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26.</w:t>
      </w:r>
      <w:r w:rsidRPr="00A96C26">
        <w:rPr>
          <w:rFonts w:ascii="Times New Roman" w:hAnsi="Times New Roman" w:cs="Times New Roman"/>
          <w:kern w:val="0"/>
        </w:rPr>
        <w:tab/>
        <w:t>Liddicoat AM, Lavelle EC. Modulation of innate immunity by cyclosporine A. Biochemical Pharmacology. 2019 May;163:472–80. doi:10.1016/j.bcp.2019.03.022</w:t>
      </w:r>
    </w:p>
    <w:p w14:paraId="5355E0F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27.</w:t>
      </w:r>
      <w:r w:rsidRPr="00A96C26">
        <w:rPr>
          <w:rFonts w:ascii="Times New Roman" w:hAnsi="Times New Roman" w:cs="Times New Roman"/>
          <w:kern w:val="0"/>
        </w:rPr>
        <w:tab/>
        <w:t>Soni JM, Sardoiwala MN, Choudhury SR, Sharma SS, Karmakar S. Melatonin-loaded chitosan nanoparticles endows nitric oxide synthase 2 mediated anti-inflammatory activity in inflammatory bowel disease model. Materials Science and Engineering: C. 2021 May;124:112038. doi:10.1016/j.msec.2021.112038</w:t>
      </w:r>
    </w:p>
    <w:p w14:paraId="20A5695C"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28.</w:t>
      </w:r>
      <w:r w:rsidRPr="00A96C26">
        <w:rPr>
          <w:rFonts w:ascii="Times New Roman" w:hAnsi="Times New Roman" w:cs="Times New Roman"/>
          <w:kern w:val="0"/>
        </w:rPr>
        <w:tab/>
        <w:t>Fiddian-Green RG, Silen W. Mechanisms of disposal of acid and alkali in rabbit duodenum. Am J Physiol. 1975 Dec;229(6):1641–8. doi:10.1152/ajplegacy.1975.229.6.1641 PubMed PMID: 2019.</w:t>
      </w:r>
    </w:p>
    <w:p w14:paraId="04C7B648"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29.</w:t>
      </w:r>
      <w:r w:rsidRPr="00A96C26">
        <w:rPr>
          <w:rFonts w:ascii="Times New Roman" w:hAnsi="Times New Roman" w:cs="Times New Roman"/>
          <w:kern w:val="0"/>
        </w:rPr>
        <w:tab/>
        <w:t>Radu AF, Bungau SG. Management of Rheumatoid Arthritis: An Overview. Cells. 2021 Oct 23;10(11):2857. doi:10.3390/cells10112857</w:t>
      </w:r>
    </w:p>
    <w:p w14:paraId="7CA8A30C"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30.</w:t>
      </w:r>
      <w:r w:rsidRPr="00A96C26">
        <w:rPr>
          <w:rFonts w:ascii="Times New Roman" w:hAnsi="Times New Roman" w:cs="Times New Roman"/>
          <w:kern w:val="0"/>
        </w:rPr>
        <w:tab/>
        <w:t>Pierre MBR, Dos Santos Miranda Costa I. Liposomal systems as drug delivery vehicles for dermal and transdermal applications. Arch Dermatol Res. 2011 Nov;303(9):607. doi:10.1007/s00403-011-1166-4</w:t>
      </w:r>
    </w:p>
    <w:p w14:paraId="6C83FAB8"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31.</w:t>
      </w:r>
      <w:r w:rsidRPr="00A96C26">
        <w:rPr>
          <w:rFonts w:ascii="Times New Roman" w:hAnsi="Times New Roman" w:cs="Times New Roman"/>
          <w:kern w:val="0"/>
        </w:rPr>
        <w:tab/>
        <w:t>Durbin RP. Letter: Acid secretion by gastric mucous membrane. Am J Physiol. 1975 Dec;229(6):1726. doi:10.1152/ajplegacy.1975.229.6.1726 PubMed PMID: 2020.</w:t>
      </w:r>
    </w:p>
    <w:p w14:paraId="1E364C52" w14:textId="25BEC729"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32.</w:t>
      </w:r>
      <w:r w:rsidRPr="00A96C26">
        <w:rPr>
          <w:rFonts w:ascii="Times New Roman" w:hAnsi="Times New Roman" w:cs="Times New Roman"/>
          <w:kern w:val="0"/>
        </w:rPr>
        <w:tab/>
      </w:r>
      <w:r w:rsidR="00D43944" w:rsidRPr="00D43944">
        <w:rPr>
          <w:rFonts w:ascii="Times New Roman" w:hAnsi="Times New Roman" w:cs="Times New Roman"/>
          <w:kern w:val="0"/>
        </w:rPr>
        <w:t xml:space="preserve">Lou J, Duan H, Qin Q, Teng Z, Gan F, Zhou X, et al. Advances in oral drug delivery systems: </w:t>
      </w:r>
      <w:r w:rsidR="00D43944" w:rsidRPr="00D43944">
        <w:rPr>
          <w:rFonts w:ascii="Times New Roman" w:hAnsi="Times New Roman" w:cs="Times New Roman"/>
          <w:kern w:val="0"/>
        </w:rPr>
        <w:lastRenderedPageBreak/>
        <w:t>challenges and opportunities. Pharmaceutics. 2023;15:484.</w:t>
      </w:r>
    </w:p>
    <w:p w14:paraId="241AB9C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33.</w:t>
      </w:r>
      <w:r w:rsidRPr="00A96C26">
        <w:rPr>
          <w:rFonts w:ascii="Times New Roman" w:hAnsi="Times New Roman" w:cs="Times New Roman"/>
          <w:kern w:val="0"/>
        </w:rPr>
        <w:tab/>
        <w:t>Gupta I, Adin SN, Aqil M, Mujeeb M, Sultana Y. Investigation on utility of some novel terpenes on transungual delivery of terbinafine for the management of onychomycosis. Dermatol Pract Concept. 2022 Oct 31;e2022202. doi:10.5826/dpc.1204a202</w:t>
      </w:r>
    </w:p>
    <w:p w14:paraId="30561F40" w14:textId="433E3CD2"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34.</w:t>
      </w:r>
      <w:r w:rsidRPr="00A96C26">
        <w:rPr>
          <w:rFonts w:ascii="Times New Roman" w:hAnsi="Times New Roman" w:cs="Times New Roman"/>
          <w:kern w:val="0"/>
        </w:rPr>
        <w:tab/>
      </w:r>
      <w:r w:rsidR="00D43944" w:rsidRPr="00D43944">
        <w:rPr>
          <w:rFonts w:ascii="Times New Roman" w:hAnsi="Times New Roman" w:cs="Times New Roman"/>
          <w:kern w:val="0"/>
        </w:rPr>
        <w:t>Guimier E, Carson L, David B, Lambert JM, Heery E, Malcolm RK. Pharmacological approaches for the prevention of breast implant capsular contracture. J Surg Res. 2022;280:129–50.</w:t>
      </w:r>
    </w:p>
    <w:p w14:paraId="72F99BC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35.</w:t>
      </w:r>
      <w:r w:rsidRPr="00A96C26">
        <w:rPr>
          <w:rFonts w:ascii="Times New Roman" w:hAnsi="Times New Roman" w:cs="Times New Roman"/>
          <w:kern w:val="0"/>
        </w:rPr>
        <w:tab/>
        <w:t>Alvarado Galindo F, Venzmer J, Prévost S, Hoffmann I, Gradzielski M. Incorporation of short-chain alcohols into fluid bilayers and its effect on membrane dynamic properties as seen by neutron scattering. Colloids and Surfaces A: Physicochemical and Engineering Aspects. 2024 Dec;702:135014. doi:10.1016/j.colsurfa.2024.135014</w:t>
      </w:r>
    </w:p>
    <w:p w14:paraId="6CDB51E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36.</w:t>
      </w:r>
      <w:r w:rsidRPr="00A96C26">
        <w:rPr>
          <w:rFonts w:ascii="Times New Roman" w:hAnsi="Times New Roman" w:cs="Times New Roman"/>
          <w:kern w:val="0"/>
        </w:rPr>
        <w:tab/>
        <w:t>Gharat S, Basudkar V, Momin M. In-Vitro and in-Vivo Evaluation of the Developed Curcumin-Cyclosporine-Loaded Nanoemulgel for the Management of Rheumatoid Arthritis. Immunological Investigations. 2024 Apr 2;53(3):490–522. doi:10.1080/08820139.2024.2301997</w:t>
      </w:r>
    </w:p>
    <w:p w14:paraId="34E2E98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37.</w:t>
      </w:r>
      <w:r w:rsidRPr="00A96C26">
        <w:rPr>
          <w:rFonts w:ascii="Times New Roman" w:hAnsi="Times New Roman" w:cs="Times New Roman"/>
          <w:kern w:val="0"/>
        </w:rPr>
        <w:tab/>
        <w:t xml:space="preserve">Brighenti MDS, Montanheri LRDS, Duque MD, Andreo-Filho N, Lopes PS, Garcia MTJ, et al. </w:t>
      </w:r>
      <w:r w:rsidRPr="00A96C26">
        <w:rPr>
          <w:rFonts w:ascii="Times New Roman" w:hAnsi="Times New Roman" w:cs="Times New Roman"/>
          <w:i/>
          <w:iCs/>
          <w:kern w:val="0"/>
        </w:rPr>
        <w:t>In Vitro</w:t>
      </w:r>
      <w:r w:rsidRPr="00A96C26">
        <w:rPr>
          <w:rFonts w:ascii="Times New Roman" w:hAnsi="Times New Roman" w:cs="Times New Roman"/>
          <w:kern w:val="0"/>
        </w:rPr>
        <w:t xml:space="preserve"> Drug Release and </w:t>
      </w:r>
      <w:r w:rsidRPr="00A96C26">
        <w:rPr>
          <w:rFonts w:ascii="Times New Roman" w:hAnsi="Times New Roman" w:cs="Times New Roman"/>
          <w:i/>
          <w:iCs/>
          <w:kern w:val="0"/>
        </w:rPr>
        <w:t>Ex Vivo</w:t>
      </w:r>
      <w:r w:rsidRPr="00A96C26">
        <w:rPr>
          <w:rFonts w:ascii="Times New Roman" w:hAnsi="Times New Roman" w:cs="Times New Roman"/>
          <w:kern w:val="0"/>
        </w:rPr>
        <w:t xml:space="preserve"> Dermal Drug Permeation Studies of Selected Commercial Benzoyl Peroxide Topical Formulations: Correlation Between Human and Porcine Skin Models. Mol Pharmaceutics. 2025 Mar 3;22(3):1365–72. doi:10.1021/acs.molpharmaceut.4c01058</w:t>
      </w:r>
    </w:p>
    <w:p w14:paraId="0024F62C"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38.</w:t>
      </w:r>
      <w:r w:rsidRPr="00A96C26">
        <w:rPr>
          <w:rFonts w:ascii="Times New Roman" w:hAnsi="Times New Roman" w:cs="Times New Roman"/>
          <w:kern w:val="0"/>
        </w:rPr>
        <w:tab/>
        <w:t>El-Saadony MT, Yang T, Korma SA, Sitohy M, Abd El-Mageed TA, Selim S, et al. Impacts of turmeric and its principal bioactive curcumin on human health: Pharmaceutical, medicinal, and food applications: A comprehensive review. Front Nutr. 2023 Jan 10;9:1040259. doi:10.3389/fnut.2022.1040259</w:t>
      </w:r>
    </w:p>
    <w:p w14:paraId="2504B693"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39.</w:t>
      </w:r>
      <w:r w:rsidRPr="00A96C26">
        <w:rPr>
          <w:rFonts w:ascii="Times New Roman" w:hAnsi="Times New Roman" w:cs="Times New Roman"/>
          <w:kern w:val="0"/>
        </w:rPr>
        <w:tab/>
        <w:t>Vos T, Lim SS, Abbafati C, Abbas KM, Abbasi M, Abbasifard M, et al. Global burden of 369 diseases and injuries in 204 countries and territories, 1990–2019: a systematic analysis for the Global Burden of Disease Study 2019. The Lancet. 2020 Oct;396(10258):1204–22. doi:10.1016/S0140-6736(20)30925-9</w:t>
      </w:r>
    </w:p>
    <w:p w14:paraId="40DCEEE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40.</w:t>
      </w:r>
      <w:r w:rsidRPr="00A96C26">
        <w:rPr>
          <w:rFonts w:ascii="Times New Roman" w:hAnsi="Times New Roman" w:cs="Times New Roman"/>
          <w:kern w:val="0"/>
        </w:rPr>
        <w:tab/>
        <w:t>Paliwal S, Tilak A, Sharma J, Dave V, Sharma S, Yadav R, et al. Flurbiprofen loaded ethosomes - transdermal delivery of anti-inflammatory effect in rat model. Lipids Health Dis. 2019 Dec;18(1):133. doi:10.1186/s12944-019-1064-x</w:t>
      </w:r>
    </w:p>
    <w:p w14:paraId="76C629C6"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41.</w:t>
      </w:r>
      <w:r w:rsidRPr="00A96C26">
        <w:rPr>
          <w:rFonts w:ascii="Times New Roman" w:hAnsi="Times New Roman" w:cs="Times New Roman"/>
          <w:kern w:val="0"/>
        </w:rPr>
        <w:tab/>
        <w:t>Hwang J hyun, Jeong H, Lee N, Hur S, Lee N, Han JJ, et al. Ex Vivo Live Full-Thickness Porcine Skin Model as a Versatile In Vitro Testing Method for Skin Barrier Research. IJMS. 2021 Jan 11;22(2):657. doi:10.3390/ijms22020657</w:t>
      </w:r>
    </w:p>
    <w:p w14:paraId="2B3D758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42.</w:t>
      </w:r>
      <w:r w:rsidRPr="00A96C26">
        <w:rPr>
          <w:rFonts w:ascii="Times New Roman" w:hAnsi="Times New Roman" w:cs="Times New Roman"/>
          <w:kern w:val="0"/>
        </w:rPr>
        <w:tab/>
        <w:t>Smolen JS, Landewé RBM, Bergstra SA, Kerschbaumer A, Sepriano A, Aletaha D, et al. EULAR recommendations for the management of rheumatoid arthritis with synthetic and biological disease-modifying antirheumatic drugs: 2022 update. Annals of the Rheumatic Diseases. 2023 Jan;82(1):3–18. doi:10.1136/ard-2022-223356</w:t>
      </w:r>
    </w:p>
    <w:p w14:paraId="6FD3C6B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43.</w:t>
      </w:r>
      <w:r w:rsidRPr="00A96C26">
        <w:rPr>
          <w:rFonts w:ascii="Times New Roman" w:hAnsi="Times New Roman" w:cs="Times New Roman"/>
          <w:kern w:val="0"/>
        </w:rPr>
        <w:tab/>
        <w:t>Cristiano MC, Mancuso A, Giuliano E, Cosco D, Paolino D, Fresta M. EtoGel for Intra-Articular Drug Delivery: A New Challenge for Joint Diseases Treatment. JFB. 2021 May 16;12(2):34. doi:10.3390/jfb12020034</w:t>
      </w:r>
    </w:p>
    <w:p w14:paraId="2A7A42AD" w14:textId="3B36D141"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44.</w:t>
      </w:r>
      <w:r w:rsidRPr="00A96C26">
        <w:rPr>
          <w:rFonts w:ascii="Times New Roman" w:hAnsi="Times New Roman" w:cs="Times New Roman"/>
          <w:kern w:val="0"/>
        </w:rPr>
        <w:tab/>
      </w:r>
      <w:r w:rsidR="00D43944" w:rsidRPr="00D43944">
        <w:rPr>
          <w:rFonts w:ascii="Times New Roman" w:hAnsi="Times New Roman" w:cs="Times New Roman"/>
          <w:kern w:val="0"/>
        </w:rPr>
        <w:t>Zhou Q, Jin J, Zhu L, Chen M, Xu H, Wang H, et al. The optimal choice of medication administration route regarding intravenous, intramuscular, and subcutaneous injection. Patient Prefer Adherence. 2015;923.</w:t>
      </w:r>
    </w:p>
    <w:p w14:paraId="2F5CC0B0" w14:textId="4F3F6295"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45.</w:t>
      </w:r>
      <w:r w:rsidRPr="00A96C26">
        <w:rPr>
          <w:rFonts w:ascii="Times New Roman" w:hAnsi="Times New Roman" w:cs="Times New Roman"/>
          <w:kern w:val="0"/>
        </w:rPr>
        <w:tab/>
      </w:r>
      <w:r w:rsidR="00D43944" w:rsidRPr="00D43944">
        <w:rPr>
          <w:rFonts w:ascii="Times New Roman" w:hAnsi="Times New Roman" w:cs="Times New Roman"/>
          <w:kern w:val="0"/>
        </w:rPr>
        <w:t>Jeong WY, Kwon M, Choi HE, Kim KS. Recent advances in transdermal drug delivery systems: a review. Biomater Res. 2021;25.</w:t>
      </w:r>
    </w:p>
    <w:p w14:paraId="1458F19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lastRenderedPageBreak/>
        <w:t>46.</w:t>
      </w:r>
      <w:r w:rsidRPr="00A96C26">
        <w:rPr>
          <w:rFonts w:ascii="Times New Roman" w:hAnsi="Times New Roman" w:cs="Times New Roman"/>
          <w:kern w:val="0"/>
        </w:rPr>
        <w:tab/>
        <w:t>Fan C, Li X, Zhou Y, Zhao Y, Ma S, Li W, et al. Enhanced Topical Delivery of Tetrandrine by Ethosomes for Treatment of Arthritis. BioMed Research International. 2013;2013:1–13. doi:10.1155/2013/161943</w:t>
      </w:r>
    </w:p>
    <w:p w14:paraId="3339C71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47.</w:t>
      </w:r>
      <w:r w:rsidRPr="00A96C26">
        <w:rPr>
          <w:rFonts w:ascii="Times New Roman" w:hAnsi="Times New Roman" w:cs="Times New Roman"/>
          <w:kern w:val="0"/>
        </w:rPr>
        <w:tab/>
        <w:t>Sadarani B, Majumdar A, Paradkar S, Mathur A, Sachdev S, Mohanty B, et al. Enhanced skin permeation of Methotrexate from penetration enhancer containing vesicles: In vitro optimization and in vivo evaluation. Biomedicine &amp; Pharmacotherapy. 2019 Jun;114:108770. doi:10.1016/j.biopha.2019.108770</w:t>
      </w:r>
    </w:p>
    <w:p w14:paraId="4A967F0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48.</w:t>
      </w:r>
      <w:r w:rsidRPr="00A96C26">
        <w:rPr>
          <w:rFonts w:ascii="Times New Roman" w:hAnsi="Times New Roman" w:cs="Times New Roman"/>
          <w:kern w:val="0"/>
        </w:rPr>
        <w:tab/>
        <w:t>Kirkeskov L, Bray K. Employment of patients with rheumatoid arthritis - a systematic review and meta-analysis. BMC Rheumatol. 2023 Nov 14;7(1):41. doi:10.1186/s41927-023-00365-4</w:t>
      </w:r>
    </w:p>
    <w:p w14:paraId="0A946E6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49.</w:t>
      </w:r>
      <w:r w:rsidRPr="00A96C26">
        <w:rPr>
          <w:rFonts w:ascii="Times New Roman" w:hAnsi="Times New Roman" w:cs="Times New Roman"/>
          <w:kern w:val="0"/>
        </w:rPr>
        <w:tab/>
        <w:t>Kahn T, Bosch J, Levitt MF, Goldstein MH. Effect of sodium nitrate loading on electrolyte transport by the renal tubule. Am J Physiol. 1975 Sep;229(3):746–53. doi:10.1152/ajplegacy.1975.229.3.746 PubMed PMID: 2016.</w:t>
      </w:r>
    </w:p>
    <w:p w14:paraId="7B5B97F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50.</w:t>
      </w:r>
      <w:r w:rsidRPr="00A96C26">
        <w:rPr>
          <w:rFonts w:ascii="Times New Roman" w:hAnsi="Times New Roman" w:cs="Times New Roman"/>
          <w:kern w:val="0"/>
        </w:rPr>
        <w:tab/>
        <w:t>Poole-Wilson PA, Langer GA. Effect of pH on ionic exchange and function in rat and rabbit myocardium. Am J Physiol. 1975 Sep;229(3):570–81. doi:10.1152/ajplegacy.1975.229.3.570 PubMed PMID: 2014.</w:t>
      </w:r>
    </w:p>
    <w:p w14:paraId="03E0D97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51.</w:t>
      </w:r>
      <w:r w:rsidRPr="00A96C26">
        <w:rPr>
          <w:rFonts w:ascii="Times New Roman" w:hAnsi="Times New Roman" w:cs="Times New Roman"/>
          <w:kern w:val="0"/>
        </w:rPr>
        <w:tab/>
        <w:t>González-González O, Ramirez IO, Ramirez BI, O’Connell P, Ballesteros MP, Torrado JJ, et al. Drug Stability: ICH versus Accelerated Predictive Stability Studies. Pharmaceutics. 2022 Oct 28;14(11):2324. doi:10.3390/pharmaceutics14112324</w:t>
      </w:r>
    </w:p>
    <w:p w14:paraId="64024BE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52.</w:t>
      </w:r>
      <w:r w:rsidRPr="00A96C26">
        <w:rPr>
          <w:rFonts w:ascii="Times New Roman" w:hAnsi="Times New Roman" w:cs="Times New Roman"/>
          <w:kern w:val="0"/>
        </w:rPr>
        <w:tab/>
        <w:t>Suresh P, Salem-Bekhit MM, Veedu HP, Alshehri S, Nair SC, Bukhari SI, et al. Development of a Novel Methotrexate-Loaded Nanoemulsion for Rheumatoid Arthritis Treatment with Site-Specific Targeting Subcutaneous Delivery. Nanomaterials. 2022 Apr 11;12(8):1299. doi:10.3390/nano12081299</w:t>
      </w:r>
    </w:p>
    <w:p w14:paraId="472752F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53.</w:t>
      </w:r>
      <w:r w:rsidRPr="00A96C26">
        <w:rPr>
          <w:rFonts w:ascii="Times New Roman" w:hAnsi="Times New Roman" w:cs="Times New Roman"/>
          <w:kern w:val="0"/>
        </w:rPr>
        <w:tab/>
        <w:t>Vlachou MD, Rekkas DM, Dallas PP, Choulis NH. Development and in vitro evaluation of griseofulvin gels using Franz diffusion cells. International Journal of Pharmaceutics. 1992 Apr;82(1–2):47–52. doi:10.1016/0378-5173(92)90070-I</w:t>
      </w:r>
    </w:p>
    <w:p w14:paraId="4AA75481"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54.</w:t>
      </w:r>
      <w:r w:rsidRPr="00A96C26">
        <w:rPr>
          <w:rFonts w:ascii="Times New Roman" w:hAnsi="Times New Roman" w:cs="Times New Roman"/>
          <w:kern w:val="0"/>
        </w:rPr>
        <w:tab/>
        <w:t>Panchaxari Gadad A, Patil AS, Singh Y, Mallappa Dandagi P, Bolmal UB, Basu A. Development and Evaluation of Flurbiprofen Loaded Transethosomes to Improve Transdermal Delivery. IJPER. 2020 Dec 22;54(4):954–62. doi:10.5530/ijper.54.4.189</w:t>
      </w:r>
    </w:p>
    <w:p w14:paraId="1061B33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55.</w:t>
      </w:r>
      <w:r w:rsidRPr="00A96C26">
        <w:rPr>
          <w:rFonts w:ascii="Times New Roman" w:hAnsi="Times New Roman" w:cs="Times New Roman"/>
          <w:kern w:val="0"/>
        </w:rPr>
        <w:tab/>
        <w:t>Acad. M.F. Nagiyev Institute of Catalysis and Inorganic Chemistry National Academy of Sciences of Azerbaijan, Tapdiqov ShZ, Department of prevention of sand and water appearance, Oil and Gas Research and Design Institute, The State Oil Company of the Azerbaijan Republic. DESİGNİNG POLY-N-VİNYLPYRROLİDONE BASED HYDROGEL AND APPLİED HİGUCHİ, KORSMEYER-PEPPAS, HİXSON-CROWELL KİNETİC MODELS FOR CONTROLLED RELEASE OF DOXORUBİCİN. Chemical Problems. 2020;18(2):207–13. doi:10.32737/2221-8688-2020-2-207-213</w:t>
      </w:r>
    </w:p>
    <w:p w14:paraId="0F25942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56.</w:t>
      </w:r>
      <w:r w:rsidRPr="00A96C26">
        <w:rPr>
          <w:rFonts w:ascii="Times New Roman" w:hAnsi="Times New Roman" w:cs="Times New Roman"/>
          <w:kern w:val="0"/>
        </w:rPr>
        <w:tab/>
        <w:t>Qiu JG, Mei XL, Chen ZS, Shi Z. Cytokine Detection by Flow Cytometry. In: Vancurova I, editor. Cytokine Bioassays [Internet]. New York, NY: Springer New York; 2014 [cited 2026 Apr 13]. p. 235–42. (Methods in Molecular Biology). Available from: https://link.springer.com/10.1007/978-1-4939-0928-5_21 doi:10.1007/978-1-4939-0928-5_21</w:t>
      </w:r>
    </w:p>
    <w:p w14:paraId="2FB1A57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57.</w:t>
      </w:r>
      <w:r w:rsidRPr="00A96C26">
        <w:rPr>
          <w:rFonts w:ascii="Times New Roman" w:hAnsi="Times New Roman" w:cs="Times New Roman"/>
          <w:kern w:val="0"/>
        </w:rPr>
        <w:tab/>
        <w:t>Steinmuller DR. Cyclosporine nephrotoxicity. Cleveland Clinic Journal of Medicine. 1989 Jan 1;56(1):89–95. doi:10.3949/ccjm.56.1.89</w:t>
      </w:r>
    </w:p>
    <w:p w14:paraId="4D248A8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58.</w:t>
      </w:r>
      <w:r w:rsidRPr="00A96C26">
        <w:rPr>
          <w:rFonts w:ascii="Times New Roman" w:hAnsi="Times New Roman" w:cs="Times New Roman"/>
          <w:kern w:val="0"/>
        </w:rPr>
        <w:tab/>
        <w:t>Ehrhart IC, Parker PE, Weidner WJ, Dabney JM, Scott JB, Haddy FJ. Coronary vascular and myocardial responses to carotid body stimulation in the dog. Am J Physiol. 1975 Sep;229(3):754–60. doi:10.1152/ajplegacy.1975.229.3.754 PubMed PMID: 2017.</w:t>
      </w:r>
    </w:p>
    <w:p w14:paraId="0DE3833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59.</w:t>
      </w:r>
      <w:r w:rsidRPr="00A96C26">
        <w:rPr>
          <w:rFonts w:ascii="Times New Roman" w:hAnsi="Times New Roman" w:cs="Times New Roman"/>
          <w:kern w:val="0"/>
        </w:rPr>
        <w:tab/>
        <w:t xml:space="preserve">Negi S, Tandel N, Garg N, Sharma P, Kumar R, Sharma P, et al. Co-Delivery of Aceclofenac </w:t>
      </w:r>
      <w:r w:rsidRPr="00A96C26">
        <w:rPr>
          <w:rFonts w:ascii="Times New Roman" w:hAnsi="Times New Roman" w:cs="Times New Roman"/>
          <w:kern w:val="0"/>
        </w:rPr>
        <w:lastRenderedPageBreak/>
        <w:t>and Methotrexate Nanoparticles Presents an Effective Treatment for Rheumatoid Arthritis. IJN. 2024 Mar;Volume 19:2149–77. doi:10.2147/IJN.S439359</w:t>
      </w:r>
    </w:p>
    <w:p w14:paraId="6C2E69F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60.</w:t>
      </w:r>
      <w:r w:rsidRPr="00A96C26">
        <w:rPr>
          <w:rFonts w:ascii="Times New Roman" w:hAnsi="Times New Roman" w:cs="Times New Roman"/>
          <w:kern w:val="0"/>
        </w:rPr>
        <w:tab/>
        <w:t>Kundeková B, Máčajová M, Meta M, Čavarga I, Bilčík B. Chorioallantoic Membrane Models of Various Avian Species: Differences and Applications. Biology. 2021 Apr 6;10(4):301. doi:10.3390/biology10040301</w:t>
      </w:r>
    </w:p>
    <w:p w14:paraId="4BA4FCE8"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61.</w:t>
      </w:r>
      <w:r w:rsidRPr="00A96C26">
        <w:rPr>
          <w:rFonts w:ascii="Times New Roman" w:hAnsi="Times New Roman" w:cs="Times New Roman"/>
          <w:kern w:val="0"/>
        </w:rPr>
        <w:tab/>
        <w:t>Sohn SI, Priya A, Balasubramaniam B, Muthuramalingam P, Sivasankar C, Selvaraj A, et al. Biomedical Applications and Bioavailability of Curcumin—An Updated Overview. Pharmaceutics. 2021 Dec 7;13(12):2102. doi:10.3390/pharmaceutics13122102</w:t>
      </w:r>
    </w:p>
    <w:p w14:paraId="13871CA3"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62.</w:t>
      </w:r>
      <w:r w:rsidRPr="00A96C26">
        <w:rPr>
          <w:rFonts w:ascii="Times New Roman" w:hAnsi="Times New Roman" w:cs="Times New Roman"/>
          <w:kern w:val="0"/>
        </w:rPr>
        <w:tab/>
        <w:t>Amsen D, Visser KE, Town T. Approaches to Determine Expression of Inflammatory Cytokines. In: Kozlov SV, editor. Inflammation and Cancer [Internet]. Totowa, NJ: Humana Press; 2009 [cited 2026 Apr 13]. p. 107–42. (Walker JM, editor. Methods in Molecular Biology). Available from: http://link.springer.com/10.1007/978-1-59745-447-6_5 doi:10.1007/978-1-59745-447-6_5</w:t>
      </w:r>
    </w:p>
    <w:p w14:paraId="41625036"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63.</w:t>
      </w:r>
      <w:r w:rsidRPr="00A96C26">
        <w:rPr>
          <w:rFonts w:ascii="Times New Roman" w:hAnsi="Times New Roman" w:cs="Times New Roman"/>
          <w:kern w:val="0"/>
        </w:rPr>
        <w:tab/>
        <w:t>Choo G, Lim D, Kim S, Yoo E, Kim S, Kim C, et al. Anti‑inflammatory effects of Dendropanax�morbifera in lipopolysaccharide‑stimulated RAW264.7 macrophages and in an animal model of atopic dermatitis. Mol Med Report. 2019 Jan 22. doi:10.3892/mmr.2019.9887</w:t>
      </w:r>
    </w:p>
    <w:p w14:paraId="73AC0DE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64.</w:t>
      </w:r>
      <w:r w:rsidRPr="00A96C26">
        <w:rPr>
          <w:rFonts w:ascii="Times New Roman" w:hAnsi="Times New Roman" w:cs="Times New Roman"/>
          <w:kern w:val="0"/>
        </w:rPr>
        <w:tab/>
        <w:t>Chung YC, Park SM, Kim JH, Lee GS, Lee JN, Hyun CG. Anti-inflammatory Effect of Pratol in LPS-stimulated RAW 264.7 Cells via NF-κB Signaling Pathways. Natural Product Communications. 2018 May;13(5):1934578X1801300509. doi:10.1177/1934578X1801300509</w:t>
      </w:r>
    </w:p>
    <w:p w14:paraId="2A9DE1B6"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65.</w:t>
      </w:r>
      <w:r w:rsidRPr="00A96C26">
        <w:rPr>
          <w:rFonts w:ascii="Times New Roman" w:hAnsi="Times New Roman" w:cs="Times New Roman"/>
          <w:kern w:val="0"/>
        </w:rPr>
        <w:tab/>
        <w:t>Hwang J, Ma J, Park J, Jung H, Park Y. Anti-inflammatory and antioxidant effects of MOK, a polyherbal extract, on lipopolysaccharide‑stimulated RAW 264.7 macrophages. Int J Mol Med. 2018 Oct 16. doi:10.3892/ijmm.2018.3937</w:t>
      </w:r>
    </w:p>
    <w:p w14:paraId="05E8BC97"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66.</w:t>
      </w:r>
      <w:r w:rsidRPr="00A96C26">
        <w:rPr>
          <w:rFonts w:ascii="Times New Roman" w:hAnsi="Times New Roman" w:cs="Times New Roman"/>
          <w:kern w:val="0"/>
        </w:rPr>
        <w:tab/>
        <w:t>Baek SH, Park T, Kang MG, Park D. Anti-Inflammatory Activity and ROS Regulation Effect of Sinapaldehyde in LPS-Stimulated RAW 264.7 Macrophages. Molecules. 2020 Sep 7;25(18):4089. doi:10.3390/molecules25184089</w:t>
      </w:r>
    </w:p>
    <w:p w14:paraId="4C97AC8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67.</w:t>
      </w:r>
      <w:r w:rsidRPr="00A96C26">
        <w:rPr>
          <w:rFonts w:ascii="Times New Roman" w:hAnsi="Times New Roman" w:cs="Times New Roman"/>
          <w:kern w:val="0"/>
        </w:rPr>
        <w:tab/>
        <w:t>Martihandini N, Surini S, Bahtiar A. Andrographolide-loaded ethosomal gel for transdermal application: Formulation and in vitro penetration study. Pharm Sci. 2021 Nov 30;1. doi:10.34172/PS.2021.76</w:t>
      </w:r>
    </w:p>
    <w:p w14:paraId="71C33978"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68.</w:t>
      </w:r>
      <w:r w:rsidRPr="00A96C26">
        <w:rPr>
          <w:rFonts w:ascii="Times New Roman" w:hAnsi="Times New Roman" w:cs="Times New Roman"/>
          <w:kern w:val="0"/>
        </w:rPr>
        <w:tab/>
        <w:t>Desai N, Momin M, Singh U, Khan T, Sherje A. ANALYTICAL METHOD DEVELOPMENT AND VALIDATION FOR SIMULTANEOUS ESTIMATION OF CURCUMIN AND CYCLOSPORINE BY RP-HPLC. Int J Pharm Pharm Sci. 2018 Dec 24;26–33. doi:10.22159/ijpps.2019v11i2.28975</w:t>
      </w:r>
    </w:p>
    <w:p w14:paraId="69809CC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69.</w:t>
      </w:r>
      <w:r w:rsidRPr="00A96C26">
        <w:rPr>
          <w:rFonts w:ascii="Times New Roman" w:hAnsi="Times New Roman" w:cs="Times New Roman"/>
          <w:kern w:val="0"/>
        </w:rPr>
        <w:tab/>
        <w:t>Khan S, Sharma A, Jain V. An Overview of Nanostructured Lipid Carriers and its Application in Drug Delivery through Different Routes. Adv Pharm Bull. 2023 Jul 10;13(3):446–60. doi:10.34172/apb.2023.056</w:t>
      </w:r>
    </w:p>
    <w:p w14:paraId="060BD651"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70.</w:t>
      </w:r>
      <w:r w:rsidRPr="00A96C26">
        <w:rPr>
          <w:rFonts w:ascii="Times New Roman" w:hAnsi="Times New Roman" w:cs="Times New Roman"/>
          <w:kern w:val="0"/>
        </w:rPr>
        <w:tab/>
        <w:t>Van Delft MAM, Huizinga TWJ. An overview of autoantibodies in rheumatoid arthritis. Journal of Autoimmunity. 2020 Jun;110:102392. doi:10.1016/j.jaut.2019.102392</w:t>
      </w:r>
    </w:p>
    <w:p w14:paraId="0F29883E"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71.</w:t>
      </w:r>
      <w:r w:rsidRPr="00A96C26">
        <w:rPr>
          <w:rFonts w:ascii="Times New Roman" w:hAnsi="Times New Roman" w:cs="Times New Roman"/>
          <w:kern w:val="0"/>
        </w:rPr>
        <w:tab/>
        <w:t>Ingólfsson HI, Andersen OS. Alcohol’s Effects on Lipid Bilayer Properties. Biophysical Journal. 2011 Aug;101(4):847–55. doi:10.1016/j.bpj.2011.07.013</w:t>
      </w:r>
    </w:p>
    <w:p w14:paraId="475C697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72.</w:t>
      </w:r>
      <w:r w:rsidRPr="00A96C26">
        <w:rPr>
          <w:rFonts w:ascii="Times New Roman" w:hAnsi="Times New Roman" w:cs="Times New Roman"/>
          <w:kern w:val="0"/>
        </w:rPr>
        <w:tab/>
        <w:t>Quintanar-Guerrero D, Tamayo-Esquivel D, Ganem-Quintanar A, Allémann E, Doelker E. Adaptation and optimization of the emulsification-diffusion technique to prepare lipidic nanospheres. European Journal of Pharmaceutical Sciences. 2005 Oct;26(2):211–8. doi:10.1016/j.ejps.2005.06.001</w:t>
      </w:r>
    </w:p>
    <w:p w14:paraId="3F4619B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73.</w:t>
      </w:r>
      <w:r w:rsidRPr="00A96C26">
        <w:rPr>
          <w:rFonts w:ascii="Times New Roman" w:hAnsi="Times New Roman" w:cs="Times New Roman"/>
          <w:kern w:val="0"/>
        </w:rPr>
        <w:tab/>
        <w:t xml:space="preserve">Ershad A, Taziki S, Ebrahimian M, Abadi SSD. Acute cyclosporine overdose: A systematic </w:t>
      </w:r>
      <w:r w:rsidRPr="00A96C26">
        <w:rPr>
          <w:rFonts w:ascii="Times New Roman" w:hAnsi="Times New Roman" w:cs="Times New Roman"/>
          <w:kern w:val="0"/>
        </w:rPr>
        <w:lastRenderedPageBreak/>
        <w:t>review. Medicina Clínica Práctica. 2023 Apr;6(2):100358. doi:10.1016/j.mcpsp.2022.100358</w:t>
      </w:r>
    </w:p>
    <w:p w14:paraId="7F55A9D7"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74.</w:t>
      </w:r>
      <w:r w:rsidRPr="00A96C26">
        <w:rPr>
          <w:rFonts w:ascii="Times New Roman" w:hAnsi="Times New Roman" w:cs="Times New Roman"/>
          <w:kern w:val="0"/>
        </w:rPr>
        <w:tab/>
        <w:t>Nandakumar KS, Fang Q, Wingbro Ågren I, Bejmo ZF. Aberrant Activation of Immune and Non-Immune Cells Contributes to Joint Inflammation and Bone Degradation in Rheumatoid Arthritis. IJMS. 2023 Nov 1;24(21):15883. doi:10.3390/ijms242115883</w:t>
      </w:r>
    </w:p>
    <w:p w14:paraId="1461A2EE" w14:textId="77777777" w:rsidR="007C1A14"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75.</w:t>
      </w:r>
      <w:r w:rsidRPr="00A96C26">
        <w:rPr>
          <w:rFonts w:ascii="Times New Roman" w:hAnsi="Times New Roman" w:cs="Times New Roman"/>
          <w:kern w:val="0"/>
        </w:rPr>
        <w:tab/>
        <w:t xml:space="preserve">Sarogni P, Mapanao AK, Marchetti S, Kusmic C, Voliani V. A Standard Protocol for the Production and Bioevaluation of Ethical </w:t>
      </w:r>
      <w:r w:rsidRPr="00A96C26">
        <w:rPr>
          <w:rFonts w:ascii="Times New Roman" w:hAnsi="Times New Roman" w:cs="Times New Roman"/>
          <w:i/>
          <w:iCs/>
          <w:kern w:val="0"/>
        </w:rPr>
        <w:t>In Vivo</w:t>
      </w:r>
      <w:r w:rsidRPr="00A96C26">
        <w:rPr>
          <w:rFonts w:ascii="Times New Roman" w:hAnsi="Times New Roman" w:cs="Times New Roman"/>
          <w:kern w:val="0"/>
        </w:rPr>
        <w:t xml:space="preserve"> Models of HPV-Negative Head and Neck Squamous Cell Carcinoma. ACS Pharmacol Transl Sci. 2021 Jun 11;4(3):1227–34. doi:10.1021/acsptsci.1c00083</w:t>
      </w:r>
    </w:p>
    <w:p w14:paraId="7975E4A4" w14:textId="77777777" w:rsidR="007C1A14" w:rsidRPr="00315EE3" w:rsidRDefault="007C1A14" w:rsidP="00315EE3">
      <w:pPr>
        <w:jc w:val="both"/>
        <w:rPr>
          <w:rFonts w:ascii="Times New Roman" w:hAnsi="Times New Roman" w:cs="Times New Roman"/>
          <w:szCs w:val="28"/>
        </w:rPr>
      </w:pPr>
    </w:p>
    <w:sectPr w:rsidR="007C1A14" w:rsidRPr="00315EE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8823B" w14:textId="77777777" w:rsidR="000A0246" w:rsidRDefault="000A0246" w:rsidP="00C00ED1">
      <w:pPr>
        <w:spacing w:after="0" w:line="240" w:lineRule="auto"/>
      </w:pPr>
      <w:r>
        <w:separator/>
      </w:r>
    </w:p>
  </w:endnote>
  <w:endnote w:type="continuationSeparator" w:id="0">
    <w:p w14:paraId="0BB2740E" w14:textId="77777777" w:rsidR="000A0246" w:rsidRDefault="000A0246" w:rsidP="00C00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0DD8" w14:textId="77777777" w:rsidR="00C00ED1" w:rsidRDefault="00C00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EC03D" w14:textId="77777777" w:rsidR="00C00ED1" w:rsidRDefault="00C00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F6B01" w14:textId="77777777" w:rsidR="00C00ED1" w:rsidRDefault="00C00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83077" w14:textId="77777777" w:rsidR="000A0246" w:rsidRDefault="000A0246" w:rsidP="00C00ED1">
      <w:pPr>
        <w:spacing w:after="0" w:line="240" w:lineRule="auto"/>
      </w:pPr>
      <w:r>
        <w:separator/>
      </w:r>
    </w:p>
  </w:footnote>
  <w:footnote w:type="continuationSeparator" w:id="0">
    <w:p w14:paraId="47B0175B" w14:textId="77777777" w:rsidR="000A0246" w:rsidRDefault="000A0246" w:rsidP="00C00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B729A" w14:textId="60A55B7C" w:rsidR="00C00ED1" w:rsidRDefault="000A0246">
    <w:pPr>
      <w:pStyle w:val="Header"/>
    </w:pPr>
    <w:r>
      <w:rPr>
        <w:noProof/>
      </w:rPr>
      <w:pict w14:anchorId="78975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687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7D102" w14:textId="0CBDC07B" w:rsidR="00C00ED1" w:rsidRDefault="000A0246">
    <w:pPr>
      <w:pStyle w:val="Header"/>
    </w:pPr>
    <w:r>
      <w:rPr>
        <w:noProof/>
      </w:rPr>
      <w:pict w14:anchorId="19452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687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591C" w14:textId="658A78B4" w:rsidR="00C00ED1" w:rsidRDefault="000A0246">
    <w:pPr>
      <w:pStyle w:val="Header"/>
    </w:pPr>
    <w:r>
      <w:rPr>
        <w:noProof/>
      </w:rPr>
      <w:pict w14:anchorId="0A792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687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3551F"/>
    <w:multiLevelType w:val="multilevel"/>
    <w:tmpl w:val="7E0CFC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ED6750"/>
    <w:multiLevelType w:val="multilevel"/>
    <w:tmpl w:val="8FA2A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996"/>
    <w:rsid w:val="000015A7"/>
    <w:rsid w:val="00017708"/>
    <w:rsid w:val="000675F6"/>
    <w:rsid w:val="000A0246"/>
    <w:rsid w:val="000F454B"/>
    <w:rsid w:val="00141756"/>
    <w:rsid w:val="0015384C"/>
    <w:rsid w:val="00235CAF"/>
    <w:rsid w:val="00241F44"/>
    <w:rsid w:val="00246375"/>
    <w:rsid w:val="00263E55"/>
    <w:rsid w:val="00265BEE"/>
    <w:rsid w:val="0028578F"/>
    <w:rsid w:val="00301F48"/>
    <w:rsid w:val="00315EE3"/>
    <w:rsid w:val="00321525"/>
    <w:rsid w:val="003275BA"/>
    <w:rsid w:val="0038094F"/>
    <w:rsid w:val="003834F5"/>
    <w:rsid w:val="003B5333"/>
    <w:rsid w:val="003D4064"/>
    <w:rsid w:val="003D548A"/>
    <w:rsid w:val="00494EAA"/>
    <w:rsid w:val="004C0435"/>
    <w:rsid w:val="00523C76"/>
    <w:rsid w:val="0052445A"/>
    <w:rsid w:val="005530F6"/>
    <w:rsid w:val="00573E48"/>
    <w:rsid w:val="00576347"/>
    <w:rsid w:val="005865E8"/>
    <w:rsid w:val="00607FB0"/>
    <w:rsid w:val="0061207B"/>
    <w:rsid w:val="0066425F"/>
    <w:rsid w:val="00670996"/>
    <w:rsid w:val="00676188"/>
    <w:rsid w:val="006849BE"/>
    <w:rsid w:val="006D6533"/>
    <w:rsid w:val="007675E5"/>
    <w:rsid w:val="007C1A14"/>
    <w:rsid w:val="0080651D"/>
    <w:rsid w:val="00841C14"/>
    <w:rsid w:val="00896F96"/>
    <w:rsid w:val="008B6503"/>
    <w:rsid w:val="00940B95"/>
    <w:rsid w:val="00983233"/>
    <w:rsid w:val="009F55DB"/>
    <w:rsid w:val="00A44B3A"/>
    <w:rsid w:val="00A666A6"/>
    <w:rsid w:val="00A96C26"/>
    <w:rsid w:val="00AA6B3C"/>
    <w:rsid w:val="00B33099"/>
    <w:rsid w:val="00B4776E"/>
    <w:rsid w:val="00B47A91"/>
    <w:rsid w:val="00B52614"/>
    <w:rsid w:val="00BB6B7B"/>
    <w:rsid w:val="00C00ED1"/>
    <w:rsid w:val="00CA0CC3"/>
    <w:rsid w:val="00CB7E0A"/>
    <w:rsid w:val="00CC10FC"/>
    <w:rsid w:val="00CE24E3"/>
    <w:rsid w:val="00D1562B"/>
    <w:rsid w:val="00D16404"/>
    <w:rsid w:val="00D1790C"/>
    <w:rsid w:val="00D32D27"/>
    <w:rsid w:val="00D43944"/>
    <w:rsid w:val="00D66A54"/>
    <w:rsid w:val="00D76EAD"/>
    <w:rsid w:val="00DB64DD"/>
    <w:rsid w:val="00DC1CDC"/>
    <w:rsid w:val="00DC3308"/>
    <w:rsid w:val="00E259BF"/>
    <w:rsid w:val="00E544A9"/>
    <w:rsid w:val="00E67310"/>
    <w:rsid w:val="00E77D40"/>
    <w:rsid w:val="00EB091C"/>
    <w:rsid w:val="00F7255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4FBD83"/>
  <w15:chartTrackingRefBased/>
  <w15:docId w15:val="{B313552A-6712-4DB3-8EDF-08D5481A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0996"/>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670996"/>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670996"/>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6709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09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09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09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09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09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996"/>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670996"/>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670996"/>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6709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09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09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09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09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0996"/>
    <w:rPr>
      <w:rFonts w:eastAsiaTheme="majorEastAsia" w:cstheme="majorBidi"/>
      <w:color w:val="272727" w:themeColor="text1" w:themeTint="D8"/>
    </w:rPr>
  </w:style>
  <w:style w:type="paragraph" w:styleId="Title">
    <w:name w:val="Title"/>
    <w:basedOn w:val="Normal"/>
    <w:next w:val="Normal"/>
    <w:link w:val="TitleChar"/>
    <w:uiPriority w:val="10"/>
    <w:qFormat/>
    <w:rsid w:val="00670996"/>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70996"/>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70996"/>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70996"/>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70996"/>
    <w:pPr>
      <w:spacing w:before="160"/>
      <w:jc w:val="center"/>
    </w:pPr>
    <w:rPr>
      <w:i/>
      <w:iCs/>
      <w:color w:val="404040" w:themeColor="text1" w:themeTint="BF"/>
    </w:rPr>
  </w:style>
  <w:style w:type="character" w:customStyle="1" w:styleId="QuoteChar">
    <w:name w:val="Quote Char"/>
    <w:basedOn w:val="DefaultParagraphFont"/>
    <w:link w:val="Quote"/>
    <w:uiPriority w:val="29"/>
    <w:rsid w:val="00670996"/>
    <w:rPr>
      <w:i/>
      <w:iCs/>
      <w:color w:val="404040" w:themeColor="text1" w:themeTint="BF"/>
    </w:rPr>
  </w:style>
  <w:style w:type="paragraph" w:styleId="ListParagraph">
    <w:name w:val="List Paragraph"/>
    <w:basedOn w:val="Normal"/>
    <w:uiPriority w:val="34"/>
    <w:qFormat/>
    <w:rsid w:val="00670996"/>
    <w:pPr>
      <w:ind w:left="720"/>
      <w:contextualSpacing/>
    </w:pPr>
  </w:style>
  <w:style w:type="character" w:styleId="IntenseEmphasis">
    <w:name w:val="Intense Emphasis"/>
    <w:basedOn w:val="DefaultParagraphFont"/>
    <w:uiPriority w:val="21"/>
    <w:qFormat/>
    <w:rsid w:val="00670996"/>
    <w:rPr>
      <w:i/>
      <w:iCs/>
      <w:color w:val="2F5496" w:themeColor="accent1" w:themeShade="BF"/>
    </w:rPr>
  </w:style>
  <w:style w:type="paragraph" w:styleId="IntenseQuote">
    <w:name w:val="Intense Quote"/>
    <w:basedOn w:val="Normal"/>
    <w:next w:val="Normal"/>
    <w:link w:val="IntenseQuoteChar"/>
    <w:uiPriority w:val="30"/>
    <w:qFormat/>
    <w:rsid w:val="006709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0996"/>
    <w:rPr>
      <w:i/>
      <w:iCs/>
      <w:color w:val="2F5496" w:themeColor="accent1" w:themeShade="BF"/>
    </w:rPr>
  </w:style>
  <w:style w:type="character" w:styleId="IntenseReference">
    <w:name w:val="Intense Reference"/>
    <w:basedOn w:val="DefaultParagraphFont"/>
    <w:uiPriority w:val="32"/>
    <w:qFormat/>
    <w:rsid w:val="00670996"/>
    <w:rPr>
      <w:b/>
      <w:bCs/>
      <w:smallCaps/>
      <w:color w:val="2F5496" w:themeColor="accent1" w:themeShade="BF"/>
      <w:spacing w:val="5"/>
    </w:rPr>
  </w:style>
  <w:style w:type="table" w:styleId="TableGrid">
    <w:name w:val="Table Grid"/>
    <w:basedOn w:val="TableNormal"/>
    <w:uiPriority w:val="39"/>
    <w:rsid w:val="00E25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6533"/>
    <w:rPr>
      <w:color w:val="0563C1" w:themeColor="hyperlink"/>
      <w:u w:val="single"/>
    </w:rPr>
  </w:style>
  <w:style w:type="character" w:styleId="UnresolvedMention">
    <w:name w:val="Unresolved Mention"/>
    <w:basedOn w:val="DefaultParagraphFont"/>
    <w:uiPriority w:val="99"/>
    <w:semiHidden/>
    <w:unhideWhenUsed/>
    <w:rsid w:val="006D6533"/>
    <w:rPr>
      <w:color w:val="605E5C"/>
      <w:shd w:val="clear" w:color="auto" w:fill="E1DFDD"/>
    </w:rPr>
  </w:style>
  <w:style w:type="paragraph" w:styleId="Header">
    <w:name w:val="header"/>
    <w:basedOn w:val="Normal"/>
    <w:link w:val="HeaderChar"/>
    <w:uiPriority w:val="99"/>
    <w:unhideWhenUsed/>
    <w:rsid w:val="00C00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ED1"/>
  </w:style>
  <w:style w:type="paragraph" w:styleId="Footer">
    <w:name w:val="footer"/>
    <w:basedOn w:val="Normal"/>
    <w:link w:val="FooterChar"/>
    <w:uiPriority w:val="99"/>
    <w:unhideWhenUsed/>
    <w:rsid w:val="00C00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ED1"/>
  </w:style>
  <w:style w:type="character" w:styleId="CommentReference">
    <w:name w:val="annotation reference"/>
    <w:basedOn w:val="DefaultParagraphFont"/>
    <w:uiPriority w:val="99"/>
    <w:semiHidden/>
    <w:unhideWhenUsed/>
    <w:rsid w:val="00841C14"/>
    <w:rPr>
      <w:sz w:val="16"/>
      <w:szCs w:val="16"/>
    </w:rPr>
  </w:style>
  <w:style w:type="paragraph" w:styleId="CommentText">
    <w:name w:val="annotation text"/>
    <w:basedOn w:val="Normal"/>
    <w:link w:val="CommentTextChar"/>
    <w:uiPriority w:val="99"/>
    <w:unhideWhenUsed/>
    <w:rsid w:val="00841C14"/>
    <w:pPr>
      <w:spacing w:line="240" w:lineRule="auto"/>
    </w:pPr>
    <w:rPr>
      <w:sz w:val="20"/>
      <w:szCs w:val="25"/>
    </w:rPr>
  </w:style>
  <w:style w:type="character" w:customStyle="1" w:styleId="CommentTextChar">
    <w:name w:val="Comment Text Char"/>
    <w:basedOn w:val="DefaultParagraphFont"/>
    <w:link w:val="CommentText"/>
    <w:uiPriority w:val="99"/>
    <w:rsid w:val="00841C14"/>
    <w:rPr>
      <w:sz w:val="20"/>
      <w:szCs w:val="25"/>
    </w:rPr>
  </w:style>
  <w:style w:type="paragraph" w:styleId="CommentSubject">
    <w:name w:val="annotation subject"/>
    <w:basedOn w:val="CommentText"/>
    <w:next w:val="CommentText"/>
    <w:link w:val="CommentSubjectChar"/>
    <w:uiPriority w:val="99"/>
    <w:semiHidden/>
    <w:unhideWhenUsed/>
    <w:rsid w:val="00841C14"/>
    <w:rPr>
      <w:b/>
      <w:bCs/>
    </w:rPr>
  </w:style>
  <w:style w:type="character" w:customStyle="1" w:styleId="CommentSubjectChar">
    <w:name w:val="Comment Subject Char"/>
    <w:basedOn w:val="CommentTextChar"/>
    <w:link w:val="CommentSubject"/>
    <w:uiPriority w:val="99"/>
    <w:semiHidden/>
    <w:rsid w:val="00841C14"/>
    <w:rPr>
      <w:b/>
      <w:bCs/>
      <w:sz w:val="20"/>
      <w:szCs w:val="25"/>
    </w:rPr>
  </w:style>
  <w:style w:type="paragraph" w:styleId="NormalWeb">
    <w:name w:val="Normal (Web)"/>
    <w:basedOn w:val="Normal"/>
    <w:uiPriority w:val="99"/>
    <w:semiHidden/>
    <w:unhideWhenUsed/>
    <w:rsid w:val="00D43944"/>
    <w:rPr>
      <w:rFonts w:ascii="Times New Roman" w:hAnsi="Times New Roman" w:cs="Angsana New"/>
    </w:rPr>
  </w:style>
  <w:style w:type="character" w:styleId="Emphasis">
    <w:name w:val="Emphasis"/>
    <w:uiPriority w:val="20"/>
    <w:qFormat/>
    <w:rsid w:val="00DC33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46</Pages>
  <Words>18343</Words>
  <Characters>104561</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1022</cp:lastModifiedBy>
  <cp:revision>35</cp:revision>
  <dcterms:created xsi:type="dcterms:W3CDTF">2026-04-11T11:13:00Z</dcterms:created>
  <dcterms:modified xsi:type="dcterms:W3CDTF">2026-04-18T06:31:00Z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e2996e3b-48c8-45c7-a14b-1b3c5dd70a48</vt:lpwstr>
  </property>
</Properties>
</file>