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4419B" w14:textId="65723CB2" w:rsidR="003D548A" w:rsidRDefault="00702417" w:rsidP="0037244D">
      <w:pPr>
        <w:jc w:val="center"/>
        <w:rPr>
          <w:rFonts w:ascii="Times New Roman" w:hAnsi="Times New Roman" w:cs="Times New Roman"/>
          <w:b/>
          <w:bCs/>
          <w:sz w:val="28"/>
          <w:szCs w:val="32"/>
        </w:rPr>
      </w:pPr>
      <w:r w:rsidRPr="0037244D">
        <w:rPr>
          <w:rFonts w:ascii="Times New Roman" w:hAnsi="Times New Roman" w:cs="Times New Roman"/>
          <w:b/>
          <w:bCs/>
          <w:sz w:val="28"/>
          <w:szCs w:val="32"/>
        </w:rPr>
        <w:t>In Situ Ophthalmic Gels Meet Nanotechnology: Nanoparticle-Laden Smart Hydrogels for Precision Ocular Drug Delivery</w:t>
      </w:r>
    </w:p>
    <w:p w14:paraId="5CB001B5" w14:textId="2A956046" w:rsidR="001714EE" w:rsidRDefault="00FA3AE2" w:rsidP="0037244D">
      <w:pPr>
        <w:jc w:val="both"/>
        <w:rPr>
          <w:rFonts w:ascii="Times New Roman" w:hAnsi="Times New Roman" w:cs="Times New Roman"/>
          <w:b/>
          <w:bCs/>
        </w:rPr>
      </w:pPr>
      <w:r>
        <w:rPr>
          <w:rFonts w:ascii="Times New Roman" w:hAnsi="Times New Roman" w:cs="Times New Roman"/>
          <w:b/>
          <w:bCs/>
        </w:rPr>
        <w:t>Abstract:</w:t>
      </w:r>
      <w:bookmarkStart w:id="0" w:name="_GoBack"/>
      <w:bookmarkEnd w:id="0"/>
    </w:p>
    <w:p w14:paraId="7EF4B041" w14:textId="39E33689" w:rsidR="0037244D" w:rsidRPr="0037244D" w:rsidRDefault="0037244D" w:rsidP="0037244D">
      <w:pPr>
        <w:jc w:val="both"/>
        <w:rPr>
          <w:rFonts w:ascii="Times New Roman" w:hAnsi="Times New Roman" w:cs="Times New Roman"/>
        </w:rPr>
      </w:pPr>
      <w:r w:rsidRPr="0037244D">
        <w:rPr>
          <w:rFonts w:ascii="Times New Roman" w:hAnsi="Times New Roman" w:cs="Times New Roman"/>
          <w:b/>
          <w:bCs/>
        </w:rPr>
        <w:t>Background:</w:t>
      </w:r>
      <w:r w:rsidRPr="0037244D">
        <w:rPr>
          <w:rFonts w:ascii="Times New Roman" w:hAnsi="Times New Roman" w:cs="Times New Roman"/>
        </w:rPr>
        <w:br/>
        <w:t>Topical ocular therapy is dominated by eye drops, yet drug delivery to ocular tissues is frequently inefficient because of rapid tear dilution, blinking, nasolacrimal drainage, and layered anatomical barriers. These limitations can lead to low bioavailability, frequent dosing, variable clinical response, and avoidable systemic exposure. Stimuli-responsive in situ gels and drug nanocarriers have each been developed to address parts of this problem, motivating integrated “</w:t>
      </w:r>
      <w:proofErr w:type="spellStart"/>
      <w:r w:rsidRPr="0037244D">
        <w:rPr>
          <w:rFonts w:ascii="Times New Roman" w:hAnsi="Times New Roman" w:cs="Times New Roman"/>
        </w:rPr>
        <w:t>nano</w:t>
      </w:r>
      <w:proofErr w:type="spellEnd"/>
      <w:r w:rsidRPr="0037244D">
        <w:rPr>
          <w:rFonts w:ascii="Times New Roman" w:hAnsi="Times New Roman" w:cs="Times New Roman"/>
        </w:rPr>
        <w:t>-in-gel” systems.</w:t>
      </w:r>
    </w:p>
    <w:p w14:paraId="0C1AA919" w14:textId="77777777" w:rsidR="0037244D" w:rsidRPr="0037244D" w:rsidRDefault="0037244D" w:rsidP="0037244D">
      <w:pPr>
        <w:jc w:val="both"/>
        <w:rPr>
          <w:rFonts w:ascii="Times New Roman" w:hAnsi="Times New Roman" w:cs="Times New Roman"/>
        </w:rPr>
      </w:pPr>
      <w:r w:rsidRPr="0037244D">
        <w:rPr>
          <w:rFonts w:ascii="Times New Roman" w:hAnsi="Times New Roman" w:cs="Times New Roman"/>
          <w:b/>
          <w:bCs/>
        </w:rPr>
        <w:t>Objective:</w:t>
      </w:r>
      <w:r w:rsidRPr="0037244D">
        <w:rPr>
          <w:rFonts w:ascii="Times New Roman" w:hAnsi="Times New Roman" w:cs="Times New Roman"/>
        </w:rPr>
        <w:br/>
        <w:t>To summarize and critically analyze nanoparticle-laden in situ ophthalmic gels as precision drug-delivery platforms for anterior and posterior segment diseases, focusing on design rationale, materials, performance outcomes, and translational barriers.</w:t>
      </w:r>
    </w:p>
    <w:p w14:paraId="75D5E4BE" w14:textId="77777777" w:rsidR="0037244D" w:rsidRPr="0037244D" w:rsidRDefault="0037244D" w:rsidP="0037244D">
      <w:pPr>
        <w:jc w:val="both"/>
        <w:rPr>
          <w:rFonts w:ascii="Times New Roman" w:hAnsi="Times New Roman" w:cs="Times New Roman"/>
        </w:rPr>
      </w:pPr>
      <w:r w:rsidRPr="0037244D">
        <w:rPr>
          <w:rFonts w:ascii="Times New Roman" w:hAnsi="Times New Roman" w:cs="Times New Roman"/>
          <w:b/>
          <w:bCs/>
        </w:rPr>
        <w:t>Method:</w:t>
      </w:r>
      <w:r w:rsidRPr="0037244D">
        <w:rPr>
          <w:rFonts w:ascii="Times New Roman" w:hAnsi="Times New Roman" w:cs="Times New Roman"/>
        </w:rPr>
        <w:br/>
        <w:t xml:space="preserve">This narrative review synthesizes peer-reviewed research on ophthalmic in situ gelling systems (thermo-, pH-, and ion-activated) and nanocarriers (polymeric nanoparticles, lipid nanoparticles, liposomes, micelles, dendrimers, and nanogels), with emphasis on hybrid formulations in which nanoparticles are dispersed within an </w:t>
      </w:r>
      <w:proofErr w:type="gramStart"/>
      <w:r w:rsidRPr="0037244D">
        <w:rPr>
          <w:rFonts w:ascii="Times New Roman" w:hAnsi="Times New Roman" w:cs="Times New Roman"/>
        </w:rPr>
        <w:t>in situ</w:t>
      </w:r>
      <w:proofErr w:type="gramEnd"/>
      <w:r w:rsidRPr="0037244D">
        <w:rPr>
          <w:rFonts w:ascii="Times New Roman" w:hAnsi="Times New Roman" w:cs="Times New Roman"/>
        </w:rPr>
        <w:t xml:space="preserve"> gelling matrix. Key formulation variables, characterization methods, and in vitro/ex vivo/in vivo evaluation approaches are summarized.</w:t>
      </w:r>
    </w:p>
    <w:p w14:paraId="29B543DD" w14:textId="77777777" w:rsidR="0037244D" w:rsidRPr="0037244D" w:rsidRDefault="0037244D" w:rsidP="0037244D">
      <w:pPr>
        <w:jc w:val="both"/>
        <w:rPr>
          <w:rFonts w:ascii="Times New Roman" w:hAnsi="Times New Roman" w:cs="Times New Roman"/>
        </w:rPr>
      </w:pPr>
      <w:r w:rsidRPr="0037244D">
        <w:rPr>
          <w:rFonts w:ascii="Times New Roman" w:hAnsi="Times New Roman" w:cs="Times New Roman"/>
          <w:b/>
          <w:bCs/>
        </w:rPr>
        <w:t>Results:</w:t>
      </w:r>
      <w:r w:rsidRPr="0037244D">
        <w:rPr>
          <w:rFonts w:ascii="Times New Roman" w:hAnsi="Times New Roman" w:cs="Times New Roman"/>
        </w:rPr>
        <w:br/>
        <w:t>Across reported studies, nanoparticle-laden in situ gels consistently improve precorneal residence time and enable sustained drug release, often translating into higher corneal permeation and enhanced pharmacodynamic effects in models of glaucoma, keratitis, dry eye disease, and ocular inflammation. Performance is driven by dual mechanisms: gel-mediated retention and nanoparticle-mediated protection, solubilization, and controlled release. However, clinical translation is constrained by sterilization compatibility, long-term stability, scalable manufacturing, and regulatory complexity for combination products.</w:t>
      </w:r>
    </w:p>
    <w:p w14:paraId="29F92C0F" w14:textId="77777777" w:rsidR="0037244D" w:rsidRPr="0037244D" w:rsidRDefault="0037244D" w:rsidP="0037244D">
      <w:pPr>
        <w:jc w:val="both"/>
        <w:rPr>
          <w:rFonts w:ascii="Times New Roman" w:hAnsi="Times New Roman" w:cs="Times New Roman"/>
        </w:rPr>
      </w:pPr>
      <w:r w:rsidRPr="0037244D">
        <w:rPr>
          <w:rFonts w:ascii="Times New Roman" w:hAnsi="Times New Roman" w:cs="Times New Roman"/>
          <w:b/>
          <w:bCs/>
        </w:rPr>
        <w:t>Conclusion:</w:t>
      </w:r>
      <w:r w:rsidRPr="0037244D">
        <w:rPr>
          <w:rFonts w:ascii="Times New Roman" w:hAnsi="Times New Roman" w:cs="Times New Roman"/>
        </w:rPr>
        <w:br/>
        <w:t>Nanoparticle-laden in situ gels are promising, adaptable platforms that can reduce dosing burden and improve ocular exposure, but progress to routine clinical use will depend on robust quality-by-design development, standardized characterization, and clinically relevant safety and efficacy validation.</w:t>
      </w:r>
    </w:p>
    <w:p w14:paraId="5BCC06CA" w14:textId="77777777" w:rsidR="0037244D" w:rsidRPr="0037244D" w:rsidRDefault="0037244D" w:rsidP="0037244D">
      <w:pPr>
        <w:jc w:val="both"/>
        <w:rPr>
          <w:rFonts w:ascii="Times New Roman" w:hAnsi="Times New Roman" w:cs="Times New Roman"/>
          <w:b/>
          <w:bCs/>
        </w:rPr>
      </w:pPr>
      <w:r w:rsidRPr="0037244D">
        <w:rPr>
          <w:rFonts w:ascii="Times New Roman" w:hAnsi="Times New Roman" w:cs="Times New Roman"/>
          <w:b/>
          <w:bCs/>
        </w:rPr>
        <w:t>Keywords</w:t>
      </w:r>
    </w:p>
    <w:p w14:paraId="3D2D649A" w14:textId="00C3A4F4" w:rsidR="0037244D" w:rsidRPr="0037244D" w:rsidRDefault="0037244D" w:rsidP="0037244D">
      <w:pPr>
        <w:jc w:val="both"/>
        <w:rPr>
          <w:rFonts w:ascii="Times New Roman" w:hAnsi="Times New Roman" w:cs="Times New Roman"/>
        </w:rPr>
      </w:pPr>
      <w:r w:rsidRPr="0037244D">
        <w:rPr>
          <w:rFonts w:ascii="Times New Roman" w:hAnsi="Times New Roman" w:cs="Times New Roman"/>
        </w:rPr>
        <w:t xml:space="preserve">In situ gel; ophthalmic drug delivery; nanoparticle-laden in situ gel; stimuli-responsive hydrogel; </w:t>
      </w:r>
      <w:r>
        <w:rPr>
          <w:rFonts w:ascii="Times New Roman" w:hAnsi="Times New Roman" w:cs="Times New Roman"/>
        </w:rPr>
        <w:t>thermos-</w:t>
      </w:r>
      <w:r w:rsidRPr="0037244D">
        <w:rPr>
          <w:rFonts w:ascii="Times New Roman" w:hAnsi="Times New Roman" w:cs="Times New Roman"/>
        </w:rPr>
        <w:t>responsive gel; pH-sensitive gel</w:t>
      </w:r>
      <w:r w:rsidR="00C07AD4">
        <w:rPr>
          <w:rFonts w:ascii="Times New Roman" w:hAnsi="Times New Roman" w:cs="Times New Roman"/>
        </w:rPr>
        <w:t>.</w:t>
      </w:r>
    </w:p>
    <w:p w14:paraId="6593F551" w14:textId="77777777" w:rsidR="00702417" w:rsidRDefault="00702417" w:rsidP="00702417">
      <w:pPr>
        <w:jc w:val="both"/>
        <w:rPr>
          <w:rFonts w:ascii="Times New Roman" w:hAnsi="Times New Roman" w:cs="Times New Roman"/>
        </w:rPr>
      </w:pPr>
    </w:p>
    <w:p w14:paraId="725AA19A" w14:textId="77777777" w:rsidR="00702417" w:rsidRDefault="00702417" w:rsidP="00702417">
      <w:pPr>
        <w:jc w:val="both"/>
        <w:rPr>
          <w:rFonts w:ascii="Times New Roman" w:hAnsi="Times New Roman" w:cs="Times New Roman"/>
        </w:rPr>
      </w:pPr>
    </w:p>
    <w:p w14:paraId="2BB4C31B"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01. INTRODUCTION</w:t>
      </w:r>
    </w:p>
    <w:p w14:paraId="50ADACE9"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1.1 Global ocular disease burden and projected growth</w:t>
      </w:r>
    </w:p>
    <w:p w14:paraId="31CF5923" w14:textId="7E550D9B" w:rsidR="00C36063" w:rsidRPr="00C36063" w:rsidRDefault="00C36063" w:rsidP="00C36063">
      <w:pPr>
        <w:jc w:val="both"/>
        <w:rPr>
          <w:rFonts w:ascii="Times New Roman" w:hAnsi="Times New Roman" w:cs="Times New Roman"/>
        </w:rPr>
      </w:pPr>
      <w:r w:rsidRPr="00C36063">
        <w:rPr>
          <w:rFonts w:ascii="Times New Roman" w:hAnsi="Times New Roman" w:cs="Times New Roman"/>
        </w:rPr>
        <w:t xml:space="preserve">Ocular diseases continue to impose a major global health burden because they reduce independence, restrict educational and employment opportunities, and increase care needs across the lifespan. The WHO World report on vision (2019) estimates that at least 2.2 billion people live with vision impairment or blindness, and at least 1 billion of these cases are preventable or remain unaddressed due to gaps in access and service coverage [01]. Large-scale burden-of-disease analyses reinforce that this is not a marginal problem: the GBD 2019 Blindness and Vision Impairment Collaborators reported substantial global prevalence of blindness and moderate-to-severe vision impairment around 2020, with cataract, glaucoma, </w:t>
      </w:r>
      <w:proofErr w:type="spellStart"/>
      <w:r w:rsidRPr="00C36063">
        <w:rPr>
          <w:rFonts w:ascii="Times New Roman" w:hAnsi="Times New Roman" w:cs="Times New Roman"/>
        </w:rPr>
        <w:t>undercorrected</w:t>
      </w:r>
      <w:proofErr w:type="spellEnd"/>
      <w:r w:rsidRPr="00C36063">
        <w:rPr>
          <w:rFonts w:ascii="Times New Roman" w:hAnsi="Times New Roman" w:cs="Times New Roman"/>
        </w:rPr>
        <w:t xml:space="preserve"> refractive error, age-related macular degeneration, and diabetic retinopathy among key contributors [02]. Beyond health consequences, the economic rationale for better eye care is strong</w:t>
      </w:r>
      <w:r>
        <w:rPr>
          <w:rFonts w:ascii="Times New Roman" w:hAnsi="Times New Roman" w:cs="Times New Roman"/>
        </w:rPr>
        <w:t xml:space="preserve"> </w:t>
      </w:r>
      <w:r w:rsidRPr="00C36063">
        <w:rPr>
          <w:rFonts w:ascii="Times New Roman" w:hAnsi="Times New Roman" w:cs="Times New Roman"/>
        </w:rPr>
        <w:t>WHO has summarized estimates suggesting that global productivity losses associated with unaddressed vision impairment are on the order of ~US$ 410.7 billion, far exceeding the estimated investment required to close major service gaps [03]. </w:t>
      </w:r>
      <w:r w:rsidR="0037244D" w:rsidRPr="00C36063">
        <w:rPr>
          <w:rFonts w:ascii="Times New Roman" w:hAnsi="Times New Roman" w:cs="Times New Roman"/>
        </w:rPr>
        <w:t xml:space="preserve"> </w:t>
      </w:r>
    </w:p>
    <w:p w14:paraId="7A9B5C2B"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1.2 Why ocular drug delivery is intrinsically difficult</w:t>
      </w:r>
    </w:p>
    <w:p w14:paraId="352BD043" w14:textId="02FE601B" w:rsidR="00C36063" w:rsidRPr="00C36063" w:rsidRDefault="00C36063" w:rsidP="00C36063">
      <w:pPr>
        <w:jc w:val="both"/>
        <w:rPr>
          <w:rFonts w:ascii="Times New Roman" w:hAnsi="Times New Roman" w:cs="Times New Roman"/>
        </w:rPr>
      </w:pPr>
      <w:r w:rsidRPr="00C36063">
        <w:rPr>
          <w:rFonts w:ascii="Times New Roman" w:hAnsi="Times New Roman" w:cs="Times New Roman"/>
        </w:rPr>
        <w:t>Despite the availability of potent drug molecules, ocular pharmacotherapy is constrained by the eye’s anatomy and physiology, which are optimized to exclude foreign material. From a formulation standpoint, the ocular surface is protected by fast dynamic clearance (tear turnover, reflex lacrimation, and blinking) and directional drainage through the nasolacrimal system, all of which rapidly reduce drug contact time. In addition, static barriers</w:t>
      </w:r>
      <w:r>
        <w:rPr>
          <w:rFonts w:ascii="Times New Roman" w:hAnsi="Times New Roman" w:cs="Times New Roman"/>
        </w:rPr>
        <w:t xml:space="preserve"> </w:t>
      </w:r>
      <w:r w:rsidRPr="00C36063">
        <w:rPr>
          <w:rFonts w:ascii="Times New Roman" w:hAnsi="Times New Roman" w:cs="Times New Roman"/>
        </w:rPr>
        <w:t>especially the corneal epithelium with tight junctions</w:t>
      </w:r>
      <w:r>
        <w:rPr>
          <w:rFonts w:ascii="Times New Roman" w:hAnsi="Times New Roman" w:cs="Times New Roman"/>
        </w:rPr>
        <w:t xml:space="preserve"> </w:t>
      </w:r>
      <w:r w:rsidRPr="00C36063">
        <w:rPr>
          <w:rFonts w:ascii="Times New Roman" w:hAnsi="Times New Roman" w:cs="Times New Roman"/>
        </w:rPr>
        <w:t>limit passive diffusion, while deeper targets are further protected by blood–ocular barriers. Reviews of ocular dosage forms consistently highlight that successful delivery is not simply about drug potency; it depends on overcoming multiple coordinated barriers that act within minutes of topical administration [04,05]. </w:t>
      </w:r>
      <w:r w:rsidR="0037244D" w:rsidRPr="00C36063">
        <w:rPr>
          <w:rFonts w:ascii="Times New Roman" w:hAnsi="Times New Roman" w:cs="Times New Roman"/>
        </w:rPr>
        <w:t xml:space="preserve"> </w:t>
      </w:r>
    </w:p>
    <w:p w14:paraId="6CE170E1"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1.3 Limitations of conventional ophthalmic dosage forms</w:t>
      </w:r>
    </w:p>
    <w:p w14:paraId="1FB46013" w14:textId="307743D8" w:rsidR="00C36063" w:rsidRPr="00C36063" w:rsidRDefault="00C36063" w:rsidP="00C36063">
      <w:pPr>
        <w:jc w:val="both"/>
        <w:rPr>
          <w:rFonts w:ascii="Times New Roman" w:hAnsi="Times New Roman" w:cs="Times New Roman"/>
        </w:rPr>
      </w:pPr>
      <w:r w:rsidRPr="00C36063">
        <w:rPr>
          <w:rFonts w:ascii="Times New Roman" w:hAnsi="Times New Roman" w:cs="Times New Roman"/>
        </w:rPr>
        <w:t>Topical eye drops dominate routine care because they are inexpensive, familiar, and suitable for self-administration. However, their performance is fundamentally limited by low viscosity, short ocular residence time, and large “functional losses” immediately after instillation (overflow and drainage). Standard pharmaceutics references note that topical delivery is inefficient, with only ~1–5% of an instilled dose typically reaching the aqueous humor; the same sources also emphasize that eye drops make up over 90% of ophthalmic preparations used in clinical practice, despite their well-known bioavailability limitations [06]. This mismatch</w:t>
      </w:r>
      <w:r>
        <w:rPr>
          <w:rFonts w:ascii="Times New Roman" w:hAnsi="Times New Roman" w:cs="Times New Roman"/>
        </w:rPr>
        <w:t xml:space="preserve"> </w:t>
      </w:r>
      <w:r w:rsidRPr="00C36063">
        <w:rPr>
          <w:rFonts w:ascii="Times New Roman" w:hAnsi="Times New Roman" w:cs="Times New Roman"/>
        </w:rPr>
        <w:t>high clinical reliance but low delivery efficiency</w:t>
      </w:r>
      <w:r>
        <w:rPr>
          <w:rFonts w:ascii="Times New Roman" w:hAnsi="Times New Roman" w:cs="Times New Roman"/>
        </w:rPr>
        <w:t xml:space="preserve"> </w:t>
      </w:r>
      <w:r w:rsidRPr="00C36063">
        <w:rPr>
          <w:rFonts w:ascii="Times New Roman" w:hAnsi="Times New Roman" w:cs="Times New Roman"/>
        </w:rPr>
        <w:t xml:space="preserve">drives frequent dosing, increases exposure to preservatives/excipients, and </w:t>
      </w:r>
      <w:r w:rsidRPr="00C36063">
        <w:rPr>
          <w:rFonts w:ascii="Times New Roman" w:hAnsi="Times New Roman" w:cs="Times New Roman"/>
        </w:rPr>
        <w:lastRenderedPageBreak/>
        <w:t>can worsen adherence in chronic conditions such as glaucoma and dry eye. Alternative approaches (ointments, inserts, injections) may improve residence time or posterior targeting but often trade convenience for blurred vision, discomfort, invasiveness, and procedure-related risks [04,06]. </w:t>
      </w:r>
      <w:r w:rsidR="0037244D" w:rsidRPr="00C36063">
        <w:rPr>
          <w:rFonts w:ascii="Times New Roman" w:hAnsi="Times New Roman" w:cs="Times New Roman"/>
        </w:rPr>
        <w:t xml:space="preserve"> </w:t>
      </w:r>
    </w:p>
    <w:p w14:paraId="65D687F3"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1.4 Rise of nanotechnology for precision ocular delivery</w:t>
      </w:r>
    </w:p>
    <w:p w14:paraId="722A6751" w14:textId="48359844" w:rsidR="00C36063" w:rsidRPr="00C36063" w:rsidRDefault="00C36063" w:rsidP="00C36063">
      <w:pPr>
        <w:jc w:val="both"/>
        <w:rPr>
          <w:rFonts w:ascii="Times New Roman" w:hAnsi="Times New Roman" w:cs="Times New Roman"/>
        </w:rPr>
      </w:pPr>
      <w:r w:rsidRPr="00C36063">
        <w:rPr>
          <w:rFonts w:ascii="Times New Roman" w:hAnsi="Times New Roman" w:cs="Times New Roman"/>
        </w:rPr>
        <w:t xml:space="preserve">Nanotechnology has become a central strategy in modern ocular drug delivery because nanoscale carriers can be engineered to address several formulation problems at once: improving the apparent solubility of poorly water-soluble drugs, protecting labile molecules, modulating release kinetics, and tailoring surface properties to increase interaction with ocular mucus or epithelial surfaces. Broad reviews describe how platforms such as polymeric nanoparticles, lipid nanoparticles, liposomes, </w:t>
      </w:r>
      <w:proofErr w:type="spellStart"/>
      <w:r w:rsidRPr="00C36063">
        <w:rPr>
          <w:rFonts w:ascii="Times New Roman" w:hAnsi="Times New Roman" w:cs="Times New Roman"/>
        </w:rPr>
        <w:t>nanoemulsions</w:t>
      </w:r>
      <w:proofErr w:type="spellEnd"/>
      <w:r w:rsidRPr="00C36063">
        <w:rPr>
          <w:rFonts w:ascii="Times New Roman" w:hAnsi="Times New Roman" w:cs="Times New Roman"/>
        </w:rPr>
        <w:t>, and micelles can enhance local exposure and reduce dosing frequency by enabling sustained release and better tissue interaction [07,08]. However, nanoparticles delivered as simple aqueous dispersions can still be cleared rapidly from the ocular surface, limiting the time available for permeation</w:t>
      </w:r>
      <w:r>
        <w:rPr>
          <w:rFonts w:ascii="Times New Roman" w:hAnsi="Times New Roman" w:cs="Times New Roman"/>
        </w:rPr>
        <w:t xml:space="preserve"> </w:t>
      </w:r>
      <w:r w:rsidRPr="00C36063">
        <w:rPr>
          <w:rFonts w:ascii="Times New Roman" w:hAnsi="Times New Roman" w:cs="Times New Roman"/>
        </w:rPr>
        <w:t>so improved retention strategies are often required to translate nanocarrier advantages into clinically meaningful exposure gains [07,08]. </w:t>
      </w:r>
      <w:r w:rsidR="0037244D" w:rsidRPr="00C36063">
        <w:rPr>
          <w:rFonts w:ascii="Times New Roman" w:hAnsi="Times New Roman" w:cs="Times New Roman"/>
        </w:rPr>
        <w:t xml:space="preserve"> </w:t>
      </w:r>
    </w:p>
    <w:p w14:paraId="5FCA79CC"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1.5 Emergence of in situ gelling ophthalmic systems</w:t>
      </w:r>
    </w:p>
    <w:p w14:paraId="75AF6C2F" w14:textId="0BA44503" w:rsidR="00C36063" w:rsidRPr="00C36063" w:rsidRDefault="00C36063" w:rsidP="00C36063">
      <w:pPr>
        <w:jc w:val="both"/>
        <w:rPr>
          <w:rFonts w:ascii="Times New Roman" w:hAnsi="Times New Roman" w:cs="Times New Roman"/>
        </w:rPr>
      </w:pPr>
      <w:r w:rsidRPr="00C36063">
        <w:rPr>
          <w:rFonts w:ascii="Times New Roman" w:hAnsi="Times New Roman" w:cs="Times New Roman"/>
        </w:rPr>
        <w:t>In situ gelling systems were developed to extend residence time without sacrificing dosing convenience. These formulations are instilled as low-viscosity drops and then undergo sol-to-gel transformation on the ocular surface, typically triggered by physiological cues such as temperature, pH, or tear electrolytes. Recent high-level reviews describe in situ gels as a practical route to longer precorneal retention, sustained release, and improved patient compliance</w:t>
      </w:r>
      <w:r>
        <w:rPr>
          <w:rFonts w:ascii="Times New Roman" w:hAnsi="Times New Roman" w:cs="Times New Roman"/>
        </w:rPr>
        <w:t xml:space="preserve"> </w:t>
      </w:r>
      <w:r w:rsidRPr="00C36063">
        <w:rPr>
          <w:rFonts w:ascii="Times New Roman" w:hAnsi="Times New Roman" w:cs="Times New Roman"/>
        </w:rPr>
        <w:t xml:space="preserve">while maintaining accurate dosing as a liquid prior to gelation [09,10]. Gel-based ophthalmic materials literature further shows that commonly used polymers (e.g., </w:t>
      </w:r>
      <w:proofErr w:type="spellStart"/>
      <w:r w:rsidRPr="00C36063">
        <w:rPr>
          <w:rFonts w:ascii="Times New Roman" w:hAnsi="Times New Roman" w:cs="Times New Roman"/>
        </w:rPr>
        <w:t>gellan</w:t>
      </w:r>
      <w:proofErr w:type="spellEnd"/>
      <w:r w:rsidRPr="00C36063">
        <w:rPr>
          <w:rFonts w:ascii="Times New Roman" w:hAnsi="Times New Roman" w:cs="Times New Roman"/>
        </w:rPr>
        <w:t xml:space="preserve"> gum, carbomers, poloxamers, alginates, and cellulose derivatives) can be selected and blended to tune gelation speed, strength, </w:t>
      </w:r>
      <w:proofErr w:type="spellStart"/>
      <w:r w:rsidRPr="00C36063">
        <w:rPr>
          <w:rFonts w:ascii="Times New Roman" w:hAnsi="Times New Roman" w:cs="Times New Roman"/>
        </w:rPr>
        <w:t>mucoadhesion</w:t>
      </w:r>
      <w:proofErr w:type="spellEnd"/>
      <w:r w:rsidRPr="00C36063">
        <w:rPr>
          <w:rFonts w:ascii="Times New Roman" w:hAnsi="Times New Roman" w:cs="Times New Roman"/>
        </w:rPr>
        <w:t>, and comfort during blinking [11]. </w:t>
      </w:r>
      <w:r w:rsidR="0037244D" w:rsidRPr="00C36063">
        <w:rPr>
          <w:rFonts w:ascii="Times New Roman" w:hAnsi="Times New Roman" w:cs="Times New Roman"/>
        </w:rPr>
        <w:t xml:space="preserve"> </w:t>
      </w:r>
    </w:p>
    <w:p w14:paraId="65D6488C"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1.6 The combined approach: nanoparticle-laden smart hydrogels</w:t>
      </w:r>
    </w:p>
    <w:p w14:paraId="6E0EB7F1" w14:textId="4AF0EAE5" w:rsidR="00C36063" w:rsidRDefault="00C36063" w:rsidP="00702417">
      <w:pPr>
        <w:jc w:val="both"/>
        <w:rPr>
          <w:rFonts w:ascii="Times New Roman" w:hAnsi="Times New Roman" w:cs="Times New Roman"/>
        </w:rPr>
      </w:pPr>
      <w:r w:rsidRPr="00C36063">
        <w:rPr>
          <w:rFonts w:ascii="Times New Roman" w:hAnsi="Times New Roman" w:cs="Times New Roman"/>
        </w:rPr>
        <w:t>Because nanoparticles excel at drug protection and controlled release, while in situ gels excel at ocular retention, integrating both into one platform is a logical next step. Nanoparticle-laden in situ gels are designed to (</w:t>
      </w:r>
      <w:proofErr w:type="spellStart"/>
      <w:r w:rsidRPr="00C36063">
        <w:rPr>
          <w:rFonts w:ascii="Times New Roman" w:hAnsi="Times New Roman" w:cs="Times New Roman"/>
        </w:rPr>
        <w:t>i</w:t>
      </w:r>
      <w:proofErr w:type="spellEnd"/>
      <w:r w:rsidRPr="00C36063">
        <w:rPr>
          <w:rFonts w:ascii="Times New Roman" w:hAnsi="Times New Roman" w:cs="Times New Roman"/>
        </w:rPr>
        <w:t>) hold the formulation on the eye by gelling in the cul-de-sac and (ii) deliver drug in a controlled fashion from embedded nanoparticles, potentially improving penetration and sustaining exposure. This hybrid “gel + nanocarrier” concept has since become a foundation for precision topical platforms aimed at reducing dosing frequency while improving local efficacy and tolerability [09–12]. </w:t>
      </w:r>
      <w:r w:rsidR="0037244D">
        <w:rPr>
          <w:rFonts w:ascii="Times New Roman" w:hAnsi="Times New Roman" w:cs="Times New Roman"/>
        </w:rPr>
        <w:t xml:space="preserve"> </w:t>
      </w:r>
    </w:p>
    <w:p w14:paraId="215D4178" w14:textId="17703AAC"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02. ANATOMY OF THE EYE &amp; OCULAR BARRIERS </w:t>
      </w:r>
    </w:p>
    <w:p w14:paraId="11A56912" w14:textId="352E1842"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 xml:space="preserve">2.1 Ocular anatomy </w:t>
      </w:r>
    </w:p>
    <w:p w14:paraId="09A6A4B2" w14:textId="446561A9" w:rsidR="00C36063" w:rsidRDefault="00C36063" w:rsidP="00C36063">
      <w:pPr>
        <w:jc w:val="both"/>
        <w:rPr>
          <w:rFonts w:ascii="Times New Roman" w:hAnsi="Times New Roman" w:cs="Times New Roman"/>
        </w:rPr>
      </w:pPr>
      <w:r w:rsidRPr="00C36063">
        <w:rPr>
          <w:rFonts w:ascii="Times New Roman" w:hAnsi="Times New Roman" w:cs="Times New Roman"/>
        </w:rPr>
        <w:t xml:space="preserve">For drug-delivery purposes, the eye is often discussed as two functional compartments: the anterior segment and the posterior segment. The anterior segment includes the cornea (epithelium, stroma, </w:t>
      </w:r>
      <w:r w:rsidRPr="00C36063">
        <w:rPr>
          <w:rFonts w:ascii="Times New Roman" w:hAnsi="Times New Roman" w:cs="Times New Roman"/>
        </w:rPr>
        <w:lastRenderedPageBreak/>
        <w:t>endothelium), anterior chamber filled with aqueous humor, iris, ciliary body, and the lens. This region is the main target of topical therapy for conditions such as conjunctivitis, keratitis, dry eye disease, and many glaucoma treatments. In contrast, the posterior segment comprises the vitreous humor, retina, choroid, and optic nerve, and is implicated in sight-threatening diseases such as diabetic retinopathy and age-related macular degeneration</w:t>
      </w:r>
      <w:r>
        <w:rPr>
          <w:rFonts w:ascii="Times New Roman" w:hAnsi="Times New Roman" w:cs="Times New Roman"/>
        </w:rPr>
        <w:t xml:space="preserve"> </w:t>
      </w:r>
      <w:r w:rsidRPr="00C36063">
        <w:rPr>
          <w:rFonts w:ascii="Times New Roman" w:hAnsi="Times New Roman" w:cs="Times New Roman"/>
        </w:rPr>
        <w:t>conditions that are difficult to treat with conventional eye drops because the target tissues lie deeper and are protected by stronger physiological barriers. Conceptually, the lens and vitreous act as internal “checkpoints” that limit the passive diffusion of drug from the front of the eye to the retina, even if some drug enters the aqueous humor. [13] </w:t>
      </w:r>
    </w:p>
    <w:p w14:paraId="706E5570" w14:textId="37DBA704"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drawing>
          <wp:inline distT="0" distB="0" distL="0" distR="0" wp14:anchorId="18903C84" wp14:editId="213681BE">
            <wp:extent cx="5943600" cy="3241675"/>
            <wp:effectExtent l="0" t="0" r="0" b="0"/>
            <wp:docPr id="1846971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63E6473B" w14:textId="49859C79" w:rsidR="00B3263D" w:rsidRDefault="00B3263D" w:rsidP="00C36063">
      <w:pPr>
        <w:jc w:val="both"/>
        <w:rPr>
          <w:rFonts w:ascii="Times New Roman" w:hAnsi="Times New Roman" w:cs="Times New Roman"/>
        </w:rPr>
      </w:pPr>
      <w:r>
        <w:rPr>
          <w:rFonts w:ascii="Times New Roman" w:hAnsi="Times New Roman" w:cs="Times New Roman"/>
        </w:rPr>
        <w:t xml:space="preserve">Fig No 01 - </w:t>
      </w:r>
      <w:r w:rsidRPr="00B3263D">
        <w:rPr>
          <w:rFonts w:ascii="Times New Roman" w:hAnsi="Times New Roman" w:cs="Times New Roman"/>
        </w:rPr>
        <w:t>Nano-in-Gel Convergence: Mechanism of Ocular Drug Delivery After Instillation</w:t>
      </w:r>
    </w:p>
    <w:p w14:paraId="504F13F4" w14:textId="28CB6B51" w:rsidR="00B3263D" w:rsidRPr="00C36063" w:rsidRDefault="00B3263D" w:rsidP="00C36063">
      <w:pPr>
        <w:jc w:val="both"/>
        <w:rPr>
          <w:rFonts w:ascii="Times New Roman" w:hAnsi="Times New Roman" w:cs="Times New Roman"/>
        </w:rPr>
      </w:pPr>
      <w:r w:rsidRPr="00B3263D">
        <w:rPr>
          <w:rFonts w:ascii="Times New Roman" w:hAnsi="Times New Roman" w:cs="Times New Roman"/>
          <w:b/>
          <w:bCs/>
        </w:rPr>
        <w:t>Figure 1.</w:t>
      </w:r>
      <w:r w:rsidRPr="00B3263D">
        <w:rPr>
          <w:rFonts w:ascii="Times New Roman" w:hAnsi="Times New Roman" w:cs="Times New Roman"/>
        </w:rPr>
        <w:t xml:space="preserve"> </w:t>
      </w:r>
      <w:r w:rsidRPr="00B3263D">
        <w:rPr>
          <w:rFonts w:ascii="Times New Roman" w:hAnsi="Times New Roman" w:cs="Times New Roman"/>
          <w:i/>
          <w:iCs/>
        </w:rPr>
        <w:t xml:space="preserve">Schematic illustration of </w:t>
      </w:r>
      <w:proofErr w:type="spellStart"/>
      <w:r w:rsidRPr="00B3263D">
        <w:rPr>
          <w:rFonts w:ascii="Times New Roman" w:hAnsi="Times New Roman" w:cs="Times New Roman"/>
          <w:i/>
          <w:iCs/>
        </w:rPr>
        <w:t>nano</w:t>
      </w:r>
      <w:proofErr w:type="spellEnd"/>
      <w:r w:rsidRPr="00B3263D">
        <w:rPr>
          <w:rFonts w:ascii="Times New Roman" w:hAnsi="Times New Roman" w:cs="Times New Roman"/>
          <w:i/>
          <w:iCs/>
        </w:rPr>
        <w:t>-in-gel convergence showing instillation, stimulus-triggered gelation (temperature, pH, ions), gel depot formation, dual-controlled drug release, and improved therapeutic outcomes in ocular delivery</w:t>
      </w:r>
    </w:p>
    <w:p w14:paraId="5909066C"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2.2 Ocular barriers to drug delivery</w:t>
      </w:r>
    </w:p>
    <w:p w14:paraId="4A483B32" w14:textId="00606764" w:rsidR="00C36063" w:rsidRPr="00C36063" w:rsidRDefault="00C36063" w:rsidP="00C36063">
      <w:pPr>
        <w:jc w:val="both"/>
        <w:rPr>
          <w:rFonts w:ascii="Times New Roman" w:hAnsi="Times New Roman" w:cs="Times New Roman"/>
        </w:rPr>
      </w:pPr>
      <w:r w:rsidRPr="00C36063">
        <w:rPr>
          <w:rFonts w:ascii="Times New Roman" w:hAnsi="Times New Roman" w:cs="Times New Roman"/>
        </w:rPr>
        <w:t>Ocular barriers can be grouped into static barriers (tissue-structure barriers that restrict diffusion) and dynamic barriers (physiological clearance processes that rapidly remove drug from the ocular surface). Together, these barriers explain why topical administration is convenient yet typically inefficient, and why posterior-segment exposure from standard drops is usually minimal. [13] </w:t>
      </w:r>
    </w:p>
    <w:p w14:paraId="5013BE76"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2.2.1 Static barriers</w:t>
      </w:r>
    </w:p>
    <w:p w14:paraId="207E91C8" w14:textId="0D6B1663"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Corneal barrier (epithelium–stroma–endothelium):</w:t>
      </w:r>
      <w:r w:rsidRPr="00C36063">
        <w:rPr>
          <w:rFonts w:ascii="Times New Roman" w:hAnsi="Times New Roman" w:cs="Times New Roman"/>
        </w:rPr>
        <w:t xml:space="preserve"> The cornea is the principal gateway for topical delivery into the eye, but it is also a highly selective filter. The corneal epithelium, with </w:t>
      </w:r>
      <w:r w:rsidRPr="00C36063">
        <w:rPr>
          <w:rFonts w:ascii="Times New Roman" w:hAnsi="Times New Roman" w:cs="Times New Roman"/>
        </w:rPr>
        <w:lastRenderedPageBreak/>
        <w:t xml:space="preserve">tight junctions, strongly limits paracellular transport and preferentially restricts large and hydrophilic molecules. Reviews describe this epithelial “seal” as allowing only very small pathways (often discussed on the nanometer scale), making </w:t>
      </w:r>
      <w:proofErr w:type="spellStart"/>
      <w:r w:rsidRPr="00C36063">
        <w:rPr>
          <w:rFonts w:ascii="Times New Roman" w:hAnsi="Times New Roman" w:cs="Times New Roman"/>
        </w:rPr>
        <w:t>transcorneal</w:t>
      </w:r>
      <w:proofErr w:type="spellEnd"/>
      <w:r w:rsidRPr="00C36063">
        <w:rPr>
          <w:rFonts w:ascii="Times New Roman" w:hAnsi="Times New Roman" w:cs="Times New Roman"/>
        </w:rPr>
        <w:t xml:space="preserve"> transport highly dependent on molecular size, lipophilicity, and ionization. Beneath it, the stroma is collagen-rich and hydrophilic, tending to impede lipophilic molecules that cross the epithelium. The endothelium is a thin inner layer separating the stroma from the aqueous humor and offers comparatively less resistance than the epithelium, but it still contributes to overall selectivity. [17] </w:t>
      </w:r>
    </w:p>
    <w:p w14:paraId="32AB6220" w14:textId="60468A23"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Scleral barrier:</w:t>
      </w:r>
      <w:r w:rsidRPr="00C36063">
        <w:rPr>
          <w:rFonts w:ascii="Times New Roman" w:hAnsi="Times New Roman" w:cs="Times New Roman"/>
        </w:rPr>
        <w:t> The </w:t>
      </w:r>
      <w:r w:rsidRPr="00C36063">
        <w:rPr>
          <w:rFonts w:ascii="Times New Roman" w:hAnsi="Times New Roman" w:cs="Times New Roman"/>
          <w:b/>
          <w:bCs/>
        </w:rPr>
        <w:t>sclera</w:t>
      </w:r>
      <w:r w:rsidRPr="00C36063">
        <w:rPr>
          <w:rFonts w:ascii="Times New Roman" w:hAnsi="Times New Roman" w:cs="Times New Roman"/>
        </w:rPr>
        <w:t> (the “white” of the eye) is sometimes described as a potential alternative route for delivery toward posterior tissues, especially for periocular approaches. Compared with the cornea, scleral transport is often less governed by lipophilicity and more by </w:t>
      </w:r>
      <w:r w:rsidRPr="00C36063">
        <w:rPr>
          <w:rFonts w:ascii="Times New Roman" w:hAnsi="Times New Roman" w:cs="Times New Roman"/>
          <w:b/>
          <w:bCs/>
        </w:rPr>
        <w:t>molecular size (radius)</w:t>
      </w:r>
      <w:r w:rsidRPr="00C36063">
        <w:rPr>
          <w:rFonts w:ascii="Times New Roman" w:hAnsi="Times New Roman" w:cs="Times New Roman"/>
        </w:rPr>
        <w:t>, but access is still limited by drug loss into local blood/lymphatic pathways and by downstream barriers (notably choroid and retinal barriers). [13]</w:t>
      </w:r>
    </w:p>
    <w:p w14:paraId="73E02F80" w14:textId="0D2E5570"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Blood–aqueous barrier (BAB):</w:t>
      </w:r>
      <w:r w:rsidRPr="00C36063">
        <w:rPr>
          <w:rFonts w:ascii="Times New Roman" w:hAnsi="Times New Roman" w:cs="Times New Roman"/>
        </w:rPr>
        <w:t> Even if a drug reaches systemic circulation, entry into the anterior chamber is limited by the BAB, which is formed by tight junctions and specialized cellular layers in the iris–ciliary body region. Importantly, the BAB is not merely a passive wall; it expresses multiple influx/efflux transporters that can reduce drug entry from blood to aqueous humor and can actively contribute to drug elimination from aqueous humor</w:t>
      </w:r>
      <w:r>
        <w:rPr>
          <w:rFonts w:ascii="Times New Roman" w:hAnsi="Times New Roman" w:cs="Times New Roman"/>
        </w:rPr>
        <w:t xml:space="preserve"> </w:t>
      </w:r>
      <w:r w:rsidRPr="00C36063">
        <w:rPr>
          <w:rFonts w:ascii="Times New Roman" w:hAnsi="Times New Roman" w:cs="Times New Roman"/>
        </w:rPr>
        <w:t>further lowering intraocular exposure after systemic dosing. [18] </w:t>
      </w:r>
    </w:p>
    <w:p w14:paraId="4BF421AC" w14:textId="459064E1"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Blood–retinal barrier (BRB):</w:t>
      </w:r>
      <w:r w:rsidRPr="00C36063">
        <w:rPr>
          <w:rFonts w:ascii="Times New Roman" w:hAnsi="Times New Roman" w:cs="Times New Roman"/>
        </w:rPr>
        <w:t> The posterior segment is protected by the BRB, one of the tightest biological barriers in the body. It has two key components: the inner BRB (tight junctions between retinal capillary endothelial cells) and the outer BRB (tight junctions at the retinal pigment epithelium). This barrier tightly regulates movement of ions, proteins, and water, and its integrity is central to retinal homeostasis. From a delivery standpoint, this is a major reason why systemic drugs and topical drops rarely achieve therapeutic retinal levels without specialized strategies. [19] </w:t>
      </w:r>
    </w:p>
    <w:p w14:paraId="6FBC95AE"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2.2.2 Dynamic barriers</w:t>
      </w:r>
    </w:p>
    <w:p w14:paraId="30C71804" w14:textId="4F7AF89C"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Precorneal dilution and tear turnover (washout):</w:t>
      </w:r>
      <w:r w:rsidRPr="00C36063">
        <w:rPr>
          <w:rFonts w:ascii="Times New Roman" w:hAnsi="Times New Roman" w:cs="Times New Roman"/>
        </w:rPr>
        <w:t xml:space="preserve"> Immediately after instillation, the drop mixes with the tear film and is rapidly diluted. Normal tear-film volume is commonly reported in the single-digit microliter range (e.g., ~6–10 </w:t>
      </w:r>
      <w:proofErr w:type="spellStart"/>
      <w:r w:rsidRPr="00C36063">
        <w:rPr>
          <w:rFonts w:ascii="Times New Roman" w:hAnsi="Times New Roman" w:cs="Times New Roman"/>
        </w:rPr>
        <w:t>μL</w:t>
      </w:r>
      <w:proofErr w:type="spellEnd"/>
      <w:r w:rsidRPr="00C36063">
        <w:rPr>
          <w:rFonts w:ascii="Times New Roman" w:hAnsi="Times New Roman" w:cs="Times New Roman"/>
        </w:rPr>
        <w:t>), and tear film turnover has been reported on the order of ~16% per minute under typical conditions</w:t>
      </w:r>
      <w:r>
        <w:rPr>
          <w:rFonts w:ascii="Times New Roman" w:hAnsi="Times New Roman" w:cs="Times New Roman"/>
        </w:rPr>
        <w:t xml:space="preserve"> </w:t>
      </w:r>
      <w:r w:rsidRPr="00C36063">
        <w:rPr>
          <w:rFonts w:ascii="Times New Roman" w:hAnsi="Times New Roman" w:cs="Times New Roman"/>
        </w:rPr>
        <w:t>meaning the ocular surface environment is continuously refreshed, which shortens drug contact time. [15] </w:t>
      </w:r>
    </w:p>
    <w:p w14:paraId="60F12931" w14:textId="3BA04F97"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Reflex lacrimation and blinking:</w:t>
      </w:r>
      <w:r w:rsidRPr="00C36063">
        <w:rPr>
          <w:rFonts w:ascii="Times New Roman" w:hAnsi="Times New Roman" w:cs="Times New Roman"/>
        </w:rPr>
        <w:t> Instillation itself can trigger reflex tearing and blinking, accelerating clearance. Under typical room conditions, the blink rate in normal adults is often reported around 15–20 blinks per minute, and blinking actively redistributes tears while also contributing to mechanical clearance of instilled material from the ocular surface. [16] </w:t>
      </w:r>
    </w:p>
    <w:p w14:paraId="1EC6318B" w14:textId="101A224F"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Nasolacrimal drainage and systemic absorption:</w:t>
      </w:r>
      <w:r w:rsidRPr="00C36063">
        <w:rPr>
          <w:rFonts w:ascii="Times New Roman" w:hAnsi="Times New Roman" w:cs="Times New Roman"/>
        </w:rPr>
        <w:t> A substantial fraction of an instilled dose is lost via nasolacrimal drainage into the nasal cavity, where it can undergo systemic absorption</w:t>
      </w:r>
      <w:r>
        <w:rPr>
          <w:rFonts w:ascii="Times New Roman" w:hAnsi="Times New Roman" w:cs="Times New Roman"/>
        </w:rPr>
        <w:t xml:space="preserve"> </w:t>
      </w:r>
      <w:r w:rsidRPr="00C36063">
        <w:rPr>
          <w:rFonts w:ascii="Times New Roman" w:hAnsi="Times New Roman" w:cs="Times New Roman"/>
        </w:rPr>
        <w:t xml:space="preserve">an </w:t>
      </w:r>
      <w:r w:rsidRPr="00C36063">
        <w:rPr>
          <w:rFonts w:ascii="Times New Roman" w:hAnsi="Times New Roman" w:cs="Times New Roman"/>
        </w:rPr>
        <w:lastRenderedPageBreak/>
        <w:t xml:space="preserve">issue particularly relevant for potent drugs (e.g., some glaucoma agents). Quantitatively, reviews report an initial first-order drainage rate around ~1.2 </w:t>
      </w:r>
      <w:proofErr w:type="spellStart"/>
      <w:r w:rsidRPr="00C36063">
        <w:rPr>
          <w:rFonts w:ascii="Times New Roman" w:hAnsi="Times New Roman" w:cs="Times New Roman"/>
        </w:rPr>
        <w:t>μL</w:t>
      </w:r>
      <w:proofErr w:type="spellEnd"/>
      <w:r w:rsidRPr="00C36063">
        <w:rPr>
          <w:rFonts w:ascii="Times New Roman" w:hAnsi="Times New Roman" w:cs="Times New Roman"/>
        </w:rPr>
        <w:t>/min in humans, and emphasize that drug residence on the ocular surface can be very brief (often on the order of minutes), depending on drop volume and reflex responses. [14] </w:t>
      </w:r>
    </w:p>
    <w:p w14:paraId="7B2DE662" w14:textId="55A2EAFE" w:rsidR="00C36063" w:rsidRPr="00C36063" w:rsidRDefault="00C36063" w:rsidP="00C36063">
      <w:pPr>
        <w:jc w:val="both"/>
        <w:rPr>
          <w:rFonts w:ascii="Times New Roman" w:hAnsi="Times New Roman" w:cs="Times New Roman"/>
        </w:rPr>
      </w:pPr>
      <w:r w:rsidRPr="00C36063">
        <w:rPr>
          <w:rFonts w:ascii="Times New Roman" w:hAnsi="Times New Roman" w:cs="Times New Roman"/>
          <w:b/>
          <w:bCs/>
        </w:rPr>
        <w:t>Aqueous humor turnover (intraocular clearance):</w:t>
      </w:r>
      <w:r w:rsidRPr="00C36063">
        <w:rPr>
          <w:rFonts w:ascii="Times New Roman" w:hAnsi="Times New Roman" w:cs="Times New Roman"/>
        </w:rPr>
        <w:t> Once drug enters the anterior chamber, it does not remain indefinitely. It is cleared with aqueous humor outflow via trabecular and uveoscleral pathways</w:t>
      </w:r>
      <w:r>
        <w:rPr>
          <w:rFonts w:ascii="Times New Roman" w:hAnsi="Times New Roman" w:cs="Times New Roman"/>
        </w:rPr>
        <w:t xml:space="preserve"> </w:t>
      </w:r>
      <w:r w:rsidRPr="00C36063">
        <w:rPr>
          <w:rFonts w:ascii="Times New Roman" w:hAnsi="Times New Roman" w:cs="Times New Roman"/>
        </w:rPr>
        <w:t>an important reason why sustained delivery systems are valuable even after successful corneal penetration. [17] </w:t>
      </w:r>
    </w:p>
    <w:p w14:paraId="2AEC4599"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2.3 Implications for drug-delivery design (why nanoparticle-laden in situ gels help)</w:t>
      </w:r>
    </w:p>
    <w:p w14:paraId="4536CC22" w14:textId="48FA1DFF" w:rsidR="00C36063" w:rsidRPr="00C36063" w:rsidRDefault="00C36063" w:rsidP="00C36063">
      <w:pPr>
        <w:jc w:val="both"/>
        <w:rPr>
          <w:rFonts w:ascii="Times New Roman" w:hAnsi="Times New Roman" w:cs="Times New Roman"/>
        </w:rPr>
      </w:pPr>
      <w:r w:rsidRPr="00C36063">
        <w:rPr>
          <w:rFonts w:ascii="Times New Roman" w:hAnsi="Times New Roman" w:cs="Times New Roman"/>
        </w:rPr>
        <w:t>Because ocular loss is driven by both rapid external clearance (tears, blinking, drainage) and strong tissue barriers (cornea, BAB/BRB), successful topical systems increasingly rely on multifunctional designs. In situ gels primarily address the </w:t>
      </w:r>
      <w:r w:rsidRPr="00C36063">
        <w:rPr>
          <w:rFonts w:ascii="Times New Roman" w:hAnsi="Times New Roman" w:cs="Times New Roman"/>
          <w:i/>
          <w:iCs/>
        </w:rPr>
        <w:t>dynamic</w:t>
      </w:r>
      <w:r w:rsidRPr="00C36063">
        <w:rPr>
          <w:rFonts w:ascii="Times New Roman" w:hAnsi="Times New Roman" w:cs="Times New Roman"/>
        </w:rPr>
        <w:t> problem by increasing precorneal residence time after sol-to-gel transition, thereby reducing immediate washout. Nanoparticles, meanwhile, can protect drug, improve apparent solubility, tune release kinetics, and enhance interaction with ocular tissues</w:t>
      </w:r>
      <w:r>
        <w:rPr>
          <w:rFonts w:ascii="Times New Roman" w:hAnsi="Times New Roman" w:cs="Times New Roman"/>
        </w:rPr>
        <w:t xml:space="preserve"> </w:t>
      </w:r>
      <w:r w:rsidRPr="00C36063">
        <w:rPr>
          <w:rFonts w:ascii="Times New Roman" w:hAnsi="Times New Roman" w:cs="Times New Roman"/>
        </w:rPr>
        <w:t>helping overcome </w:t>
      </w:r>
      <w:r w:rsidRPr="00C36063">
        <w:rPr>
          <w:rFonts w:ascii="Times New Roman" w:hAnsi="Times New Roman" w:cs="Times New Roman"/>
          <w:i/>
          <w:iCs/>
        </w:rPr>
        <w:t>static</w:t>
      </w:r>
      <w:r w:rsidRPr="00C36063">
        <w:rPr>
          <w:rFonts w:ascii="Times New Roman" w:hAnsi="Times New Roman" w:cs="Times New Roman"/>
        </w:rPr>
        <w:t> constraints such as epithelial tight junction resistance and the “lipophilic–hydrophilic sandwich” nature of the cornea. The combined platform (nanoparticles dispersed in a gelling matrix) therefore targets the two biggest failure modes of conventional drops: insufficient contact time and insufficient penetration/retention at the site of action. In posterior delivery contexts, material properties such as nanoparticle surface charge also matter because charged carriers can interact differently with gel-like biological matrices such as the vitreous. [14,20] </w:t>
      </w:r>
    </w:p>
    <w:p w14:paraId="39D63AF2"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Table 1. Summary of ocular barriers and their impact on drug delivery</w:t>
      </w:r>
    </w:p>
    <w:tbl>
      <w:tblPr>
        <w:tblStyle w:val="TableGrid"/>
        <w:tblW w:w="0" w:type="auto"/>
        <w:tblLook w:val="04A0" w:firstRow="1" w:lastRow="0" w:firstColumn="1" w:lastColumn="0" w:noHBand="0" w:noVBand="1"/>
      </w:tblPr>
      <w:tblGrid>
        <w:gridCol w:w="1790"/>
        <w:gridCol w:w="1972"/>
        <w:gridCol w:w="2795"/>
        <w:gridCol w:w="2793"/>
      </w:tblGrid>
      <w:tr w:rsidR="00C36063" w:rsidRPr="00C36063" w14:paraId="22C47462" w14:textId="77777777" w:rsidTr="00C36063">
        <w:tc>
          <w:tcPr>
            <w:tcW w:w="0" w:type="auto"/>
            <w:vAlign w:val="center"/>
            <w:hideMark/>
          </w:tcPr>
          <w:p w14:paraId="6AA03166" w14:textId="77777777" w:rsidR="00C36063" w:rsidRPr="00C36063" w:rsidRDefault="00C36063" w:rsidP="00C36063">
            <w:pPr>
              <w:spacing w:after="160" w:line="278" w:lineRule="auto"/>
              <w:jc w:val="center"/>
              <w:rPr>
                <w:rFonts w:ascii="Times New Roman" w:hAnsi="Times New Roman" w:cs="Times New Roman"/>
                <w:b/>
                <w:bCs/>
              </w:rPr>
            </w:pPr>
            <w:r w:rsidRPr="00C36063">
              <w:rPr>
                <w:rFonts w:ascii="Times New Roman" w:hAnsi="Times New Roman" w:cs="Times New Roman"/>
                <w:b/>
                <w:bCs/>
              </w:rPr>
              <w:t>Barrier type</w:t>
            </w:r>
          </w:p>
        </w:tc>
        <w:tc>
          <w:tcPr>
            <w:tcW w:w="0" w:type="auto"/>
            <w:vAlign w:val="center"/>
            <w:hideMark/>
          </w:tcPr>
          <w:p w14:paraId="1E940DF1" w14:textId="77777777" w:rsidR="00C36063" w:rsidRPr="00C36063" w:rsidRDefault="00C36063" w:rsidP="00C36063">
            <w:pPr>
              <w:spacing w:after="160" w:line="278" w:lineRule="auto"/>
              <w:jc w:val="center"/>
              <w:rPr>
                <w:rFonts w:ascii="Times New Roman" w:hAnsi="Times New Roman" w:cs="Times New Roman"/>
                <w:b/>
                <w:bCs/>
              </w:rPr>
            </w:pPr>
            <w:r w:rsidRPr="00C36063">
              <w:rPr>
                <w:rFonts w:ascii="Times New Roman" w:hAnsi="Times New Roman" w:cs="Times New Roman"/>
                <w:b/>
                <w:bCs/>
              </w:rPr>
              <w:t>Specific barrier</w:t>
            </w:r>
          </w:p>
        </w:tc>
        <w:tc>
          <w:tcPr>
            <w:tcW w:w="0" w:type="auto"/>
            <w:vAlign w:val="center"/>
            <w:hideMark/>
          </w:tcPr>
          <w:p w14:paraId="30E7A201" w14:textId="77777777" w:rsidR="00C36063" w:rsidRPr="00C36063" w:rsidRDefault="00C36063" w:rsidP="00C36063">
            <w:pPr>
              <w:spacing w:after="160" w:line="278" w:lineRule="auto"/>
              <w:jc w:val="center"/>
              <w:rPr>
                <w:rFonts w:ascii="Times New Roman" w:hAnsi="Times New Roman" w:cs="Times New Roman"/>
                <w:b/>
                <w:bCs/>
              </w:rPr>
            </w:pPr>
            <w:r w:rsidRPr="00C36063">
              <w:rPr>
                <w:rFonts w:ascii="Times New Roman" w:hAnsi="Times New Roman" w:cs="Times New Roman"/>
                <w:b/>
                <w:bCs/>
              </w:rPr>
              <w:t>Main effect on drug delivery</w:t>
            </w:r>
          </w:p>
        </w:tc>
        <w:tc>
          <w:tcPr>
            <w:tcW w:w="0" w:type="auto"/>
            <w:vAlign w:val="center"/>
            <w:hideMark/>
          </w:tcPr>
          <w:p w14:paraId="413ED6D5" w14:textId="77777777" w:rsidR="00C36063" w:rsidRPr="00C36063" w:rsidRDefault="00C36063" w:rsidP="00C36063">
            <w:pPr>
              <w:spacing w:after="160" w:line="278" w:lineRule="auto"/>
              <w:jc w:val="center"/>
              <w:rPr>
                <w:rFonts w:ascii="Times New Roman" w:hAnsi="Times New Roman" w:cs="Times New Roman"/>
                <w:b/>
                <w:bCs/>
              </w:rPr>
            </w:pPr>
            <w:r w:rsidRPr="00C36063">
              <w:rPr>
                <w:rFonts w:ascii="Times New Roman" w:hAnsi="Times New Roman" w:cs="Times New Roman"/>
                <w:b/>
                <w:bCs/>
              </w:rPr>
              <w:t>Practical outcome</w:t>
            </w:r>
          </w:p>
        </w:tc>
      </w:tr>
      <w:tr w:rsidR="00C36063" w:rsidRPr="00C36063" w14:paraId="46A4901D" w14:textId="77777777" w:rsidTr="00C36063">
        <w:tc>
          <w:tcPr>
            <w:tcW w:w="0" w:type="auto"/>
            <w:vAlign w:val="center"/>
            <w:hideMark/>
          </w:tcPr>
          <w:p w14:paraId="65B1A69F"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Dynamic</w:t>
            </w:r>
          </w:p>
        </w:tc>
        <w:tc>
          <w:tcPr>
            <w:tcW w:w="0" w:type="auto"/>
            <w:vAlign w:val="center"/>
            <w:hideMark/>
          </w:tcPr>
          <w:p w14:paraId="6B52057D"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Tear dilution/turnover</w:t>
            </w:r>
          </w:p>
        </w:tc>
        <w:tc>
          <w:tcPr>
            <w:tcW w:w="0" w:type="auto"/>
            <w:vAlign w:val="center"/>
            <w:hideMark/>
          </w:tcPr>
          <w:p w14:paraId="44A9838C"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Rapid dilution + washout</w:t>
            </w:r>
          </w:p>
        </w:tc>
        <w:tc>
          <w:tcPr>
            <w:tcW w:w="0" w:type="auto"/>
            <w:vAlign w:val="center"/>
            <w:hideMark/>
          </w:tcPr>
          <w:p w14:paraId="36286482"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Short exposure window; frequent dosing needed</w:t>
            </w:r>
          </w:p>
        </w:tc>
      </w:tr>
      <w:tr w:rsidR="00C36063" w:rsidRPr="00C36063" w14:paraId="3D7DEDE6" w14:textId="77777777" w:rsidTr="00C36063">
        <w:tc>
          <w:tcPr>
            <w:tcW w:w="0" w:type="auto"/>
            <w:vAlign w:val="center"/>
            <w:hideMark/>
          </w:tcPr>
          <w:p w14:paraId="32398DEA"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Dynamic</w:t>
            </w:r>
          </w:p>
        </w:tc>
        <w:tc>
          <w:tcPr>
            <w:tcW w:w="0" w:type="auto"/>
            <w:vAlign w:val="center"/>
            <w:hideMark/>
          </w:tcPr>
          <w:p w14:paraId="65061AA1"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Reflex lacrimation</w:t>
            </w:r>
          </w:p>
        </w:tc>
        <w:tc>
          <w:tcPr>
            <w:tcW w:w="0" w:type="auto"/>
            <w:vAlign w:val="center"/>
            <w:hideMark/>
          </w:tcPr>
          <w:p w14:paraId="36387D69"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Increased tear flow after instillation</w:t>
            </w:r>
          </w:p>
        </w:tc>
        <w:tc>
          <w:tcPr>
            <w:tcW w:w="0" w:type="auto"/>
            <w:vAlign w:val="center"/>
            <w:hideMark/>
          </w:tcPr>
          <w:p w14:paraId="303006B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Faster loss of drug from precorneal area</w:t>
            </w:r>
          </w:p>
        </w:tc>
      </w:tr>
      <w:tr w:rsidR="00C36063" w:rsidRPr="00C36063" w14:paraId="2DF4FED7" w14:textId="77777777" w:rsidTr="00C36063">
        <w:tc>
          <w:tcPr>
            <w:tcW w:w="0" w:type="auto"/>
            <w:vAlign w:val="center"/>
            <w:hideMark/>
          </w:tcPr>
          <w:p w14:paraId="231C6779"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Dynamic</w:t>
            </w:r>
          </w:p>
        </w:tc>
        <w:tc>
          <w:tcPr>
            <w:tcW w:w="0" w:type="auto"/>
            <w:vAlign w:val="center"/>
            <w:hideMark/>
          </w:tcPr>
          <w:p w14:paraId="13BA5B69"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Blinking</w:t>
            </w:r>
          </w:p>
        </w:tc>
        <w:tc>
          <w:tcPr>
            <w:tcW w:w="0" w:type="auto"/>
            <w:vAlign w:val="center"/>
            <w:hideMark/>
          </w:tcPr>
          <w:p w14:paraId="6F518570"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Mechanical clearance + redistribution</w:t>
            </w:r>
          </w:p>
        </w:tc>
        <w:tc>
          <w:tcPr>
            <w:tcW w:w="0" w:type="auto"/>
            <w:vAlign w:val="center"/>
            <w:hideMark/>
          </w:tcPr>
          <w:p w14:paraId="2578FFAB"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Reduced residence time; variable absorption</w:t>
            </w:r>
          </w:p>
        </w:tc>
      </w:tr>
      <w:tr w:rsidR="00C36063" w:rsidRPr="00C36063" w14:paraId="5F2B5C6E" w14:textId="77777777" w:rsidTr="00C36063">
        <w:tc>
          <w:tcPr>
            <w:tcW w:w="0" w:type="auto"/>
            <w:vAlign w:val="center"/>
            <w:hideMark/>
          </w:tcPr>
          <w:p w14:paraId="2AE14F08"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Dynamic</w:t>
            </w:r>
          </w:p>
        </w:tc>
        <w:tc>
          <w:tcPr>
            <w:tcW w:w="0" w:type="auto"/>
            <w:vAlign w:val="center"/>
            <w:hideMark/>
          </w:tcPr>
          <w:p w14:paraId="20A19FFA"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Nasolacrimal drainage</w:t>
            </w:r>
          </w:p>
        </w:tc>
        <w:tc>
          <w:tcPr>
            <w:tcW w:w="0" w:type="auto"/>
            <w:vAlign w:val="center"/>
            <w:hideMark/>
          </w:tcPr>
          <w:p w14:paraId="73830AE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Physical drainage + systemic uptake</w:t>
            </w:r>
          </w:p>
        </w:tc>
        <w:tc>
          <w:tcPr>
            <w:tcW w:w="0" w:type="auto"/>
            <w:vAlign w:val="center"/>
            <w:hideMark/>
          </w:tcPr>
          <w:p w14:paraId="0545BB3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Lower ocular bioavailability; possible systemic side effects</w:t>
            </w:r>
          </w:p>
        </w:tc>
      </w:tr>
      <w:tr w:rsidR="00C36063" w:rsidRPr="00C36063" w14:paraId="267E2C2D" w14:textId="77777777" w:rsidTr="00C36063">
        <w:tc>
          <w:tcPr>
            <w:tcW w:w="0" w:type="auto"/>
            <w:vAlign w:val="center"/>
            <w:hideMark/>
          </w:tcPr>
          <w:p w14:paraId="1D85DE0D"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lastRenderedPageBreak/>
              <w:t>Static</w:t>
            </w:r>
          </w:p>
        </w:tc>
        <w:tc>
          <w:tcPr>
            <w:tcW w:w="0" w:type="auto"/>
            <w:vAlign w:val="center"/>
            <w:hideMark/>
          </w:tcPr>
          <w:p w14:paraId="33A4566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Corneal epithelium</w:t>
            </w:r>
          </w:p>
        </w:tc>
        <w:tc>
          <w:tcPr>
            <w:tcW w:w="0" w:type="auto"/>
            <w:vAlign w:val="center"/>
            <w:hideMark/>
          </w:tcPr>
          <w:p w14:paraId="4293009C"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Tight junctions restrict hydrophilic/large drugs</w:t>
            </w:r>
          </w:p>
        </w:tc>
        <w:tc>
          <w:tcPr>
            <w:tcW w:w="0" w:type="auto"/>
            <w:vAlign w:val="center"/>
            <w:hideMark/>
          </w:tcPr>
          <w:p w14:paraId="1C8B490D"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Low permeability; formulation must aid transport</w:t>
            </w:r>
          </w:p>
        </w:tc>
      </w:tr>
      <w:tr w:rsidR="00C36063" w:rsidRPr="00C36063" w14:paraId="24BECD01" w14:textId="77777777" w:rsidTr="00C36063">
        <w:tc>
          <w:tcPr>
            <w:tcW w:w="0" w:type="auto"/>
            <w:vAlign w:val="center"/>
            <w:hideMark/>
          </w:tcPr>
          <w:p w14:paraId="5171738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w:t>
            </w:r>
          </w:p>
        </w:tc>
        <w:tc>
          <w:tcPr>
            <w:tcW w:w="0" w:type="auto"/>
            <w:vAlign w:val="center"/>
            <w:hideMark/>
          </w:tcPr>
          <w:p w14:paraId="08697F80"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Corneal stroma</w:t>
            </w:r>
          </w:p>
        </w:tc>
        <w:tc>
          <w:tcPr>
            <w:tcW w:w="0" w:type="auto"/>
            <w:vAlign w:val="center"/>
            <w:hideMark/>
          </w:tcPr>
          <w:p w14:paraId="524CFE3B"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Hydrophilic collagen matrix resists lipophilic diffusion</w:t>
            </w:r>
          </w:p>
        </w:tc>
        <w:tc>
          <w:tcPr>
            <w:tcW w:w="0" w:type="auto"/>
            <w:vAlign w:val="center"/>
            <w:hideMark/>
          </w:tcPr>
          <w:p w14:paraId="6EC20821"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“Second barrier” for lipophilic molecules</w:t>
            </w:r>
          </w:p>
        </w:tc>
      </w:tr>
      <w:tr w:rsidR="00C36063" w:rsidRPr="00C36063" w14:paraId="08E8C835" w14:textId="77777777" w:rsidTr="00C36063">
        <w:tc>
          <w:tcPr>
            <w:tcW w:w="0" w:type="auto"/>
            <w:vAlign w:val="center"/>
            <w:hideMark/>
          </w:tcPr>
          <w:p w14:paraId="46CB724F"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w:t>
            </w:r>
          </w:p>
        </w:tc>
        <w:tc>
          <w:tcPr>
            <w:tcW w:w="0" w:type="auto"/>
            <w:vAlign w:val="center"/>
            <w:hideMark/>
          </w:tcPr>
          <w:p w14:paraId="05ED1D77"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Sclera/choroid route</w:t>
            </w:r>
          </w:p>
        </w:tc>
        <w:tc>
          <w:tcPr>
            <w:tcW w:w="0" w:type="auto"/>
            <w:vAlign w:val="center"/>
            <w:hideMark/>
          </w:tcPr>
          <w:p w14:paraId="74900CC2"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Size-dependent permeability + vascular clearance</w:t>
            </w:r>
          </w:p>
        </w:tc>
        <w:tc>
          <w:tcPr>
            <w:tcW w:w="0" w:type="auto"/>
            <w:vAlign w:val="center"/>
            <w:hideMark/>
          </w:tcPr>
          <w:p w14:paraId="554666F6"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Limits sustained posterior exposure</w:t>
            </w:r>
          </w:p>
        </w:tc>
      </w:tr>
      <w:tr w:rsidR="00C36063" w:rsidRPr="00C36063" w14:paraId="5CADE754" w14:textId="77777777" w:rsidTr="00C36063">
        <w:tc>
          <w:tcPr>
            <w:tcW w:w="0" w:type="auto"/>
            <w:vAlign w:val="center"/>
            <w:hideMark/>
          </w:tcPr>
          <w:p w14:paraId="65554EC0"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w:t>
            </w:r>
          </w:p>
        </w:tc>
        <w:tc>
          <w:tcPr>
            <w:tcW w:w="0" w:type="auto"/>
            <w:vAlign w:val="center"/>
            <w:hideMark/>
          </w:tcPr>
          <w:p w14:paraId="14BB101E"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BAB</w:t>
            </w:r>
          </w:p>
        </w:tc>
        <w:tc>
          <w:tcPr>
            <w:tcW w:w="0" w:type="auto"/>
            <w:vAlign w:val="center"/>
            <w:hideMark/>
          </w:tcPr>
          <w:p w14:paraId="676605BE"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 xml:space="preserve">Tight junctions + transporters limit </w:t>
            </w:r>
            <w:proofErr w:type="spellStart"/>
            <w:r w:rsidRPr="00C36063">
              <w:rPr>
                <w:rFonts w:ascii="Times New Roman" w:hAnsi="Times New Roman" w:cs="Times New Roman"/>
              </w:rPr>
              <w:t>blood→aqueous</w:t>
            </w:r>
            <w:proofErr w:type="spellEnd"/>
            <w:r w:rsidRPr="00C36063">
              <w:rPr>
                <w:rFonts w:ascii="Times New Roman" w:hAnsi="Times New Roman" w:cs="Times New Roman"/>
              </w:rPr>
              <w:t xml:space="preserve"> entry</w:t>
            </w:r>
          </w:p>
        </w:tc>
        <w:tc>
          <w:tcPr>
            <w:tcW w:w="0" w:type="auto"/>
            <w:vAlign w:val="center"/>
            <w:hideMark/>
          </w:tcPr>
          <w:p w14:paraId="4FF748BA"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Systemic dosing inefficient for anterior chamber</w:t>
            </w:r>
          </w:p>
        </w:tc>
      </w:tr>
      <w:tr w:rsidR="00C36063" w:rsidRPr="00C36063" w14:paraId="11CB64D3" w14:textId="77777777" w:rsidTr="00C36063">
        <w:tc>
          <w:tcPr>
            <w:tcW w:w="0" w:type="auto"/>
            <w:vAlign w:val="center"/>
            <w:hideMark/>
          </w:tcPr>
          <w:p w14:paraId="1690609A"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w:t>
            </w:r>
          </w:p>
        </w:tc>
        <w:tc>
          <w:tcPr>
            <w:tcW w:w="0" w:type="auto"/>
            <w:vAlign w:val="center"/>
            <w:hideMark/>
          </w:tcPr>
          <w:p w14:paraId="3BD6BAAE"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BRB</w:t>
            </w:r>
          </w:p>
        </w:tc>
        <w:tc>
          <w:tcPr>
            <w:tcW w:w="0" w:type="auto"/>
            <w:vAlign w:val="center"/>
            <w:hideMark/>
          </w:tcPr>
          <w:p w14:paraId="37C46AAC"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Very tight inner/outer barriers</w:t>
            </w:r>
          </w:p>
        </w:tc>
        <w:tc>
          <w:tcPr>
            <w:tcW w:w="0" w:type="auto"/>
            <w:vAlign w:val="center"/>
            <w:hideMark/>
          </w:tcPr>
          <w:p w14:paraId="053D0A93"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Systemic/topical dosing inefficient for retina</w:t>
            </w:r>
          </w:p>
        </w:tc>
      </w:tr>
      <w:tr w:rsidR="00C36063" w:rsidRPr="00C36063" w14:paraId="6B1BE163" w14:textId="77777777" w:rsidTr="00C36063">
        <w:tc>
          <w:tcPr>
            <w:tcW w:w="0" w:type="auto"/>
            <w:vAlign w:val="center"/>
            <w:hideMark/>
          </w:tcPr>
          <w:p w14:paraId="42E7A7B4"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b/>
                <w:bCs/>
              </w:rPr>
              <w:t>Static/Dynamic</w:t>
            </w:r>
          </w:p>
        </w:tc>
        <w:tc>
          <w:tcPr>
            <w:tcW w:w="0" w:type="auto"/>
            <w:vAlign w:val="center"/>
            <w:hideMark/>
          </w:tcPr>
          <w:p w14:paraId="4C196EF2"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Vitreous</w:t>
            </w:r>
          </w:p>
        </w:tc>
        <w:tc>
          <w:tcPr>
            <w:tcW w:w="0" w:type="auto"/>
            <w:vAlign w:val="center"/>
            <w:hideMark/>
          </w:tcPr>
          <w:p w14:paraId="06C2097E"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Gel structure + electrostatic interactions</w:t>
            </w:r>
          </w:p>
        </w:tc>
        <w:tc>
          <w:tcPr>
            <w:tcW w:w="0" w:type="auto"/>
            <w:vAlign w:val="center"/>
            <w:hideMark/>
          </w:tcPr>
          <w:p w14:paraId="5CF2D680" w14:textId="77777777" w:rsidR="00C36063" w:rsidRPr="00C36063" w:rsidRDefault="00C36063" w:rsidP="00C36063">
            <w:pPr>
              <w:spacing w:after="160" w:line="278" w:lineRule="auto"/>
              <w:jc w:val="center"/>
              <w:rPr>
                <w:rFonts w:ascii="Times New Roman" w:hAnsi="Times New Roman" w:cs="Times New Roman"/>
              </w:rPr>
            </w:pPr>
            <w:r w:rsidRPr="00C36063">
              <w:rPr>
                <w:rFonts w:ascii="Times New Roman" w:hAnsi="Times New Roman" w:cs="Times New Roman"/>
              </w:rPr>
              <w:t>Particle diffusion depends on size/charge</w:t>
            </w:r>
          </w:p>
        </w:tc>
      </w:tr>
    </w:tbl>
    <w:p w14:paraId="162E937B" w14:textId="77777777" w:rsidR="00C36063" w:rsidRDefault="00C36063" w:rsidP="00702417">
      <w:pPr>
        <w:jc w:val="both"/>
        <w:rPr>
          <w:rFonts w:ascii="Times New Roman" w:hAnsi="Times New Roman" w:cs="Times New Roman"/>
        </w:rPr>
      </w:pPr>
    </w:p>
    <w:p w14:paraId="4F04E677" w14:textId="77777777" w:rsidR="00C36063" w:rsidRDefault="00C36063" w:rsidP="00702417">
      <w:pPr>
        <w:jc w:val="both"/>
        <w:rPr>
          <w:rFonts w:ascii="Times New Roman" w:hAnsi="Times New Roman" w:cs="Times New Roman"/>
        </w:rPr>
      </w:pPr>
    </w:p>
    <w:p w14:paraId="4A7D6D31" w14:textId="28C35382"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03. CONVENTIONAL OCULAR DRUG DELIVERY SYSTEMS &amp; THEIR LIMITATIONS </w:t>
      </w:r>
    </w:p>
    <w:p w14:paraId="48D2BF40"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3.1 Eye drops (solutions, suspensions, emulsions)</w:t>
      </w:r>
    </w:p>
    <w:p w14:paraId="57FFDAE8" w14:textId="77777777" w:rsidR="00C36063" w:rsidRPr="00C36063" w:rsidRDefault="00C36063" w:rsidP="00C36063">
      <w:pPr>
        <w:jc w:val="both"/>
        <w:rPr>
          <w:rFonts w:ascii="Times New Roman" w:hAnsi="Times New Roman" w:cs="Times New Roman"/>
        </w:rPr>
      </w:pPr>
      <w:r w:rsidRPr="00C36063">
        <w:rPr>
          <w:rFonts w:ascii="Times New Roman" w:hAnsi="Times New Roman" w:cs="Times New Roman"/>
        </w:rPr>
        <w:t>Conventional eye drops remain the dominant dosage form in ophthalmology because they are inexpensive, portable, non-invasive, and straightforward for self-administration. In practice, drops are formulated mainly as aqueous solutions, suspensions, or emulsions, depending on drug solubility and stability requirements. However, even when patient technique is optimal, topical drops typically suffer from very low ocular bioavailability because most of the instilled dose is rapidly removed by tear turnover, blinking, and nasolacrimal drainage before meaningful corneal uptake occurs. As a result, topical exposure is often short-lived and variable, which explains the frequent-dosing schedules used for many chronic therapies. [21,22]</w:t>
      </w:r>
    </w:p>
    <w:p w14:paraId="0D7DDC43" w14:textId="255D4B72" w:rsidR="00C36063" w:rsidRDefault="00C36063" w:rsidP="00C36063">
      <w:pPr>
        <w:jc w:val="both"/>
        <w:rPr>
          <w:rFonts w:ascii="Times New Roman" w:hAnsi="Times New Roman" w:cs="Times New Roman"/>
        </w:rPr>
      </w:pPr>
      <w:r w:rsidRPr="00C36063">
        <w:rPr>
          <w:rFonts w:ascii="Times New Roman" w:hAnsi="Times New Roman" w:cs="Times New Roman"/>
        </w:rPr>
        <w:t>Solutions are generally preferred when feasible because they offer dose uniformity, ease of manufacturing, and good tolerability</w:t>
      </w:r>
      <w:r>
        <w:rPr>
          <w:rFonts w:ascii="Times New Roman" w:hAnsi="Times New Roman" w:cs="Times New Roman"/>
        </w:rPr>
        <w:t xml:space="preserve"> </w:t>
      </w:r>
      <w:r w:rsidRPr="00C36063">
        <w:rPr>
          <w:rFonts w:ascii="Times New Roman" w:hAnsi="Times New Roman" w:cs="Times New Roman"/>
        </w:rPr>
        <w:t xml:space="preserve">but many modern drug candidates are poorly water soluble, limiting the practicality of simple solution drops. [23] Suspensions are widely used for hydrophobic drugs; they can, in theory, prolong contact time as particles reside transiently in the conjunctival cul-de-sac and dissolve gradually. In reality, suspensions are formulation-challenging: </w:t>
      </w:r>
      <w:r w:rsidRPr="00C36063">
        <w:rPr>
          <w:rFonts w:ascii="Times New Roman" w:hAnsi="Times New Roman" w:cs="Times New Roman"/>
        </w:rPr>
        <w:lastRenderedPageBreak/>
        <w:t xml:space="preserve">particle size must be controlled (commonly kept below ~10 </w:t>
      </w:r>
      <w:proofErr w:type="spellStart"/>
      <w:r w:rsidRPr="00C36063">
        <w:rPr>
          <w:rFonts w:ascii="Times New Roman" w:hAnsi="Times New Roman" w:cs="Times New Roman"/>
        </w:rPr>
        <w:t>μm</w:t>
      </w:r>
      <w:proofErr w:type="spellEnd"/>
      <w:r w:rsidRPr="00C36063">
        <w:rPr>
          <w:rFonts w:ascii="Times New Roman" w:hAnsi="Times New Roman" w:cs="Times New Roman"/>
        </w:rPr>
        <w:t xml:space="preserve"> for comfort), and inadequate shaking or sedimentation can lead to dose inconsistency and irritation. [23] Emulsions (especially oil-in-water) help keep lipophilic drugs in solution and can reduce some suspension-related variability, but they introduce their own constraints (surfactant selection, droplet-size control, physical stability, and occasional discomfort). [23]</w:t>
      </w:r>
    </w:p>
    <w:p w14:paraId="15A51B88" w14:textId="1D015679"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drawing>
          <wp:inline distT="0" distB="0" distL="0" distR="0" wp14:anchorId="46E33640" wp14:editId="682CFEC4">
            <wp:extent cx="5943600" cy="3241675"/>
            <wp:effectExtent l="0" t="0" r="0" b="0"/>
            <wp:docPr id="13254615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0A2DA58D" w14:textId="47636DA1" w:rsidR="00B3263D" w:rsidRDefault="00B3263D" w:rsidP="00C36063">
      <w:pPr>
        <w:jc w:val="both"/>
        <w:rPr>
          <w:rFonts w:ascii="Times New Roman" w:hAnsi="Times New Roman" w:cs="Times New Roman"/>
        </w:rPr>
      </w:pPr>
      <w:r>
        <w:rPr>
          <w:rFonts w:ascii="Times New Roman" w:hAnsi="Times New Roman" w:cs="Times New Roman"/>
        </w:rPr>
        <w:t xml:space="preserve">Fig No 02 – </w:t>
      </w:r>
      <w:r w:rsidRPr="00B3263D">
        <w:rPr>
          <w:rFonts w:ascii="Times New Roman" w:hAnsi="Times New Roman" w:cs="Times New Roman"/>
        </w:rPr>
        <w:t>Therapeutic Applications and Translational Roadmap for Nano-in-Gel Technologies</w:t>
      </w:r>
    </w:p>
    <w:p w14:paraId="4A8461C7" w14:textId="625E36B4" w:rsidR="00B3263D" w:rsidRPr="00C36063" w:rsidRDefault="00B3263D" w:rsidP="00C36063">
      <w:pPr>
        <w:jc w:val="both"/>
        <w:rPr>
          <w:rFonts w:ascii="Times New Roman" w:hAnsi="Times New Roman" w:cs="Times New Roman"/>
        </w:rPr>
      </w:pPr>
      <w:r w:rsidRPr="00B3263D">
        <w:rPr>
          <w:rFonts w:ascii="Times New Roman" w:hAnsi="Times New Roman" w:cs="Times New Roman"/>
          <w:b/>
          <w:bCs/>
        </w:rPr>
        <w:t xml:space="preserve">Figure </w:t>
      </w:r>
      <w:r>
        <w:rPr>
          <w:rFonts w:ascii="Times New Roman" w:hAnsi="Times New Roman" w:cs="Times New Roman"/>
          <w:b/>
          <w:bCs/>
        </w:rPr>
        <w:t>02</w:t>
      </w:r>
      <w:r w:rsidRPr="00B3263D">
        <w:rPr>
          <w:rFonts w:ascii="Times New Roman" w:hAnsi="Times New Roman" w:cs="Times New Roman"/>
          <w:b/>
          <w:bCs/>
        </w:rPr>
        <w:t>.</w:t>
      </w:r>
      <w:r w:rsidRPr="00B3263D">
        <w:rPr>
          <w:rFonts w:ascii="Times New Roman" w:hAnsi="Times New Roman" w:cs="Times New Roman"/>
        </w:rPr>
        <w:t xml:space="preserve"> </w:t>
      </w:r>
      <w:r w:rsidRPr="00B3263D">
        <w:rPr>
          <w:rFonts w:ascii="Times New Roman" w:hAnsi="Times New Roman" w:cs="Times New Roman"/>
          <w:i/>
          <w:iCs/>
        </w:rPr>
        <w:t xml:space="preserve">Schematic overview of disease application mapping and translational pathway of </w:t>
      </w:r>
      <w:proofErr w:type="spellStart"/>
      <w:r w:rsidRPr="00B3263D">
        <w:rPr>
          <w:rFonts w:ascii="Times New Roman" w:hAnsi="Times New Roman" w:cs="Times New Roman"/>
          <w:i/>
          <w:iCs/>
        </w:rPr>
        <w:t>nano</w:t>
      </w:r>
      <w:proofErr w:type="spellEnd"/>
      <w:r w:rsidRPr="00B3263D">
        <w:rPr>
          <w:rFonts w:ascii="Times New Roman" w:hAnsi="Times New Roman" w:cs="Times New Roman"/>
          <w:i/>
          <w:iCs/>
        </w:rPr>
        <w:t>-in-gel systems. The figure highlights key therapeutic areas (e.g., ocular, cancer, infectious, and inflammatory diseases) alongside stages of development, including formulation design, preclinical evaluation, clinical trials, regulatory approval, and clinical implementation.</w:t>
      </w:r>
    </w:p>
    <w:p w14:paraId="3077B1FC"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3.2 Ointments</w:t>
      </w:r>
    </w:p>
    <w:p w14:paraId="7AF3DA7F" w14:textId="77777777" w:rsidR="00C36063" w:rsidRPr="00C36063" w:rsidRDefault="00C36063" w:rsidP="00C36063">
      <w:pPr>
        <w:jc w:val="both"/>
        <w:rPr>
          <w:rFonts w:ascii="Times New Roman" w:hAnsi="Times New Roman" w:cs="Times New Roman"/>
        </w:rPr>
      </w:pPr>
      <w:r w:rsidRPr="00C36063">
        <w:rPr>
          <w:rFonts w:ascii="Times New Roman" w:hAnsi="Times New Roman" w:cs="Times New Roman"/>
        </w:rPr>
        <w:t>Ophthalmic ointments are semisolid systems (often based on mineral oil/petrolatum-type bases) that can meaningfully increase ocular contact time compared with drops. Reviews note that ointments may extend residence and create a depot effect, which can enhance local exposure for certain drugs. [23] Their major limitation is poor patient acceptability, largely due to blurred vision, greasy sensation, and difficulty applying a consistent dose (a reproducible “ribbon” length). For this reason, ointments are frequently reserved for bedtime use or for specific indications where prolonged surface contact is prioritized over daytime visual clarity. [23]</w:t>
      </w:r>
    </w:p>
    <w:p w14:paraId="7812450D"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3.3 Intravitreal injections (IVT)</w:t>
      </w:r>
    </w:p>
    <w:p w14:paraId="6FEFFAEE" w14:textId="0FE19E61" w:rsidR="00C36063" w:rsidRPr="00C36063" w:rsidRDefault="00C36063" w:rsidP="00C36063">
      <w:pPr>
        <w:jc w:val="both"/>
        <w:rPr>
          <w:rFonts w:ascii="Times New Roman" w:hAnsi="Times New Roman" w:cs="Times New Roman"/>
        </w:rPr>
      </w:pPr>
      <w:r w:rsidRPr="00C36063">
        <w:rPr>
          <w:rFonts w:ascii="Times New Roman" w:hAnsi="Times New Roman" w:cs="Times New Roman"/>
        </w:rPr>
        <w:t>For posterior-segment diseases, intravitreal injection has become a cornerstone of modern therapy because it can achieve high local drug concentrations in the vitreous and retina</w:t>
      </w:r>
      <w:r>
        <w:rPr>
          <w:rFonts w:ascii="Times New Roman" w:hAnsi="Times New Roman" w:cs="Times New Roman"/>
        </w:rPr>
        <w:t xml:space="preserve"> </w:t>
      </w:r>
      <w:r w:rsidRPr="00C36063">
        <w:rPr>
          <w:rFonts w:ascii="Times New Roman" w:hAnsi="Times New Roman" w:cs="Times New Roman"/>
        </w:rPr>
        <w:t xml:space="preserve">levels that topical </w:t>
      </w:r>
      <w:r w:rsidRPr="00C36063">
        <w:rPr>
          <w:rFonts w:ascii="Times New Roman" w:hAnsi="Times New Roman" w:cs="Times New Roman"/>
        </w:rPr>
        <w:lastRenderedPageBreak/>
        <w:t>administration rarely reaches. Intravitreal injections are among the most commonly performed ophthalmic procedures, but their effectiveness comes with clear trade-offs. Even when performed under appropriate aseptic technique, sight-threatening complications can occur, including endophthalmitis and retinal detachment; medication- or procedure-related inflammatory events have also been described. [24]</w:t>
      </w:r>
    </w:p>
    <w:p w14:paraId="647A7C5D" w14:textId="77777777" w:rsidR="00C36063" w:rsidRPr="00C36063" w:rsidRDefault="00C36063" w:rsidP="00C36063">
      <w:pPr>
        <w:jc w:val="both"/>
        <w:rPr>
          <w:rFonts w:ascii="Times New Roman" w:hAnsi="Times New Roman" w:cs="Times New Roman"/>
        </w:rPr>
      </w:pPr>
      <w:r w:rsidRPr="00C36063">
        <w:rPr>
          <w:rFonts w:ascii="Times New Roman" w:hAnsi="Times New Roman" w:cs="Times New Roman"/>
        </w:rPr>
        <w:t>A practical clinical drawback is that many regimens require repeated injections, which increases treatment burden, reduces long-term adherence, and cumulatively raises procedural risk exposure. In addition to infection and detachment, reported adverse outcomes across intravitreal delivery strategies include hemorrhage, intraocular inflammation, and intraocular pressure (IOP) elevation (risk profiles vary by drug class and patient factors). [24,26]</w:t>
      </w:r>
    </w:p>
    <w:p w14:paraId="4A01D806"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3.4 Implants (biodegradable and non-biodegradable)</w:t>
      </w:r>
    </w:p>
    <w:p w14:paraId="43C928A9" w14:textId="1F81CF55" w:rsidR="00C36063" w:rsidRPr="00C36063" w:rsidRDefault="00C36063" w:rsidP="00C36063">
      <w:pPr>
        <w:jc w:val="both"/>
        <w:rPr>
          <w:rFonts w:ascii="Times New Roman" w:hAnsi="Times New Roman" w:cs="Times New Roman"/>
        </w:rPr>
      </w:pPr>
      <w:r w:rsidRPr="00C36063">
        <w:rPr>
          <w:rFonts w:ascii="Times New Roman" w:hAnsi="Times New Roman" w:cs="Times New Roman"/>
        </w:rPr>
        <w:t>Ocular implants were developed to reduce dosing frequency by providing long-acting release (weeks to years) inside or adjacent to ocular compartments. Broadly, implants may be biodegradable (designed to break down in vivo) or non-biodegradable (designed as long-term reservoirs). Material-focused reviews emphasize that non-biodegradable implants can be effective drug depots but may be less attractive clinically because they can require surgical removal at end-of-life and carry procedure-related risks. [25] System-level reviews of intravitreal delivery further discuss that implant-based strategies</w:t>
      </w:r>
      <w:r>
        <w:rPr>
          <w:rFonts w:ascii="Times New Roman" w:hAnsi="Times New Roman" w:cs="Times New Roman"/>
        </w:rPr>
        <w:t xml:space="preserve"> </w:t>
      </w:r>
      <w:r w:rsidRPr="00C36063">
        <w:rPr>
          <w:rFonts w:ascii="Times New Roman" w:hAnsi="Times New Roman" w:cs="Times New Roman"/>
        </w:rPr>
        <w:t>while extending treatment duration</w:t>
      </w:r>
      <w:r>
        <w:rPr>
          <w:rFonts w:ascii="Times New Roman" w:hAnsi="Times New Roman" w:cs="Times New Roman"/>
        </w:rPr>
        <w:t xml:space="preserve"> </w:t>
      </w:r>
      <w:r w:rsidRPr="00C36063">
        <w:rPr>
          <w:rFonts w:ascii="Times New Roman" w:hAnsi="Times New Roman" w:cs="Times New Roman"/>
        </w:rPr>
        <w:t>can be associated with complications such as cataract formation, IOP elevation, hemorrhage, retinal detachment, endophthalmitis, or device-related issues (e.g., dislocation), depending on device type and indication. [26]</w:t>
      </w:r>
    </w:p>
    <w:p w14:paraId="1729A401" w14:textId="77777777"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3.5 Contact lenses (therapeutic/drug-eluting lenses)</w:t>
      </w:r>
    </w:p>
    <w:p w14:paraId="33856E37" w14:textId="77777777" w:rsidR="00C36063" w:rsidRPr="00C36063" w:rsidRDefault="00C36063" w:rsidP="00C36063">
      <w:pPr>
        <w:jc w:val="both"/>
        <w:rPr>
          <w:rFonts w:ascii="Times New Roman" w:hAnsi="Times New Roman" w:cs="Times New Roman"/>
        </w:rPr>
      </w:pPr>
      <w:r w:rsidRPr="00C36063">
        <w:rPr>
          <w:rFonts w:ascii="Times New Roman" w:hAnsi="Times New Roman" w:cs="Times New Roman"/>
        </w:rPr>
        <w:t>Drug-eluting contact lenses represent a compelling conventional-to-transitional platform because they sit directly on the ocular surface and can, in principle, sustain drug release into the tear film for longer durations than a drop. Systematic reviews highlight their potential for improved bioavailability and extended delivery without repeated instillation. [27] However, translation remains limited by challenges in comfort, oxygen permeability, infection risk, patient-to-patient variability, and the technical difficulty of achieving predictable loading and reproducible release kinetics under real-world wear conditions. [27]</w:t>
      </w:r>
    </w:p>
    <w:p w14:paraId="045A7730" w14:textId="607EF51D" w:rsidR="00C36063" w:rsidRPr="00C36063" w:rsidRDefault="00C36063" w:rsidP="00C36063">
      <w:pPr>
        <w:jc w:val="both"/>
        <w:rPr>
          <w:rFonts w:ascii="Times New Roman" w:hAnsi="Times New Roman" w:cs="Times New Roman"/>
          <w:b/>
          <w:bCs/>
        </w:rPr>
      </w:pPr>
      <w:r w:rsidRPr="00C36063">
        <w:rPr>
          <w:rFonts w:ascii="Times New Roman" w:hAnsi="Times New Roman" w:cs="Times New Roman"/>
          <w:b/>
          <w:bCs/>
        </w:rPr>
        <w:t>Table 2. Conventional ocular dosage forms</w:t>
      </w:r>
      <w:r>
        <w:rPr>
          <w:rFonts w:ascii="Times New Roman" w:hAnsi="Times New Roman" w:cs="Times New Roman"/>
          <w:b/>
          <w:bCs/>
        </w:rPr>
        <w:t xml:space="preserve"> </w:t>
      </w:r>
      <w:r w:rsidRPr="00C36063">
        <w:rPr>
          <w:rFonts w:ascii="Times New Roman" w:hAnsi="Times New Roman" w:cs="Times New Roman"/>
          <w:b/>
          <w:bCs/>
        </w:rPr>
        <w:t>advantages, limitations &amp; bioavailability</w:t>
      </w:r>
    </w:p>
    <w:tbl>
      <w:tblPr>
        <w:tblStyle w:val="TableGrid"/>
        <w:tblW w:w="0" w:type="auto"/>
        <w:tblLook w:val="04A0" w:firstRow="1" w:lastRow="0" w:firstColumn="1" w:lastColumn="0" w:noHBand="0" w:noVBand="1"/>
      </w:tblPr>
      <w:tblGrid>
        <w:gridCol w:w="1939"/>
        <w:gridCol w:w="3229"/>
        <w:gridCol w:w="4182"/>
      </w:tblGrid>
      <w:tr w:rsidR="00C36063" w:rsidRPr="00C36063" w14:paraId="680F4AD2" w14:textId="77777777" w:rsidTr="00C36063">
        <w:tc>
          <w:tcPr>
            <w:tcW w:w="0" w:type="auto"/>
            <w:hideMark/>
          </w:tcPr>
          <w:p w14:paraId="1D9B3186" w14:textId="77777777" w:rsidR="00C36063" w:rsidRPr="00C36063" w:rsidRDefault="00C36063" w:rsidP="00C36063">
            <w:pPr>
              <w:spacing w:after="160" w:line="278" w:lineRule="auto"/>
              <w:jc w:val="both"/>
              <w:rPr>
                <w:rFonts w:ascii="Times New Roman" w:hAnsi="Times New Roman" w:cs="Times New Roman"/>
                <w:b/>
                <w:bCs/>
              </w:rPr>
            </w:pPr>
            <w:r w:rsidRPr="00C36063">
              <w:rPr>
                <w:rFonts w:ascii="Times New Roman" w:hAnsi="Times New Roman" w:cs="Times New Roman"/>
                <w:b/>
                <w:bCs/>
              </w:rPr>
              <w:t>Dosage form</w:t>
            </w:r>
          </w:p>
        </w:tc>
        <w:tc>
          <w:tcPr>
            <w:tcW w:w="0" w:type="auto"/>
            <w:hideMark/>
          </w:tcPr>
          <w:p w14:paraId="65C7A749" w14:textId="77777777" w:rsidR="00C36063" w:rsidRPr="00C36063" w:rsidRDefault="00C36063" w:rsidP="00C36063">
            <w:pPr>
              <w:spacing w:after="160" w:line="278" w:lineRule="auto"/>
              <w:jc w:val="both"/>
              <w:rPr>
                <w:rFonts w:ascii="Times New Roman" w:hAnsi="Times New Roman" w:cs="Times New Roman"/>
                <w:b/>
                <w:bCs/>
              </w:rPr>
            </w:pPr>
            <w:r w:rsidRPr="00C36063">
              <w:rPr>
                <w:rFonts w:ascii="Times New Roman" w:hAnsi="Times New Roman" w:cs="Times New Roman"/>
                <w:b/>
                <w:bCs/>
              </w:rPr>
              <w:t>Typical ocular bioavailability (general)</w:t>
            </w:r>
          </w:p>
        </w:tc>
        <w:tc>
          <w:tcPr>
            <w:tcW w:w="0" w:type="auto"/>
            <w:hideMark/>
          </w:tcPr>
          <w:p w14:paraId="376991E8" w14:textId="77777777" w:rsidR="00C36063" w:rsidRPr="00C36063" w:rsidRDefault="00C36063" w:rsidP="00C36063">
            <w:pPr>
              <w:spacing w:after="160" w:line="278" w:lineRule="auto"/>
              <w:jc w:val="both"/>
              <w:rPr>
                <w:rFonts w:ascii="Times New Roman" w:hAnsi="Times New Roman" w:cs="Times New Roman"/>
                <w:b/>
                <w:bCs/>
              </w:rPr>
            </w:pPr>
            <w:r w:rsidRPr="00C36063">
              <w:rPr>
                <w:rFonts w:ascii="Times New Roman" w:hAnsi="Times New Roman" w:cs="Times New Roman"/>
                <w:b/>
                <w:bCs/>
              </w:rPr>
              <w:t>Key limitation</w:t>
            </w:r>
          </w:p>
        </w:tc>
      </w:tr>
      <w:tr w:rsidR="00C36063" w:rsidRPr="00C36063" w14:paraId="7CE6BE87" w14:textId="77777777" w:rsidTr="00C36063">
        <w:tc>
          <w:tcPr>
            <w:tcW w:w="0" w:type="auto"/>
            <w:hideMark/>
          </w:tcPr>
          <w:p w14:paraId="2DB63674"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Eye drops (solutions)</w:t>
            </w:r>
          </w:p>
        </w:tc>
        <w:tc>
          <w:tcPr>
            <w:tcW w:w="0" w:type="auto"/>
            <w:hideMark/>
          </w:tcPr>
          <w:p w14:paraId="4253C3A7"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Often &lt;5% of instilled dose</w:t>
            </w:r>
          </w:p>
        </w:tc>
        <w:tc>
          <w:tcPr>
            <w:tcW w:w="0" w:type="auto"/>
            <w:hideMark/>
          </w:tcPr>
          <w:p w14:paraId="2285AA66"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Rapid precorneal drainage and short residence time</w:t>
            </w:r>
          </w:p>
        </w:tc>
      </w:tr>
      <w:tr w:rsidR="00C36063" w:rsidRPr="00C36063" w14:paraId="20EB6783" w14:textId="77777777" w:rsidTr="00C36063">
        <w:tc>
          <w:tcPr>
            <w:tcW w:w="0" w:type="auto"/>
            <w:hideMark/>
          </w:tcPr>
          <w:p w14:paraId="3B283914"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lastRenderedPageBreak/>
              <w:t>Suspensions</w:t>
            </w:r>
          </w:p>
        </w:tc>
        <w:tc>
          <w:tcPr>
            <w:tcW w:w="0" w:type="auto"/>
            <w:hideMark/>
          </w:tcPr>
          <w:p w14:paraId="11228DCF"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Variable (often low; depends on particle size/dissolution)</w:t>
            </w:r>
          </w:p>
        </w:tc>
        <w:tc>
          <w:tcPr>
            <w:tcW w:w="0" w:type="auto"/>
            <w:hideMark/>
          </w:tcPr>
          <w:p w14:paraId="75A6F3FF"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Dose non-uniformity, need for shaking, irritation risk</w:t>
            </w:r>
          </w:p>
        </w:tc>
      </w:tr>
      <w:tr w:rsidR="00C36063" w:rsidRPr="00C36063" w14:paraId="5AA93F78" w14:textId="77777777" w:rsidTr="00C36063">
        <w:tc>
          <w:tcPr>
            <w:tcW w:w="0" w:type="auto"/>
            <w:hideMark/>
          </w:tcPr>
          <w:p w14:paraId="01EED965"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Emulsions</w:t>
            </w:r>
          </w:p>
        </w:tc>
        <w:tc>
          <w:tcPr>
            <w:tcW w:w="0" w:type="auto"/>
            <w:hideMark/>
          </w:tcPr>
          <w:p w14:paraId="4316B223"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Variable</w:t>
            </w:r>
          </w:p>
        </w:tc>
        <w:tc>
          <w:tcPr>
            <w:tcW w:w="0" w:type="auto"/>
            <w:hideMark/>
          </w:tcPr>
          <w:p w14:paraId="58BCB644"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Physical stability/surfactant tolerability; formulation complexity</w:t>
            </w:r>
          </w:p>
        </w:tc>
      </w:tr>
      <w:tr w:rsidR="00C36063" w:rsidRPr="00C36063" w14:paraId="7EDFC416" w14:textId="77777777" w:rsidTr="00C36063">
        <w:tc>
          <w:tcPr>
            <w:tcW w:w="0" w:type="auto"/>
            <w:hideMark/>
          </w:tcPr>
          <w:p w14:paraId="29F4C699"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Ointments</w:t>
            </w:r>
          </w:p>
        </w:tc>
        <w:tc>
          <w:tcPr>
            <w:tcW w:w="0" w:type="auto"/>
            <w:hideMark/>
          </w:tcPr>
          <w:p w14:paraId="2E73938E"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Slightly higher surface residence than drops</w:t>
            </w:r>
          </w:p>
        </w:tc>
        <w:tc>
          <w:tcPr>
            <w:tcW w:w="0" w:type="auto"/>
            <w:hideMark/>
          </w:tcPr>
          <w:p w14:paraId="22F07C5D"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Blurred vision, discomfort, dosing variability</w:t>
            </w:r>
          </w:p>
        </w:tc>
      </w:tr>
      <w:tr w:rsidR="00C36063" w:rsidRPr="00C36063" w14:paraId="390039FB" w14:textId="77777777" w:rsidTr="00C36063">
        <w:tc>
          <w:tcPr>
            <w:tcW w:w="0" w:type="auto"/>
            <w:hideMark/>
          </w:tcPr>
          <w:p w14:paraId="69728B0F"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Intravitreal injections</w:t>
            </w:r>
          </w:p>
        </w:tc>
        <w:tc>
          <w:tcPr>
            <w:tcW w:w="0" w:type="auto"/>
            <w:hideMark/>
          </w:tcPr>
          <w:p w14:paraId="6A4D9D15"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High (local)</w:t>
            </w:r>
          </w:p>
        </w:tc>
        <w:tc>
          <w:tcPr>
            <w:tcW w:w="0" w:type="auto"/>
            <w:hideMark/>
          </w:tcPr>
          <w:p w14:paraId="3E901847"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Invasive; risk of endophthalmitis/retinal detachment; repeat-visit burden</w:t>
            </w:r>
          </w:p>
        </w:tc>
      </w:tr>
      <w:tr w:rsidR="00C36063" w:rsidRPr="00C36063" w14:paraId="74C5115B" w14:textId="77777777" w:rsidTr="00C36063">
        <w:tc>
          <w:tcPr>
            <w:tcW w:w="0" w:type="auto"/>
            <w:hideMark/>
          </w:tcPr>
          <w:p w14:paraId="58BD1205"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Implants</w:t>
            </w:r>
          </w:p>
        </w:tc>
        <w:tc>
          <w:tcPr>
            <w:tcW w:w="0" w:type="auto"/>
            <w:hideMark/>
          </w:tcPr>
          <w:p w14:paraId="686940BA"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Sustained (weeks–years)</w:t>
            </w:r>
          </w:p>
        </w:tc>
        <w:tc>
          <w:tcPr>
            <w:tcW w:w="0" w:type="auto"/>
            <w:hideMark/>
          </w:tcPr>
          <w:p w14:paraId="28E50387"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Surgical/injectable procedure; device-related and steroid-related risks</w:t>
            </w:r>
          </w:p>
        </w:tc>
      </w:tr>
      <w:tr w:rsidR="00C36063" w:rsidRPr="00C36063" w14:paraId="3CCB3F95" w14:textId="77777777" w:rsidTr="00C36063">
        <w:tc>
          <w:tcPr>
            <w:tcW w:w="0" w:type="auto"/>
            <w:hideMark/>
          </w:tcPr>
          <w:p w14:paraId="4737BC8E"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Drug-eluting contact lenses</w:t>
            </w:r>
          </w:p>
        </w:tc>
        <w:tc>
          <w:tcPr>
            <w:tcW w:w="0" w:type="auto"/>
            <w:hideMark/>
          </w:tcPr>
          <w:p w14:paraId="40496E06"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Potentially improved vs drops (depends on design)</w:t>
            </w:r>
          </w:p>
        </w:tc>
        <w:tc>
          <w:tcPr>
            <w:tcW w:w="0" w:type="auto"/>
            <w:hideMark/>
          </w:tcPr>
          <w:p w14:paraId="5C0EBF3C" w14:textId="77777777" w:rsidR="00C36063" w:rsidRPr="00C36063" w:rsidRDefault="00C36063" w:rsidP="00C36063">
            <w:pPr>
              <w:spacing w:after="160" w:line="278" w:lineRule="auto"/>
              <w:jc w:val="both"/>
              <w:rPr>
                <w:rFonts w:ascii="Times New Roman" w:hAnsi="Times New Roman" w:cs="Times New Roman"/>
              </w:rPr>
            </w:pPr>
            <w:r w:rsidRPr="00C36063">
              <w:rPr>
                <w:rFonts w:ascii="Times New Roman" w:hAnsi="Times New Roman" w:cs="Times New Roman"/>
              </w:rPr>
              <w:t>Comfort, safety (infection), and reproducible release control</w:t>
            </w:r>
          </w:p>
        </w:tc>
      </w:tr>
    </w:tbl>
    <w:p w14:paraId="44D5D8B9" w14:textId="77777777" w:rsidR="00C36063" w:rsidRDefault="00C36063" w:rsidP="00702417">
      <w:pPr>
        <w:jc w:val="both"/>
        <w:rPr>
          <w:rFonts w:ascii="Times New Roman" w:hAnsi="Times New Roman" w:cs="Times New Roman"/>
        </w:rPr>
      </w:pPr>
    </w:p>
    <w:p w14:paraId="3B1EDAA3" w14:textId="5167B3E0" w:rsidR="00C742DA" w:rsidRPr="00C742DA" w:rsidRDefault="00C742DA" w:rsidP="00C742DA">
      <w:pPr>
        <w:jc w:val="both"/>
        <w:rPr>
          <w:rFonts w:ascii="Times New Roman" w:hAnsi="Times New Roman" w:cs="Times New Roman"/>
          <w:b/>
          <w:bCs/>
        </w:rPr>
      </w:pPr>
      <w:r>
        <w:rPr>
          <w:rFonts w:ascii="Times New Roman" w:hAnsi="Times New Roman" w:cs="Times New Roman"/>
          <w:b/>
          <w:bCs/>
        </w:rPr>
        <w:t>04</w:t>
      </w:r>
      <w:r w:rsidRPr="00C742DA">
        <w:rPr>
          <w:rFonts w:ascii="Times New Roman" w:hAnsi="Times New Roman" w:cs="Times New Roman"/>
          <w:b/>
          <w:bCs/>
        </w:rPr>
        <w:t xml:space="preserve">. IN SITU GEL SYSTEMS </w:t>
      </w:r>
      <w:r w:rsidR="0037244D">
        <w:rPr>
          <w:rFonts w:ascii="Times New Roman" w:hAnsi="Times New Roman" w:cs="Times New Roman"/>
          <w:b/>
          <w:bCs/>
        </w:rPr>
        <w:t xml:space="preserve"> </w:t>
      </w:r>
      <w:r w:rsidRPr="00C742DA">
        <w:rPr>
          <w:rFonts w:ascii="Times New Roman" w:hAnsi="Times New Roman" w:cs="Times New Roman"/>
          <w:b/>
          <w:bCs/>
        </w:rPr>
        <w:t xml:space="preserve"> CONCEPT, MECHANISMS &amp; POLYMERS</w:t>
      </w:r>
    </w:p>
    <w:p w14:paraId="29B668B9" w14:textId="08FCE6D2"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.1 Concept and rationale</w:t>
      </w:r>
    </w:p>
    <w:p w14:paraId="55DC3BF3" w14:textId="26C99142" w:rsidR="00C742DA" w:rsidRPr="00C742DA" w:rsidRDefault="00C742DA" w:rsidP="00C742DA">
      <w:pPr>
        <w:jc w:val="both"/>
        <w:rPr>
          <w:rFonts w:ascii="Times New Roman" w:hAnsi="Times New Roman" w:cs="Times New Roman"/>
        </w:rPr>
      </w:pPr>
      <w:r w:rsidRPr="00C742DA">
        <w:rPr>
          <w:rFonts w:ascii="Times New Roman" w:hAnsi="Times New Roman" w:cs="Times New Roman"/>
        </w:rPr>
        <w:t>Ophthalmic in situ gels are formulations instilled as low-viscosity liquids (sols) that transform into a gel depot on the ocular surface after administration. The core idea is simple: dosing remains as convenient as an eye drop, but once the formulation encounters ocular conditions (temperature, tear pH, and/or tear ions), it thickens into a structured gel that resists immediate removal. This approach has been widely reviewed as a practical strategy to address one of the biggest limitations of topical therapy</w:t>
      </w:r>
      <w:r w:rsidR="0037244D">
        <w:rPr>
          <w:rFonts w:ascii="Times New Roman" w:hAnsi="Times New Roman" w:cs="Times New Roman"/>
        </w:rPr>
        <w:t xml:space="preserve"> </w:t>
      </w:r>
      <w:r w:rsidRPr="00C742DA">
        <w:rPr>
          <w:rFonts w:ascii="Times New Roman" w:hAnsi="Times New Roman" w:cs="Times New Roman"/>
        </w:rPr>
        <w:t>short precorneal residence time</w:t>
      </w:r>
      <w:r w:rsidR="0037244D">
        <w:rPr>
          <w:rFonts w:ascii="Times New Roman" w:hAnsi="Times New Roman" w:cs="Times New Roman"/>
        </w:rPr>
        <w:t xml:space="preserve"> </w:t>
      </w:r>
      <w:r w:rsidRPr="00C742DA">
        <w:rPr>
          <w:rFonts w:ascii="Times New Roman" w:hAnsi="Times New Roman" w:cs="Times New Roman"/>
        </w:rPr>
        <w:t>thereby supporting more sustained drug exposure and potentially reducing dosing frequency. [28–31] </w:t>
      </w:r>
      <w:r w:rsidR="0037244D" w:rsidRPr="00C742DA">
        <w:rPr>
          <w:rFonts w:ascii="Times New Roman" w:hAnsi="Times New Roman" w:cs="Times New Roman"/>
        </w:rPr>
        <w:t xml:space="preserve"> </w:t>
      </w:r>
    </w:p>
    <w:p w14:paraId="7CF4C2B3" w14:textId="436B4104" w:rsidR="00C742DA" w:rsidRPr="00C742DA" w:rsidRDefault="00C742DA" w:rsidP="00C742DA">
      <w:pPr>
        <w:jc w:val="both"/>
        <w:rPr>
          <w:rFonts w:ascii="Times New Roman" w:hAnsi="Times New Roman" w:cs="Times New Roman"/>
        </w:rPr>
      </w:pPr>
      <w:r w:rsidRPr="00C742DA">
        <w:rPr>
          <w:rFonts w:ascii="Times New Roman" w:hAnsi="Times New Roman" w:cs="Times New Roman"/>
        </w:rPr>
        <w:t>Mechanistically, many in situ gels are built from polymers that undergo reversible phase transitions. In ophthalmic use, the gel must satisfy competing requirements: it should be fluid enough in the bottle and during instillation, then quickly form a gel </w:t>
      </w:r>
      <w:r w:rsidRPr="00C742DA">
        <w:rPr>
          <w:rFonts w:ascii="Times New Roman" w:hAnsi="Times New Roman" w:cs="Times New Roman"/>
          <w:i/>
          <w:iCs/>
        </w:rPr>
        <w:t>in the cul-de-sac</w:t>
      </w:r>
      <w:r w:rsidRPr="00C742DA">
        <w:rPr>
          <w:rFonts w:ascii="Times New Roman" w:hAnsi="Times New Roman" w:cs="Times New Roman"/>
        </w:rPr>
        <w:t>, while still remaining comfortable during blinking. A key concept here is pseudoplastic (shear</w:t>
      </w:r>
      <w:r w:rsidRPr="00C742DA">
        <w:rPr>
          <w:rFonts w:ascii="Times New Roman" w:hAnsi="Times New Roman" w:cs="Times New Roman"/>
        </w:rPr>
        <w:noBreakHyphen/>
        <w:t xml:space="preserve">thinning) behavior: the gel can be relatively viscous at rest (helping retention), yet thin under shear (helping </w:t>
      </w:r>
      <w:proofErr w:type="spellStart"/>
      <w:r w:rsidRPr="00C742DA">
        <w:rPr>
          <w:rFonts w:ascii="Times New Roman" w:hAnsi="Times New Roman" w:cs="Times New Roman"/>
        </w:rPr>
        <w:t>spreadability</w:t>
      </w:r>
      <w:proofErr w:type="spellEnd"/>
      <w:r w:rsidRPr="00C742DA">
        <w:rPr>
          <w:rFonts w:ascii="Times New Roman" w:hAnsi="Times New Roman" w:cs="Times New Roman"/>
        </w:rPr>
        <w:t xml:space="preserve"> and minimizing blink interference). This “high viscosity when still, lower viscosity when moving” profile is repeatedly highlighted in gel-based ocular delivery literature as desirable for patient comfort and performance. [29–31] </w:t>
      </w:r>
      <w:r w:rsidR="0037244D" w:rsidRPr="00C742DA">
        <w:rPr>
          <w:rFonts w:ascii="Times New Roman" w:hAnsi="Times New Roman" w:cs="Times New Roman"/>
        </w:rPr>
        <w:t xml:space="preserve"> </w:t>
      </w:r>
    </w:p>
    <w:p w14:paraId="54DE3CAB" w14:textId="77777777" w:rsidR="00C742DA" w:rsidRPr="00C742DA" w:rsidRDefault="00C742DA" w:rsidP="00C742DA">
      <w:pPr>
        <w:jc w:val="both"/>
        <w:rPr>
          <w:rFonts w:ascii="Times New Roman" w:hAnsi="Times New Roman" w:cs="Times New Roman"/>
        </w:rPr>
      </w:pPr>
      <w:r w:rsidRPr="00C742DA">
        <w:rPr>
          <w:rFonts w:ascii="Times New Roman" w:hAnsi="Times New Roman" w:cs="Times New Roman"/>
        </w:rPr>
        <w:t>From a formulation-design viewpoint, in situ gelling systems are typically justified by four main advantages:</w:t>
      </w:r>
    </w:p>
    <w:p w14:paraId="6CCA5ED5" w14:textId="77777777" w:rsidR="00C742DA" w:rsidRPr="00C742DA" w:rsidRDefault="00C742DA" w:rsidP="00C742DA">
      <w:pPr>
        <w:numPr>
          <w:ilvl w:val="0"/>
          <w:numId w:val="1"/>
        </w:numPr>
        <w:jc w:val="both"/>
        <w:rPr>
          <w:rFonts w:ascii="Times New Roman" w:hAnsi="Times New Roman" w:cs="Times New Roman"/>
        </w:rPr>
      </w:pPr>
      <w:r w:rsidRPr="00C742DA">
        <w:rPr>
          <w:rFonts w:ascii="Times New Roman" w:hAnsi="Times New Roman" w:cs="Times New Roman"/>
          <w:b/>
          <w:bCs/>
        </w:rPr>
        <w:t>Longer residence time</w:t>
      </w:r>
      <w:r w:rsidRPr="00C742DA">
        <w:rPr>
          <w:rFonts w:ascii="Times New Roman" w:hAnsi="Times New Roman" w:cs="Times New Roman"/>
        </w:rPr>
        <w:t> on the ocular surface (less washout),</w:t>
      </w:r>
    </w:p>
    <w:p w14:paraId="2AA5151B" w14:textId="77777777" w:rsidR="00C742DA" w:rsidRPr="00C742DA" w:rsidRDefault="00C742DA" w:rsidP="00C742DA">
      <w:pPr>
        <w:numPr>
          <w:ilvl w:val="0"/>
          <w:numId w:val="1"/>
        </w:numPr>
        <w:jc w:val="both"/>
        <w:rPr>
          <w:rFonts w:ascii="Times New Roman" w:hAnsi="Times New Roman" w:cs="Times New Roman"/>
        </w:rPr>
      </w:pPr>
      <w:r w:rsidRPr="00C742DA">
        <w:rPr>
          <w:rFonts w:ascii="Times New Roman" w:hAnsi="Times New Roman" w:cs="Times New Roman"/>
          <w:b/>
          <w:bCs/>
        </w:rPr>
        <w:lastRenderedPageBreak/>
        <w:t>Sustained/controlled release</w:t>
      </w:r>
      <w:r w:rsidRPr="00C742DA">
        <w:rPr>
          <w:rFonts w:ascii="Times New Roman" w:hAnsi="Times New Roman" w:cs="Times New Roman"/>
        </w:rPr>
        <w:t> (drug remains available longer),</w:t>
      </w:r>
    </w:p>
    <w:p w14:paraId="1A276CE0" w14:textId="77777777" w:rsidR="00C742DA" w:rsidRPr="00C742DA" w:rsidRDefault="00C742DA" w:rsidP="00C742DA">
      <w:pPr>
        <w:numPr>
          <w:ilvl w:val="0"/>
          <w:numId w:val="1"/>
        </w:numPr>
        <w:jc w:val="both"/>
        <w:rPr>
          <w:rFonts w:ascii="Times New Roman" w:hAnsi="Times New Roman" w:cs="Times New Roman"/>
        </w:rPr>
      </w:pPr>
      <w:r w:rsidRPr="00C742DA">
        <w:rPr>
          <w:rFonts w:ascii="Times New Roman" w:hAnsi="Times New Roman" w:cs="Times New Roman"/>
          <w:b/>
          <w:bCs/>
        </w:rPr>
        <w:t>Improved ocular bioavailability</w:t>
      </w:r>
      <w:r w:rsidRPr="00C742DA">
        <w:rPr>
          <w:rFonts w:ascii="Times New Roman" w:hAnsi="Times New Roman" w:cs="Times New Roman"/>
        </w:rPr>
        <w:t> compared with simple drops (more time to permeate), and</w:t>
      </w:r>
    </w:p>
    <w:p w14:paraId="75888C76" w14:textId="77777777" w:rsidR="00C742DA" w:rsidRPr="00C742DA" w:rsidRDefault="00C742DA" w:rsidP="00C742DA">
      <w:pPr>
        <w:numPr>
          <w:ilvl w:val="0"/>
          <w:numId w:val="1"/>
        </w:numPr>
        <w:jc w:val="both"/>
        <w:rPr>
          <w:rFonts w:ascii="Times New Roman" w:hAnsi="Times New Roman" w:cs="Times New Roman"/>
        </w:rPr>
      </w:pPr>
      <w:r w:rsidRPr="00C742DA">
        <w:rPr>
          <w:rFonts w:ascii="Times New Roman" w:hAnsi="Times New Roman" w:cs="Times New Roman"/>
          <w:b/>
          <w:bCs/>
        </w:rPr>
        <w:t>Better adherence and convenience</w:t>
      </w:r>
      <w:r w:rsidRPr="00C742DA">
        <w:rPr>
          <w:rFonts w:ascii="Times New Roman" w:hAnsi="Times New Roman" w:cs="Times New Roman"/>
        </w:rPr>
        <w:t> (reduced dosing frequency supports compliance). [28,30] </w:t>
      </w:r>
      <w:hyperlink r:id="rId9" w:tgtFrame="_blank" w:history="1">
        <w:r w:rsidRPr="00C742DA">
          <w:rPr>
            <w:rStyle w:val="Hyperlink"/>
            <w:rFonts w:ascii="Times New Roman" w:hAnsi="Times New Roman" w:cs="Times New Roman"/>
          </w:rPr>
          <w:t>1</w:t>
        </w:r>
      </w:hyperlink>
    </w:p>
    <w:p w14:paraId="0E6AC72B" w14:textId="09E12EB3" w:rsidR="00C742DA" w:rsidRDefault="00C742DA" w:rsidP="00C742DA">
      <w:pPr>
        <w:jc w:val="both"/>
        <w:rPr>
          <w:rFonts w:ascii="Times New Roman" w:hAnsi="Times New Roman" w:cs="Times New Roman"/>
        </w:rPr>
      </w:pPr>
      <w:r w:rsidRPr="00C742DA">
        <w:rPr>
          <w:rFonts w:ascii="Times New Roman" w:hAnsi="Times New Roman" w:cs="Times New Roman"/>
        </w:rPr>
        <w:t>Finally, these systems also create a </w:t>
      </w:r>
      <w:r w:rsidRPr="00C742DA">
        <w:rPr>
          <w:rFonts w:ascii="Times New Roman" w:hAnsi="Times New Roman" w:cs="Times New Roman"/>
          <w:i/>
          <w:iCs/>
        </w:rPr>
        <w:t>platform</w:t>
      </w:r>
      <w:r w:rsidRPr="00C742DA">
        <w:rPr>
          <w:rFonts w:ascii="Times New Roman" w:hAnsi="Times New Roman" w:cs="Times New Roman"/>
        </w:rPr>
        <w:t> for combination strategies</w:t>
      </w:r>
      <w:r w:rsidR="0037244D">
        <w:rPr>
          <w:rFonts w:ascii="Times New Roman" w:hAnsi="Times New Roman" w:cs="Times New Roman"/>
        </w:rPr>
        <w:t xml:space="preserve"> </w:t>
      </w:r>
      <w:r w:rsidRPr="00C742DA">
        <w:rPr>
          <w:rFonts w:ascii="Times New Roman" w:hAnsi="Times New Roman" w:cs="Times New Roman"/>
        </w:rPr>
        <w:t xml:space="preserve">e.g., loading drug in nanoparticles and then dispersing those nanoparticles into an </w:t>
      </w:r>
      <w:proofErr w:type="gramStart"/>
      <w:r w:rsidRPr="00C742DA">
        <w:rPr>
          <w:rFonts w:ascii="Times New Roman" w:hAnsi="Times New Roman" w:cs="Times New Roman"/>
        </w:rPr>
        <w:t>in situ</w:t>
      </w:r>
      <w:proofErr w:type="gramEnd"/>
      <w:r w:rsidRPr="00C742DA">
        <w:rPr>
          <w:rFonts w:ascii="Times New Roman" w:hAnsi="Times New Roman" w:cs="Times New Roman"/>
        </w:rPr>
        <w:t xml:space="preserve"> gel vehicle. Several reviews explicitly note that in situ gels can act as carriers for drug-loaded </w:t>
      </w:r>
      <w:proofErr w:type="spellStart"/>
      <w:r w:rsidRPr="00C742DA">
        <w:rPr>
          <w:rFonts w:ascii="Times New Roman" w:hAnsi="Times New Roman" w:cs="Times New Roman"/>
        </w:rPr>
        <w:t>nano</w:t>
      </w:r>
      <w:proofErr w:type="spellEnd"/>
      <w:r w:rsidRPr="00C742DA">
        <w:rPr>
          <w:rFonts w:ascii="Times New Roman" w:hAnsi="Times New Roman" w:cs="Times New Roman"/>
        </w:rPr>
        <w:t>/microparticles, which is directly relevant to “nanoparticle-laden smart hydrogels” discussed later in your review. [31,32] </w:t>
      </w:r>
      <w:r w:rsidR="0037244D" w:rsidRPr="00C742DA">
        <w:rPr>
          <w:rFonts w:ascii="Times New Roman" w:hAnsi="Times New Roman" w:cs="Times New Roman"/>
        </w:rPr>
        <w:t xml:space="preserve"> </w:t>
      </w:r>
    </w:p>
    <w:p w14:paraId="0D6A0ABE" w14:textId="76EA35C4"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drawing>
          <wp:inline distT="0" distB="0" distL="0" distR="0" wp14:anchorId="549FB184" wp14:editId="45B2672D">
            <wp:extent cx="5943600" cy="3126740"/>
            <wp:effectExtent l="19050" t="19050" r="19050" b="16510"/>
            <wp:docPr id="16540608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43"/>
                    <a:stretch>
                      <a:fillRect/>
                    </a:stretch>
                  </pic:blipFill>
                  <pic:spPr bwMode="auto">
                    <a:xfrm>
                      <a:off x="0" y="0"/>
                      <a:ext cx="5943600" cy="3126740"/>
                    </a:xfrm>
                    <a:prstGeom prst="rect">
                      <a:avLst/>
                    </a:prstGeom>
                    <a:ln w="952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CCB22AB" w14:textId="2C0C8B0A" w:rsidR="00B3263D" w:rsidRPr="00B3263D" w:rsidRDefault="00B3263D" w:rsidP="00B3263D">
      <w:pPr>
        <w:jc w:val="both"/>
        <w:rPr>
          <w:rFonts w:ascii="Times New Roman" w:hAnsi="Times New Roman" w:cs="Times New Roman"/>
        </w:rPr>
      </w:pPr>
      <w:r w:rsidRPr="00B3263D">
        <w:rPr>
          <w:rFonts w:ascii="Times New Roman" w:hAnsi="Times New Roman" w:cs="Times New Roman"/>
        </w:rPr>
        <w:t>Fig No 03 -Ocular Anatomy and Barrier Overlay Highlighting Challenges in Topical Drug Delivery</w:t>
      </w:r>
    </w:p>
    <w:p w14:paraId="4E5011D8" w14:textId="3B292C5B" w:rsidR="00B3263D" w:rsidRPr="00C742DA" w:rsidRDefault="00B3263D" w:rsidP="00B3263D">
      <w:pPr>
        <w:jc w:val="both"/>
        <w:rPr>
          <w:rFonts w:ascii="Times New Roman" w:hAnsi="Times New Roman" w:cs="Times New Roman"/>
        </w:rPr>
      </w:pPr>
      <w:r w:rsidRPr="00B3263D">
        <w:rPr>
          <w:rFonts w:ascii="Times New Roman" w:hAnsi="Times New Roman" w:cs="Times New Roman"/>
          <w:b/>
          <w:bCs/>
        </w:rPr>
        <w:t xml:space="preserve">Figure </w:t>
      </w:r>
      <w:r>
        <w:rPr>
          <w:rFonts w:ascii="Times New Roman" w:hAnsi="Times New Roman" w:cs="Times New Roman"/>
          <w:b/>
          <w:bCs/>
        </w:rPr>
        <w:t>03</w:t>
      </w:r>
      <w:r w:rsidRPr="00B3263D">
        <w:rPr>
          <w:rFonts w:ascii="Times New Roman" w:hAnsi="Times New Roman" w:cs="Times New Roman"/>
          <w:b/>
          <w:bCs/>
        </w:rPr>
        <w:t>.</w:t>
      </w:r>
      <w:r w:rsidRPr="00B3263D">
        <w:rPr>
          <w:rFonts w:ascii="Times New Roman" w:hAnsi="Times New Roman" w:cs="Times New Roman"/>
        </w:rPr>
        <w:t xml:space="preserve"> </w:t>
      </w:r>
      <w:r w:rsidRPr="00B3263D">
        <w:rPr>
          <w:rFonts w:ascii="Times New Roman" w:hAnsi="Times New Roman" w:cs="Times New Roman"/>
          <w:i/>
          <w:iCs/>
        </w:rPr>
        <w:t>Schematic representation of ocular anatomy overlaid with key barriers to topical drug delivery. The figure illustrates precorneal factors (tear film turnover, blinking, and nasolacrimal drainage), corneal barriers (epithelium with tight junctions, hydrophilic stroma, and endothelium), and conjunctival/scleral pathways. These combined static and dynamic barriers significantly limit drug residence time and ocular bioavailability.</w:t>
      </w:r>
    </w:p>
    <w:p w14:paraId="31677F29" w14:textId="69AE0693"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 Stimuli-responsive mechanisms of in situ gelation</w:t>
      </w:r>
    </w:p>
    <w:p w14:paraId="6A8606C2" w14:textId="29ACEC54"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In ocular formulations, gelation is most commonly triggered by temperature, pH, and ionic strength, because these stimuli are predictable at the ocular surface and can be exploited without </w:t>
      </w:r>
      <w:r w:rsidRPr="00C742DA">
        <w:rPr>
          <w:rFonts w:ascii="Times New Roman" w:hAnsi="Times New Roman" w:cs="Times New Roman"/>
        </w:rPr>
        <w:lastRenderedPageBreak/>
        <w:t>external devices. The triggers can be used individually or combined to fine-tune gelation speed, gel strength, and stability. [28,30,33] </w:t>
      </w:r>
      <w:r w:rsidR="0037244D" w:rsidRPr="00C742DA">
        <w:rPr>
          <w:rFonts w:ascii="Times New Roman" w:hAnsi="Times New Roman" w:cs="Times New Roman"/>
        </w:rPr>
        <w:t xml:space="preserve"> </w:t>
      </w:r>
    </w:p>
    <w:p w14:paraId="32BE2987" w14:textId="17ECCD80"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.2.1 Temperature-triggered (</w:t>
      </w:r>
      <w:proofErr w:type="spellStart"/>
      <w:r w:rsidRPr="00C742DA">
        <w:rPr>
          <w:rFonts w:ascii="Times New Roman" w:hAnsi="Times New Roman" w:cs="Times New Roman"/>
          <w:b/>
          <w:bCs/>
        </w:rPr>
        <w:t>thermoresponsive</w:t>
      </w:r>
      <w:proofErr w:type="spellEnd"/>
      <w:r w:rsidRPr="00C742DA">
        <w:rPr>
          <w:rFonts w:ascii="Times New Roman" w:hAnsi="Times New Roman" w:cs="Times New Roman"/>
          <w:b/>
          <w:bCs/>
        </w:rPr>
        <w:t>) systems</w:t>
      </w:r>
    </w:p>
    <w:p w14:paraId="444BECD8" w14:textId="30023BDB" w:rsidR="00C742DA" w:rsidRPr="00C742DA" w:rsidRDefault="00C742DA" w:rsidP="00C742DA">
      <w:pPr>
        <w:jc w:val="both"/>
        <w:rPr>
          <w:rFonts w:ascii="Times New Roman" w:hAnsi="Times New Roman" w:cs="Times New Roman"/>
        </w:rPr>
      </w:pPr>
      <w:proofErr w:type="spellStart"/>
      <w:r w:rsidRPr="00C742DA">
        <w:rPr>
          <w:rFonts w:ascii="Times New Roman" w:hAnsi="Times New Roman" w:cs="Times New Roman"/>
        </w:rPr>
        <w:t>Thermoresponsive</w:t>
      </w:r>
      <w:proofErr w:type="spellEnd"/>
      <w:r w:rsidRPr="00C742DA">
        <w:rPr>
          <w:rFonts w:ascii="Times New Roman" w:hAnsi="Times New Roman" w:cs="Times New Roman"/>
        </w:rPr>
        <w:t xml:space="preserve"> in situ gels are designed so that the formulation is a free-flowing solution at room temperature but forms a gel near ocular surface temperature. In many systems, the transition is discussed in terms of an LCST-type behavior: below a threshold temperature the polymer chains remain hydrated and more soluble; above it, hydrophobic interactions strengthen, polymer chains collapse or reorganize, and gel structure develops. [33,43] </w:t>
      </w:r>
      <w:r w:rsidR="0037244D" w:rsidRPr="00C742DA">
        <w:rPr>
          <w:rFonts w:ascii="Times New Roman" w:hAnsi="Times New Roman" w:cs="Times New Roman"/>
        </w:rPr>
        <w:t xml:space="preserve"> </w:t>
      </w:r>
    </w:p>
    <w:p w14:paraId="2FC9FB47" w14:textId="768E5F4B"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Poloxamers (especially Poloxamer 407/F127, often blended with Poloxamer 188) are among the best-known </w:t>
      </w:r>
      <w:proofErr w:type="spellStart"/>
      <w:r w:rsidRPr="00C742DA">
        <w:rPr>
          <w:rFonts w:ascii="Times New Roman" w:hAnsi="Times New Roman" w:cs="Times New Roman"/>
        </w:rPr>
        <w:t>thermogelling</w:t>
      </w:r>
      <w:proofErr w:type="spellEnd"/>
      <w:r w:rsidRPr="00C742DA">
        <w:rPr>
          <w:rFonts w:ascii="Times New Roman" w:hAnsi="Times New Roman" w:cs="Times New Roman"/>
        </w:rPr>
        <w:t xml:space="preserve"> excipients in </w:t>
      </w:r>
      <w:proofErr w:type="spellStart"/>
      <w:r w:rsidRPr="00C742DA">
        <w:rPr>
          <w:rFonts w:ascii="Times New Roman" w:hAnsi="Times New Roman" w:cs="Times New Roman"/>
        </w:rPr>
        <w:t>ophthalmics</w:t>
      </w:r>
      <w:proofErr w:type="spellEnd"/>
      <w:r w:rsidRPr="00C742DA">
        <w:rPr>
          <w:rFonts w:ascii="Times New Roman" w:hAnsi="Times New Roman" w:cs="Times New Roman"/>
        </w:rPr>
        <w:t xml:space="preserve">. A practical way to understand poloxamer gelation is micelle formation and packing: as temperature rises (and concentration is sufficient), polymer self-assembly increases and a </w:t>
      </w:r>
      <w:r w:rsidR="0037244D" w:rsidRPr="00C742DA">
        <w:rPr>
          <w:rFonts w:ascii="Times New Roman" w:hAnsi="Times New Roman" w:cs="Times New Roman"/>
        </w:rPr>
        <w:t>continuous network form</w:t>
      </w:r>
      <w:r w:rsidRPr="00C742DA">
        <w:rPr>
          <w:rFonts w:ascii="Times New Roman" w:hAnsi="Times New Roman" w:cs="Times New Roman"/>
        </w:rPr>
        <w:t>, producing a gel-like structure. The concentration dependence is crucial</w:t>
      </w:r>
      <w:r w:rsidR="0037244D">
        <w:rPr>
          <w:rFonts w:ascii="Times New Roman" w:hAnsi="Times New Roman" w:cs="Times New Roman"/>
        </w:rPr>
        <w:t xml:space="preserve"> </w:t>
      </w:r>
      <w:r w:rsidRPr="00C742DA">
        <w:rPr>
          <w:rFonts w:ascii="Times New Roman" w:hAnsi="Times New Roman" w:cs="Times New Roman"/>
        </w:rPr>
        <w:t>classic rheology work showed that increasing poloxamer concentration lowers the sol–gel transition temperature and increases elasticity, but dilution by tears can shift behavior and limit performance if formulation design is not optimized. [33,34] </w:t>
      </w:r>
      <w:r w:rsidR="0037244D" w:rsidRPr="00C742DA">
        <w:rPr>
          <w:rFonts w:ascii="Times New Roman" w:hAnsi="Times New Roman" w:cs="Times New Roman"/>
        </w:rPr>
        <w:t xml:space="preserve"> </w:t>
      </w:r>
    </w:p>
    <w:p w14:paraId="72B9A057" w14:textId="1ECECE90" w:rsidR="00C742DA" w:rsidRPr="00C742DA" w:rsidRDefault="00C742DA" w:rsidP="00C742DA">
      <w:pPr>
        <w:jc w:val="both"/>
        <w:rPr>
          <w:rFonts w:ascii="Times New Roman" w:hAnsi="Times New Roman" w:cs="Times New Roman"/>
        </w:rPr>
      </w:pPr>
      <w:r w:rsidRPr="00C742DA">
        <w:rPr>
          <w:rFonts w:ascii="Times New Roman" w:hAnsi="Times New Roman" w:cs="Times New Roman"/>
        </w:rPr>
        <w:t>Recent mechanistic/formulation studies continue to emphasize that drug and polymer blends (e.g., adding HPMC) can influence gel strength and gelation temperature</w:t>
      </w:r>
      <w:r w:rsidR="0037244D">
        <w:rPr>
          <w:rFonts w:ascii="Times New Roman" w:hAnsi="Times New Roman" w:cs="Times New Roman"/>
        </w:rPr>
        <w:t xml:space="preserve"> </w:t>
      </w:r>
      <w:r w:rsidRPr="00C742DA">
        <w:rPr>
          <w:rFonts w:ascii="Times New Roman" w:hAnsi="Times New Roman" w:cs="Times New Roman"/>
        </w:rPr>
        <w:t>sometimes improving adhesion and slowing gel erosion, which can help sustain release. [29,35] </w:t>
      </w:r>
      <w:r w:rsidR="0037244D" w:rsidRPr="00C742DA">
        <w:rPr>
          <w:rFonts w:ascii="Times New Roman" w:hAnsi="Times New Roman" w:cs="Times New Roman"/>
        </w:rPr>
        <w:t xml:space="preserve"> </w:t>
      </w:r>
    </w:p>
    <w:p w14:paraId="564929BB" w14:textId="1DC9BE1E" w:rsidR="00C742DA" w:rsidRPr="00C742DA" w:rsidRDefault="00C742DA" w:rsidP="00C742DA">
      <w:pPr>
        <w:jc w:val="both"/>
        <w:rPr>
          <w:rFonts w:ascii="Times New Roman" w:hAnsi="Times New Roman" w:cs="Times New Roman"/>
        </w:rPr>
      </w:pPr>
      <w:r w:rsidRPr="00C742DA">
        <w:rPr>
          <w:rFonts w:ascii="Times New Roman" w:hAnsi="Times New Roman" w:cs="Times New Roman"/>
        </w:rPr>
        <w:t>Beyond poloxamers, </w:t>
      </w:r>
      <w:proofErr w:type="spellStart"/>
      <w:r w:rsidRPr="00C742DA">
        <w:rPr>
          <w:rFonts w:ascii="Times New Roman" w:hAnsi="Times New Roman" w:cs="Times New Roman"/>
        </w:rPr>
        <w:t>PNIPAAm</w:t>
      </w:r>
      <w:proofErr w:type="spellEnd"/>
      <w:r w:rsidRPr="00C742DA">
        <w:rPr>
          <w:rFonts w:ascii="Times New Roman" w:hAnsi="Times New Roman" w:cs="Times New Roman"/>
        </w:rPr>
        <w:t xml:space="preserve"> (poly(N-isopropylacrylamide))-based hydrogels are a classic </w:t>
      </w:r>
      <w:proofErr w:type="spellStart"/>
      <w:r w:rsidRPr="00C742DA">
        <w:rPr>
          <w:rFonts w:ascii="Times New Roman" w:hAnsi="Times New Roman" w:cs="Times New Roman"/>
        </w:rPr>
        <w:t>thermoresponsive</w:t>
      </w:r>
      <w:proofErr w:type="spellEnd"/>
      <w:r w:rsidRPr="00C742DA">
        <w:rPr>
          <w:rFonts w:ascii="Times New Roman" w:hAnsi="Times New Roman" w:cs="Times New Roman"/>
        </w:rPr>
        <w:t xml:space="preserve"> class with LCST around the low-30°C range. Posterior-segment oriented work (developed as injectable </w:t>
      </w:r>
      <w:proofErr w:type="spellStart"/>
      <w:r w:rsidRPr="00C742DA">
        <w:rPr>
          <w:rFonts w:ascii="Times New Roman" w:hAnsi="Times New Roman" w:cs="Times New Roman"/>
        </w:rPr>
        <w:t>thermoresponsive</w:t>
      </w:r>
      <w:proofErr w:type="spellEnd"/>
      <w:r w:rsidRPr="00C742DA">
        <w:rPr>
          <w:rFonts w:ascii="Times New Roman" w:hAnsi="Times New Roman" w:cs="Times New Roman"/>
        </w:rPr>
        <w:t xml:space="preserve"> hydrogels) highlights </w:t>
      </w:r>
      <w:proofErr w:type="spellStart"/>
      <w:r w:rsidRPr="00C742DA">
        <w:rPr>
          <w:rFonts w:ascii="Times New Roman" w:hAnsi="Times New Roman" w:cs="Times New Roman"/>
        </w:rPr>
        <w:t>PNIPAAm’s</w:t>
      </w:r>
      <w:proofErr w:type="spellEnd"/>
      <w:r w:rsidRPr="00C742DA">
        <w:rPr>
          <w:rFonts w:ascii="Times New Roman" w:hAnsi="Times New Roman" w:cs="Times New Roman"/>
        </w:rPr>
        <w:t xml:space="preserve"> fast, reversible phase change but also notes design challenges such as incomplete release (residual entrapped protein), motivating material modifications (e.g., </w:t>
      </w:r>
      <w:proofErr w:type="spellStart"/>
      <w:r w:rsidRPr="00C742DA">
        <w:rPr>
          <w:rFonts w:ascii="Times New Roman" w:hAnsi="Times New Roman" w:cs="Times New Roman"/>
        </w:rPr>
        <w:t>macroporous</w:t>
      </w:r>
      <w:proofErr w:type="spellEnd"/>
      <w:r w:rsidRPr="00C742DA">
        <w:rPr>
          <w:rFonts w:ascii="Times New Roman" w:hAnsi="Times New Roman" w:cs="Times New Roman"/>
        </w:rPr>
        <w:t xml:space="preserve"> structures or copolymers). [43] </w:t>
      </w:r>
      <w:r w:rsidR="0037244D" w:rsidRPr="00C742DA">
        <w:rPr>
          <w:rFonts w:ascii="Times New Roman" w:hAnsi="Times New Roman" w:cs="Times New Roman"/>
        </w:rPr>
        <w:t xml:space="preserve"> </w:t>
      </w:r>
    </w:p>
    <w:p w14:paraId="4FD2DC26" w14:textId="0EF91CD1"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A clinically relevant </w:t>
      </w:r>
      <w:proofErr w:type="spellStart"/>
      <w:r w:rsidRPr="00C742DA">
        <w:rPr>
          <w:rFonts w:ascii="Times New Roman" w:hAnsi="Times New Roman" w:cs="Times New Roman"/>
        </w:rPr>
        <w:t>thermogelling</w:t>
      </w:r>
      <w:proofErr w:type="spellEnd"/>
      <w:r w:rsidRPr="00C742DA">
        <w:rPr>
          <w:rFonts w:ascii="Times New Roman" w:hAnsi="Times New Roman" w:cs="Times New Roman"/>
        </w:rPr>
        <w:t xml:space="preserve"> family for longer-acting ocular depots is PLGA</w:t>
      </w:r>
      <w:r w:rsidRPr="00C742DA">
        <w:rPr>
          <w:rFonts w:ascii="Times New Roman" w:hAnsi="Times New Roman" w:cs="Times New Roman"/>
        </w:rPr>
        <w:noBreakHyphen/>
        <w:t>PEG</w:t>
      </w:r>
      <w:r w:rsidRPr="00C742DA">
        <w:rPr>
          <w:rFonts w:ascii="Times New Roman" w:hAnsi="Times New Roman" w:cs="Times New Roman"/>
        </w:rPr>
        <w:noBreakHyphen/>
        <w:t>PLGA. Studies have shown PLGA</w:t>
      </w:r>
      <w:r w:rsidRPr="00C742DA">
        <w:rPr>
          <w:rFonts w:ascii="Times New Roman" w:hAnsi="Times New Roman" w:cs="Times New Roman"/>
        </w:rPr>
        <w:noBreakHyphen/>
        <w:t>PEG</w:t>
      </w:r>
      <w:r w:rsidRPr="00C742DA">
        <w:rPr>
          <w:rFonts w:ascii="Times New Roman" w:hAnsi="Times New Roman" w:cs="Times New Roman"/>
        </w:rPr>
        <w:noBreakHyphen/>
        <w:t>PLGA solutions can gel near ocular temperatures and substantially increase intraocular exposure compared with conventional drops. For example, a PLGA</w:t>
      </w:r>
      <w:r w:rsidRPr="00C742DA">
        <w:rPr>
          <w:rFonts w:ascii="Times New Roman" w:hAnsi="Times New Roman" w:cs="Times New Roman"/>
        </w:rPr>
        <w:noBreakHyphen/>
        <w:t>PEG</w:t>
      </w:r>
      <w:r w:rsidRPr="00C742DA">
        <w:rPr>
          <w:rFonts w:ascii="Times New Roman" w:hAnsi="Times New Roman" w:cs="Times New Roman"/>
        </w:rPr>
        <w:noBreakHyphen/>
        <w:t>PLGA formulation for dexamethasone acetate reported a critical solution temperature close to the ocular surface temperature and markedly higher anterior-chamber exposure than eye drops. [40] Thermosensitive PLGA</w:t>
      </w:r>
      <w:r w:rsidRPr="00C742DA">
        <w:rPr>
          <w:rFonts w:ascii="Times New Roman" w:hAnsi="Times New Roman" w:cs="Times New Roman"/>
        </w:rPr>
        <w:noBreakHyphen/>
        <w:t>PEG</w:t>
      </w:r>
      <w:r w:rsidRPr="00C742DA">
        <w:rPr>
          <w:rFonts w:ascii="Times New Roman" w:hAnsi="Times New Roman" w:cs="Times New Roman"/>
        </w:rPr>
        <w:noBreakHyphen/>
        <w:t>PLGA hydrogels have also been investigated as intravitreal depots for sustained release of biologics such as bevacizumab with reports of in situ gel formation after injection and extended retention/release in vivo. [41] </w:t>
      </w:r>
      <w:r w:rsidR="0037244D" w:rsidRPr="00C742DA">
        <w:rPr>
          <w:rFonts w:ascii="Times New Roman" w:hAnsi="Times New Roman" w:cs="Times New Roman"/>
        </w:rPr>
        <w:t xml:space="preserve"> </w:t>
      </w:r>
    </w:p>
    <w:p w14:paraId="0B3982BC" w14:textId="42DA1ED1"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.2.2 pH-triggered systems</w:t>
      </w:r>
    </w:p>
    <w:p w14:paraId="38591979" w14:textId="54F6785D"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pH-triggered ocular in situ gels are engineered so the product remains a pourable solution at a lower formulation pH but becomes a gel when exposed to tear fluid pH (commonly discussed around pH ~7.4). The molecular driver is typically ionization of acidic/basic pendant groups: as </w:t>
      </w:r>
      <w:r w:rsidRPr="00C742DA">
        <w:rPr>
          <w:rFonts w:ascii="Times New Roman" w:hAnsi="Times New Roman" w:cs="Times New Roman"/>
        </w:rPr>
        <w:lastRenderedPageBreak/>
        <w:t>pH changes, polymer charge increases, electrostatic repulsion expands the network, and viscosity rises sharply. [29,36,38] </w:t>
      </w:r>
      <w:r w:rsidR="0037244D" w:rsidRPr="00C742DA">
        <w:rPr>
          <w:rFonts w:ascii="Times New Roman" w:hAnsi="Times New Roman" w:cs="Times New Roman"/>
        </w:rPr>
        <w:t xml:space="preserve"> </w:t>
      </w:r>
    </w:p>
    <w:p w14:paraId="4D33131E" w14:textId="213C8F86" w:rsidR="00C742DA" w:rsidRPr="00C742DA" w:rsidRDefault="00C742DA" w:rsidP="00C742DA">
      <w:pPr>
        <w:jc w:val="both"/>
        <w:rPr>
          <w:rFonts w:ascii="Times New Roman" w:hAnsi="Times New Roman" w:cs="Times New Roman"/>
        </w:rPr>
      </w:pPr>
      <w:r w:rsidRPr="00C742DA">
        <w:rPr>
          <w:rFonts w:ascii="Times New Roman" w:hAnsi="Times New Roman" w:cs="Times New Roman"/>
          <w:b/>
          <w:bCs/>
        </w:rPr>
        <w:t>Carbopol/Carbomer (</w:t>
      </w:r>
      <w:proofErr w:type="gramStart"/>
      <w:r w:rsidRPr="00C742DA">
        <w:rPr>
          <w:rFonts w:ascii="Times New Roman" w:hAnsi="Times New Roman" w:cs="Times New Roman"/>
          <w:b/>
          <w:bCs/>
        </w:rPr>
        <w:t>poly(</w:t>
      </w:r>
      <w:proofErr w:type="gramEnd"/>
      <w:r w:rsidRPr="00C742DA">
        <w:rPr>
          <w:rFonts w:ascii="Times New Roman" w:hAnsi="Times New Roman" w:cs="Times New Roman"/>
          <w:b/>
          <w:bCs/>
        </w:rPr>
        <w:t>acrylic acid) derivatives)</w:t>
      </w:r>
      <w:r w:rsidRPr="00C742DA">
        <w:rPr>
          <w:rFonts w:ascii="Times New Roman" w:hAnsi="Times New Roman" w:cs="Times New Roman"/>
        </w:rPr>
        <w:t xml:space="preserve"> are the most frequently cited pH-sensitive gelling polymers in </w:t>
      </w:r>
      <w:proofErr w:type="spellStart"/>
      <w:r w:rsidRPr="00C742DA">
        <w:rPr>
          <w:rFonts w:ascii="Times New Roman" w:hAnsi="Times New Roman" w:cs="Times New Roman"/>
        </w:rPr>
        <w:t>ophthalmics</w:t>
      </w:r>
      <w:proofErr w:type="spellEnd"/>
      <w:r w:rsidRPr="00C742DA">
        <w:rPr>
          <w:rFonts w:ascii="Times New Roman" w:hAnsi="Times New Roman" w:cs="Times New Roman"/>
        </w:rPr>
        <w:t>. Because very acidic formulations can irritate before neutralization, carbomers are often blended with viscosity modifiers (e.g., HPMC) to balance comfort, gelation efficiency, and rheology. A representative example is the pH-triggered Carbopol/HPMC dorzolamide system, designed to flow under non-physiological conditions yet gel under physiological conditions (tear pH and ocular temperature), with evaluations including rheology, permeability, and pharmacodynamic IOP lowering. [29,36] </w:t>
      </w:r>
      <w:r w:rsidR="0037244D" w:rsidRPr="00C742DA">
        <w:rPr>
          <w:rFonts w:ascii="Times New Roman" w:hAnsi="Times New Roman" w:cs="Times New Roman"/>
        </w:rPr>
        <w:t xml:space="preserve"> </w:t>
      </w:r>
    </w:p>
    <w:p w14:paraId="3B714FC6" w14:textId="5617D92E"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Other pH-triggered systems include cellulose </w:t>
      </w:r>
      <w:proofErr w:type="spellStart"/>
      <w:r w:rsidRPr="00C742DA">
        <w:rPr>
          <w:rFonts w:ascii="Times New Roman" w:hAnsi="Times New Roman" w:cs="Times New Roman"/>
        </w:rPr>
        <w:t>acetophthalate</w:t>
      </w:r>
      <w:proofErr w:type="spellEnd"/>
      <w:r w:rsidRPr="00C742DA">
        <w:rPr>
          <w:rFonts w:ascii="Times New Roman" w:hAnsi="Times New Roman" w:cs="Times New Roman"/>
        </w:rPr>
        <w:t xml:space="preserve"> (CAP) latex, frequently described as coagulating when pH increases from acidic conditions (around pH ~4–5) to tear </w:t>
      </w:r>
      <w:proofErr w:type="spellStart"/>
      <w:r w:rsidRPr="00C742DA">
        <w:rPr>
          <w:rFonts w:ascii="Times New Roman" w:hAnsi="Times New Roman" w:cs="Times New Roman"/>
        </w:rPr>
        <w:t>pH.</w:t>
      </w:r>
      <w:proofErr w:type="spellEnd"/>
      <w:r w:rsidRPr="00C742DA">
        <w:rPr>
          <w:rFonts w:ascii="Times New Roman" w:hAnsi="Times New Roman" w:cs="Times New Roman"/>
        </w:rPr>
        <w:t xml:space="preserve"> Reviews of nanoparticle-laden and stimulus-responsive ocular gels cite CAP latex alongside carbomers and polycarbophil as classic pH-triggerable choices. [38] </w:t>
      </w:r>
      <w:r w:rsidR="0037244D" w:rsidRPr="00C742DA">
        <w:rPr>
          <w:rFonts w:ascii="Times New Roman" w:hAnsi="Times New Roman" w:cs="Times New Roman"/>
        </w:rPr>
        <w:t xml:space="preserve"> </w:t>
      </w:r>
    </w:p>
    <w:p w14:paraId="1FC12DB0" w14:textId="6FFF5DDF"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.2.3 Ion-activated (ionotropic) systems</w:t>
      </w:r>
    </w:p>
    <w:p w14:paraId="51026BF7" w14:textId="7CC63EFE" w:rsidR="00C742DA" w:rsidRPr="00C742DA" w:rsidRDefault="00C742DA" w:rsidP="00C742DA">
      <w:pPr>
        <w:jc w:val="both"/>
        <w:rPr>
          <w:rFonts w:ascii="Times New Roman" w:hAnsi="Times New Roman" w:cs="Times New Roman"/>
        </w:rPr>
      </w:pPr>
      <w:r w:rsidRPr="00C742DA">
        <w:rPr>
          <w:rFonts w:ascii="Times New Roman" w:hAnsi="Times New Roman" w:cs="Times New Roman"/>
        </w:rPr>
        <w:t>Ion-activated in situ gels are particularly attractive for ocular delivery because tear fluid naturally contains mono- and divalent cations that can trigger gelation without changing pH or temperature. In these systems, the formulation is instilled as a solution; after contact with tears, polymer chains crosslink or reorganize in response to ionic strength, increasing viscosity and forming a gel. [29,39] </w:t>
      </w:r>
      <w:r w:rsidR="0037244D" w:rsidRPr="00C742DA">
        <w:rPr>
          <w:rFonts w:ascii="Times New Roman" w:hAnsi="Times New Roman" w:cs="Times New Roman"/>
        </w:rPr>
        <w:t xml:space="preserve"> </w:t>
      </w:r>
    </w:p>
    <w:p w14:paraId="64F4B0F4" w14:textId="24732F59" w:rsidR="00C742DA" w:rsidRPr="00C742DA" w:rsidRDefault="00C742DA" w:rsidP="00C742DA">
      <w:pPr>
        <w:jc w:val="both"/>
        <w:rPr>
          <w:rFonts w:ascii="Times New Roman" w:hAnsi="Times New Roman" w:cs="Times New Roman"/>
        </w:rPr>
      </w:pPr>
      <w:r w:rsidRPr="00C742DA">
        <w:rPr>
          <w:rFonts w:ascii="Times New Roman" w:hAnsi="Times New Roman" w:cs="Times New Roman"/>
        </w:rPr>
        <w:t>A flagship polymer here is </w:t>
      </w:r>
      <w:proofErr w:type="spellStart"/>
      <w:r w:rsidRPr="00C742DA">
        <w:rPr>
          <w:rFonts w:ascii="Times New Roman" w:hAnsi="Times New Roman" w:cs="Times New Roman"/>
        </w:rPr>
        <w:t>gellan</w:t>
      </w:r>
      <w:proofErr w:type="spellEnd"/>
      <w:r w:rsidRPr="00C742DA">
        <w:rPr>
          <w:rFonts w:ascii="Times New Roman" w:hAnsi="Times New Roman" w:cs="Times New Roman"/>
        </w:rPr>
        <w:t xml:space="preserve"> gum (often referenced by the trade name </w:t>
      </w:r>
      <w:proofErr w:type="spellStart"/>
      <w:r w:rsidRPr="00C742DA">
        <w:rPr>
          <w:rFonts w:ascii="Times New Roman" w:hAnsi="Times New Roman" w:cs="Times New Roman"/>
        </w:rPr>
        <w:t>Gelrite</w:t>
      </w:r>
      <w:proofErr w:type="spellEnd"/>
      <w:r w:rsidRPr="00C742DA">
        <w:rPr>
          <w:rFonts w:ascii="Times New Roman" w:hAnsi="Times New Roman" w:cs="Times New Roman"/>
        </w:rPr>
        <w:t xml:space="preserve">®). </w:t>
      </w:r>
      <w:proofErr w:type="spellStart"/>
      <w:r w:rsidRPr="00C742DA">
        <w:rPr>
          <w:rFonts w:ascii="Times New Roman" w:hAnsi="Times New Roman" w:cs="Times New Roman"/>
        </w:rPr>
        <w:t>Gelrite</w:t>
      </w:r>
      <w:proofErr w:type="spellEnd"/>
      <w:r w:rsidRPr="00C742DA">
        <w:rPr>
          <w:rFonts w:ascii="Times New Roman" w:hAnsi="Times New Roman" w:cs="Times New Roman"/>
        </w:rPr>
        <w:t xml:space="preserve">® is described as a low-acyl </w:t>
      </w:r>
      <w:proofErr w:type="spellStart"/>
      <w:r w:rsidRPr="00C742DA">
        <w:rPr>
          <w:rFonts w:ascii="Times New Roman" w:hAnsi="Times New Roman" w:cs="Times New Roman"/>
        </w:rPr>
        <w:t>gellan</w:t>
      </w:r>
      <w:proofErr w:type="spellEnd"/>
      <w:r w:rsidRPr="00C742DA">
        <w:rPr>
          <w:rFonts w:ascii="Times New Roman" w:hAnsi="Times New Roman" w:cs="Times New Roman"/>
        </w:rPr>
        <w:t xml:space="preserve"> gum that forms transparent gels in the presence of tear ions; gel formation has been linked to prolonged residence and improved ocular exposure for drugs such as timolol, and </w:t>
      </w:r>
      <w:proofErr w:type="spellStart"/>
      <w:r w:rsidRPr="00C742DA">
        <w:rPr>
          <w:rFonts w:ascii="Times New Roman" w:hAnsi="Times New Roman" w:cs="Times New Roman"/>
        </w:rPr>
        <w:t>gellan</w:t>
      </w:r>
      <w:proofErr w:type="spellEnd"/>
      <w:r w:rsidRPr="00C742DA">
        <w:rPr>
          <w:rFonts w:ascii="Times New Roman" w:hAnsi="Times New Roman" w:cs="Times New Roman"/>
        </w:rPr>
        <w:t xml:space="preserve"> systems are repeatedly cited as clinically meaningful examples of ion-triggered gel technology. [29,39] </w:t>
      </w:r>
      <w:r w:rsidR="0037244D" w:rsidRPr="00C742DA">
        <w:rPr>
          <w:rFonts w:ascii="Times New Roman" w:hAnsi="Times New Roman" w:cs="Times New Roman"/>
        </w:rPr>
        <w:t xml:space="preserve"> </w:t>
      </w:r>
    </w:p>
    <w:p w14:paraId="1A3572C2" w14:textId="0D028161" w:rsidR="00C742DA" w:rsidRPr="00C742DA" w:rsidRDefault="00C742DA" w:rsidP="00C742DA">
      <w:pPr>
        <w:jc w:val="both"/>
        <w:rPr>
          <w:rFonts w:ascii="Times New Roman" w:hAnsi="Times New Roman" w:cs="Times New Roman"/>
        </w:rPr>
      </w:pPr>
      <w:r w:rsidRPr="00C742DA">
        <w:rPr>
          <w:rFonts w:ascii="Times New Roman" w:hAnsi="Times New Roman" w:cs="Times New Roman"/>
        </w:rPr>
        <w:t>Other important ion-sensitive polysaccharides include sodium alginate and low-methoxy pectin, both of which can gel in the presence of divalent ions (especially Ca²⁺) through “egg-box” type junctions. Reviews of stimuli-sensitive ophthalmic hydrogels summarize alginate and pectin gelation behavior and discuss how ion-driven gelation can support sustained release while preserving drop-like dosing. [39] </w:t>
      </w:r>
      <w:r w:rsidR="0037244D" w:rsidRPr="00C742DA">
        <w:rPr>
          <w:rFonts w:ascii="Times New Roman" w:hAnsi="Times New Roman" w:cs="Times New Roman"/>
        </w:rPr>
        <w:t xml:space="preserve"> </w:t>
      </w:r>
    </w:p>
    <w:p w14:paraId="0F804875" w14:textId="4F208808"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Modern work continues to optimize ion-activated gels for ocular surface disorders. For instance, a 2025 MDPI study developed ion-sensitive in situ gels using low-acyl </w:t>
      </w:r>
      <w:proofErr w:type="spellStart"/>
      <w:r w:rsidRPr="00C742DA">
        <w:rPr>
          <w:rFonts w:ascii="Times New Roman" w:hAnsi="Times New Roman" w:cs="Times New Roman"/>
        </w:rPr>
        <w:t>gellan</w:t>
      </w:r>
      <w:proofErr w:type="spellEnd"/>
      <w:r w:rsidRPr="00C742DA">
        <w:rPr>
          <w:rFonts w:ascii="Times New Roman" w:hAnsi="Times New Roman" w:cs="Times New Roman"/>
        </w:rPr>
        <w:t xml:space="preserve"> gum, reporting improved tear-film exposure (AUC) and enhanced residence time versus a non-gelling comparator in rabbit studies, consistent with the retention logic of ion-triggered gelation. [44] </w:t>
      </w:r>
      <w:r w:rsidR="0037244D" w:rsidRPr="00C742DA">
        <w:rPr>
          <w:rFonts w:ascii="Times New Roman" w:hAnsi="Times New Roman" w:cs="Times New Roman"/>
        </w:rPr>
        <w:t xml:space="preserve"> </w:t>
      </w:r>
    </w:p>
    <w:p w14:paraId="75BB3DAB" w14:textId="38EBB481"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.2.4 Multi-stimuli responsive systems</w:t>
      </w:r>
    </w:p>
    <w:p w14:paraId="2B39BA90" w14:textId="208EA59D"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In practice, single-trigger systems can be sensitive to dilution, patient-to-patient variability in tears, and the need to keep polymer concentration within comfort limits. Multi-stimuli designs (e.g., </w:t>
      </w:r>
      <w:r w:rsidRPr="00C742DA">
        <w:rPr>
          <w:rFonts w:ascii="Times New Roman" w:hAnsi="Times New Roman" w:cs="Times New Roman"/>
        </w:rPr>
        <w:lastRenderedPageBreak/>
        <w:t>thermo + pH, ion + thermo) help tune gelation to occur reliably </w:t>
      </w:r>
      <w:r w:rsidRPr="00C742DA">
        <w:rPr>
          <w:rFonts w:ascii="Times New Roman" w:hAnsi="Times New Roman" w:cs="Times New Roman"/>
          <w:i/>
          <w:iCs/>
        </w:rPr>
        <w:t>after instillation</w:t>
      </w:r>
      <w:r w:rsidRPr="00C742DA">
        <w:rPr>
          <w:rFonts w:ascii="Times New Roman" w:hAnsi="Times New Roman" w:cs="Times New Roman"/>
        </w:rPr>
        <w:t> while minimizing premature thickening in the bottle. Reviews on in situ gels across administration routes explicitly describe these systems as responsive to multiple endogenous stimuli and highlight the usefulness of polymer combinations and mucoadhesive additives to prolong residence time. [32,33] </w:t>
      </w:r>
      <w:r w:rsidR="0037244D" w:rsidRPr="00C742DA">
        <w:rPr>
          <w:rFonts w:ascii="Times New Roman" w:hAnsi="Times New Roman" w:cs="Times New Roman"/>
        </w:rPr>
        <w:t xml:space="preserve"> </w:t>
      </w:r>
    </w:p>
    <w:p w14:paraId="67992952" w14:textId="66ADCC6B" w:rsidR="00C742DA" w:rsidRPr="00C742DA" w:rsidRDefault="00C742DA" w:rsidP="00C742DA">
      <w:pPr>
        <w:jc w:val="both"/>
        <w:rPr>
          <w:rFonts w:ascii="Times New Roman" w:hAnsi="Times New Roman" w:cs="Times New Roman"/>
        </w:rPr>
      </w:pPr>
      <w:r w:rsidRPr="00C742DA">
        <w:rPr>
          <w:rFonts w:ascii="Times New Roman" w:hAnsi="Times New Roman" w:cs="Times New Roman"/>
        </w:rPr>
        <w:t>A concrete ophthalmic example is dual thermo-/pH-responsive nanocarrier-in-gel systems, reported in the literature as sustained ocular delivery platforms with in vivo evaluation. [45] Similarly, broad ophthalmic in situ gel reviews summarize hybrid systems where polymer blending is used to optimize gelation temperature, gel strength, and release. [31,33] </w:t>
      </w:r>
      <w:r w:rsidR="0037244D" w:rsidRPr="00C742DA">
        <w:rPr>
          <w:rFonts w:ascii="Times New Roman" w:hAnsi="Times New Roman" w:cs="Times New Roman"/>
        </w:rPr>
        <w:t xml:space="preserve"> </w:t>
      </w:r>
    </w:p>
    <w:p w14:paraId="51483C03" w14:textId="3C8FC159" w:rsidR="00C742DA" w:rsidRPr="00C742DA" w:rsidRDefault="00C742DA" w:rsidP="00C742DA">
      <w:pPr>
        <w:jc w:val="both"/>
        <w:rPr>
          <w:rFonts w:ascii="Times New Roman" w:hAnsi="Times New Roman" w:cs="Times New Roman"/>
          <w:b/>
          <w:bCs/>
        </w:rPr>
      </w:pPr>
      <w:r>
        <w:rPr>
          <w:rFonts w:ascii="Times New Roman" w:hAnsi="Times New Roman" w:cs="Times New Roman"/>
          <w:b/>
          <w:bCs/>
        </w:rPr>
        <w:t>4</w:t>
      </w:r>
      <w:r w:rsidRPr="00C742DA">
        <w:rPr>
          <w:rFonts w:ascii="Times New Roman" w:hAnsi="Times New Roman" w:cs="Times New Roman"/>
          <w:b/>
          <w:bCs/>
        </w:rPr>
        <w:t>.3 Key polymers used in ophthalmic in situ gels</w:t>
      </w:r>
    </w:p>
    <w:p w14:paraId="20F33A66" w14:textId="0B0B8B22" w:rsidR="00C742DA" w:rsidRDefault="00C742DA" w:rsidP="00702417">
      <w:pPr>
        <w:jc w:val="both"/>
        <w:rPr>
          <w:rFonts w:ascii="Times New Roman" w:hAnsi="Times New Roman" w:cs="Times New Roman"/>
        </w:rPr>
      </w:pPr>
      <w:r w:rsidRPr="00C742DA">
        <w:rPr>
          <w:rFonts w:ascii="Times New Roman" w:hAnsi="Times New Roman" w:cs="Times New Roman"/>
        </w:rPr>
        <w:t xml:space="preserve">Selection is typically driven by: trigger reliability, comfort (osmolality/pH), clarity, </w:t>
      </w:r>
      <w:proofErr w:type="spellStart"/>
      <w:r w:rsidRPr="00C742DA">
        <w:rPr>
          <w:rFonts w:ascii="Times New Roman" w:hAnsi="Times New Roman" w:cs="Times New Roman"/>
        </w:rPr>
        <w:t>mucoadhesion</w:t>
      </w:r>
      <w:proofErr w:type="spellEnd"/>
      <w:r w:rsidRPr="00C742DA">
        <w:rPr>
          <w:rFonts w:ascii="Times New Roman" w:hAnsi="Times New Roman" w:cs="Times New Roman"/>
        </w:rPr>
        <w:t>, sterilization compatibility, and rheology (especially shear-thinning). The table below summarizes polymers most commonly discussed in ophthalmic in situ gel literature. [28–33,39] </w:t>
      </w:r>
      <w:r w:rsidR="0037244D" w:rsidRPr="00C742DA">
        <w:rPr>
          <w:rFonts w:ascii="Times New Roman" w:hAnsi="Times New Roman" w:cs="Times New Roman"/>
        </w:rPr>
        <w:t xml:space="preserve"> </w:t>
      </w:r>
    </w:p>
    <w:p w14:paraId="5DD91327" w14:textId="77777777" w:rsidR="00C742DA" w:rsidRPr="00C742DA" w:rsidRDefault="00C742DA" w:rsidP="00C742DA">
      <w:pPr>
        <w:jc w:val="both"/>
        <w:rPr>
          <w:rFonts w:ascii="Times New Roman" w:hAnsi="Times New Roman" w:cs="Times New Roman"/>
          <w:b/>
          <w:bCs/>
        </w:rPr>
      </w:pPr>
      <w:r w:rsidRPr="00C742DA">
        <w:rPr>
          <w:rFonts w:ascii="Times New Roman" w:hAnsi="Times New Roman" w:cs="Times New Roman"/>
          <w:b/>
          <w:bCs/>
        </w:rPr>
        <w:t>Table 3. Polymers used in ophthalmic in situ gel systems</w:t>
      </w:r>
    </w:p>
    <w:tbl>
      <w:tblPr>
        <w:tblStyle w:val="TableGrid"/>
        <w:tblW w:w="0" w:type="auto"/>
        <w:jc w:val="center"/>
        <w:tblLayout w:type="fixed"/>
        <w:tblLook w:val="04A0" w:firstRow="1" w:lastRow="0" w:firstColumn="1" w:lastColumn="0" w:noHBand="0" w:noVBand="1"/>
      </w:tblPr>
      <w:tblGrid>
        <w:gridCol w:w="1525"/>
        <w:gridCol w:w="1440"/>
        <w:gridCol w:w="1530"/>
        <w:gridCol w:w="1890"/>
        <w:gridCol w:w="2430"/>
      </w:tblGrid>
      <w:tr w:rsidR="00C742DA" w:rsidRPr="00C742DA" w14:paraId="5E030F25" w14:textId="77777777" w:rsidTr="00C742DA">
        <w:trPr>
          <w:trHeight w:val="144"/>
          <w:jc w:val="center"/>
        </w:trPr>
        <w:tc>
          <w:tcPr>
            <w:tcW w:w="1525" w:type="dxa"/>
            <w:hideMark/>
          </w:tcPr>
          <w:p w14:paraId="6BC0A16F"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Polymer</w:t>
            </w:r>
          </w:p>
        </w:tc>
        <w:tc>
          <w:tcPr>
            <w:tcW w:w="1440" w:type="dxa"/>
            <w:hideMark/>
          </w:tcPr>
          <w:p w14:paraId="57FE14D0"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Type</w:t>
            </w:r>
          </w:p>
        </w:tc>
        <w:tc>
          <w:tcPr>
            <w:tcW w:w="1530" w:type="dxa"/>
            <w:hideMark/>
          </w:tcPr>
          <w:p w14:paraId="49714235"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Primary trigger</w:t>
            </w:r>
          </w:p>
        </w:tc>
        <w:tc>
          <w:tcPr>
            <w:tcW w:w="1890" w:type="dxa"/>
            <w:hideMark/>
          </w:tcPr>
          <w:p w14:paraId="1905D282"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Typical role in ocular gels</w:t>
            </w:r>
          </w:p>
        </w:tc>
        <w:tc>
          <w:tcPr>
            <w:tcW w:w="2430" w:type="dxa"/>
            <w:hideMark/>
          </w:tcPr>
          <w:p w14:paraId="0F69843F" w14:textId="77777777" w:rsidR="00C742DA" w:rsidRPr="00C742DA" w:rsidRDefault="00C742DA" w:rsidP="00450B9B">
            <w:pPr>
              <w:spacing w:line="278" w:lineRule="auto"/>
              <w:jc w:val="both"/>
              <w:rPr>
                <w:rFonts w:ascii="Times New Roman" w:hAnsi="Times New Roman" w:cs="Times New Roman"/>
                <w:b/>
                <w:bCs/>
              </w:rPr>
            </w:pPr>
            <w:r w:rsidRPr="00C742DA">
              <w:rPr>
                <w:rFonts w:ascii="Times New Roman" w:hAnsi="Times New Roman" w:cs="Times New Roman"/>
                <w:b/>
                <w:bCs/>
              </w:rPr>
              <w:t>Notes relevant to performance</w:t>
            </w:r>
          </w:p>
        </w:tc>
      </w:tr>
      <w:tr w:rsidR="00C742DA" w:rsidRPr="00C742DA" w14:paraId="6D8DF017" w14:textId="77777777" w:rsidTr="00C742DA">
        <w:trPr>
          <w:trHeight w:val="144"/>
          <w:jc w:val="center"/>
        </w:trPr>
        <w:tc>
          <w:tcPr>
            <w:tcW w:w="1525" w:type="dxa"/>
            <w:hideMark/>
          </w:tcPr>
          <w:p w14:paraId="3668E95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Poloxamer 407 (F127)</w:t>
            </w:r>
          </w:p>
        </w:tc>
        <w:tc>
          <w:tcPr>
            <w:tcW w:w="1440" w:type="dxa"/>
            <w:hideMark/>
          </w:tcPr>
          <w:p w14:paraId="71CD7657"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7241D479"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Temperature</w:t>
            </w:r>
          </w:p>
        </w:tc>
        <w:tc>
          <w:tcPr>
            <w:tcW w:w="1890" w:type="dxa"/>
            <w:hideMark/>
          </w:tcPr>
          <w:p w14:paraId="6281234F"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 xml:space="preserve">Main </w:t>
            </w:r>
            <w:proofErr w:type="spellStart"/>
            <w:r w:rsidRPr="00C742DA">
              <w:rPr>
                <w:rFonts w:ascii="Times New Roman" w:hAnsi="Times New Roman" w:cs="Times New Roman"/>
              </w:rPr>
              <w:t>thermogelling</w:t>
            </w:r>
            <w:proofErr w:type="spellEnd"/>
            <w:r w:rsidRPr="00C742DA">
              <w:rPr>
                <w:rFonts w:ascii="Times New Roman" w:hAnsi="Times New Roman" w:cs="Times New Roman"/>
              </w:rPr>
              <w:t xml:space="preserve"> matrix</w:t>
            </w:r>
          </w:p>
        </w:tc>
        <w:tc>
          <w:tcPr>
            <w:tcW w:w="2430" w:type="dxa"/>
            <w:hideMark/>
          </w:tcPr>
          <w:p w14:paraId="0F34898F" w14:textId="7CAAB13A"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Strong concentration dependence; often blended to tune gel point. [33–35] </w:t>
            </w:r>
            <w:r w:rsidR="0037244D" w:rsidRPr="00C742DA">
              <w:rPr>
                <w:rFonts w:ascii="Times New Roman" w:hAnsi="Times New Roman" w:cs="Times New Roman"/>
              </w:rPr>
              <w:t xml:space="preserve"> </w:t>
            </w:r>
          </w:p>
        </w:tc>
      </w:tr>
      <w:tr w:rsidR="00C742DA" w:rsidRPr="00C742DA" w14:paraId="4BEA1463" w14:textId="77777777" w:rsidTr="00C742DA">
        <w:trPr>
          <w:trHeight w:val="144"/>
          <w:jc w:val="center"/>
        </w:trPr>
        <w:tc>
          <w:tcPr>
            <w:tcW w:w="1525" w:type="dxa"/>
            <w:hideMark/>
          </w:tcPr>
          <w:p w14:paraId="79408495"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Poloxamer 188</w:t>
            </w:r>
          </w:p>
        </w:tc>
        <w:tc>
          <w:tcPr>
            <w:tcW w:w="1440" w:type="dxa"/>
            <w:hideMark/>
          </w:tcPr>
          <w:p w14:paraId="3B2B4D6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07462DD6"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Temperature</w:t>
            </w:r>
          </w:p>
        </w:tc>
        <w:tc>
          <w:tcPr>
            <w:tcW w:w="1890" w:type="dxa"/>
            <w:hideMark/>
          </w:tcPr>
          <w:p w14:paraId="2A59190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Co</w:t>
            </w:r>
            <w:r w:rsidRPr="00C742DA">
              <w:rPr>
                <w:rFonts w:ascii="Times New Roman" w:hAnsi="Times New Roman" w:cs="Times New Roman"/>
              </w:rPr>
              <w:noBreakHyphen/>
              <w:t>polymer/modifier</w:t>
            </w:r>
          </w:p>
        </w:tc>
        <w:tc>
          <w:tcPr>
            <w:tcW w:w="2430" w:type="dxa"/>
            <w:hideMark/>
          </w:tcPr>
          <w:p w14:paraId="3722C4F1" w14:textId="21830313"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Used to adjust gelation temperature and rheology. [33,35] </w:t>
            </w:r>
            <w:r w:rsidR="0037244D" w:rsidRPr="00C742DA">
              <w:rPr>
                <w:rFonts w:ascii="Times New Roman" w:hAnsi="Times New Roman" w:cs="Times New Roman"/>
              </w:rPr>
              <w:t xml:space="preserve"> </w:t>
            </w:r>
          </w:p>
        </w:tc>
      </w:tr>
      <w:tr w:rsidR="00C742DA" w:rsidRPr="00C742DA" w14:paraId="009CB601" w14:textId="77777777" w:rsidTr="00C742DA">
        <w:trPr>
          <w:trHeight w:val="144"/>
          <w:jc w:val="center"/>
        </w:trPr>
        <w:tc>
          <w:tcPr>
            <w:tcW w:w="1525" w:type="dxa"/>
            <w:hideMark/>
          </w:tcPr>
          <w:p w14:paraId="6E1CF4B3"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b/>
                <w:bCs/>
              </w:rPr>
              <w:t>PNIPAAm</w:t>
            </w:r>
            <w:proofErr w:type="spellEnd"/>
            <w:r w:rsidRPr="00C742DA">
              <w:rPr>
                <w:rFonts w:ascii="Times New Roman" w:hAnsi="Times New Roman" w:cs="Times New Roman"/>
                <w:b/>
                <w:bCs/>
              </w:rPr>
              <w:t xml:space="preserve"> / PNIPAM</w:t>
            </w:r>
          </w:p>
        </w:tc>
        <w:tc>
          <w:tcPr>
            <w:tcW w:w="1440" w:type="dxa"/>
            <w:hideMark/>
          </w:tcPr>
          <w:p w14:paraId="67E475F4"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428E0674"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Temperature (LCST)</w:t>
            </w:r>
          </w:p>
        </w:tc>
        <w:tc>
          <w:tcPr>
            <w:tcW w:w="1890" w:type="dxa"/>
            <w:hideMark/>
          </w:tcPr>
          <w:p w14:paraId="5D9A70CC"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rPr>
              <w:t>Thermoresponsive</w:t>
            </w:r>
            <w:proofErr w:type="spellEnd"/>
            <w:r w:rsidRPr="00C742DA">
              <w:rPr>
                <w:rFonts w:ascii="Times New Roman" w:hAnsi="Times New Roman" w:cs="Times New Roman"/>
              </w:rPr>
              <w:t xml:space="preserve"> depot (often injectables)</w:t>
            </w:r>
          </w:p>
        </w:tc>
        <w:tc>
          <w:tcPr>
            <w:tcW w:w="2430" w:type="dxa"/>
            <w:hideMark/>
          </w:tcPr>
          <w:p w14:paraId="08E62817" w14:textId="055E2940"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Fast reversible transition; drug-release completeness can be a limitation. [43] </w:t>
            </w:r>
            <w:r w:rsidR="0037244D" w:rsidRPr="00C742DA">
              <w:rPr>
                <w:rFonts w:ascii="Times New Roman" w:hAnsi="Times New Roman" w:cs="Times New Roman"/>
              </w:rPr>
              <w:t xml:space="preserve"> </w:t>
            </w:r>
          </w:p>
        </w:tc>
      </w:tr>
      <w:tr w:rsidR="00C742DA" w:rsidRPr="00C742DA" w14:paraId="6D412EF3" w14:textId="77777777" w:rsidTr="00C742DA">
        <w:trPr>
          <w:trHeight w:val="144"/>
          <w:jc w:val="center"/>
        </w:trPr>
        <w:tc>
          <w:tcPr>
            <w:tcW w:w="1525" w:type="dxa"/>
            <w:hideMark/>
          </w:tcPr>
          <w:p w14:paraId="16FEE7F5"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PLGA</w:t>
            </w:r>
            <w:r w:rsidRPr="00C742DA">
              <w:rPr>
                <w:rFonts w:ascii="Times New Roman" w:hAnsi="Times New Roman" w:cs="Times New Roman"/>
                <w:b/>
                <w:bCs/>
              </w:rPr>
              <w:noBreakHyphen/>
              <w:t>PEG</w:t>
            </w:r>
            <w:r w:rsidRPr="00C742DA">
              <w:rPr>
                <w:rFonts w:ascii="Times New Roman" w:hAnsi="Times New Roman" w:cs="Times New Roman"/>
                <w:b/>
                <w:bCs/>
              </w:rPr>
              <w:noBreakHyphen/>
              <w:t>PLGA</w:t>
            </w:r>
          </w:p>
        </w:tc>
        <w:tc>
          <w:tcPr>
            <w:tcW w:w="1440" w:type="dxa"/>
            <w:hideMark/>
          </w:tcPr>
          <w:p w14:paraId="4C156032"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Synthetic/biodegradable</w:t>
            </w:r>
          </w:p>
        </w:tc>
        <w:tc>
          <w:tcPr>
            <w:tcW w:w="1530" w:type="dxa"/>
            <w:hideMark/>
          </w:tcPr>
          <w:p w14:paraId="6B183A5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Temperature</w:t>
            </w:r>
          </w:p>
        </w:tc>
        <w:tc>
          <w:tcPr>
            <w:tcW w:w="1890" w:type="dxa"/>
            <w:hideMark/>
          </w:tcPr>
          <w:p w14:paraId="1B83DC00"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rPr>
              <w:t>Thermogelling</w:t>
            </w:r>
            <w:proofErr w:type="spellEnd"/>
            <w:r w:rsidRPr="00C742DA">
              <w:rPr>
                <w:rFonts w:ascii="Times New Roman" w:hAnsi="Times New Roman" w:cs="Times New Roman"/>
              </w:rPr>
              <w:t xml:space="preserve"> biodegradable depot</w:t>
            </w:r>
          </w:p>
        </w:tc>
        <w:tc>
          <w:tcPr>
            <w:tcW w:w="2430" w:type="dxa"/>
            <w:hideMark/>
          </w:tcPr>
          <w:p w14:paraId="2C9BBA27" w14:textId="123D3215"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Reported to improve exposure vs drops; used for anterior and posterior strategies. [40–42] </w:t>
            </w:r>
            <w:r w:rsidR="0037244D" w:rsidRPr="00C742DA">
              <w:rPr>
                <w:rFonts w:ascii="Times New Roman" w:hAnsi="Times New Roman" w:cs="Times New Roman"/>
              </w:rPr>
              <w:t xml:space="preserve"> </w:t>
            </w:r>
          </w:p>
        </w:tc>
      </w:tr>
      <w:tr w:rsidR="00C742DA" w:rsidRPr="00C742DA" w14:paraId="3BA488B0" w14:textId="77777777" w:rsidTr="00C742DA">
        <w:trPr>
          <w:trHeight w:val="144"/>
          <w:jc w:val="center"/>
        </w:trPr>
        <w:tc>
          <w:tcPr>
            <w:tcW w:w="1525" w:type="dxa"/>
            <w:hideMark/>
          </w:tcPr>
          <w:p w14:paraId="78B316B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Carbopol/Carbomer (e.g., 934/940/974)</w:t>
            </w:r>
          </w:p>
        </w:tc>
        <w:tc>
          <w:tcPr>
            <w:tcW w:w="1440" w:type="dxa"/>
            <w:hideMark/>
          </w:tcPr>
          <w:p w14:paraId="097C313F"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7C79F69B"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w:t>
            </w:r>
          </w:p>
        </w:tc>
        <w:tc>
          <w:tcPr>
            <w:tcW w:w="1890" w:type="dxa"/>
            <w:hideMark/>
          </w:tcPr>
          <w:p w14:paraId="6DF68567"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pH-triggered gel former; mucoadhesive</w:t>
            </w:r>
          </w:p>
        </w:tc>
        <w:tc>
          <w:tcPr>
            <w:tcW w:w="2430" w:type="dxa"/>
            <w:hideMark/>
          </w:tcPr>
          <w:p w14:paraId="2568AC3E" w14:textId="1AC4F48A"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Often combined with HPMC to balance comfort and gelation. [29,36,37] </w:t>
            </w:r>
            <w:r w:rsidR="0037244D" w:rsidRPr="00C742DA">
              <w:rPr>
                <w:rFonts w:ascii="Times New Roman" w:hAnsi="Times New Roman" w:cs="Times New Roman"/>
              </w:rPr>
              <w:t xml:space="preserve"> </w:t>
            </w:r>
          </w:p>
        </w:tc>
      </w:tr>
      <w:tr w:rsidR="00C742DA" w:rsidRPr="00C742DA" w14:paraId="3FE61085" w14:textId="77777777" w:rsidTr="00C742DA">
        <w:trPr>
          <w:trHeight w:val="144"/>
          <w:jc w:val="center"/>
        </w:trPr>
        <w:tc>
          <w:tcPr>
            <w:tcW w:w="1525" w:type="dxa"/>
            <w:hideMark/>
          </w:tcPr>
          <w:p w14:paraId="321C8A53"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lastRenderedPageBreak/>
              <w:t>Polycarbophil</w:t>
            </w:r>
          </w:p>
        </w:tc>
        <w:tc>
          <w:tcPr>
            <w:tcW w:w="1440" w:type="dxa"/>
            <w:hideMark/>
          </w:tcPr>
          <w:p w14:paraId="0BF36973"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Synthetic</w:t>
            </w:r>
          </w:p>
        </w:tc>
        <w:tc>
          <w:tcPr>
            <w:tcW w:w="1530" w:type="dxa"/>
            <w:hideMark/>
          </w:tcPr>
          <w:p w14:paraId="14210558"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w:t>
            </w:r>
          </w:p>
        </w:tc>
        <w:tc>
          <w:tcPr>
            <w:tcW w:w="1890" w:type="dxa"/>
            <w:hideMark/>
          </w:tcPr>
          <w:p w14:paraId="51D6CD05"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rPr>
              <w:t>Bioadhesion</w:t>
            </w:r>
            <w:proofErr w:type="spellEnd"/>
            <w:r w:rsidRPr="00C742DA">
              <w:rPr>
                <w:rFonts w:ascii="Times New Roman" w:hAnsi="Times New Roman" w:cs="Times New Roman"/>
              </w:rPr>
              <w:t xml:space="preserve"> + pH response</w:t>
            </w:r>
          </w:p>
        </w:tc>
        <w:tc>
          <w:tcPr>
            <w:tcW w:w="2430" w:type="dxa"/>
            <w:hideMark/>
          </w:tcPr>
          <w:p w14:paraId="388420AB" w14:textId="660FC535"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Discussed as pH-triggerable alongside carbomers. [38] </w:t>
            </w:r>
            <w:r w:rsidR="0037244D" w:rsidRPr="00C742DA">
              <w:rPr>
                <w:rFonts w:ascii="Times New Roman" w:hAnsi="Times New Roman" w:cs="Times New Roman"/>
              </w:rPr>
              <w:t xml:space="preserve"> </w:t>
            </w:r>
          </w:p>
        </w:tc>
      </w:tr>
      <w:tr w:rsidR="00C742DA" w:rsidRPr="00C742DA" w14:paraId="52472E02" w14:textId="77777777" w:rsidTr="00C742DA">
        <w:trPr>
          <w:trHeight w:val="144"/>
          <w:jc w:val="center"/>
        </w:trPr>
        <w:tc>
          <w:tcPr>
            <w:tcW w:w="1525" w:type="dxa"/>
            <w:hideMark/>
          </w:tcPr>
          <w:p w14:paraId="78149455"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 xml:space="preserve">CAP latex (cellulose </w:t>
            </w:r>
            <w:proofErr w:type="spellStart"/>
            <w:r w:rsidRPr="00C742DA">
              <w:rPr>
                <w:rFonts w:ascii="Times New Roman" w:hAnsi="Times New Roman" w:cs="Times New Roman"/>
                <w:b/>
                <w:bCs/>
              </w:rPr>
              <w:t>acetophthalate</w:t>
            </w:r>
            <w:proofErr w:type="spellEnd"/>
            <w:r w:rsidRPr="00C742DA">
              <w:rPr>
                <w:rFonts w:ascii="Times New Roman" w:hAnsi="Times New Roman" w:cs="Times New Roman"/>
                <w:b/>
                <w:bCs/>
              </w:rPr>
              <w:t>)</w:t>
            </w:r>
          </w:p>
        </w:tc>
        <w:tc>
          <w:tcPr>
            <w:tcW w:w="1440" w:type="dxa"/>
            <w:hideMark/>
          </w:tcPr>
          <w:p w14:paraId="488B6EC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Semi-synthetic</w:t>
            </w:r>
          </w:p>
        </w:tc>
        <w:tc>
          <w:tcPr>
            <w:tcW w:w="1530" w:type="dxa"/>
            <w:hideMark/>
          </w:tcPr>
          <w:p w14:paraId="282673EF"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w:t>
            </w:r>
          </w:p>
        </w:tc>
        <w:tc>
          <w:tcPr>
            <w:tcW w:w="1890" w:type="dxa"/>
            <w:hideMark/>
          </w:tcPr>
          <w:p w14:paraId="663A59E9"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pH-triggered coagulating latex</w:t>
            </w:r>
          </w:p>
        </w:tc>
        <w:tc>
          <w:tcPr>
            <w:tcW w:w="2430" w:type="dxa"/>
            <w:hideMark/>
          </w:tcPr>
          <w:p w14:paraId="6798216D" w14:textId="4F1636E4"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Classic example of acidic sol → tear-pH gel/coagulation behavior. [38] </w:t>
            </w:r>
            <w:r w:rsidR="0037244D" w:rsidRPr="00C742DA">
              <w:rPr>
                <w:rFonts w:ascii="Times New Roman" w:hAnsi="Times New Roman" w:cs="Times New Roman"/>
              </w:rPr>
              <w:t xml:space="preserve"> </w:t>
            </w:r>
          </w:p>
        </w:tc>
      </w:tr>
      <w:tr w:rsidR="00C742DA" w:rsidRPr="00C742DA" w14:paraId="77C5226C" w14:textId="77777777" w:rsidTr="00C742DA">
        <w:trPr>
          <w:trHeight w:val="144"/>
          <w:jc w:val="center"/>
        </w:trPr>
        <w:tc>
          <w:tcPr>
            <w:tcW w:w="1525" w:type="dxa"/>
            <w:hideMark/>
          </w:tcPr>
          <w:p w14:paraId="0FBCF3A6" w14:textId="77777777" w:rsidR="00C742DA" w:rsidRPr="00C742DA" w:rsidRDefault="00C742DA" w:rsidP="00450B9B">
            <w:pPr>
              <w:spacing w:line="278" w:lineRule="auto"/>
              <w:jc w:val="both"/>
              <w:rPr>
                <w:rFonts w:ascii="Times New Roman" w:hAnsi="Times New Roman" w:cs="Times New Roman"/>
              </w:rPr>
            </w:pPr>
            <w:proofErr w:type="spellStart"/>
            <w:r w:rsidRPr="00C742DA">
              <w:rPr>
                <w:rFonts w:ascii="Times New Roman" w:hAnsi="Times New Roman" w:cs="Times New Roman"/>
                <w:b/>
                <w:bCs/>
              </w:rPr>
              <w:t>Gellan</w:t>
            </w:r>
            <w:proofErr w:type="spellEnd"/>
            <w:r w:rsidRPr="00C742DA">
              <w:rPr>
                <w:rFonts w:ascii="Times New Roman" w:hAnsi="Times New Roman" w:cs="Times New Roman"/>
                <w:b/>
                <w:bCs/>
              </w:rPr>
              <w:t xml:space="preserve"> gum (</w:t>
            </w:r>
            <w:proofErr w:type="spellStart"/>
            <w:r w:rsidRPr="00C742DA">
              <w:rPr>
                <w:rFonts w:ascii="Times New Roman" w:hAnsi="Times New Roman" w:cs="Times New Roman"/>
                <w:b/>
                <w:bCs/>
              </w:rPr>
              <w:t>Gelrite</w:t>
            </w:r>
            <w:proofErr w:type="spellEnd"/>
            <w:r w:rsidRPr="00C742DA">
              <w:rPr>
                <w:rFonts w:ascii="Times New Roman" w:hAnsi="Times New Roman" w:cs="Times New Roman"/>
                <w:b/>
                <w:bCs/>
              </w:rPr>
              <w:t>®)</w:t>
            </w:r>
          </w:p>
        </w:tc>
        <w:tc>
          <w:tcPr>
            <w:tcW w:w="1440" w:type="dxa"/>
            <w:hideMark/>
          </w:tcPr>
          <w:p w14:paraId="5EDBD084"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Natural</w:t>
            </w:r>
          </w:p>
        </w:tc>
        <w:tc>
          <w:tcPr>
            <w:tcW w:w="1530" w:type="dxa"/>
            <w:hideMark/>
          </w:tcPr>
          <w:p w14:paraId="31DB2E0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Ions</w:t>
            </w:r>
          </w:p>
        </w:tc>
        <w:tc>
          <w:tcPr>
            <w:tcW w:w="1890" w:type="dxa"/>
            <w:hideMark/>
          </w:tcPr>
          <w:p w14:paraId="408250E2"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Ion-activated gel former</w:t>
            </w:r>
          </w:p>
        </w:tc>
        <w:tc>
          <w:tcPr>
            <w:tcW w:w="2430" w:type="dxa"/>
            <w:hideMark/>
          </w:tcPr>
          <w:p w14:paraId="6265D5BA" w14:textId="3F889BA1"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Tear ions promote gelation; widely cited for prolonged retention. [29,39,44] </w:t>
            </w:r>
            <w:r w:rsidR="0037244D" w:rsidRPr="00C742DA">
              <w:rPr>
                <w:rFonts w:ascii="Times New Roman" w:hAnsi="Times New Roman" w:cs="Times New Roman"/>
              </w:rPr>
              <w:t xml:space="preserve"> </w:t>
            </w:r>
          </w:p>
        </w:tc>
      </w:tr>
      <w:tr w:rsidR="00C742DA" w:rsidRPr="00C742DA" w14:paraId="60621465" w14:textId="77777777" w:rsidTr="00C742DA">
        <w:trPr>
          <w:trHeight w:val="144"/>
          <w:jc w:val="center"/>
        </w:trPr>
        <w:tc>
          <w:tcPr>
            <w:tcW w:w="1525" w:type="dxa"/>
            <w:hideMark/>
          </w:tcPr>
          <w:p w14:paraId="60C691FA"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Sodium alginate</w:t>
            </w:r>
          </w:p>
        </w:tc>
        <w:tc>
          <w:tcPr>
            <w:tcW w:w="1440" w:type="dxa"/>
            <w:hideMark/>
          </w:tcPr>
          <w:p w14:paraId="3CDB10B1"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Natural</w:t>
            </w:r>
          </w:p>
        </w:tc>
        <w:tc>
          <w:tcPr>
            <w:tcW w:w="1530" w:type="dxa"/>
            <w:hideMark/>
          </w:tcPr>
          <w:p w14:paraId="3B1C2D38"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Ions</w:t>
            </w:r>
          </w:p>
        </w:tc>
        <w:tc>
          <w:tcPr>
            <w:tcW w:w="1890" w:type="dxa"/>
            <w:hideMark/>
          </w:tcPr>
          <w:p w14:paraId="42FF8BCB"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Ionotropic gel former</w:t>
            </w:r>
          </w:p>
        </w:tc>
        <w:tc>
          <w:tcPr>
            <w:tcW w:w="2430" w:type="dxa"/>
            <w:hideMark/>
          </w:tcPr>
          <w:p w14:paraId="60A2CB67" w14:textId="53CE2A49"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Ca²⁺-mediated gelation; often blended with viscosity enhancers. [39] </w:t>
            </w:r>
            <w:r w:rsidR="0037244D" w:rsidRPr="00C742DA">
              <w:rPr>
                <w:rFonts w:ascii="Times New Roman" w:hAnsi="Times New Roman" w:cs="Times New Roman"/>
              </w:rPr>
              <w:t xml:space="preserve"> </w:t>
            </w:r>
          </w:p>
        </w:tc>
      </w:tr>
      <w:tr w:rsidR="00C742DA" w:rsidRPr="00C742DA" w14:paraId="01870FB8" w14:textId="77777777" w:rsidTr="00C742DA">
        <w:trPr>
          <w:trHeight w:val="144"/>
          <w:jc w:val="center"/>
        </w:trPr>
        <w:tc>
          <w:tcPr>
            <w:tcW w:w="1525" w:type="dxa"/>
            <w:hideMark/>
          </w:tcPr>
          <w:p w14:paraId="2DB548B3"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Pectin (low</w:t>
            </w:r>
            <w:r w:rsidRPr="00C742DA">
              <w:rPr>
                <w:rFonts w:ascii="Times New Roman" w:hAnsi="Times New Roman" w:cs="Times New Roman"/>
                <w:b/>
                <w:bCs/>
              </w:rPr>
              <w:noBreakHyphen/>
              <w:t>methoxy)</w:t>
            </w:r>
          </w:p>
        </w:tc>
        <w:tc>
          <w:tcPr>
            <w:tcW w:w="1440" w:type="dxa"/>
            <w:hideMark/>
          </w:tcPr>
          <w:p w14:paraId="1EB2C4F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Natural</w:t>
            </w:r>
          </w:p>
        </w:tc>
        <w:tc>
          <w:tcPr>
            <w:tcW w:w="1530" w:type="dxa"/>
            <w:hideMark/>
          </w:tcPr>
          <w:p w14:paraId="4B3BB5B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Ions</w:t>
            </w:r>
          </w:p>
        </w:tc>
        <w:tc>
          <w:tcPr>
            <w:tcW w:w="1890" w:type="dxa"/>
            <w:hideMark/>
          </w:tcPr>
          <w:p w14:paraId="4CB7E45C"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Ionotropic gel former</w:t>
            </w:r>
          </w:p>
        </w:tc>
        <w:tc>
          <w:tcPr>
            <w:tcW w:w="2430" w:type="dxa"/>
            <w:hideMark/>
          </w:tcPr>
          <w:p w14:paraId="45C068F3" w14:textId="5387AC7D"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Ca²⁺-responsive gelation; supports sustained release concepts. [39] </w:t>
            </w:r>
            <w:r w:rsidR="0037244D" w:rsidRPr="00C742DA">
              <w:rPr>
                <w:rFonts w:ascii="Times New Roman" w:hAnsi="Times New Roman" w:cs="Times New Roman"/>
              </w:rPr>
              <w:t xml:space="preserve"> </w:t>
            </w:r>
          </w:p>
        </w:tc>
      </w:tr>
      <w:tr w:rsidR="00C742DA" w:rsidRPr="00C742DA" w14:paraId="4BF18D9D" w14:textId="77777777" w:rsidTr="00C742DA">
        <w:trPr>
          <w:trHeight w:val="144"/>
          <w:jc w:val="center"/>
        </w:trPr>
        <w:tc>
          <w:tcPr>
            <w:tcW w:w="1525" w:type="dxa"/>
            <w:hideMark/>
          </w:tcPr>
          <w:p w14:paraId="3572A65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Chitosan</w:t>
            </w:r>
          </w:p>
        </w:tc>
        <w:tc>
          <w:tcPr>
            <w:tcW w:w="1440" w:type="dxa"/>
            <w:hideMark/>
          </w:tcPr>
          <w:p w14:paraId="0A65112F"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Natural</w:t>
            </w:r>
          </w:p>
        </w:tc>
        <w:tc>
          <w:tcPr>
            <w:tcW w:w="1530" w:type="dxa"/>
            <w:hideMark/>
          </w:tcPr>
          <w:p w14:paraId="6250FD62"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 xml:space="preserve">pH / </w:t>
            </w:r>
            <w:proofErr w:type="spellStart"/>
            <w:r w:rsidRPr="00C742DA">
              <w:rPr>
                <w:rFonts w:ascii="Times New Roman" w:hAnsi="Times New Roman" w:cs="Times New Roman"/>
              </w:rPr>
              <w:t>mucoadhesion</w:t>
            </w:r>
            <w:proofErr w:type="spellEnd"/>
          </w:p>
        </w:tc>
        <w:tc>
          <w:tcPr>
            <w:tcW w:w="1890" w:type="dxa"/>
            <w:hideMark/>
          </w:tcPr>
          <w:p w14:paraId="5815731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Mucoadhesive co</w:t>
            </w:r>
            <w:r w:rsidRPr="00C742DA">
              <w:rPr>
                <w:rFonts w:ascii="Times New Roman" w:hAnsi="Times New Roman" w:cs="Times New Roman"/>
              </w:rPr>
              <w:noBreakHyphen/>
              <w:t>polymer; permeation support</w:t>
            </w:r>
          </w:p>
        </w:tc>
        <w:tc>
          <w:tcPr>
            <w:tcW w:w="2430" w:type="dxa"/>
            <w:hideMark/>
          </w:tcPr>
          <w:p w14:paraId="49EE098F" w14:textId="3A380A06"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Commonly used with carbomers; improves retention/adhesion. [37] </w:t>
            </w:r>
            <w:r w:rsidR="0037244D" w:rsidRPr="00C742DA">
              <w:rPr>
                <w:rFonts w:ascii="Times New Roman" w:hAnsi="Times New Roman" w:cs="Times New Roman"/>
              </w:rPr>
              <w:t xml:space="preserve"> </w:t>
            </w:r>
          </w:p>
        </w:tc>
      </w:tr>
      <w:tr w:rsidR="00C742DA" w:rsidRPr="00C742DA" w14:paraId="3FA429AC" w14:textId="77777777" w:rsidTr="00C742DA">
        <w:trPr>
          <w:trHeight w:val="144"/>
          <w:jc w:val="center"/>
        </w:trPr>
        <w:tc>
          <w:tcPr>
            <w:tcW w:w="1525" w:type="dxa"/>
            <w:hideMark/>
          </w:tcPr>
          <w:p w14:paraId="0CD291A3"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b/>
                <w:bCs/>
              </w:rPr>
              <w:t>HPMC / cellulose derivatives</w:t>
            </w:r>
          </w:p>
        </w:tc>
        <w:tc>
          <w:tcPr>
            <w:tcW w:w="1440" w:type="dxa"/>
            <w:hideMark/>
          </w:tcPr>
          <w:p w14:paraId="0529C647"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Semi-synthetic</w:t>
            </w:r>
          </w:p>
        </w:tc>
        <w:tc>
          <w:tcPr>
            <w:tcW w:w="1530" w:type="dxa"/>
            <w:hideMark/>
          </w:tcPr>
          <w:p w14:paraId="2EA83DC7"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(Often modifier; sometimes thermo)</w:t>
            </w:r>
          </w:p>
        </w:tc>
        <w:tc>
          <w:tcPr>
            <w:tcW w:w="1890" w:type="dxa"/>
            <w:hideMark/>
          </w:tcPr>
          <w:p w14:paraId="0756C6AD" w14:textId="77777777"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Viscosity/rheology modifier; stabilizer</w:t>
            </w:r>
          </w:p>
        </w:tc>
        <w:tc>
          <w:tcPr>
            <w:tcW w:w="2430" w:type="dxa"/>
            <w:hideMark/>
          </w:tcPr>
          <w:p w14:paraId="271083FC" w14:textId="05896482" w:rsidR="00C742DA" w:rsidRPr="00C742DA" w:rsidRDefault="00C742DA" w:rsidP="00450B9B">
            <w:pPr>
              <w:spacing w:line="278" w:lineRule="auto"/>
              <w:jc w:val="both"/>
              <w:rPr>
                <w:rFonts w:ascii="Times New Roman" w:hAnsi="Times New Roman" w:cs="Times New Roman"/>
              </w:rPr>
            </w:pPr>
            <w:r w:rsidRPr="00C742DA">
              <w:rPr>
                <w:rFonts w:ascii="Times New Roman" w:hAnsi="Times New Roman" w:cs="Times New Roman"/>
              </w:rPr>
              <w:t>Can lower gelation temperature and strengthen networks in blends. [29,35] </w:t>
            </w:r>
            <w:r w:rsidR="0037244D" w:rsidRPr="00C742DA">
              <w:rPr>
                <w:rFonts w:ascii="Times New Roman" w:hAnsi="Times New Roman" w:cs="Times New Roman"/>
              </w:rPr>
              <w:t xml:space="preserve"> </w:t>
            </w:r>
          </w:p>
        </w:tc>
      </w:tr>
    </w:tbl>
    <w:p w14:paraId="6B9D4C8D" w14:textId="77777777" w:rsidR="00C742DA" w:rsidRDefault="00C742DA" w:rsidP="00702417">
      <w:pPr>
        <w:jc w:val="both"/>
        <w:rPr>
          <w:rFonts w:ascii="Times New Roman" w:hAnsi="Times New Roman" w:cs="Times New Roman"/>
        </w:rPr>
      </w:pPr>
    </w:p>
    <w:p w14:paraId="7DFE25AB" w14:textId="5DD73C52" w:rsidR="00C742DA" w:rsidRPr="00C742DA" w:rsidRDefault="00C742DA" w:rsidP="00C742DA">
      <w:pPr>
        <w:jc w:val="both"/>
        <w:rPr>
          <w:rFonts w:ascii="Times New Roman" w:hAnsi="Times New Roman" w:cs="Times New Roman"/>
          <w:b/>
          <w:bCs/>
        </w:rPr>
      </w:pPr>
      <w:r w:rsidRPr="00C742DA">
        <w:rPr>
          <w:rFonts w:ascii="Times New Roman" w:hAnsi="Times New Roman" w:cs="Times New Roman"/>
          <w:b/>
          <w:bCs/>
        </w:rPr>
        <w:t>0</w:t>
      </w:r>
      <w:r w:rsidR="004836BE">
        <w:rPr>
          <w:rFonts w:ascii="Times New Roman" w:hAnsi="Times New Roman" w:cs="Times New Roman"/>
          <w:b/>
          <w:bCs/>
        </w:rPr>
        <w:t>5</w:t>
      </w:r>
      <w:r w:rsidRPr="00C742DA">
        <w:rPr>
          <w:rFonts w:ascii="Times New Roman" w:hAnsi="Times New Roman" w:cs="Times New Roman"/>
          <w:b/>
          <w:bCs/>
        </w:rPr>
        <w:t>. NANOTECHNOLOGY IN OCULAR DRUG DELIVERY</w:t>
      </w:r>
    </w:p>
    <w:p w14:paraId="19F811A0" w14:textId="0BEA5550"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.1 Overview of nanocarriers for ocular delivery</w:t>
      </w:r>
    </w:p>
    <w:p w14:paraId="5CC8EE61" w14:textId="2173F8A6" w:rsidR="00C742DA" w:rsidRPr="00C742DA" w:rsidRDefault="00C742DA" w:rsidP="00C742DA">
      <w:pPr>
        <w:jc w:val="both"/>
        <w:rPr>
          <w:rFonts w:ascii="Times New Roman" w:hAnsi="Times New Roman" w:cs="Times New Roman"/>
        </w:rPr>
      </w:pPr>
      <w:r w:rsidRPr="00C742DA">
        <w:rPr>
          <w:rFonts w:ascii="Times New Roman" w:hAnsi="Times New Roman" w:cs="Times New Roman"/>
        </w:rPr>
        <w:t>Nanotechnology has reshaped ophthalmic formulation research by offering carrier systems that can be </w:t>
      </w:r>
      <w:r w:rsidRPr="00C742DA">
        <w:rPr>
          <w:rFonts w:ascii="Times New Roman" w:hAnsi="Times New Roman" w:cs="Times New Roman"/>
          <w:i/>
          <w:iCs/>
        </w:rPr>
        <w:t>engineered</w:t>
      </w:r>
      <w:r w:rsidR="0037244D">
        <w:rPr>
          <w:rFonts w:ascii="Times New Roman" w:hAnsi="Times New Roman" w:cs="Times New Roman"/>
        </w:rPr>
        <w:t xml:space="preserve"> </w:t>
      </w:r>
      <w:r w:rsidRPr="00C742DA">
        <w:rPr>
          <w:rFonts w:ascii="Times New Roman" w:hAnsi="Times New Roman" w:cs="Times New Roman"/>
        </w:rPr>
        <w:t>rather than merely mixed</w:t>
      </w:r>
      <w:r w:rsidR="0037244D">
        <w:rPr>
          <w:rFonts w:ascii="Times New Roman" w:hAnsi="Times New Roman" w:cs="Times New Roman"/>
        </w:rPr>
        <w:t xml:space="preserve"> </w:t>
      </w:r>
      <w:r w:rsidRPr="00C742DA">
        <w:rPr>
          <w:rFonts w:ascii="Times New Roman" w:hAnsi="Times New Roman" w:cs="Times New Roman"/>
        </w:rPr>
        <w:t>to address the key reasons conventional eye drops fail: rapid precorneal clearance, poor corneal permeation, and inadequate exposure at the intended tissue. Comprehensive reviews consistently report that nanocarriers can (</w:t>
      </w:r>
      <w:proofErr w:type="spellStart"/>
      <w:r w:rsidRPr="00C742DA">
        <w:rPr>
          <w:rFonts w:ascii="Times New Roman" w:hAnsi="Times New Roman" w:cs="Times New Roman"/>
        </w:rPr>
        <w:t>i</w:t>
      </w:r>
      <w:proofErr w:type="spellEnd"/>
      <w:r w:rsidRPr="00C742DA">
        <w:rPr>
          <w:rFonts w:ascii="Times New Roman" w:hAnsi="Times New Roman" w:cs="Times New Roman"/>
        </w:rPr>
        <w:t xml:space="preserve">) protect drugs from chemical/enzymatic degradation, (ii) improve apparent solubility of poorly soluble drugs, (iii) prolong residence time through </w:t>
      </w:r>
      <w:proofErr w:type="spellStart"/>
      <w:r w:rsidRPr="00C742DA">
        <w:rPr>
          <w:rFonts w:ascii="Times New Roman" w:hAnsi="Times New Roman" w:cs="Times New Roman"/>
        </w:rPr>
        <w:t>mucoadhesion</w:t>
      </w:r>
      <w:proofErr w:type="spellEnd"/>
      <w:r w:rsidRPr="00C742DA">
        <w:rPr>
          <w:rFonts w:ascii="Times New Roman" w:hAnsi="Times New Roman" w:cs="Times New Roman"/>
        </w:rPr>
        <w:t xml:space="preserve"> or viscosity enhancement, and (iv) enable sustained or stimuli-responsive release profiles that better match disease needs. Collectively, these features </w:t>
      </w:r>
      <w:r w:rsidRPr="00C742DA">
        <w:rPr>
          <w:rFonts w:ascii="Times New Roman" w:hAnsi="Times New Roman" w:cs="Times New Roman"/>
        </w:rPr>
        <w:lastRenderedPageBreak/>
        <w:t>can improve local exposure while reducing dosing frequency and systemic spillover via nasolacrimal drainage. [46–49]</w:t>
      </w:r>
    </w:p>
    <w:p w14:paraId="4C6F14EC" w14:textId="7916C5B4"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Importantly, nanocarriers are not a single technology but a toolbox. Lipid- and polymer-based nanoparticles, </w:t>
      </w:r>
      <w:proofErr w:type="spellStart"/>
      <w:r w:rsidRPr="00C742DA">
        <w:rPr>
          <w:rFonts w:ascii="Times New Roman" w:hAnsi="Times New Roman" w:cs="Times New Roman"/>
        </w:rPr>
        <w:t>nanoemulsions</w:t>
      </w:r>
      <w:proofErr w:type="spellEnd"/>
      <w:r w:rsidRPr="00C742DA">
        <w:rPr>
          <w:rFonts w:ascii="Times New Roman" w:hAnsi="Times New Roman" w:cs="Times New Roman"/>
        </w:rPr>
        <w:t>, micelles, dendrimers, and nanogels each offer different strengths, and the “best” platform depends on the target site (ocular surface vs. anterior chamber vs. retina), the drug’s physicochemical properties, and practical constraints such as sterilization and scale-up. Many modern review papers therefore frame ocular nanomedicine as a design space in which particle size, surface charge, composition, and release mechanisms are tuned to overcome </w:t>
      </w:r>
      <w:r w:rsidRPr="00C742DA">
        <w:rPr>
          <w:rFonts w:ascii="Times New Roman" w:hAnsi="Times New Roman" w:cs="Times New Roman"/>
          <w:i/>
          <w:iCs/>
        </w:rPr>
        <w:t>both</w:t>
      </w:r>
      <w:r w:rsidRPr="00C742DA">
        <w:rPr>
          <w:rFonts w:ascii="Times New Roman" w:hAnsi="Times New Roman" w:cs="Times New Roman"/>
        </w:rPr>
        <w:t> static barriers (e.g., corneal epithelium) and dynamic barriers (tears and blinking). [46–49] </w:t>
      </w:r>
    </w:p>
    <w:p w14:paraId="5C828623" w14:textId="655B9CC4"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 Types of nanoparticles used in ophthalmic formulations</w:t>
      </w:r>
    </w:p>
    <w:p w14:paraId="1660D5D8" w14:textId="5CCBBC70"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.2.1 Polymeric nanoparticles (PLGA, PLA, chitosan, PCL)</w:t>
      </w:r>
    </w:p>
    <w:p w14:paraId="1BF86CE1" w14:textId="79AB9395" w:rsidR="00C742DA" w:rsidRPr="00C742DA" w:rsidRDefault="00C742DA" w:rsidP="00C742DA">
      <w:pPr>
        <w:jc w:val="both"/>
        <w:rPr>
          <w:rFonts w:ascii="Times New Roman" w:hAnsi="Times New Roman" w:cs="Times New Roman"/>
        </w:rPr>
      </w:pPr>
      <w:r w:rsidRPr="00C742DA">
        <w:rPr>
          <w:rFonts w:ascii="Times New Roman" w:hAnsi="Times New Roman" w:cs="Times New Roman"/>
        </w:rPr>
        <w:t>Polymeric nanoparticles are among the most widely studied ocular nanocarriers because their drug loading and release can be adjusted by polymer selection, polymer ratio, molecular weight, and fabrication method. They can encapsulate drug within a polymer matrix (nanospheres) or within a core surrounded by a polymer shell (</w:t>
      </w:r>
      <w:proofErr w:type="spellStart"/>
      <w:r w:rsidRPr="00C742DA">
        <w:rPr>
          <w:rFonts w:ascii="Times New Roman" w:hAnsi="Times New Roman" w:cs="Times New Roman"/>
        </w:rPr>
        <w:t>nanocapsules</w:t>
      </w:r>
      <w:proofErr w:type="spellEnd"/>
      <w:r w:rsidRPr="00C742DA">
        <w:rPr>
          <w:rFonts w:ascii="Times New Roman" w:hAnsi="Times New Roman" w:cs="Times New Roman"/>
        </w:rPr>
        <w:t>), supporting sustained release and drug protection. Reviews also emphasize that particle size and surface characteristics strongly influence ocular performance; for topical administration, particles in the few-hundred-nanometer range are often discussed as a practical balance between stability, comfort, and corneal/conjunctival interaction. [49] </w:t>
      </w:r>
    </w:p>
    <w:p w14:paraId="2475AA10" w14:textId="4649AB72" w:rsidR="00C742DA" w:rsidRPr="00C742DA" w:rsidRDefault="00C742DA" w:rsidP="00C742DA">
      <w:pPr>
        <w:jc w:val="both"/>
        <w:rPr>
          <w:rFonts w:ascii="Times New Roman" w:hAnsi="Times New Roman" w:cs="Times New Roman"/>
        </w:rPr>
      </w:pPr>
      <w:r w:rsidRPr="00C742DA">
        <w:rPr>
          <w:rFonts w:ascii="Times New Roman" w:hAnsi="Times New Roman" w:cs="Times New Roman"/>
        </w:rPr>
        <w:t>Among these polymers, PLA/PLGA occupy a special position because they have a long clinical history. PLA/PLGA materials were approved by the US FDA in the 1970s for bioresorbable sutures and later became reference polymers for sustained-release products. [50] 3 A large body of drug-delivery literature also explicitly describes PLGA as an FDA-approved polymer used in versatile drug-delivery carriers (including nanoparticles). [51] </w:t>
      </w:r>
    </w:p>
    <w:p w14:paraId="5109F5BD" w14:textId="1343190C" w:rsidR="00C742DA" w:rsidRDefault="00C742DA" w:rsidP="00C742DA">
      <w:pPr>
        <w:jc w:val="both"/>
        <w:rPr>
          <w:rFonts w:ascii="Times New Roman" w:hAnsi="Times New Roman" w:cs="Times New Roman"/>
        </w:rPr>
      </w:pPr>
      <w:r w:rsidRPr="00C742DA">
        <w:rPr>
          <w:rFonts w:ascii="Times New Roman" w:hAnsi="Times New Roman" w:cs="Times New Roman"/>
        </w:rPr>
        <w:t>For intraocular sustained delivery, PLGA-based particles have been intensively explored, including for posterior-segment indications. A dedicated review in </w:t>
      </w:r>
      <w:r w:rsidRPr="00C742DA">
        <w:rPr>
          <w:rFonts w:ascii="Times New Roman" w:hAnsi="Times New Roman" w:cs="Times New Roman"/>
          <w:i/>
          <w:iCs/>
        </w:rPr>
        <w:t>Experimental Eye Research</w:t>
      </w:r>
      <w:r w:rsidRPr="00C742DA">
        <w:rPr>
          <w:rFonts w:ascii="Times New Roman" w:hAnsi="Times New Roman" w:cs="Times New Roman"/>
        </w:rPr>
        <w:t xml:space="preserve"> highlights PLGA as a versatile copolymer used to construct </w:t>
      </w:r>
      <w:proofErr w:type="spellStart"/>
      <w:r w:rsidRPr="00C742DA">
        <w:rPr>
          <w:rFonts w:ascii="Times New Roman" w:hAnsi="Times New Roman" w:cs="Times New Roman"/>
        </w:rPr>
        <w:t>nano</w:t>
      </w:r>
      <w:proofErr w:type="spellEnd"/>
      <w:r w:rsidRPr="00C742DA">
        <w:rPr>
          <w:rFonts w:ascii="Times New Roman" w:hAnsi="Times New Roman" w:cs="Times New Roman"/>
        </w:rPr>
        <w:t>/microparticles and scaffolds for intraocular delivery, with relevance to chronic retinal diseases. [52] </w:t>
      </w:r>
    </w:p>
    <w:p w14:paraId="7479632C" w14:textId="70584C7B"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lastRenderedPageBreak/>
        <w:drawing>
          <wp:inline distT="0" distB="0" distL="0" distR="0" wp14:anchorId="01174331" wp14:editId="343A8FFB">
            <wp:extent cx="5943600" cy="3241675"/>
            <wp:effectExtent l="0" t="0" r="0" b="0"/>
            <wp:docPr id="266392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611AF417" w14:textId="60AF59C7" w:rsidR="00B3263D" w:rsidRDefault="00B3263D" w:rsidP="00C742DA">
      <w:pPr>
        <w:jc w:val="both"/>
        <w:rPr>
          <w:rFonts w:ascii="Times New Roman" w:hAnsi="Times New Roman" w:cs="Times New Roman"/>
        </w:rPr>
      </w:pPr>
      <w:r>
        <w:rPr>
          <w:rFonts w:ascii="Times New Roman" w:hAnsi="Times New Roman" w:cs="Times New Roman"/>
        </w:rPr>
        <w:t xml:space="preserve">Fig No 04 - </w:t>
      </w:r>
      <w:r w:rsidRPr="00B3263D">
        <w:rPr>
          <w:rFonts w:ascii="Times New Roman" w:hAnsi="Times New Roman" w:cs="Times New Roman"/>
        </w:rPr>
        <w:t xml:space="preserve">Stimuli-Responsive </w:t>
      </w:r>
      <w:proofErr w:type="gramStart"/>
      <w:r w:rsidRPr="00B3263D">
        <w:rPr>
          <w:rFonts w:ascii="Times New Roman" w:hAnsi="Times New Roman" w:cs="Times New Roman"/>
        </w:rPr>
        <w:t>In</w:t>
      </w:r>
      <w:proofErr w:type="gramEnd"/>
      <w:r w:rsidRPr="00B3263D">
        <w:rPr>
          <w:rFonts w:ascii="Times New Roman" w:hAnsi="Times New Roman" w:cs="Times New Roman"/>
        </w:rPr>
        <w:t xml:space="preserve"> Situ Gelation Mechanisms for Ocular Drug Delivery</w:t>
      </w:r>
    </w:p>
    <w:p w14:paraId="16FD4A30" w14:textId="60F3E77F" w:rsidR="00B3263D" w:rsidRPr="00C742DA" w:rsidRDefault="00B3263D" w:rsidP="00C742DA">
      <w:pPr>
        <w:jc w:val="both"/>
        <w:rPr>
          <w:rFonts w:ascii="Times New Roman" w:hAnsi="Times New Roman" w:cs="Times New Roman"/>
        </w:rPr>
      </w:pPr>
      <w:r w:rsidRPr="00B3263D">
        <w:rPr>
          <w:rFonts w:ascii="Times New Roman" w:hAnsi="Times New Roman" w:cs="Times New Roman"/>
          <w:b/>
          <w:bCs/>
        </w:rPr>
        <w:t xml:space="preserve">Figure </w:t>
      </w:r>
      <w:r>
        <w:rPr>
          <w:rFonts w:ascii="Times New Roman" w:hAnsi="Times New Roman" w:cs="Times New Roman"/>
          <w:b/>
          <w:bCs/>
        </w:rPr>
        <w:t>04</w:t>
      </w:r>
      <w:r w:rsidRPr="00B3263D">
        <w:rPr>
          <w:rFonts w:ascii="Times New Roman" w:hAnsi="Times New Roman" w:cs="Times New Roman"/>
          <w:b/>
          <w:bCs/>
        </w:rPr>
        <w:t>.</w:t>
      </w:r>
      <w:r w:rsidRPr="00B3263D">
        <w:rPr>
          <w:rFonts w:ascii="Times New Roman" w:hAnsi="Times New Roman" w:cs="Times New Roman"/>
        </w:rPr>
        <w:t xml:space="preserve"> </w:t>
      </w:r>
      <w:r w:rsidRPr="00B3263D">
        <w:rPr>
          <w:rFonts w:ascii="Times New Roman" w:hAnsi="Times New Roman" w:cs="Times New Roman"/>
          <w:i/>
          <w:iCs/>
        </w:rPr>
        <w:t xml:space="preserve">Schematic illustration of three major stimuli-responsive in situ gelation mechanisms used in ocular drug delivery. (A) </w:t>
      </w:r>
      <w:proofErr w:type="spellStart"/>
      <w:r w:rsidRPr="00B3263D">
        <w:rPr>
          <w:rFonts w:ascii="Times New Roman" w:hAnsi="Times New Roman" w:cs="Times New Roman"/>
          <w:i/>
          <w:iCs/>
        </w:rPr>
        <w:t>Thermoresponsive</w:t>
      </w:r>
      <w:proofErr w:type="spellEnd"/>
      <w:r w:rsidRPr="00B3263D">
        <w:rPr>
          <w:rFonts w:ascii="Times New Roman" w:hAnsi="Times New Roman" w:cs="Times New Roman"/>
          <w:i/>
          <w:iCs/>
        </w:rPr>
        <w:t xml:space="preserve"> systems undergo sol-to-gel transition at ocular surface temperature (~35 °C), forming a micellar gel network. (B) pH-triggered systems transition from acidic formulation pH (~4–6) to tear fluid pH (~7.4), leading to polymer ionization and chain expansion. (C) Ion-activated systems gel upon interaction with tear fluid ions (e.g., Na⁺, Ca²⁺, Mg²⁺), resulting in ionic crosslinking (egg-box model). These mechanisms enhance viscosity, prolong precorneal residence time, and enable sustained drug release.</w:t>
      </w:r>
    </w:p>
    <w:p w14:paraId="062529E8" w14:textId="66237229"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.2.2 Solid lipid nanoparticles (SLNs) and nanostructured lipid carriers (NLCs)</w:t>
      </w:r>
    </w:p>
    <w:p w14:paraId="5AC55F61" w14:textId="102492AA" w:rsidR="00C742DA" w:rsidRPr="00C742DA" w:rsidRDefault="00C742DA" w:rsidP="00C742DA">
      <w:pPr>
        <w:jc w:val="both"/>
        <w:rPr>
          <w:rFonts w:ascii="Times New Roman" w:hAnsi="Times New Roman" w:cs="Times New Roman"/>
        </w:rPr>
      </w:pPr>
      <w:r w:rsidRPr="00C742DA">
        <w:rPr>
          <w:rFonts w:ascii="Times New Roman" w:hAnsi="Times New Roman" w:cs="Times New Roman"/>
        </w:rPr>
        <w:t>SLNs and NLCs are lipid-based nanoparticle platforms frequently positioned as biocompatible alternatives to some polymeric systems, particularly for lipophilic drugs. Recent ophthalmic-focused reviews emphasize that SLNs/NLCs can enhance ocular bioavailability, enable controlled release, and that their performance can be improved through surface modification (e.g., cationic coatings to increase ocular surface interaction). [53] </w:t>
      </w:r>
    </w:p>
    <w:p w14:paraId="60E8EB9F" w14:textId="661B4B2A" w:rsidR="00C742DA" w:rsidRPr="00C742DA" w:rsidRDefault="00C742DA" w:rsidP="00C742DA">
      <w:pPr>
        <w:jc w:val="both"/>
        <w:rPr>
          <w:rFonts w:ascii="Times New Roman" w:hAnsi="Times New Roman" w:cs="Times New Roman"/>
        </w:rPr>
      </w:pPr>
      <w:r w:rsidRPr="00C742DA">
        <w:rPr>
          <w:rFonts w:ascii="Times New Roman" w:hAnsi="Times New Roman" w:cs="Times New Roman"/>
        </w:rPr>
        <w:t>A practical distinction often emphasized is that NLCs (which incorporate a mixture of solid and liquid lipids) are designed to address limitations of earlier solid-lipid systems</w:t>
      </w:r>
      <w:r w:rsidR="0037244D">
        <w:rPr>
          <w:rFonts w:ascii="Times New Roman" w:hAnsi="Times New Roman" w:cs="Times New Roman"/>
        </w:rPr>
        <w:t xml:space="preserve"> </w:t>
      </w:r>
      <w:r w:rsidRPr="00C742DA">
        <w:rPr>
          <w:rFonts w:ascii="Times New Roman" w:hAnsi="Times New Roman" w:cs="Times New Roman"/>
        </w:rPr>
        <w:t>especially drug loading and drug expulsion during storage</w:t>
      </w:r>
      <w:r w:rsidR="0037244D">
        <w:rPr>
          <w:rFonts w:ascii="Times New Roman" w:hAnsi="Times New Roman" w:cs="Times New Roman"/>
        </w:rPr>
        <w:t xml:space="preserve"> </w:t>
      </w:r>
      <w:r w:rsidRPr="00C742DA">
        <w:rPr>
          <w:rFonts w:ascii="Times New Roman" w:hAnsi="Times New Roman" w:cs="Times New Roman"/>
        </w:rPr>
        <w:t>while still retaining the comfort and biodegradability advantages of lipid excipients. [53] </w:t>
      </w:r>
    </w:p>
    <w:p w14:paraId="62A4155E" w14:textId="401F6811" w:rsidR="00C742DA" w:rsidRPr="00C742DA" w:rsidRDefault="00C742DA" w:rsidP="00C742DA">
      <w:pPr>
        <w:jc w:val="both"/>
        <w:rPr>
          <w:rFonts w:ascii="Times New Roman" w:hAnsi="Times New Roman" w:cs="Times New Roman"/>
        </w:rPr>
      </w:pPr>
      <w:r w:rsidRPr="00C742DA">
        <w:rPr>
          <w:rFonts w:ascii="Times New Roman" w:hAnsi="Times New Roman" w:cs="Times New Roman"/>
        </w:rPr>
        <w:t>Notably for your review’s theme (nanoparticles embedded in smart gels), the same SLN/NLC literature explicitly discusses incorporating lipid nanoparticles into semisolid or in situ gelling formulations as a strategy to further enhance ocular residence and therapeutic performance. [53] </w:t>
      </w:r>
    </w:p>
    <w:p w14:paraId="4BD4927C" w14:textId="2F207631" w:rsidR="00C742DA" w:rsidRPr="00C742DA" w:rsidRDefault="004836BE" w:rsidP="00C742DA">
      <w:pPr>
        <w:jc w:val="both"/>
        <w:rPr>
          <w:rFonts w:ascii="Times New Roman" w:hAnsi="Times New Roman" w:cs="Times New Roman"/>
          <w:b/>
          <w:bCs/>
        </w:rPr>
      </w:pPr>
      <w:r>
        <w:rPr>
          <w:rFonts w:ascii="Times New Roman" w:hAnsi="Times New Roman" w:cs="Times New Roman"/>
          <w:b/>
          <w:bCs/>
        </w:rPr>
        <w:lastRenderedPageBreak/>
        <w:t>5</w:t>
      </w:r>
      <w:r w:rsidR="00C742DA" w:rsidRPr="00C742DA">
        <w:rPr>
          <w:rFonts w:ascii="Times New Roman" w:hAnsi="Times New Roman" w:cs="Times New Roman"/>
          <w:b/>
          <w:bCs/>
        </w:rPr>
        <w:t>.2.3 Liposomes</w:t>
      </w:r>
    </w:p>
    <w:p w14:paraId="350488FF" w14:textId="0FE83DE7" w:rsidR="00C742DA" w:rsidRPr="00C742DA" w:rsidRDefault="00C742DA" w:rsidP="00C742DA">
      <w:pPr>
        <w:jc w:val="both"/>
        <w:rPr>
          <w:rFonts w:ascii="Times New Roman" w:hAnsi="Times New Roman" w:cs="Times New Roman"/>
        </w:rPr>
      </w:pPr>
      <w:r w:rsidRPr="00C742DA">
        <w:rPr>
          <w:rFonts w:ascii="Times New Roman" w:hAnsi="Times New Roman" w:cs="Times New Roman"/>
        </w:rPr>
        <w:t>Liposomes are vesicular carriers with an aqueous core and lipid bilayers, allowing encapsulation of hydrophilic drugs (core) and lipophilic drugs (bilayer). They are also amenable to surface functionalization, which can support targeting or enhanced retention. In an anterior-segment nanomedicine review in </w:t>
      </w:r>
      <w:r w:rsidRPr="00C742DA">
        <w:rPr>
          <w:rFonts w:ascii="Times New Roman" w:hAnsi="Times New Roman" w:cs="Times New Roman"/>
          <w:i/>
          <w:iCs/>
        </w:rPr>
        <w:t>Journal of Controlled Release</w:t>
      </w:r>
      <w:r w:rsidRPr="00C742DA">
        <w:rPr>
          <w:rFonts w:ascii="Times New Roman" w:hAnsi="Times New Roman" w:cs="Times New Roman"/>
        </w:rPr>
        <w:t>, liposome–polymer hybrid systems are described for ocular indications (e.g., liposome/HPMC systems investigated for glaucoma-related therapy design), illustrating how liposomes are increasingly used as components in multi-material ophthalmic platforms rather than as stand-alone vesicles. [47] </w:t>
      </w:r>
    </w:p>
    <w:p w14:paraId="0A087256" w14:textId="71AF6002" w:rsidR="00C742DA" w:rsidRPr="00C742DA" w:rsidRDefault="004836BE" w:rsidP="00C742DA">
      <w:pPr>
        <w:jc w:val="both"/>
        <w:rPr>
          <w:rFonts w:ascii="Times New Roman" w:hAnsi="Times New Roman" w:cs="Times New Roman"/>
          <w:b/>
          <w:bCs/>
        </w:rPr>
      </w:pPr>
      <w:r w:rsidRPr="0037244D">
        <w:rPr>
          <w:rFonts w:ascii="Times New Roman" w:hAnsi="Times New Roman" w:cs="Times New Roman"/>
          <w:b/>
          <w:bCs/>
        </w:rPr>
        <w:t>5</w:t>
      </w:r>
      <w:r w:rsidR="00C742DA" w:rsidRPr="00C742DA">
        <w:rPr>
          <w:rFonts w:ascii="Times New Roman" w:hAnsi="Times New Roman" w:cs="Times New Roman"/>
          <w:b/>
          <w:bCs/>
        </w:rPr>
        <w:t xml:space="preserve">.2.4 </w:t>
      </w:r>
      <w:proofErr w:type="spellStart"/>
      <w:r w:rsidR="00C742DA" w:rsidRPr="00C742DA">
        <w:rPr>
          <w:rFonts w:ascii="Times New Roman" w:hAnsi="Times New Roman" w:cs="Times New Roman"/>
          <w:b/>
          <w:bCs/>
        </w:rPr>
        <w:t>Nanoemulsions</w:t>
      </w:r>
      <w:proofErr w:type="spellEnd"/>
      <w:r w:rsidR="00C742DA" w:rsidRPr="00C742DA">
        <w:rPr>
          <w:rFonts w:ascii="Times New Roman" w:hAnsi="Times New Roman" w:cs="Times New Roman"/>
          <w:b/>
          <w:bCs/>
        </w:rPr>
        <w:t xml:space="preserve"> and </w:t>
      </w:r>
      <w:proofErr w:type="spellStart"/>
      <w:r w:rsidR="00C742DA" w:rsidRPr="00C742DA">
        <w:rPr>
          <w:rFonts w:ascii="Times New Roman" w:hAnsi="Times New Roman" w:cs="Times New Roman"/>
          <w:b/>
          <w:bCs/>
        </w:rPr>
        <w:t>nanomicelles</w:t>
      </w:r>
      <w:proofErr w:type="spellEnd"/>
    </w:p>
    <w:p w14:paraId="0116FC9A" w14:textId="5B9B85B5" w:rsidR="00C742DA" w:rsidRPr="00C742DA" w:rsidRDefault="00C742DA" w:rsidP="00C742DA">
      <w:pPr>
        <w:jc w:val="both"/>
        <w:rPr>
          <w:rFonts w:ascii="Times New Roman" w:hAnsi="Times New Roman" w:cs="Times New Roman"/>
        </w:rPr>
      </w:pPr>
      <w:proofErr w:type="spellStart"/>
      <w:r w:rsidRPr="00C742DA">
        <w:rPr>
          <w:rFonts w:ascii="Times New Roman" w:hAnsi="Times New Roman" w:cs="Times New Roman"/>
        </w:rPr>
        <w:t>Nanoemulsions</w:t>
      </w:r>
      <w:proofErr w:type="spellEnd"/>
      <w:r w:rsidRPr="00C742DA">
        <w:rPr>
          <w:rFonts w:ascii="Times New Roman" w:hAnsi="Times New Roman" w:cs="Times New Roman"/>
        </w:rPr>
        <w:t xml:space="preserve"> are colloidal dispersions (typically oil-in-water for </w:t>
      </w:r>
      <w:proofErr w:type="spellStart"/>
      <w:r w:rsidRPr="00C742DA">
        <w:rPr>
          <w:rFonts w:ascii="Times New Roman" w:hAnsi="Times New Roman" w:cs="Times New Roman"/>
        </w:rPr>
        <w:t>ophthalmics</w:t>
      </w:r>
      <w:proofErr w:type="spellEnd"/>
      <w:r w:rsidRPr="00C742DA">
        <w:rPr>
          <w:rFonts w:ascii="Times New Roman" w:hAnsi="Times New Roman" w:cs="Times New Roman"/>
        </w:rPr>
        <w:t>) that can solubilize lipophilic drugs and improve ocular comfort and transparency when properly formulated. A dedicated review in </w:t>
      </w:r>
      <w:r w:rsidRPr="00C742DA">
        <w:rPr>
          <w:rFonts w:ascii="Times New Roman" w:hAnsi="Times New Roman" w:cs="Times New Roman"/>
          <w:i/>
          <w:iCs/>
        </w:rPr>
        <w:t>Journal of Molecular Liquids</w:t>
      </w:r>
      <w:r w:rsidRPr="00C742DA">
        <w:rPr>
          <w:rFonts w:ascii="Times New Roman" w:hAnsi="Times New Roman" w:cs="Times New Roman"/>
        </w:rPr>
        <w:t xml:space="preserve"> reports </w:t>
      </w:r>
      <w:proofErr w:type="spellStart"/>
      <w:r w:rsidRPr="00C742DA">
        <w:rPr>
          <w:rFonts w:ascii="Times New Roman" w:hAnsi="Times New Roman" w:cs="Times New Roman"/>
        </w:rPr>
        <w:t>nanoemulsion</w:t>
      </w:r>
      <w:proofErr w:type="spellEnd"/>
      <w:r w:rsidRPr="00C742DA">
        <w:rPr>
          <w:rFonts w:ascii="Times New Roman" w:hAnsi="Times New Roman" w:cs="Times New Roman"/>
        </w:rPr>
        <w:t xml:space="preserve"> droplet sizes commonly discussed within roughly 20–600 nm, and frames </w:t>
      </w:r>
      <w:proofErr w:type="spellStart"/>
      <w:r w:rsidRPr="00C742DA">
        <w:rPr>
          <w:rFonts w:ascii="Times New Roman" w:hAnsi="Times New Roman" w:cs="Times New Roman"/>
        </w:rPr>
        <w:t>nanoemulsions</w:t>
      </w:r>
      <w:proofErr w:type="spellEnd"/>
      <w:r w:rsidRPr="00C742DA">
        <w:rPr>
          <w:rFonts w:ascii="Times New Roman" w:hAnsi="Times New Roman" w:cs="Times New Roman"/>
        </w:rPr>
        <w:t xml:space="preserve"> as a route to enhance ocular bioavailability and contact time compared with conventional dispersions. [54] </w:t>
      </w:r>
    </w:p>
    <w:p w14:paraId="69E54BA0" w14:textId="6227ACAA" w:rsidR="00C742DA" w:rsidRPr="00C742DA" w:rsidRDefault="00C742DA" w:rsidP="00C742DA">
      <w:pPr>
        <w:jc w:val="both"/>
        <w:rPr>
          <w:rFonts w:ascii="Times New Roman" w:hAnsi="Times New Roman" w:cs="Times New Roman"/>
        </w:rPr>
      </w:pPr>
      <w:proofErr w:type="spellStart"/>
      <w:r w:rsidRPr="00C742DA">
        <w:rPr>
          <w:rFonts w:ascii="Times New Roman" w:hAnsi="Times New Roman" w:cs="Times New Roman"/>
        </w:rPr>
        <w:t>Nanomicelles</w:t>
      </w:r>
      <w:proofErr w:type="spellEnd"/>
      <w:r w:rsidRPr="00C742DA">
        <w:rPr>
          <w:rFonts w:ascii="Times New Roman" w:hAnsi="Times New Roman" w:cs="Times New Roman"/>
        </w:rPr>
        <w:t>, formed by self-assembly of amphiphilic molecules or block copolymers, are especially valuable for poorly water-soluble drugs because the hydrophobic core can solubilize drug while the hydrophilic shell maintains clarity and tolerability. An ophthalmic micelle review in </w:t>
      </w:r>
      <w:r w:rsidRPr="00C742DA">
        <w:rPr>
          <w:rFonts w:ascii="Times New Roman" w:hAnsi="Times New Roman" w:cs="Times New Roman"/>
          <w:i/>
          <w:iCs/>
        </w:rPr>
        <w:t>Nanoscale Advances</w:t>
      </w:r>
      <w:r w:rsidRPr="00C742DA">
        <w:rPr>
          <w:rFonts w:ascii="Times New Roman" w:hAnsi="Times New Roman" w:cs="Times New Roman"/>
        </w:rPr>
        <w:t> highlights micelle systems not only as simple carriers but also as </w:t>
      </w:r>
      <w:r w:rsidRPr="00C742DA">
        <w:rPr>
          <w:rFonts w:ascii="Times New Roman" w:hAnsi="Times New Roman" w:cs="Times New Roman"/>
          <w:i/>
          <w:iCs/>
        </w:rPr>
        <w:t>composites</w:t>
      </w:r>
      <w:r w:rsidRPr="00C742DA">
        <w:rPr>
          <w:rFonts w:ascii="Times New Roman" w:hAnsi="Times New Roman" w:cs="Times New Roman"/>
        </w:rPr>
        <w:t>, including micelle-loaded hydrogels, reinforcing their relevance to nanoparticle-in-gel strategies. [56] </w:t>
      </w:r>
    </w:p>
    <w:p w14:paraId="1C93355C" w14:textId="2717D631" w:rsidR="00C742DA" w:rsidRPr="00C742DA" w:rsidRDefault="00C742DA" w:rsidP="00C742DA">
      <w:pPr>
        <w:jc w:val="both"/>
        <w:rPr>
          <w:rFonts w:ascii="Times New Roman" w:hAnsi="Times New Roman" w:cs="Times New Roman"/>
        </w:rPr>
      </w:pPr>
      <w:r w:rsidRPr="00C742DA">
        <w:rPr>
          <w:rFonts w:ascii="Times New Roman" w:hAnsi="Times New Roman" w:cs="Times New Roman"/>
        </w:rPr>
        <w:t>A key translational indicator is that ocular nanocarriers are no longer purely academic. The </w:t>
      </w:r>
      <w:r w:rsidRPr="00C742DA">
        <w:rPr>
          <w:rFonts w:ascii="Times New Roman" w:hAnsi="Times New Roman" w:cs="Times New Roman"/>
          <w:i/>
          <w:iCs/>
        </w:rPr>
        <w:t>Journal of Controlled Release</w:t>
      </w:r>
      <w:r w:rsidRPr="00C742DA">
        <w:rPr>
          <w:rFonts w:ascii="Times New Roman" w:hAnsi="Times New Roman" w:cs="Times New Roman"/>
        </w:rPr>
        <w:t> review provides an FDA-approved nanocarrier table for anterior-segment disease showing approved products based on </w:t>
      </w:r>
      <w:proofErr w:type="spellStart"/>
      <w:r w:rsidRPr="00C742DA">
        <w:rPr>
          <w:rFonts w:ascii="Times New Roman" w:hAnsi="Times New Roman" w:cs="Times New Roman"/>
        </w:rPr>
        <w:t>nanoemulsions</w:t>
      </w:r>
      <w:proofErr w:type="spellEnd"/>
      <w:r w:rsidRPr="00C742DA">
        <w:rPr>
          <w:rFonts w:ascii="Times New Roman" w:hAnsi="Times New Roman" w:cs="Times New Roman"/>
        </w:rPr>
        <w:t xml:space="preserve"> (e.g., Restasis®) and </w:t>
      </w:r>
      <w:proofErr w:type="spellStart"/>
      <w:r w:rsidRPr="00C742DA">
        <w:rPr>
          <w:rFonts w:ascii="Times New Roman" w:hAnsi="Times New Roman" w:cs="Times New Roman"/>
        </w:rPr>
        <w:t>nanomicelles</w:t>
      </w:r>
      <w:proofErr w:type="spellEnd"/>
      <w:r w:rsidRPr="00C742DA">
        <w:rPr>
          <w:rFonts w:ascii="Times New Roman" w:hAnsi="Times New Roman" w:cs="Times New Roman"/>
        </w:rPr>
        <w:t xml:space="preserve"> (e.g., </w:t>
      </w:r>
      <w:proofErr w:type="spellStart"/>
      <w:r w:rsidRPr="00C742DA">
        <w:rPr>
          <w:rFonts w:ascii="Times New Roman" w:hAnsi="Times New Roman" w:cs="Times New Roman"/>
        </w:rPr>
        <w:t>Cequa</w:t>
      </w:r>
      <w:proofErr w:type="spellEnd"/>
      <w:r w:rsidRPr="00C742DA">
        <w:rPr>
          <w:rFonts w:ascii="Times New Roman" w:hAnsi="Times New Roman" w:cs="Times New Roman"/>
        </w:rPr>
        <w:t>®) among others</w:t>
      </w:r>
      <w:r w:rsidR="0037244D">
        <w:rPr>
          <w:rFonts w:ascii="Times New Roman" w:hAnsi="Times New Roman" w:cs="Times New Roman"/>
        </w:rPr>
        <w:t xml:space="preserve"> </w:t>
      </w:r>
      <w:r w:rsidRPr="00C742DA">
        <w:rPr>
          <w:rFonts w:ascii="Times New Roman" w:hAnsi="Times New Roman" w:cs="Times New Roman"/>
        </w:rPr>
        <w:t xml:space="preserve">evidence that </w:t>
      </w:r>
      <w:proofErr w:type="spellStart"/>
      <w:r w:rsidRPr="00C742DA">
        <w:rPr>
          <w:rFonts w:ascii="Times New Roman" w:hAnsi="Times New Roman" w:cs="Times New Roman"/>
        </w:rPr>
        <w:t>nanoformulation</w:t>
      </w:r>
      <w:proofErr w:type="spellEnd"/>
      <w:r w:rsidRPr="00C742DA">
        <w:rPr>
          <w:rFonts w:ascii="Times New Roman" w:hAnsi="Times New Roman" w:cs="Times New Roman"/>
        </w:rPr>
        <w:t xml:space="preserve"> strategies can reach the market when the manufacturing and quality package is robust. [47] </w:t>
      </w:r>
    </w:p>
    <w:p w14:paraId="5672CF81" w14:textId="419DDDB6"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.2.5 Dendrimers</w:t>
      </w:r>
    </w:p>
    <w:p w14:paraId="0D8F73D7" w14:textId="5880E6DF" w:rsidR="00C742DA" w:rsidRPr="00C742DA" w:rsidRDefault="00C742DA" w:rsidP="00C742DA">
      <w:pPr>
        <w:jc w:val="both"/>
        <w:rPr>
          <w:rFonts w:ascii="Times New Roman" w:hAnsi="Times New Roman" w:cs="Times New Roman"/>
        </w:rPr>
      </w:pPr>
      <w:r w:rsidRPr="00C742DA">
        <w:rPr>
          <w:rFonts w:ascii="Times New Roman" w:hAnsi="Times New Roman" w:cs="Times New Roman"/>
        </w:rPr>
        <w:t>Dendrimers are highly branched macromolecules with controlled architecture, multivalent surface functionality, and tunable size/charge</w:t>
      </w:r>
      <w:r w:rsidR="0037244D">
        <w:rPr>
          <w:rFonts w:ascii="Times New Roman" w:hAnsi="Times New Roman" w:cs="Times New Roman"/>
        </w:rPr>
        <w:t xml:space="preserve"> </w:t>
      </w:r>
      <w:r w:rsidRPr="00C742DA">
        <w:rPr>
          <w:rFonts w:ascii="Times New Roman" w:hAnsi="Times New Roman" w:cs="Times New Roman"/>
        </w:rPr>
        <w:t xml:space="preserve">properties that can be exploited for solubilization, </w:t>
      </w:r>
      <w:proofErr w:type="spellStart"/>
      <w:r w:rsidRPr="00C742DA">
        <w:rPr>
          <w:rFonts w:ascii="Times New Roman" w:hAnsi="Times New Roman" w:cs="Times New Roman"/>
        </w:rPr>
        <w:t>mucoadhesion</w:t>
      </w:r>
      <w:proofErr w:type="spellEnd"/>
      <w:r w:rsidRPr="00C742DA">
        <w:rPr>
          <w:rFonts w:ascii="Times New Roman" w:hAnsi="Times New Roman" w:cs="Times New Roman"/>
        </w:rPr>
        <w:t>, and conjugation-based sustained delivery. In the </w:t>
      </w:r>
      <w:r w:rsidRPr="00C742DA">
        <w:rPr>
          <w:rFonts w:ascii="Times New Roman" w:hAnsi="Times New Roman" w:cs="Times New Roman"/>
          <w:i/>
          <w:iCs/>
        </w:rPr>
        <w:t>Journal of Controlled Release</w:t>
      </w:r>
      <w:r w:rsidRPr="00C742DA">
        <w:rPr>
          <w:rFonts w:ascii="Times New Roman" w:hAnsi="Times New Roman" w:cs="Times New Roman"/>
        </w:rPr>
        <w:t> anterior-segment review, dendrimers are discussed as promising but nuanced platforms; examples include dendrimer-based systems developed for glaucoma therapy and even hybrid “dendrimer–hydrogel–particle” designs reporting markedly improved corneal permeation compared with drug solution in experimental settings. [47] </w:t>
      </w:r>
    </w:p>
    <w:p w14:paraId="535BA8C4" w14:textId="63577B35"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.2.6 Nanogels</w:t>
      </w:r>
    </w:p>
    <w:p w14:paraId="33CE9530" w14:textId="1D2A636F" w:rsidR="00C742DA" w:rsidRPr="00C742DA" w:rsidRDefault="00C742DA" w:rsidP="00C742DA">
      <w:pPr>
        <w:jc w:val="both"/>
        <w:rPr>
          <w:rFonts w:ascii="Times New Roman" w:hAnsi="Times New Roman" w:cs="Times New Roman"/>
        </w:rPr>
      </w:pPr>
      <w:r w:rsidRPr="00C742DA">
        <w:rPr>
          <w:rFonts w:ascii="Times New Roman" w:hAnsi="Times New Roman" w:cs="Times New Roman"/>
        </w:rPr>
        <w:t xml:space="preserve">Nanogels are nanoscale hydrogel particles that conceptually merge the benefits of nanoparticles (small size, tunable surfaces) with hydrogels (high water content, biocompatibility, </w:t>
      </w:r>
      <w:proofErr w:type="spellStart"/>
      <w:r w:rsidRPr="00C742DA">
        <w:rPr>
          <w:rFonts w:ascii="Times New Roman" w:hAnsi="Times New Roman" w:cs="Times New Roman"/>
        </w:rPr>
        <w:t>bioadhesion</w:t>
      </w:r>
      <w:proofErr w:type="spellEnd"/>
      <w:r w:rsidRPr="00C742DA">
        <w:rPr>
          <w:rFonts w:ascii="Times New Roman" w:hAnsi="Times New Roman" w:cs="Times New Roman"/>
        </w:rPr>
        <w:t xml:space="preserve">). </w:t>
      </w:r>
      <w:r w:rsidRPr="00C742DA">
        <w:rPr>
          <w:rFonts w:ascii="Times New Roman" w:hAnsi="Times New Roman" w:cs="Times New Roman"/>
        </w:rPr>
        <w:lastRenderedPageBreak/>
        <w:t>A recent nanogel-focused review explicitly frames nanogels as “integrating the advantages of nanoparticles and hydrogels,” emphasizing enhanced corneal retention/</w:t>
      </w:r>
      <w:proofErr w:type="spellStart"/>
      <w:r w:rsidRPr="00C742DA">
        <w:rPr>
          <w:rFonts w:ascii="Times New Roman" w:hAnsi="Times New Roman" w:cs="Times New Roman"/>
        </w:rPr>
        <w:t>mucoadhesion</w:t>
      </w:r>
      <w:proofErr w:type="spellEnd"/>
      <w:r w:rsidRPr="00C742DA">
        <w:rPr>
          <w:rFonts w:ascii="Times New Roman" w:hAnsi="Times New Roman" w:cs="Times New Roman"/>
        </w:rPr>
        <w:t xml:space="preserve"> and controlled release while also highlighting translational needs such as scalable manufacturing and sterilization. [58] </w:t>
      </w:r>
    </w:p>
    <w:p w14:paraId="173E161A" w14:textId="6324B20B" w:rsidR="00C742DA" w:rsidRPr="00C742DA" w:rsidRDefault="004836BE" w:rsidP="00C742DA">
      <w:pPr>
        <w:jc w:val="both"/>
        <w:rPr>
          <w:rFonts w:ascii="Times New Roman" w:hAnsi="Times New Roman" w:cs="Times New Roman"/>
          <w:b/>
          <w:bCs/>
        </w:rPr>
      </w:pPr>
      <w:r>
        <w:rPr>
          <w:rFonts w:ascii="Times New Roman" w:hAnsi="Times New Roman" w:cs="Times New Roman"/>
          <w:b/>
          <w:bCs/>
        </w:rPr>
        <w:t>5</w:t>
      </w:r>
      <w:r w:rsidR="00C742DA" w:rsidRPr="00C742DA">
        <w:rPr>
          <w:rFonts w:ascii="Times New Roman" w:hAnsi="Times New Roman" w:cs="Times New Roman"/>
          <w:b/>
          <w:bCs/>
        </w:rPr>
        <w:t>.3 Advantages and limitations of nanocarriers</w:t>
      </w:r>
    </w:p>
    <w:p w14:paraId="43E297BF" w14:textId="77777777" w:rsidR="00C742DA" w:rsidRPr="00C742DA" w:rsidRDefault="00C742DA" w:rsidP="00C742DA">
      <w:pPr>
        <w:jc w:val="both"/>
        <w:rPr>
          <w:rFonts w:ascii="Times New Roman" w:hAnsi="Times New Roman" w:cs="Times New Roman"/>
        </w:rPr>
      </w:pPr>
      <w:r w:rsidRPr="00C742DA">
        <w:rPr>
          <w:rFonts w:ascii="Times New Roman" w:hAnsi="Times New Roman" w:cs="Times New Roman"/>
        </w:rPr>
        <w:t>Across platforms, key advantages include drug protection, improved solubilization, sustained release, and the ability to tune surface properties to enhance ocular interaction. However, major limitations repeatedly noted in the literature include: (</w:t>
      </w:r>
      <w:proofErr w:type="spellStart"/>
      <w:r w:rsidRPr="00C742DA">
        <w:rPr>
          <w:rFonts w:ascii="Times New Roman" w:hAnsi="Times New Roman" w:cs="Times New Roman"/>
        </w:rPr>
        <w:t>i</w:t>
      </w:r>
      <w:proofErr w:type="spellEnd"/>
      <w:r w:rsidRPr="00C742DA">
        <w:rPr>
          <w:rFonts w:ascii="Times New Roman" w:hAnsi="Times New Roman" w:cs="Times New Roman"/>
        </w:rPr>
        <w:t xml:space="preserve">) manufacturing scale-up without changing critical quality attributes, (ii) sterilization compatibility (especially for complex colloids), (iii) long-term physical stability (aggregation, leakage, Ostwald ripening for emulsions), and (iv) regulatory expectations for reproducible characterization and batch-to-batch control. These issues are discussed as central barriers to clinical translation in broad ocular nanomedicine reviews and in </w:t>
      </w:r>
      <w:proofErr w:type="spellStart"/>
      <w:r w:rsidRPr="00C742DA">
        <w:rPr>
          <w:rFonts w:ascii="Times New Roman" w:hAnsi="Times New Roman" w:cs="Times New Roman"/>
        </w:rPr>
        <w:t>nanoemulsion</w:t>
      </w:r>
      <w:proofErr w:type="spellEnd"/>
      <w:r w:rsidRPr="00C742DA">
        <w:rPr>
          <w:rFonts w:ascii="Times New Roman" w:hAnsi="Times New Roman" w:cs="Times New Roman"/>
        </w:rPr>
        <w:t xml:space="preserve"> quality-control focused papers. [46,55,58] </w:t>
      </w:r>
    </w:p>
    <w:p w14:paraId="2683EB3F" w14:textId="77777777" w:rsidR="0059516C" w:rsidRPr="0059516C" w:rsidRDefault="0059516C" w:rsidP="0059516C">
      <w:pPr>
        <w:jc w:val="both"/>
        <w:rPr>
          <w:rFonts w:ascii="Times New Roman" w:hAnsi="Times New Roman" w:cs="Times New Roman"/>
          <w:b/>
          <w:bCs/>
        </w:rPr>
      </w:pPr>
      <w:r w:rsidRPr="0059516C">
        <w:rPr>
          <w:rFonts w:ascii="Times New Roman" w:hAnsi="Times New Roman" w:cs="Times New Roman"/>
          <w:b/>
          <w:bCs/>
        </w:rPr>
        <w:t>Table 4. Comparison of nanocarrier types for ocular drug delivery</w:t>
      </w:r>
    </w:p>
    <w:tbl>
      <w:tblPr>
        <w:tblStyle w:val="TableGrid"/>
        <w:tblW w:w="0" w:type="auto"/>
        <w:tblLayout w:type="fixed"/>
        <w:tblLook w:val="04A0" w:firstRow="1" w:lastRow="0" w:firstColumn="1" w:lastColumn="0" w:noHBand="0" w:noVBand="1"/>
      </w:tblPr>
      <w:tblGrid>
        <w:gridCol w:w="1525"/>
        <w:gridCol w:w="2070"/>
        <w:gridCol w:w="2430"/>
        <w:gridCol w:w="3325"/>
      </w:tblGrid>
      <w:tr w:rsidR="0059516C" w:rsidRPr="0059516C" w14:paraId="7C96EDE3" w14:textId="77777777" w:rsidTr="0059516C">
        <w:tc>
          <w:tcPr>
            <w:tcW w:w="1525" w:type="dxa"/>
            <w:hideMark/>
          </w:tcPr>
          <w:p w14:paraId="2DE49F3D" w14:textId="77777777" w:rsidR="0059516C" w:rsidRPr="0059516C" w:rsidRDefault="0059516C" w:rsidP="00450B9B">
            <w:pPr>
              <w:spacing w:line="278" w:lineRule="auto"/>
              <w:jc w:val="both"/>
              <w:rPr>
                <w:rFonts w:ascii="Times New Roman" w:hAnsi="Times New Roman" w:cs="Times New Roman"/>
                <w:b/>
                <w:bCs/>
              </w:rPr>
            </w:pPr>
            <w:r w:rsidRPr="0059516C">
              <w:rPr>
                <w:rFonts w:ascii="Times New Roman" w:hAnsi="Times New Roman" w:cs="Times New Roman"/>
                <w:b/>
                <w:bCs/>
              </w:rPr>
              <w:t>Nanocarrier</w:t>
            </w:r>
          </w:p>
        </w:tc>
        <w:tc>
          <w:tcPr>
            <w:tcW w:w="2070" w:type="dxa"/>
            <w:hideMark/>
          </w:tcPr>
          <w:p w14:paraId="36BDA859" w14:textId="77777777" w:rsidR="0059516C" w:rsidRPr="0059516C" w:rsidRDefault="0059516C" w:rsidP="00450B9B">
            <w:pPr>
              <w:spacing w:line="278" w:lineRule="auto"/>
              <w:jc w:val="both"/>
              <w:rPr>
                <w:rFonts w:ascii="Times New Roman" w:hAnsi="Times New Roman" w:cs="Times New Roman"/>
                <w:b/>
                <w:bCs/>
              </w:rPr>
            </w:pPr>
            <w:r w:rsidRPr="0059516C">
              <w:rPr>
                <w:rFonts w:ascii="Times New Roman" w:hAnsi="Times New Roman" w:cs="Times New Roman"/>
                <w:b/>
                <w:bCs/>
              </w:rPr>
              <w:t>Typical size range (reported/commonly used)</w:t>
            </w:r>
          </w:p>
        </w:tc>
        <w:tc>
          <w:tcPr>
            <w:tcW w:w="2430" w:type="dxa"/>
            <w:hideMark/>
          </w:tcPr>
          <w:p w14:paraId="24F03939" w14:textId="77777777" w:rsidR="0059516C" w:rsidRPr="0059516C" w:rsidRDefault="0059516C" w:rsidP="00450B9B">
            <w:pPr>
              <w:spacing w:line="278" w:lineRule="auto"/>
              <w:jc w:val="both"/>
              <w:rPr>
                <w:rFonts w:ascii="Times New Roman" w:hAnsi="Times New Roman" w:cs="Times New Roman"/>
                <w:b/>
                <w:bCs/>
              </w:rPr>
            </w:pPr>
            <w:r w:rsidRPr="0059516C">
              <w:rPr>
                <w:rFonts w:ascii="Times New Roman" w:hAnsi="Times New Roman" w:cs="Times New Roman"/>
                <w:b/>
                <w:bCs/>
              </w:rPr>
              <w:t>Key advantage</w:t>
            </w:r>
          </w:p>
        </w:tc>
        <w:tc>
          <w:tcPr>
            <w:tcW w:w="3325" w:type="dxa"/>
            <w:hideMark/>
          </w:tcPr>
          <w:p w14:paraId="2ECFFFD9" w14:textId="2BD0B521" w:rsidR="0059516C" w:rsidRPr="0059516C" w:rsidRDefault="0059516C" w:rsidP="00450B9B">
            <w:pPr>
              <w:spacing w:line="278" w:lineRule="auto"/>
              <w:jc w:val="both"/>
              <w:rPr>
                <w:rFonts w:ascii="Times New Roman" w:hAnsi="Times New Roman" w:cs="Times New Roman"/>
                <w:b/>
                <w:bCs/>
              </w:rPr>
            </w:pPr>
            <w:r w:rsidRPr="0059516C">
              <w:rPr>
                <w:rFonts w:ascii="Times New Roman" w:hAnsi="Times New Roman" w:cs="Times New Roman"/>
                <w:b/>
                <w:bCs/>
              </w:rPr>
              <w:t>Key limitation</w:t>
            </w:r>
          </w:p>
        </w:tc>
      </w:tr>
      <w:tr w:rsidR="0059516C" w:rsidRPr="0059516C" w14:paraId="466E7258" w14:textId="77777777" w:rsidTr="0059516C">
        <w:tc>
          <w:tcPr>
            <w:tcW w:w="1525" w:type="dxa"/>
            <w:hideMark/>
          </w:tcPr>
          <w:p w14:paraId="4531174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Polymeric NPs (e.g., PLGA/PLA/PCL)</w:t>
            </w:r>
          </w:p>
        </w:tc>
        <w:tc>
          <w:tcPr>
            <w:tcW w:w="2070" w:type="dxa"/>
            <w:hideMark/>
          </w:tcPr>
          <w:p w14:paraId="0757A5F0"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 xml:space="preserve">~200–400 nm often discussed for topical uptake; </w:t>
            </w:r>
            <w:proofErr w:type="gramStart"/>
            <w:r w:rsidRPr="0059516C">
              <w:rPr>
                <w:rFonts w:ascii="Times New Roman" w:hAnsi="Times New Roman" w:cs="Times New Roman"/>
              </w:rPr>
              <w:t>generally</w:t>
            </w:r>
            <w:proofErr w:type="gramEnd"/>
            <w:r w:rsidRPr="0059516C">
              <w:rPr>
                <w:rFonts w:ascii="Times New Roman" w:hAnsi="Times New Roman" w:cs="Times New Roman"/>
              </w:rPr>
              <w:t xml:space="preserve"> &lt;1000 nm</w:t>
            </w:r>
          </w:p>
        </w:tc>
        <w:tc>
          <w:tcPr>
            <w:tcW w:w="2430" w:type="dxa"/>
            <w:hideMark/>
          </w:tcPr>
          <w:p w14:paraId="4885AE2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Tunable release; drug protection; versatile payloads</w:t>
            </w:r>
          </w:p>
        </w:tc>
        <w:tc>
          <w:tcPr>
            <w:tcW w:w="3325" w:type="dxa"/>
            <w:hideMark/>
          </w:tcPr>
          <w:p w14:paraId="4B779A7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Burst release possible; scale-up/sterilization complexity [49,52]</w:t>
            </w:r>
          </w:p>
        </w:tc>
      </w:tr>
      <w:tr w:rsidR="0059516C" w:rsidRPr="0059516C" w14:paraId="030F405D" w14:textId="77777777" w:rsidTr="0059516C">
        <w:tc>
          <w:tcPr>
            <w:tcW w:w="1525" w:type="dxa"/>
            <w:hideMark/>
          </w:tcPr>
          <w:p w14:paraId="16257802"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SLN</w:t>
            </w:r>
          </w:p>
        </w:tc>
        <w:tc>
          <w:tcPr>
            <w:tcW w:w="2070" w:type="dxa"/>
            <w:hideMark/>
          </w:tcPr>
          <w:p w14:paraId="367996A1"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~50–500 nm</w:t>
            </w:r>
          </w:p>
        </w:tc>
        <w:tc>
          <w:tcPr>
            <w:tcW w:w="2430" w:type="dxa"/>
            <w:hideMark/>
          </w:tcPr>
          <w:p w14:paraId="71947747"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Biocompatible lipids; good for lipophilic drugs</w:t>
            </w:r>
          </w:p>
        </w:tc>
        <w:tc>
          <w:tcPr>
            <w:tcW w:w="3325" w:type="dxa"/>
            <w:hideMark/>
          </w:tcPr>
          <w:p w14:paraId="67B0C1FF"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Drug loading limitations; polymorphic transitions/stability issues [53]</w:t>
            </w:r>
          </w:p>
        </w:tc>
      </w:tr>
      <w:tr w:rsidR="0059516C" w:rsidRPr="0059516C" w14:paraId="3DD57FCF" w14:textId="77777777" w:rsidTr="0059516C">
        <w:tc>
          <w:tcPr>
            <w:tcW w:w="1525" w:type="dxa"/>
            <w:hideMark/>
          </w:tcPr>
          <w:p w14:paraId="7B24D266"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NLC</w:t>
            </w:r>
          </w:p>
        </w:tc>
        <w:tc>
          <w:tcPr>
            <w:tcW w:w="2070" w:type="dxa"/>
            <w:hideMark/>
          </w:tcPr>
          <w:p w14:paraId="4EA8901D"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~100–500 nm</w:t>
            </w:r>
          </w:p>
        </w:tc>
        <w:tc>
          <w:tcPr>
            <w:tcW w:w="2430" w:type="dxa"/>
            <w:hideMark/>
          </w:tcPr>
          <w:p w14:paraId="33AD7916"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Higher loading vs SLN; controlled release; modifiable surface</w:t>
            </w:r>
          </w:p>
        </w:tc>
        <w:tc>
          <w:tcPr>
            <w:tcW w:w="3325" w:type="dxa"/>
            <w:hideMark/>
          </w:tcPr>
          <w:p w14:paraId="210AFE96"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Formulation complexity; characterization/QC burden [53]</w:t>
            </w:r>
          </w:p>
        </w:tc>
      </w:tr>
      <w:tr w:rsidR="0059516C" w:rsidRPr="0059516C" w14:paraId="56CFBCD1" w14:textId="77777777" w:rsidTr="0059516C">
        <w:tc>
          <w:tcPr>
            <w:tcW w:w="1525" w:type="dxa"/>
            <w:hideMark/>
          </w:tcPr>
          <w:p w14:paraId="4294EE55"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Liposomes</w:t>
            </w:r>
          </w:p>
        </w:tc>
        <w:tc>
          <w:tcPr>
            <w:tcW w:w="2070" w:type="dxa"/>
            <w:hideMark/>
          </w:tcPr>
          <w:p w14:paraId="66880D51"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~50–1000 nm</w:t>
            </w:r>
          </w:p>
        </w:tc>
        <w:tc>
          <w:tcPr>
            <w:tcW w:w="2430" w:type="dxa"/>
            <w:hideMark/>
          </w:tcPr>
          <w:p w14:paraId="0C73BF7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Encapsulate hydrophilic + lipophilic drugs; modifiable surface</w:t>
            </w:r>
          </w:p>
        </w:tc>
        <w:tc>
          <w:tcPr>
            <w:tcW w:w="3325" w:type="dxa"/>
            <w:hideMark/>
          </w:tcPr>
          <w:p w14:paraId="4F85B078"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Leakage/physical instability; process sensitivity [47]</w:t>
            </w:r>
          </w:p>
        </w:tc>
      </w:tr>
      <w:tr w:rsidR="0059516C" w:rsidRPr="0059516C" w14:paraId="07C20650" w14:textId="77777777" w:rsidTr="0059516C">
        <w:tc>
          <w:tcPr>
            <w:tcW w:w="1525" w:type="dxa"/>
            <w:hideMark/>
          </w:tcPr>
          <w:p w14:paraId="7A8B73DE" w14:textId="77777777" w:rsidR="0059516C" w:rsidRPr="0059516C" w:rsidRDefault="0059516C" w:rsidP="00450B9B">
            <w:pPr>
              <w:spacing w:line="278" w:lineRule="auto"/>
              <w:jc w:val="both"/>
              <w:rPr>
                <w:rFonts w:ascii="Times New Roman" w:hAnsi="Times New Roman" w:cs="Times New Roman"/>
              </w:rPr>
            </w:pPr>
            <w:proofErr w:type="spellStart"/>
            <w:r w:rsidRPr="0059516C">
              <w:rPr>
                <w:rFonts w:ascii="Times New Roman" w:hAnsi="Times New Roman" w:cs="Times New Roman"/>
              </w:rPr>
              <w:t>Nanoemulsions</w:t>
            </w:r>
            <w:proofErr w:type="spellEnd"/>
          </w:p>
        </w:tc>
        <w:tc>
          <w:tcPr>
            <w:tcW w:w="2070" w:type="dxa"/>
            <w:hideMark/>
          </w:tcPr>
          <w:p w14:paraId="52E8F299"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~20–600 nm (droplets)</w:t>
            </w:r>
          </w:p>
        </w:tc>
        <w:tc>
          <w:tcPr>
            <w:tcW w:w="2430" w:type="dxa"/>
            <w:hideMark/>
          </w:tcPr>
          <w:p w14:paraId="4DAFC799"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Solubilize lipophilic drugs; clear systems possible</w:t>
            </w:r>
          </w:p>
        </w:tc>
        <w:tc>
          <w:tcPr>
            <w:tcW w:w="3325" w:type="dxa"/>
            <w:hideMark/>
          </w:tcPr>
          <w:p w14:paraId="6B8927A0"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Thermodynamic instability; surfactant tolerability constraints [54,55]</w:t>
            </w:r>
          </w:p>
        </w:tc>
      </w:tr>
      <w:tr w:rsidR="0059516C" w:rsidRPr="0059516C" w14:paraId="43DAD806" w14:textId="77777777" w:rsidTr="0059516C">
        <w:tc>
          <w:tcPr>
            <w:tcW w:w="1525" w:type="dxa"/>
            <w:hideMark/>
          </w:tcPr>
          <w:p w14:paraId="3978CECE" w14:textId="77777777" w:rsidR="0059516C" w:rsidRPr="0059516C" w:rsidRDefault="0059516C" w:rsidP="00450B9B">
            <w:pPr>
              <w:spacing w:line="278" w:lineRule="auto"/>
              <w:jc w:val="both"/>
              <w:rPr>
                <w:rFonts w:ascii="Times New Roman" w:hAnsi="Times New Roman" w:cs="Times New Roman"/>
              </w:rPr>
            </w:pPr>
            <w:proofErr w:type="spellStart"/>
            <w:r w:rsidRPr="0059516C">
              <w:rPr>
                <w:rFonts w:ascii="Times New Roman" w:hAnsi="Times New Roman" w:cs="Times New Roman"/>
              </w:rPr>
              <w:lastRenderedPageBreak/>
              <w:t>Nanomicelles</w:t>
            </w:r>
            <w:proofErr w:type="spellEnd"/>
          </w:p>
        </w:tc>
        <w:tc>
          <w:tcPr>
            <w:tcW w:w="2070" w:type="dxa"/>
            <w:hideMark/>
          </w:tcPr>
          <w:p w14:paraId="6AA280F6"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~10–100 nm</w:t>
            </w:r>
          </w:p>
        </w:tc>
        <w:tc>
          <w:tcPr>
            <w:tcW w:w="2430" w:type="dxa"/>
            <w:hideMark/>
          </w:tcPr>
          <w:p w14:paraId="773A4C2F"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Excellent for hydrophobic drug solubilization; transparent</w:t>
            </w:r>
          </w:p>
        </w:tc>
        <w:tc>
          <w:tcPr>
            <w:tcW w:w="3325" w:type="dxa"/>
            <w:hideMark/>
          </w:tcPr>
          <w:p w14:paraId="128999B8"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Dilution-related instability; rapid clearance unless retained/combined [49,56]</w:t>
            </w:r>
          </w:p>
        </w:tc>
      </w:tr>
      <w:tr w:rsidR="0059516C" w:rsidRPr="0059516C" w14:paraId="5A31B809" w14:textId="77777777" w:rsidTr="0059516C">
        <w:tc>
          <w:tcPr>
            <w:tcW w:w="1525" w:type="dxa"/>
            <w:hideMark/>
          </w:tcPr>
          <w:p w14:paraId="3D9E3027"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Dendrimers</w:t>
            </w:r>
          </w:p>
        </w:tc>
        <w:tc>
          <w:tcPr>
            <w:tcW w:w="2070" w:type="dxa"/>
            <w:hideMark/>
          </w:tcPr>
          <w:p w14:paraId="78AA1710"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few–tens of nm (generation dependent)</w:t>
            </w:r>
          </w:p>
        </w:tc>
        <w:tc>
          <w:tcPr>
            <w:tcW w:w="2430" w:type="dxa"/>
            <w:hideMark/>
          </w:tcPr>
          <w:p w14:paraId="3043CB48"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Precise architecture; multivalent functionalization</w:t>
            </w:r>
          </w:p>
        </w:tc>
        <w:tc>
          <w:tcPr>
            <w:tcW w:w="3325" w:type="dxa"/>
            <w:hideMark/>
          </w:tcPr>
          <w:p w14:paraId="33DA5669"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Toxicity/irritation depends on surface groups; synthesis cost/complexity [47]</w:t>
            </w:r>
          </w:p>
        </w:tc>
      </w:tr>
      <w:tr w:rsidR="0059516C" w:rsidRPr="0059516C" w14:paraId="0972C934" w14:textId="77777777" w:rsidTr="0059516C">
        <w:tc>
          <w:tcPr>
            <w:tcW w:w="1525" w:type="dxa"/>
            <w:hideMark/>
          </w:tcPr>
          <w:p w14:paraId="406E0C75"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Nanogels</w:t>
            </w:r>
          </w:p>
        </w:tc>
        <w:tc>
          <w:tcPr>
            <w:tcW w:w="2070" w:type="dxa"/>
            <w:hideMark/>
          </w:tcPr>
          <w:p w14:paraId="58E0C084"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~50–500 nm (design dependent)</w:t>
            </w:r>
          </w:p>
        </w:tc>
        <w:tc>
          <w:tcPr>
            <w:tcW w:w="2430" w:type="dxa"/>
            <w:hideMark/>
          </w:tcPr>
          <w:p w14:paraId="414663E4"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 xml:space="preserve">High </w:t>
            </w:r>
            <w:proofErr w:type="spellStart"/>
            <w:r w:rsidRPr="0059516C">
              <w:rPr>
                <w:rFonts w:ascii="Times New Roman" w:hAnsi="Times New Roman" w:cs="Times New Roman"/>
              </w:rPr>
              <w:t>mucoadhesion</w:t>
            </w:r>
            <w:proofErr w:type="spellEnd"/>
            <w:r w:rsidRPr="0059516C">
              <w:rPr>
                <w:rFonts w:ascii="Times New Roman" w:hAnsi="Times New Roman" w:cs="Times New Roman"/>
              </w:rPr>
              <w:t xml:space="preserve"> + controlled release; “NP + gel” synergy</w:t>
            </w:r>
          </w:p>
        </w:tc>
        <w:tc>
          <w:tcPr>
            <w:tcW w:w="3325" w:type="dxa"/>
            <w:hideMark/>
          </w:tcPr>
          <w:p w14:paraId="4472F6CC" w14:textId="77777777" w:rsidR="0059516C" w:rsidRPr="0059516C" w:rsidRDefault="0059516C" w:rsidP="00450B9B">
            <w:pPr>
              <w:spacing w:line="278" w:lineRule="auto"/>
              <w:jc w:val="both"/>
              <w:rPr>
                <w:rFonts w:ascii="Times New Roman" w:hAnsi="Times New Roman" w:cs="Times New Roman"/>
              </w:rPr>
            </w:pPr>
            <w:r w:rsidRPr="0059516C">
              <w:rPr>
                <w:rFonts w:ascii="Times New Roman" w:hAnsi="Times New Roman" w:cs="Times New Roman"/>
              </w:rPr>
              <w:t>Sterilization, scalable manufacturing, and long-term stability challenges [58]</w:t>
            </w:r>
          </w:p>
        </w:tc>
      </w:tr>
    </w:tbl>
    <w:p w14:paraId="609019F6" w14:textId="77777777" w:rsidR="00C742DA" w:rsidRDefault="00C742DA" w:rsidP="00702417">
      <w:pPr>
        <w:jc w:val="both"/>
        <w:rPr>
          <w:rFonts w:ascii="Times New Roman" w:hAnsi="Times New Roman" w:cs="Times New Roman"/>
          <w:b/>
          <w:bCs/>
        </w:rPr>
      </w:pPr>
    </w:p>
    <w:p w14:paraId="78135402" w14:textId="678847CA" w:rsidR="0015728C" w:rsidRPr="0015728C" w:rsidRDefault="0015728C" w:rsidP="0015728C">
      <w:pPr>
        <w:jc w:val="both"/>
        <w:rPr>
          <w:rFonts w:ascii="Times New Roman" w:hAnsi="Times New Roman" w:cs="Times New Roman"/>
          <w:b/>
          <w:bCs/>
        </w:rPr>
      </w:pPr>
      <w:r w:rsidRPr="0015728C">
        <w:rPr>
          <w:rFonts w:ascii="Times New Roman" w:hAnsi="Times New Roman" w:cs="Times New Roman"/>
          <w:b/>
          <w:bCs/>
        </w:rPr>
        <w:t>0</w:t>
      </w:r>
      <w:r w:rsidR="004836BE">
        <w:rPr>
          <w:rFonts w:ascii="Times New Roman" w:hAnsi="Times New Roman" w:cs="Times New Roman"/>
          <w:b/>
          <w:bCs/>
        </w:rPr>
        <w:t>6</w:t>
      </w:r>
      <w:r w:rsidRPr="0015728C">
        <w:rPr>
          <w:rFonts w:ascii="Times New Roman" w:hAnsi="Times New Roman" w:cs="Times New Roman"/>
          <w:b/>
          <w:bCs/>
        </w:rPr>
        <w:t xml:space="preserve">. NANOPARTICLE-LADEN IN SITU GEL SYSTEMS </w:t>
      </w:r>
      <w:r w:rsidR="0037244D">
        <w:rPr>
          <w:rFonts w:ascii="Times New Roman" w:hAnsi="Times New Roman" w:cs="Times New Roman"/>
          <w:b/>
          <w:bCs/>
        </w:rPr>
        <w:t xml:space="preserve"> </w:t>
      </w:r>
      <w:r w:rsidRPr="0015728C">
        <w:rPr>
          <w:rFonts w:ascii="Times New Roman" w:hAnsi="Times New Roman" w:cs="Times New Roman"/>
          <w:b/>
          <w:bCs/>
        </w:rPr>
        <w:t xml:space="preserve"> THE CONVERGENCE </w:t>
      </w:r>
    </w:p>
    <w:p w14:paraId="188ADB1F" w14:textId="258185BE"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.1 Rationale for combining nanoparticles with in situ gels</w:t>
      </w:r>
    </w:p>
    <w:p w14:paraId="2204FA9F" w14:textId="6100816A" w:rsidR="0015728C" w:rsidRPr="0015728C" w:rsidRDefault="0015728C" w:rsidP="0015728C">
      <w:pPr>
        <w:jc w:val="both"/>
        <w:rPr>
          <w:rFonts w:ascii="Times New Roman" w:hAnsi="Times New Roman" w:cs="Times New Roman"/>
        </w:rPr>
      </w:pPr>
      <w:r w:rsidRPr="0015728C">
        <w:rPr>
          <w:rFonts w:ascii="Times New Roman" w:hAnsi="Times New Roman" w:cs="Times New Roman"/>
        </w:rPr>
        <w:t>Nanoparticles and in situ gels solve </w:t>
      </w:r>
      <w:r w:rsidRPr="0015728C">
        <w:rPr>
          <w:rFonts w:ascii="Times New Roman" w:hAnsi="Times New Roman" w:cs="Times New Roman"/>
          <w:i/>
          <w:iCs/>
        </w:rPr>
        <w:t>different</w:t>
      </w:r>
      <w:r w:rsidRPr="0015728C">
        <w:rPr>
          <w:rFonts w:ascii="Times New Roman" w:hAnsi="Times New Roman" w:cs="Times New Roman"/>
        </w:rPr>
        <w:t> failure points of topical ocular delivery, so combining them is not merely additive</w:t>
      </w:r>
      <w:r w:rsidR="0037244D">
        <w:rPr>
          <w:rFonts w:ascii="Times New Roman" w:hAnsi="Times New Roman" w:cs="Times New Roman"/>
        </w:rPr>
        <w:t xml:space="preserve"> </w:t>
      </w:r>
      <w:r w:rsidRPr="0015728C">
        <w:rPr>
          <w:rFonts w:ascii="Times New Roman" w:hAnsi="Times New Roman" w:cs="Times New Roman"/>
        </w:rPr>
        <w:t xml:space="preserve">it is often synergistic. Nanoparticles can protect the drug, enhance apparent solubility for poorly soluble molecules, and enable controlled release via diffusion through (or degradation of) the carrier matrix. In situ gels, in contrast, primarily address the “time problem”: they increase formulation residence in the cul-de-sac by transforming from a low-viscosity </w:t>
      </w:r>
      <w:proofErr w:type="spellStart"/>
      <w:r w:rsidRPr="0015728C">
        <w:rPr>
          <w:rFonts w:ascii="Times New Roman" w:hAnsi="Times New Roman" w:cs="Times New Roman"/>
        </w:rPr>
        <w:t>instillable</w:t>
      </w:r>
      <w:proofErr w:type="spellEnd"/>
      <w:r w:rsidRPr="0015728C">
        <w:rPr>
          <w:rFonts w:ascii="Times New Roman" w:hAnsi="Times New Roman" w:cs="Times New Roman"/>
        </w:rPr>
        <w:t xml:space="preserve"> liquid to a viscous gel under ocular conditions, thereby reducing rapid precorneal washout. When nanoparticles are dispersed within a gelling vehicle, the gel helps retain the particulate carriers at the ocular surface long enough for meaningful permeation, while the nanoparticles regulate release and tissue interaction. This concept is explicitly discussed in early “nanoparticle-laden in situ gel” work with </w:t>
      </w:r>
      <w:proofErr w:type="spellStart"/>
      <w:r w:rsidRPr="0015728C">
        <w:rPr>
          <w:rFonts w:ascii="Times New Roman" w:hAnsi="Times New Roman" w:cs="Times New Roman"/>
        </w:rPr>
        <w:t>sparfloxacin</w:t>
      </w:r>
      <w:proofErr w:type="spellEnd"/>
      <w:r w:rsidRPr="0015728C">
        <w:rPr>
          <w:rFonts w:ascii="Times New Roman" w:hAnsi="Times New Roman" w:cs="Times New Roman"/>
        </w:rPr>
        <w:t xml:space="preserve"> PLGA nanoparticles dispersed in a chitosan in situ gel, where the authors highlight that the combined system was developed specifically to improve precorneal residence time and ocular bioavailability. [59]. </w:t>
      </w:r>
      <w:r w:rsidR="0037244D" w:rsidRPr="0015728C">
        <w:rPr>
          <w:rFonts w:ascii="Times New Roman" w:hAnsi="Times New Roman" w:cs="Times New Roman"/>
        </w:rPr>
        <w:t xml:space="preserve"> </w:t>
      </w:r>
    </w:p>
    <w:p w14:paraId="340F6EBE" w14:textId="02DD9CEF" w:rsidR="0015728C" w:rsidRPr="0015728C" w:rsidRDefault="0015728C" w:rsidP="0015728C">
      <w:pPr>
        <w:jc w:val="both"/>
        <w:rPr>
          <w:rFonts w:ascii="Times New Roman" w:hAnsi="Times New Roman" w:cs="Times New Roman"/>
        </w:rPr>
      </w:pPr>
      <w:r w:rsidRPr="0015728C">
        <w:rPr>
          <w:rFonts w:ascii="Times New Roman" w:hAnsi="Times New Roman" w:cs="Times New Roman"/>
        </w:rPr>
        <w:t xml:space="preserve">The retention advantage of the hybrid approach is supported by in vivo imaging-based assessments. In the </w:t>
      </w:r>
      <w:proofErr w:type="spellStart"/>
      <w:r w:rsidRPr="0015728C">
        <w:rPr>
          <w:rFonts w:ascii="Times New Roman" w:hAnsi="Times New Roman" w:cs="Times New Roman"/>
        </w:rPr>
        <w:t>sparfloxacin</w:t>
      </w:r>
      <w:proofErr w:type="spellEnd"/>
      <w:r w:rsidRPr="0015728C">
        <w:rPr>
          <w:rFonts w:ascii="Times New Roman" w:hAnsi="Times New Roman" w:cs="Times New Roman"/>
        </w:rPr>
        <w:t xml:space="preserve"> study, gamma scintigraphy was used to compare a marketed formulation, in situ gel, nanosuspension, and nanoparticle-laden in situ gel. The marketed product cleared rapidly from the corneal region with activity detected in kidney/bladder (consistent with nasolacrimal drainage and systemic exposure), whereas the gel- and nanoparticle-based systems showed longer ocular retention. The authors further note “good spreading and retention” and a slower fall in time–activity curves for the nanoparticle-laden gel, indicating prolonged ocular surface residence. [59]. </w:t>
      </w:r>
      <w:r w:rsidR="0037244D" w:rsidRPr="0015728C">
        <w:rPr>
          <w:rFonts w:ascii="Times New Roman" w:hAnsi="Times New Roman" w:cs="Times New Roman"/>
        </w:rPr>
        <w:t xml:space="preserve"> </w:t>
      </w:r>
    </w:p>
    <w:p w14:paraId="71375D63" w14:textId="7181345E" w:rsidR="0015728C" w:rsidRPr="0015728C" w:rsidRDefault="0015728C" w:rsidP="0015728C">
      <w:pPr>
        <w:jc w:val="both"/>
        <w:rPr>
          <w:rFonts w:ascii="Times New Roman" w:hAnsi="Times New Roman" w:cs="Times New Roman"/>
        </w:rPr>
      </w:pPr>
      <w:r w:rsidRPr="0015728C">
        <w:rPr>
          <w:rFonts w:ascii="Times New Roman" w:hAnsi="Times New Roman" w:cs="Times New Roman"/>
        </w:rPr>
        <w:t>A second, less obvious advantage is that the gel can act as a </w:t>
      </w:r>
      <w:r w:rsidRPr="0015728C">
        <w:rPr>
          <w:rFonts w:ascii="Times New Roman" w:hAnsi="Times New Roman" w:cs="Times New Roman"/>
          <w:i/>
          <w:iCs/>
        </w:rPr>
        <w:t>stabilizing microenvironment</w:t>
      </w:r>
      <w:r w:rsidRPr="0015728C">
        <w:rPr>
          <w:rFonts w:ascii="Times New Roman" w:hAnsi="Times New Roman" w:cs="Times New Roman"/>
        </w:rPr>
        <w:t> for nanoparticles. For instance, studies using PLGA nanoparticles suspended in thermosensitive gels report that embedding nanoparticles within a gel matrix can markedly reduce or eliminate burst release and shift profiles toward more sustained, often near zero-order, release</w:t>
      </w:r>
      <w:r w:rsidR="0037244D">
        <w:rPr>
          <w:rFonts w:ascii="Times New Roman" w:hAnsi="Times New Roman" w:cs="Times New Roman"/>
        </w:rPr>
        <w:t xml:space="preserve"> </w:t>
      </w:r>
      <w:r w:rsidRPr="0015728C">
        <w:rPr>
          <w:rFonts w:ascii="Times New Roman" w:hAnsi="Times New Roman" w:cs="Times New Roman"/>
        </w:rPr>
        <w:t>because the gel adds an additional diffusion barrier and reduces rapid drug escape from the particle surface. [60]. </w:t>
      </w:r>
      <w:r w:rsidR="0037244D" w:rsidRPr="0015728C">
        <w:rPr>
          <w:rFonts w:ascii="Times New Roman" w:hAnsi="Times New Roman" w:cs="Times New Roman"/>
        </w:rPr>
        <w:t xml:space="preserve"> </w:t>
      </w:r>
    </w:p>
    <w:p w14:paraId="74068BFC" w14:textId="6303A339" w:rsidR="0015728C" w:rsidRPr="0015728C" w:rsidRDefault="004836BE" w:rsidP="0015728C">
      <w:pPr>
        <w:jc w:val="both"/>
        <w:rPr>
          <w:rFonts w:ascii="Times New Roman" w:hAnsi="Times New Roman" w:cs="Times New Roman"/>
          <w:b/>
          <w:bCs/>
        </w:rPr>
      </w:pPr>
      <w:r>
        <w:rPr>
          <w:rFonts w:ascii="Times New Roman" w:hAnsi="Times New Roman" w:cs="Times New Roman"/>
          <w:b/>
          <w:bCs/>
        </w:rPr>
        <w:lastRenderedPageBreak/>
        <w:t>6</w:t>
      </w:r>
      <w:r w:rsidR="0015728C" w:rsidRPr="0015728C">
        <w:rPr>
          <w:rFonts w:ascii="Times New Roman" w:hAnsi="Times New Roman" w:cs="Times New Roman"/>
          <w:b/>
          <w:bCs/>
        </w:rPr>
        <w:t>.2 Formulation strategies</w:t>
      </w:r>
    </w:p>
    <w:p w14:paraId="3A35277A" w14:textId="77777777" w:rsidR="0015728C" w:rsidRPr="0015728C" w:rsidRDefault="0015728C" w:rsidP="0015728C">
      <w:pPr>
        <w:jc w:val="both"/>
        <w:rPr>
          <w:rFonts w:ascii="Times New Roman" w:hAnsi="Times New Roman" w:cs="Times New Roman"/>
        </w:rPr>
      </w:pPr>
      <w:r w:rsidRPr="0015728C">
        <w:rPr>
          <w:rFonts w:ascii="Times New Roman" w:hAnsi="Times New Roman" w:cs="Times New Roman"/>
        </w:rPr>
        <w:t xml:space="preserve">Hybrid systems vary widely, but most designs fall into a few recurring architectures: polymeric nanoparticles in </w:t>
      </w:r>
      <w:proofErr w:type="spellStart"/>
      <w:r w:rsidRPr="0015728C">
        <w:rPr>
          <w:rFonts w:ascii="Times New Roman" w:hAnsi="Times New Roman" w:cs="Times New Roman"/>
        </w:rPr>
        <w:t>thermogels</w:t>
      </w:r>
      <w:proofErr w:type="spellEnd"/>
      <w:r w:rsidRPr="0015728C">
        <w:rPr>
          <w:rFonts w:ascii="Times New Roman" w:hAnsi="Times New Roman" w:cs="Times New Roman"/>
        </w:rPr>
        <w:t>, chitosan-based nanoparticles in pH gels, lipid nanoparticles (NLC/SLN) in gels, nanosuspension-based “</w:t>
      </w:r>
      <w:proofErr w:type="spellStart"/>
      <w:r w:rsidRPr="0015728C">
        <w:rPr>
          <w:rFonts w:ascii="Times New Roman" w:hAnsi="Times New Roman" w:cs="Times New Roman"/>
        </w:rPr>
        <w:t>nano</w:t>
      </w:r>
      <w:proofErr w:type="spellEnd"/>
      <w:r w:rsidRPr="0015728C">
        <w:rPr>
          <w:rFonts w:ascii="Times New Roman" w:hAnsi="Times New Roman" w:cs="Times New Roman"/>
        </w:rPr>
        <w:t>-in-gel” systems, and smart polymer-coated nanoparticle composites (often dual-trigger).</w:t>
      </w:r>
    </w:p>
    <w:p w14:paraId="24384093" w14:textId="2936186E"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 xml:space="preserve">.2.1 PLGA nanoparticles in </w:t>
      </w:r>
      <w:proofErr w:type="spellStart"/>
      <w:r w:rsidR="0015728C" w:rsidRPr="0015728C">
        <w:rPr>
          <w:rFonts w:ascii="Times New Roman" w:hAnsi="Times New Roman" w:cs="Times New Roman"/>
          <w:b/>
          <w:bCs/>
        </w:rPr>
        <w:t>thermoresponsive</w:t>
      </w:r>
      <w:proofErr w:type="spellEnd"/>
      <w:r w:rsidR="0015728C" w:rsidRPr="0015728C">
        <w:rPr>
          <w:rFonts w:ascii="Times New Roman" w:hAnsi="Times New Roman" w:cs="Times New Roman"/>
          <w:b/>
          <w:bCs/>
        </w:rPr>
        <w:t xml:space="preserve"> in situ gels</w:t>
      </w:r>
    </w:p>
    <w:p w14:paraId="1D12054C" w14:textId="42BDD609" w:rsidR="0015728C" w:rsidRPr="0015728C" w:rsidRDefault="0015728C" w:rsidP="0015728C">
      <w:pPr>
        <w:jc w:val="both"/>
        <w:rPr>
          <w:rFonts w:ascii="Times New Roman" w:hAnsi="Times New Roman" w:cs="Times New Roman"/>
        </w:rPr>
      </w:pPr>
      <w:r w:rsidRPr="0015728C">
        <w:rPr>
          <w:rFonts w:ascii="Times New Roman" w:hAnsi="Times New Roman" w:cs="Times New Roman"/>
        </w:rPr>
        <w:t>PLGA nanoparticle–in–</w:t>
      </w:r>
      <w:proofErr w:type="spellStart"/>
      <w:r w:rsidRPr="0015728C">
        <w:rPr>
          <w:rFonts w:ascii="Times New Roman" w:hAnsi="Times New Roman" w:cs="Times New Roman"/>
        </w:rPr>
        <w:t>thermogel</w:t>
      </w:r>
      <w:proofErr w:type="spellEnd"/>
      <w:r w:rsidRPr="0015728C">
        <w:rPr>
          <w:rFonts w:ascii="Times New Roman" w:hAnsi="Times New Roman" w:cs="Times New Roman"/>
        </w:rPr>
        <w:t xml:space="preserve"> systems are commonly pursued for corticosteroids and anti-inflammatory drugs because sustained ocular exposure is often needed while limiting local irritation. A representative example is a hydrocortisone butyrate study where HB-loaded PLGA nanoparticles were suspended in a thermosensitive PLGA</w:t>
      </w:r>
      <w:r w:rsidRPr="0015728C">
        <w:rPr>
          <w:rFonts w:ascii="Times New Roman" w:hAnsi="Times New Roman" w:cs="Times New Roman"/>
        </w:rPr>
        <w:noBreakHyphen/>
        <w:t>PEG</w:t>
      </w:r>
      <w:r w:rsidRPr="0015728C">
        <w:rPr>
          <w:rFonts w:ascii="Times New Roman" w:hAnsi="Times New Roman" w:cs="Times New Roman"/>
        </w:rPr>
        <w:noBreakHyphen/>
        <w:t>PLGA gel. The authors report that nanoparticle-in-gel formulations produced minimal burst release and could sustain delivery over extended periods; they also discuss mechanistic reasons (diffusional resistance and/or polymeric adhesion within a semisolid network) and report linear zero-order release for nanoparticle-in-gel systems over multiple weeks in vitro. [60]. </w:t>
      </w:r>
      <w:r w:rsidR="0037244D" w:rsidRPr="0015728C">
        <w:rPr>
          <w:rFonts w:ascii="Times New Roman" w:hAnsi="Times New Roman" w:cs="Times New Roman"/>
        </w:rPr>
        <w:t xml:space="preserve"> </w:t>
      </w:r>
    </w:p>
    <w:p w14:paraId="62452356" w14:textId="7F3E2A33"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.2.2 Chitosan-based nanoparticles in pH-responsive in situ gels</w:t>
      </w:r>
    </w:p>
    <w:p w14:paraId="1169762F" w14:textId="455D53BF" w:rsidR="0015728C" w:rsidRPr="0015728C" w:rsidRDefault="0015728C" w:rsidP="0015728C">
      <w:pPr>
        <w:jc w:val="both"/>
        <w:rPr>
          <w:rFonts w:ascii="Times New Roman" w:hAnsi="Times New Roman" w:cs="Times New Roman"/>
        </w:rPr>
      </w:pPr>
      <w:r w:rsidRPr="0015728C">
        <w:rPr>
          <w:rFonts w:ascii="Times New Roman" w:hAnsi="Times New Roman" w:cs="Times New Roman"/>
        </w:rPr>
        <w:t xml:space="preserve">A strong contemporary example is the timolol system developed by Rahbar et al., where timolol-loaded chitosan–carbomer nanoparticles (prepared via polyelectrolyte complexation) were incorporated into a carbomer-based pH-responsive in situ gel. The optimized nanoparticles were ~196 nm with ~69% encapsulation efficiency; importantly, the zeta potential shifted from –16 mV (NPs) to +11 mV (NP-laden gel), consistent with changes in surface environment and potentially stronger interaction with the negatively charged ocular mucin layer. The authors report higher </w:t>
      </w:r>
      <w:proofErr w:type="spellStart"/>
      <w:r w:rsidRPr="0015728C">
        <w:rPr>
          <w:rFonts w:ascii="Times New Roman" w:hAnsi="Times New Roman" w:cs="Times New Roman"/>
        </w:rPr>
        <w:t>mucoadhesion</w:t>
      </w:r>
      <w:proofErr w:type="spellEnd"/>
      <w:r w:rsidRPr="0015728C">
        <w:rPr>
          <w:rFonts w:ascii="Times New Roman" w:hAnsi="Times New Roman" w:cs="Times New Roman"/>
        </w:rPr>
        <w:t xml:space="preserve"> for the NP-laden gel and a significantly more sustained IOP-lowering effect compared with timolol solution and nanoparticles alone. [61]. </w:t>
      </w:r>
      <w:r w:rsidR="0037244D" w:rsidRPr="0015728C">
        <w:rPr>
          <w:rFonts w:ascii="Times New Roman" w:hAnsi="Times New Roman" w:cs="Times New Roman"/>
        </w:rPr>
        <w:t xml:space="preserve"> </w:t>
      </w:r>
    </w:p>
    <w:p w14:paraId="70B2C74C" w14:textId="218A0B72"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.2.3 NLC-loaded in situ gels (lipid nanoparticles + gel retention)</w:t>
      </w:r>
    </w:p>
    <w:p w14:paraId="1594ADB1" w14:textId="77777777" w:rsidR="0015728C" w:rsidRPr="0015728C" w:rsidRDefault="0015728C" w:rsidP="0015728C">
      <w:pPr>
        <w:jc w:val="both"/>
        <w:rPr>
          <w:rFonts w:ascii="Times New Roman" w:hAnsi="Times New Roman" w:cs="Times New Roman"/>
        </w:rPr>
      </w:pPr>
      <w:r w:rsidRPr="0015728C">
        <w:rPr>
          <w:rFonts w:ascii="Times New Roman" w:hAnsi="Times New Roman" w:cs="Times New Roman"/>
        </w:rPr>
        <w:t>Lipid nanoparticles, especially nanostructured lipid carriers (NLCs), are frequently combined with gels to exploit (</w:t>
      </w:r>
      <w:proofErr w:type="spellStart"/>
      <w:r w:rsidRPr="0015728C">
        <w:rPr>
          <w:rFonts w:ascii="Times New Roman" w:hAnsi="Times New Roman" w:cs="Times New Roman"/>
        </w:rPr>
        <w:t>i</w:t>
      </w:r>
      <w:proofErr w:type="spellEnd"/>
      <w:r w:rsidRPr="0015728C">
        <w:rPr>
          <w:rFonts w:ascii="Times New Roman" w:hAnsi="Times New Roman" w:cs="Times New Roman"/>
        </w:rPr>
        <w:t>) improved loading of lipophilic drugs and (ii) extended residence time.</w:t>
      </w:r>
    </w:p>
    <w:p w14:paraId="13B129D4" w14:textId="699E4EC4" w:rsidR="0015728C" w:rsidRPr="0015728C" w:rsidRDefault="0015728C" w:rsidP="0015728C">
      <w:pPr>
        <w:jc w:val="both"/>
        <w:rPr>
          <w:rFonts w:ascii="Times New Roman" w:hAnsi="Times New Roman" w:cs="Times New Roman"/>
        </w:rPr>
      </w:pPr>
      <w:r w:rsidRPr="0015728C">
        <w:rPr>
          <w:rFonts w:ascii="Times New Roman" w:hAnsi="Times New Roman" w:cs="Times New Roman"/>
        </w:rPr>
        <w:t>Beyond “simple” NLC-in-gel mixing, smart crosslinking approaches are also used. Yu et al. developed a dual pH- and thermo-sensitive hydrogel (carboxymethyl chitosan + poloxamer 407) crosslinked with </w:t>
      </w:r>
      <w:proofErr w:type="spellStart"/>
      <w:r w:rsidRPr="0015728C">
        <w:rPr>
          <w:rFonts w:ascii="Times New Roman" w:hAnsi="Times New Roman" w:cs="Times New Roman"/>
        </w:rPr>
        <w:t>genipin</w:t>
      </w:r>
      <w:proofErr w:type="spellEnd"/>
      <w:r w:rsidRPr="0015728C">
        <w:rPr>
          <w:rFonts w:ascii="Times New Roman" w:hAnsi="Times New Roman" w:cs="Times New Roman"/>
        </w:rPr>
        <w:t>, and combined it with quercetin-loaded NLCs. They report improved uptake indicators and a 4.4-fold higher AUC for quercetin in the NLC–gel group versus eye drops, attributing gains to longer precorneal retention and the penetration advantages of NLCs. [64]. </w:t>
      </w:r>
      <w:r w:rsidR="0037244D" w:rsidRPr="0015728C">
        <w:rPr>
          <w:rFonts w:ascii="Times New Roman" w:hAnsi="Times New Roman" w:cs="Times New Roman"/>
        </w:rPr>
        <w:t xml:space="preserve"> </w:t>
      </w:r>
    </w:p>
    <w:p w14:paraId="0E9E72A0" w14:textId="425C89E0" w:rsidR="0015728C" w:rsidRPr="0015728C" w:rsidRDefault="0015728C" w:rsidP="0015728C">
      <w:pPr>
        <w:jc w:val="both"/>
        <w:rPr>
          <w:rFonts w:ascii="Times New Roman" w:hAnsi="Times New Roman" w:cs="Times New Roman"/>
        </w:rPr>
      </w:pPr>
      <w:r w:rsidRPr="0015728C">
        <w:rPr>
          <w:rFonts w:ascii="Times New Roman" w:hAnsi="Times New Roman" w:cs="Times New Roman"/>
        </w:rPr>
        <w:t>A closely related open-access platform (baicalin model drug) reports that an NLC–hydrogel composite increased apparent permeability (reported as 4.46-fold vs eye drops), showed no significant corneal irritation based on hydration assessment, and prolonged precorneal residence time using a flow-through retention method. [65]. </w:t>
      </w:r>
      <w:r w:rsidR="0037244D" w:rsidRPr="0015728C">
        <w:rPr>
          <w:rFonts w:ascii="Times New Roman" w:hAnsi="Times New Roman" w:cs="Times New Roman"/>
        </w:rPr>
        <w:t xml:space="preserve"> </w:t>
      </w:r>
    </w:p>
    <w:p w14:paraId="6FA017F9" w14:textId="5848C3EF" w:rsidR="0015728C" w:rsidRPr="0015728C" w:rsidRDefault="004836BE" w:rsidP="0015728C">
      <w:pPr>
        <w:jc w:val="both"/>
        <w:rPr>
          <w:rFonts w:ascii="Times New Roman" w:hAnsi="Times New Roman" w:cs="Times New Roman"/>
          <w:b/>
          <w:bCs/>
        </w:rPr>
      </w:pPr>
      <w:r>
        <w:rPr>
          <w:rFonts w:ascii="Times New Roman" w:hAnsi="Times New Roman" w:cs="Times New Roman"/>
          <w:b/>
          <w:bCs/>
        </w:rPr>
        <w:lastRenderedPageBreak/>
        <w:t>6</w:t>
      </w:r>
      <w:r w:rsidR="0015728C" w:rsidRPr="0015728C">
        <w:rPr>
          <w:rFonts w:ascii="Times New Roman" w:hAnsi="Times New Roman" w:cs="Times New Roman"/>
          <w:b/>
          <w:bCs/>
        </w:rPr>
        <w:t xml:space="preserve">.2.4 Nanosuspension-loaded “in situ </w:t>
      </w:r>
      <w:proofErr w:type="spellStart"/>
      <w:r w:rsidR="0015728C" w:rsidRPr="0015728C">
        <w:rPr>
          <w:rFonts w:ascii="Times New Roman" w:hAnsi="Times New Roman" w:cs="Times New Roman"/>
          <w:b/>
          <w:bCs/>
        </w:rPr>
        <w:t>nano</w:t>
      </w:r>
      <w:proofErr w:type="spellEnd"/>
      <w:r w:rsidR="0015728C" w:rsidRPr="0015728C">
        <w:rPr>
          <w:rFonts w:ascii="Times New Roman" w:hAnsi="Times New Roman" w:cs="Times New Roman"/>
          <w:b/>
          <w:bCs/>
        </w:rPr>
        <w:t xml:space="preserve"> gel” systems</w:t>
      </w:r>
    </w:p>
    <w:p w14:paraId="7139D850" w14:textId="029D7447" w:rsidR="0015728C" w:rsidRPr="0015728C" w:rsidRDefault="0015728C" w:rsidP="0015728C">
      <w:pPr>
        <w:jc w:val="both"/>
        <w:rPr>
          <w:rFonts w:ascii="Times New Roman" w:hAnsi="Times New Roman" w:cs="Times New Roman"/>
        </w:rPr>
      </w:pPr>
      <w:r w:rsidRPr="0015728C">
        <w:rPr>
          <w:rFonts w:ascii="Times New Roman" w:hAnsi="Times New Roman" w:cs="Times New Roman"/>
        </w:rPr>
        <w:t>For flurbiprofen, a thermosensitive in situ “</w:t>
      </w:r>
      <w:proofErr w:type="spellStart"/>
      <w:r w:rsidRPr="0015728C">
        <w:rPr>
          <w:rFonts w:ascii="Times New Roman" w:hAnsi="Times New Roman" w:cs="Times New Roman"/>
        </w:rPr>
        <w:t>nano</w:t>
      </w:r>
      <w:proofErr w:type="spellEnd"/>
      <w:r w:rsidRPr="0015728C">
        <w:rPr>
          <w:rFonts w:ascii="Times New Roman" w:hAnsi="Times New Roman" w:cs="Times New Roman"/>
        </w:rPr>
        <w:t xml:space="preserve"> gel” was investigated using Pluronic F127 and Carbopol 934. The authors report ~95% in vitro release at 6 h, along with increased precorneal residence time and higher aqueous humor concentrations compared with conventional flurbiprofen drops, linking improvements to (</w:t>
      </w:r>
      <w:proofErr w:type="spellStart"/>
      <w:r w:rsidRPr="0015728C">
        <w:rPr>
          <w:rFonts w:ascii="Times New Roman" w:hAnsi="Times New Roman" w:cs="Times New Roman"/>
        </w:rPr>
        <w:t>i</w:t>
      </w:r>
      <w:proofErr w:type="spellEnd"/>
      <w:r w:rsidRPr="0015728C">
        <w:rPr>
          <w:rFonts w:ascii="Times New Roman" w:hAnsi="Times New Roman" w:cs="Times New Roman"/>
        </w:rPr>
        <w:t>) improved saturation solubility from nanosizing and (ii) prolonged retention via gel matrix formation. [69]. </w:t>
      </w:r>
      <w:r w:rsidR="0037244D" w:rsidRPr="0015728C">
        <w:rPr>
          <w:rFonts w:ascii="Times New Roman" w:hAnsi="Times New Roman" w:cs="Times New Roman"/>
        </w:rPr>
        <w:t xml:space="preserve"> </w:t>
      </w:r>
    </w:p>
    <w:p w14:paraId="532C7291" w14:textId="3DBA6AD1"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.2.5 Smart polymer-coated / multi-trigger composite systems</w:t>
      </w:r>
    </w:p>
    <w:p w14:paraId="6B34081A" w14:textId="77777777" w:rsidR="0015728C" w:rsidRPr="0015728C" w:rsidRDefault="0015728C" w:rsidP="0015728C">
      <w:pPr>
        <w:jc w:val="both"/>
        <w:rPr>
          <w:rFonts w:ascii="Times New Roman" w:hAnsi="Times New Roman" w:cs="Times New Roman"/>
        </w:rPr>
      </w:pPr>
      <w:r w:rsidRPr="0015728C">
        <w:rPr>
          <w:rFonts w:ascii="Times New Roman" w:hAnsi="Times New Roman" w:cs="Times New Roman"/>
        </w:rPr>
        <w:t>“Smart” design in NP-laden gels often means either dual/multi-stimuli gelation (e.g., pH + temperature) or chemically crosslinked networks that resist rapid tear dilution while remaining biocompatible.</w:t>
      </w:r>
    </w:p>
    <w:p w14:paraId="4627CF12" w14:textId="3F197643" w:rsidR="0015728C" w:rsidRPr="0015728C" w:rsidRDefault="0015728C" w:rsidP="0015728C">
      <w:pPr>
        <w:jc w:val="both"/>
        <w:rPr>
          <w:rFonts w:ascii="Times New Roman" w:hAnsi="Times New Roman" w:cs="Times New Roman"/>
        </w:rPr>
      </w:pPr>
      <w:proofErr w:type="spellStart"/>
      <w:r w:rsidRPr="0015728C">
        <w:rPr>
          <w:rFonts w:ascii="Times New Roman" w:hAnsi="Times New Roman" w:cs="Times New Roman"/>
        </w:rPr>
        <w:t>Genipin</w:t>
      </w:r>
      <w:proofErr w:type="spellEnd"/>
      <w:r w:rsidRPr="0015728C">
        <w:rPr>
          <w:rFonts w:ascii="Times New Roman" w:hAnsi="Times New Roman" w:cs="Times New Roman"/>
        </w:rPr>
        <w:t>-crosslinked systems (CMCS/F127) discussed above are a clear example, combining dual responsiveness and improved tolerability relative to harsher crosslinkers in comparative designs. [64,65]. </w:t>
      </w:r>
      <w:r w:rsidR="0037244D" w:rsidRPr="0015728C">
        <w:rPr>
          <w:rFonts w:ascii="Times New Roman" w:hAnsi="Times New Roman" w:cs="Times New Roman"/>
        </w:rPr>
        <w:t xml:space="preserve"> </w:t>
      </w:r>
    </w:p>
    <w:p w14:paraId="2A022DE0" w14:textId="3901F443" w:rsidR="0015728C" w:rsidRPr="0015728C" w:rsidRDefault="0015728C" w:rsidP="0015728C">
      <w:pPr>
        <w:jc w:val="both"/>
        <w:rPr>
          <w:rFonts w:ascii="Times New Roman" w:hAnsi="Times New Roman" w:cs="Times New Roman"/>
        </w:rPr>
      </w:pPr>
      <w:r w:rsidRPr="0015728C">
        <w:rPr>
          <w:rFonts w:ascii="Times New Roman" w:hAnsi="Times New Roman" w:cs="Times New Roman"/>
        </w:rPr>
        <w:t>Hybrid systems are also being evaluated head-to-head across nanoparticle classes. In an Acanthamoeba keratitis-oriented study, chitosan nanoparticles, NLCs, and liposomes were separately incorporated into an F127/chitosan in situ gel. The authors report that raising pH/temperature promoted gelation with gelation temperatures ~33–34.8 °C, gelation times generally within seconds-to-&lt;1 minute depending on formulation, and markedly higher viscosity at 37 °C. They also report sustained release over 24 h for nanoparticle-loaded gels versus marketed eye drops. [70]. </w:t>
      </w:r>
      <w:r w:rsidR="0037244D" w:rsidRPr="0015728C">
        <w:rPr>
          <w:rFonts w:ascii="Times New Roman" w:hAnsi="Times New Roman" w:cs="Times New Roman"/>
        </w:rPr>
        <w:t xml:space="preserve"> </w:t>
      </w:r>
    </w:p>
    <w:p w14:paraId="30A6B77B" w14:textId="32B6323A" w:rsidR="0015728C" w:rsidRPr="0015728C" w:rsidRDefault="004836BE" w:rsidP="0015728C">
      <w:pPr>
        <w:jc w:val="both"/>
        <w:rPr>
          <w:rFonts w:ascii="Times New Roman" w:hAnsi="Times New Roman" w:cs="Times New Roman"/>
          <w:b/>
          <w:bCs/>
        </w:rPr>
      </w:pPr>
      <w:r>
        <w:rPr>
          <w:rFonts w:ascii="Times New Roman" w:hAnsi="Times New Roman" w:cs="Times New Roman"/>
          <w:b/>
          <w:bCs/>
        </w:rPr>
        <w:t>6</w:t>
      </w:r>
      <w:r w:rsidR="0015728C" w:rsidRPr="0015728C">
        <w:rPr>
          <w:rFonts w:ascii="Times New Roman" w:hAnsi="Times New Roman" w:cs="Times New Roman"/>
          <w:b/>
          <w:bCs/>
        </w:rPr>
        <w:t>.3 Key outcomes reported across studies</w:t>
      </w:r>
    </w:p>
    <w:p w14:paraId="06D9A807" w14:textId="77777777" w:rsidR="0015728C" w:rsidRPr="0015728C" w:rsidRDefault="0015728C" w:rsidP="0015728C">
      <w:pPr>
        <w:jc w:val="both"/>
        <w:rPr>
          <w:rFonts w:ascii="Times New Roman" w:hAnsi="Times New Roman" w:cs="Times New Roman"/>
        </w:rPr>
      </w:pPr>
      <w:r w:rsidRPr="0015728C">
        <w:rPr>
          <w:rFonts w:ascii="Times New Roman" w:hAnsi="Times New Roman" w:cs="Times New Roman"/>
        </w:rPr>
        <w:t>Across the literature, three outcome categories recur:</w:t>
      </w:r>
    </w:p>
    <w:p w14:paraId="670FCCD0" w14:textId="191F906B" w:rsidR="0015728C" w:rsidRPr="0015728C" w:rsidRDefault="0015728C" w:rsidP="0015728C">
      <w:pPr>
        <w:numPr>
          <w:ilvl w:val="0"/>
          <w:numId w:val="3"/>
        </w:numPr>
        <w:jc w:val="both"/>
        <w:rPr>
          <w:rFonts w:ascii="Times New Roman" w:hAnsi="Times New Roman" w:cs="Times New Roman"/>
        </w:rPr>
      </w:pPr>
      <w:r w:rsidRPr="0015728C">
        <w:rPr>
          <w:rFonts w:ascii="Times New Roman" w:hAnsi="Times New Roman" w:cs="Times New Roman"/>
        </w:rPr>
        <w:t>Retention and residence time: Imaging/retention tools (gamma scintigraphy, flow-through retention models) consistently show longer ocular surface persistence for NP-laden gels compared with conventional drops. [59,65]. </w:t>
      </w:r>
      <w:r w:rsidR="0037244D" w:rsidRPr="0015728C">
        <w:rPr>
          <w:rFonts w:ascii="Times New Roman" w:hAnsi="Times New Roman" w:cs="Times New Roman"/>
        </w:rPr>
        <w:t xml:space="preserve"> </w:t>
      </w:r>
    </w:p>
    <w:p w14:paraId="64313136" w14:textId="31C3AA66" w:rsidR="0015728C" w:rsidRPr="0015728C" w:rsidRDefault="0015728C" w:rsidP="0015728C">
      <w:pPr>
        <w:numPr>
          <w:ilvl w:val="0"/>
          <w:numId w:val="3"/>
        </w:numPr>
        <w:jc w:val="both"/>
        <w:rPr>
          <w:rFonts w:ascii="Times New Roman" w:hAnsi="Times New Roman" w:cs="Times New Roman"/>
        </w:rPr>
      </w:pPr>
      <w:r w:rsidRPr="0015728C">
        <w:rPr>
          <w:rFonts w:ascii="Times New Roman" w:hAnsi="Times New Roman" w:cs="Times New Roman"/>
        </w:rPr>
        <w:t>Higher permeation and exposure: Ex vivo permeation and PK studies frequently report increased corneal permeation and higher ocular AUC/</w:t>
      </w:r>
      <w:proofErr w:type="spellStart"/>
      <w:r w:rsidRPr="0015728C">
        <w:rPr>
          <w:rFonts w:ascii="Times New Roman" w:hAnsi="Times New Roman" w:cs="Times New Roman"/>
        </w:rPr>
        <w:t>Cmax</w:t>
      </w:r>
      <w:proofErr w:type="spellEnd"/>
      <w:r w:rsidRPr="0015728C">
        <w:rPr>
          <w:rFonts w:ascii="Times New Roman" w:hAnsi="Times New Roman" w:cs="Times New Roman"/>
        </w:rPr>
        <w:t xml:space="preserve"> when nanoparticles are delivered within gels rather than as solution or standalone nanoparticles. A dexamethasone nanoparticle-loaded in situ gel study explicitly reports higher ex vivo permeation and higher ocular bioavailability versus drug solution and a marketed comparator. [62]. </w:t>
      </w:r>
      <w:r w:rsidR="0037244D" w:rsidRPr="0015728C">
        <w:rPr>
          <w:rFonts w:ascii="Times New Roman" w:hAnsi="Times New Roman" w:cs="Times New Roman"/>
        </w:rPr>
        <w:t xml:space="preserve"> </w:t>
      </w:r>
    </w:p>
    <w:p w14:paraId="4E39C2CD" w14:textId="7CF8097C" w:rsidR="0015728C" w:rsidRPr="0015728C" w:rsidRDefault="0015728C" w:rsidP="0015728C">
      <w:pPr>
        <w:numPr>
          <w:ilvl w:val="0"/>
          <w:numId w:val="3"/>
        </w:numPr>
        <w:jc w:val="both"/>
        <w:rPr>
          <w:rFonts w:ascii="Times New Roman" w:hAnsi="Times New Roman" w:cs="Times New Roman"/>
        </w:rPr>
      </w:pPr>
      <w:r w:rsidRPr="0015728C">
        <w:rPr>
          <w:rFonts w:ascii="Times New Roman" w:hAnsi="Times New Roman" w:cs="Times New Roman"/>
        </w:rPr>
        <w:t>Improved pharmacodynamic effect: For glaucoma models, NP-laden gels can extend and strengthen IOP reduction compared with timolol solution or nanoparticles alone, consistent with prolonged exposure. [61]. </w:t>
      </w:r>
      <w:r w:rsidR="0037244D" w:rsidRPr="0015728C">
        <w:rPr>
          <w:rFonts w:ascii="Times New Roman" w:hAnsi="Times New Roman" w:cs="Times New Roman"/>
        </w:rPr>
        <w:t xml:space="preserve"> </w:t>
      </w:r>
    </w:p>
    <w:p w14:paraId="18F318AD" w14:textId="38CD5BA1" w:rsidR="0015728C" w:rsidRPr="0015728C" w:rsidRDefault="0015728C" w:rsidP="0015728C">
      <w:pPr>
        <w:jc w:val="both"/>
        <w:rPr>
          <w:rFonts w:ascii="Times New Roman" w:hAnsi="Times New Roman" w:cs="Times New Roman"/>
        </w:rPr>
      </w:pPr>
      <w:r w:rsidRPr="0015728C">
        <w:rPr>
          <w:rFonts w:ascii="Times New Roman" w:hAnsi="Times New Roman" w:cs="Times New Roman"/>
        </w:rPr>
        <w:t xml:space="preserve">A particularly quantitative example of “added value” from the composite approach is the thermosensitive dexamethasone NPs-gel work reporting a phase transition around 33.2 °C, </w:t>
      </w:r>
      <w:r w:rsidRPr="0015728C">
        <w:rPr>
          <w:rFonts w:ascii="Times New Roman" w:hAnsi="Times New Roman" w:cs="Times New Roman"/>
        </w:rPr>
        <w:lastRenderedPageBreak/>
        <w:t xml:space="preserve">stronger adhesion/gel strength than in situ gel alone, and an AUC that was 3.08× that of nanoparticles and 1.51× that of in situ gel alone (in their comparative design). [63].  </w:t>
      </w:r>
    </w:p>
    <w:p w14:paraId="0E85E34D" w14:textId="77777777" w:rsidR="0015728C" w:rsidRPr="0015728C" w:rsidRDefault="0015728C" w:rsidP="0015728C">
      <w:pPr>
        <w:jc w:val="both"/>
        <w:rPr>
          <w:rFonts w:ascii="Times New Roman" w:hAnsi="Times New Roman" w:cs="Times New Roman"/>
          <w:b/>
          <w:bCs/>
        </w:rPr>
      </w:pPr>
      <w:r w:rsidRPr="0015728C">
        <w:rPr>
          <w:rFonts w:ascii="Times New Roman" w:hAnsi="Times New Roman" w:cs="Times New Roman"/>
          <w:b/>
          <w:bCs/>
        </w:rPr>
        <w:t>Table 5. Summary of key nanoparticle-laden in situ gel studies</w:t>
      </w:r>
    </w:p>
    <w:tbl>
      <w:tblPr>
        <w:tblStyle w:val="TableGrid"/>
        <w:tblW w:w="9535" w:type="dxa"/>
        <w:tblLayout w:type="fixed"/>
        <w:tblLook w:val="04A0" w:firstRow="1" w:lastRow="0" w:firstColumn="1" w:lastColumn="0" w:noHBand="0" w:noVBand="1"/>
      </w:tblPr>
      <w:tblGrid>
        <w:gridCol w:w="1165"/>
        <w:gridCol w:w="1620"/>
        <w:gridCol w:w="2070"/>
        <w:gridCol w:w="4680"/>
      </w:tblGrid>
      <w:tr w:rsidR="00450B9B" w:rsidRPr="0015728C" w14:paraId="043F799F" w14:textId="77777777" w:rsidTr="00450B9B">
        <w:tc>
          <w:tcPr>
            <w:tcW w:w="1165" w:type="dxa"/>
            <w:hideMark/>
          </w:tcPr>
          <w:p w14:paraId="416DC9F4" w14:textId="77777777" w:rsidR="00450B9B" w:rsidRPr="0015728C" w:rsidRDefault="00450B9B" w:rsidP="00450B9B">
            <w:pPr>
              <w:spacing w:line="278" w:lineRule="auto"/>
              <w:jc w:val="both"/>
              <w:rPr>
                <w:rFonts w:ascii="Times New Roman" w:hAnsi="Times New Roman" w:cs="Times New Roman"/>
                <w:b/>
                <w:bCs/>
              </w:rPr>
            </w:pPr>
            <w:r w:rsidRPr="0015728C">
              <w:rPr>
                <w:rFonts w:ascii="Times New Roman" w:hAnsi="Times New Roman" w:cs="Times New Roman"/>
                <w:b/>
                <w:bCs/>
              </w:rPr>
              <w:t>Study / Drug</w:t>
            </w:r>
          </w:p>
        </w:tc>
        <w:tc>
          <w:tcPr>
            <w:tcW w:w="1620" w:type="dxa"/>
            <w:hideMark/>
          </w:tcPr>
          <w:p w14:paraId="2BE96C56" w14:textId="77777777" w:rsidR="00450B9B" w:rsidRPr="0015728C" w:rsidRDefault="00450B9B" w:rsidP="00450B9B">
            <w:pPr>
              <w:spacing w:line="278" w:lineRule="auto"/>
              <w:jc w:val="both"/>
              <w:rPr>
                <w:rFonts w:ascii="Times New Roman" w:hAnsi="Times New Roman" w:cs="Times New Roman"/>
                <w:b/>
                <w:bCs/>
              </w:rPr>
            </w:pPr>
            <w:r w:rsidRPr="0015728C">
              <w:rPr>
                <w:rFonts w:ascii="Times New Roman" w:hAnsi="Times New Roman" w:cs="Times New Roman"/>
                <w:b/>
                <w:bCs/>
              </w:rPr>
              <w:t>Nanocarrier</w:t>
            </w:r>
          </w:p>
        </w:tc>
        <w:tc>
          <w:tcPr>
            <w:tcW w:w="2070" w:type="dxa"/>
            <w:hideMark/>
          </w:tcPr>
          <w:p w14:paraId="34EDD8CA" w14:textId="77777777" w:rsidR="00450B9B" w:rsidRPr="0015728C" w:rsidRDefault="00450B9B" w:rsidP="00450B9B">
            <w:pPr>
              <w:spacing w:line="278" w:lineRule="auto"/>
              <w:jc w:val="both"/>
              <w:rPr>
                <w:rFonts w:ascii="Times New Roman" w:hAnsi="Times New Roman" w:cs="Times New Roman"/>
                <w:b/>
                <w:bCs/>
              </w:rPr>
            </w:pPr>
            <w:r w:rsidRPr="0015728C">
              <w:rPr>
                <w:rFonts w:ascii="Times New Roman" w:hAnsi="Times New Roman" w:cs="Times New Roman"/>
                <w:b/>
                <w:bCs/>
              </w:rPr>
              <w:t>In situ gel matrix (trigger)</w:t>
            </w:r>
          </w:p>
        </w:tc>
        <w:tc>
          <w:tcPr>
            <w:tcW w:w="4680" w:type="dxa"/>
            <w:hideMark/>
          </w:tcPr>
          <w:p w14:paraId="23A2840B" w14:textId="77777777" w:rsidR="00450B9B" w:rsidRPr="0015728C" w:rsidRDefault="00450B9B" w:rsidP="00450B9B">
            <w:pPr>
              <w:spacing w:line="278" w:lineRule="auto"/>
              <w:jc w:val="both"/>
              <w:rPr>
                <w:rFonts w:ascii="Times New Roman" w:hAnsi="Times New Roman" w:cs="Times New Roman"/>
                <w:b/>
                <w:bCs/>
              </w:rPr>
            </w:pPr>
            <w:r w:rsidRPr="0015728C">
              <w:rPr>
                <w:rFonts w:ascii="Times New Roman" w:hAnsi="Times New Roman" w:cs="Times New Roman"/>
                <w:b/>
                <w:bCs/>
              </w:rPr>
              <w:t>Key reported outcome</w:t>
            </w:r>
          </w:p>
        </w:tc>
      </w:tr>
      <w:tr w:rsidR="00450B9B" w:rsidRPr="0015728C" w14:paraId="23CF2B08" w14:textId="77777777" w:rsidTr="00450B9B">
        <w:tc>
          <w:tcPr>
            <w:tcW w:w="1165" w:type="dxa"/>
            <w:hideMark/>
          </w:tcPr>
          <w:p w14:paraId="122983CF" w14:textId="77777777" w:rsidR="00450B9B" w:rsidRPr="0015728C" w:rsidRDefault="00450B9B" w:rsidP="00450B9B">
            <w:pPr>
              <w:spacing w:line="278" w:lineRule="auto"/>
              <w:jc w:val="both"/>
              <w:rPr>
                <w:rFonts w:ascii="Times New Roman" w:hAnsi="Times New Roman" w:cs="Times New Roman"/>
              </w:rPr>
            </w:pPr>
            <w:proofErr w:type="spellStart"/>
            <w:r w:rsidRPr="0015728C">
              <w:rPr>
                <w:rFonts w:ascii="Times New Roman" w:hAnsi="Times New Roman" w:cs="Times New Roman"/>
              </w:rPr>
              <w:t>Sparfloxacin</w:t>
            </w:r>
            <w:proofErr w:type="spellEnd"/>
          </w:p>
        </w:tc>
        <w:tc>
          <w:tcPr>
            <w:tcW w:w="1620" w:type="dxa"/>
            <w:hideMark/>
          </w:tcPr>
          <w:p w14:paraId="5DB254C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PLGA nanoparticles</w:t>
            </w:r>
          </w:p>
        </w:tc>
        <w:tc>
          <w:tcPr>
            <w:tcW w:w="2070" w:type="dxa"/>
            <w:hideMark/>
          </w:tcPr>
          <w:p w14:paraId="1D6AE8BA"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Chitosan gel (pH-responsive)</w:t>
            </w:r>
          </w:p>
        </w:tc>
        <w:tc>
          <w:tcPr>
            <w:tcW w:w="4680" w:type="dxa"/>
            <w:hideMark/>
          </w:tcPr>
          <w:p w14:paraId="296EF546"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Gamma scintigraphy: longer ocular retention vs marketed; reduced systemic drainage signal</w:t>
            </w:r>
          </w:p>
        </w:tc>
      </w:tr>
      <w:tr w:rsidR="00450B9B" w:rsidRPr="0015728C" w14:paraId="6FC2D45C" w14:textId="77777777" w:rsidTr="00450B9B">
        <w:tc>
          <w:tcPr>
            <w:tcW w:w="1165" w:type="dxa"/>
            <w:hideMark/>
          </w:tcPr>
          <w:p w14:paraId="5DB289CD"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Hydrocortisone butyrate</w:t>
            </w:r>
          </w:p>
        </w:tc>
        <w:tc>
          <w:tcPr>
            <w:tcW w:w="1620" w:type="dxa"/>
            <w:hideMark/>
          </w:tcPr>
          <w:p w14:paraId="255D6AA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PLGA nanoparticles</w:t>
            </w:r>
          </w:p>
        </w:tc>
        <w:tc>
          <w:tcPr>
            <w:tcW w:w="2070" w:type="dxa"/>
            <w:hideMark/>
          </w:tcPr>
          <w:p w14:paraId="0BD1085F"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PLGA</w:t>
            </w:r>
            <w:r w:rsidRPr="0015728C">
              <w:rPr>
                <w:rFonts w:ascii="Times New Roman" w:hAnsi="Times New Roman" w:cs="Times New Roman"/>
              </w:rPr>
              <w:noBreakHyphen/>
              <w:t>PEG</w:t>
            </w:r>
            <w:r w:rsidRPr="0015728C">
              <w:rPr>
                <w:rFonts w:ascii="Times New Roman" w:hAnsi="Times New Roman" w:cs="Times New Roman"/>
              </w:rPr>
              <w:noBreakHyphen/>
              <w:t xml:space="preserve">PLGA </w:t>
            </w:r>
            <w:proofErr w:type="spellStart"/>
            <w:r w:rsidRPr="0015728C">
              <w:rPr>
                <w:rFonts w:ascii="Times New Roman" w:hAnsi="Times New Roman" w:cs="Times New Roman"/>
              </w:rPr>
              <w:t>thermogel</w:t>
            </w:r>
            <w:proofErr w:type="spellEnd"/>
            <w:r w:rsidRPr="0015728C">
              <w:rPr>
                <w:rFonts w:ascii="Times New Roman" w:hAnsi="Times New Roman" w:cs="Times New Roman"/>
              </w:rPr>
              <w:t xml:space="preserve"> (temperature)</w:t>
            </w:r>
          </w:p>
        </w:tc>
        <w:tc>
          <w:tcPr>
            <w:tcW w:w="4680" w:type="dxa"/>
            <w:hideMark/>
          </w:tcPr>
          <w:p w14:paraId="6D3AE27A"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Minimal burst; sustained/near zero-order release from NP-in-gel vs drug-in-gel</w:t>
            </w:r>
          </w:p>
        </w:tc>
      </w:tr>
      <w:tr w:rsidR="00450B9B" w:rsidRPr="0015728C" w14:paraId="5677ED48" w14:textId="77777777" w:rsidTr="00450B9B">
        <w:tc>
          <w:tcPr>
            <w:tcW w:w="1165" w:type="dxa"/>
            <w:hideMark/>
          </w:tcPr>
          <w:p w14:paraId="2059B7A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Timolol (glaucoma)</w:t>
            </w:r>
          </w:p>
        </w:tc>
        <w:tc>
          <w:tcPr>
            <w:tcW w:w="1620" w:type="dxa"/>
            <w:hideMark/>
          </w:tcPr>
          <w:p w14:paraId="2CE80AD7"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Chitosan–carbomer nanoparticles</w:t>
            </w:r>
          </w:p>
        </w:tc>
        <w:tc>
          <w:tcPr>
            <w:tcW w:w="2070" w:type="dxa"/>
            <w:hideMark/>
          </w:tcPr>
          <w:p w14:paraId="5CF4AD46"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Carbomer in situ gel (pH-responsive)</w:t>
            </w:r>
          </w:p>
        </w:tc>
        <w:tc>
          <w:tcPr>
            <w:tcW w:w="4680" w:type="dxa"/>
            <w:hideMark/>
          </w:tcPr>
          <w:p w14:paraId="31A84819"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Higher </w:t>
            </w:r>
            <w:proofErr w:type="spellStart"/>
            <w:r w:rsidRPr="0015728C">
              <w:rPr>
                <w:rFonts w:ascii="Times New Roman" w:hAnsi="Times New Roman" w:cs="Times New Roman"/>
              </w:rPr>
              <w:t>mucoadhesion</w:t>
            </w:r>
            <w:proofErr w:type="spellEnd"/>
            <w:r w:rsidRPr="0015728C">
              <w:rPr>
                <w:rFonts w:ascii="Times New Roman" w:hAnsi="Times New Roman" w:cs="Times New Roman"/>
              </w:rPr>
              <w:t>; more sustained IOP reduction than solution/NPs</w:t>
            </w:r>
          </w:p>
        </w:tc>
      </w:tr>
      <w:tr w:rsidR="00450B9B" w:rsidRPr="0015728C" w14:paraId="77EDCB86" w14:textId="77777777" w:rsidTr="00450B9B">
        <w:tc>
          <w:tcPr>
            <w:tcW w:w="1165" w:type="dxa"/>
            <w:hideMark/>
          </w:tcPr>
          <w:p w14:paraId="51D6B56D"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Dexamethasone</w:t>
            </w:r>
          </w:p>
        </w:tc>
        <w:tc>
          <w:tcPr>
            <w:tcW w:w="1620" w:type="dxa"/>
            <w:hideMark/>
          </w:tcPr>
          <w:p w14:paraId="34FB015F"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Nanoparticles in in situ gel</w:t>
            </w:r>
          </w:p>
        </w:tc>
        <w:tc>
          <w:tcPr>
            <w:tcW w:w="2070" w:type="dxa"/>
            <w:hideMark/>
          </w:tcPr>
          <w:p w14:paraId="1C706D2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Poloxamer-based in situ gel</w:t>
            </w:r>
          </w:p>
        </w:tc>
        <w:tc>
          <w:tcPr>
            <w:tcW w:w="4680" w:type="dxa"/>
            <w:hideMark/>
          </w:tcPr>
          <w:p w14:paraId="2017801A"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Higher ex vivo permeation; slower controlled release; higher ocular bioavailability vs marketed</w:t>
            </w:r>
          </w:p>
        </w:tc>
      </w:tr>
      <w:tr w:rsidR="00450B9B" w:rsidRPr="0015728C" w14:paraId="3AEB1C5E" w14:textId="77777777" w:rsidTr="00450B9B">
        <w:tc>
          <w:tcPr>
            <w:tcW w:w="1165" w:type="dxa"/>
            <w:hideMark/>
          </w:tcPr>
          <w:p w14:paraId="78A5DD8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Dexamethasone</w:t>
            </w:r>
          </w:p>
        </w:tc>
        <w:tc>
          <w:tcPr>
            <w:tcW w:w="1620" w:type="dxa"/>
            <w:hideMark/>
          </w:tcPr>
          <w:p w14:paraId="0E312618"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Cross-linked thermosensitive NPs</w:t>
            </w:r>
            <w:r w:rsidRPr="0015728C">
              <w:rPr>
                <w:rFonts w:ascii="Times New Roman" w:hAnsi="Times New Roman" w:cs="Times New Roman"/>
              </w:rPr>
              <w:noBreakHyphen/>
              <w:t>gel</w:t>
            </w:r>
          </w:p>
        </w:tc>
        <w:tc>
          <w:tcPr>
            <w:tcW w:w="2070" w:type="dxa"/>
            <w:hideMark/>
          </w:tcPr>
          <w:p w14:paraId="0E8F1F4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Thermosensitive gel (33.2 °C transition)</w:t>
            </w:r>
          </w:p>
        </w:tc>
        <w:tc>
          <w:tcPr>
            <w:tcW w:w="4680" w:type="dxa"/>
            <w:hideMark/>
          </w:tcPr>
          <w:p w14:paraId="23B0390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Higher adhesion/gel strength; AUC 3.08× NPs and 1.51× in situ gel alone</w:t>
            </w:r>
          </w:p>
        </w:tc>
      </w:tr>
      <w:tr w:rsidR="00450B9B" w:rsidRPr="0015728C" w14:paraId="2F94366C" w14:textId="77777777" w:rsidTr="00450B9B">
        <w:tc>
          <w:tcPr>
            <w:tcW w:w="1165" w:type="dxa"/>
            <w:hideMark/>
          </w:tcPr>
          <w:p w14:paraId="68AC049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Quercetin</w:t>
            </w:r>
          </w:p>
        </w:tc>
        <w:tc>
          <w:tcPr>
            <w:tcW w:w="1620" w:type="dxa"/>
            <w:hideMark/>
          </w:tcPr>
          <w:p w14:paraId="2A39B2EF"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NLC + </w:t>
            </w:r>
            <w:proofErr w:type="spellStart"/>
            <w:r w:rsidRPr="0015728C">
              <w:rPr>
                <w:rFonts w:ascii="Times New Roman" w:hAnsi="Times New Roman" w:cs="Times New Roman"/>
              </w:rPr>
              <w:t>genipin</w:t>
            </w:r>
            <w:proofErr w:type="spellEnd"/>
            <w:r w:rsidRPr="0015728C">
              <w:rPr>
                <w:rFonts w:ascii="Times New Roman" w:hAnsi="Times New Roman" w:cs="Times New Roman"/>
              </w:rPr>
              <w:t>-crosslinked hydrogel</w:t>
            </w:r>
          </w:p>
        </w:tc>
        <w:tc>
          <w:tcPr>
            <w:tcW w:w="2070" w:type="dxa"/>
            <w:hideMark/>
          </w:tcPr>
          <w:p w14:paraId="029241A3"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CMCS/P407 gel (dual pH + temperature)</w:t>
            </w:r>
          </w:p>
        </w:tc>
        <w:tc>
          <w:tcPr>
            <w:tcW w:w="4680" w:type="dxa"/>
            <w:hideMark/>
          </w:tcPr>
          <w:p w14:paraId="3FECB047"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AUC 4.4× vs eye drops; better cytocompatibility vs GA-crosslinked control</w:t>
            </w:r>
          </w:p>
        </w:tc>
      </w:tr>
      <w:tr w:rsidR="00450B9B" w:rsidRPr="0015728C" w14:paraId="1CD86D42" w14:textId="77777777" w:rsidTr="00450B9B">
        <w:tc>
          <w:tcPr>
            <w:tcW w:w="1165" w:type="dxa"/>
            <w:hideMark/>
          </w:tcPr>
          <w:p w14:paraId="63F89C2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Baicalin</w:t>
            </w:r>
          </w:p>
        </w:tc>
        <w:tc>
          <w:tcPr>
            <w:tcW w:w="1620" w:type="dxa"/>
            <w:hideMark/>
          </w:tcPr>
          <w:p w14:paraId="538AA874"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NLC + crosslinked “smart” hydrogel</w:t>
            </w:r>
          </w:p>
        </w:tc>
        <w:tc>
          <w:tcPr>
            <w:tcW w:w="2070" w:type="dxa"/>
            <w:hideMark/>
          </w:tcPr>
          <w:p w14:paraId="096D5DC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CMCS/P407 + </w:t>
            </w:r>
            <w:proofErr w:type="spellStart"/>
            <w:r w:rsidRPr="0015728C">
              <w:rPr>
                <w:rFonts w:ascii="Times New Roman" w:hAnsi="Times New Roman" w:cs="Times New Roman"/>
              </w:rPr>
              <w:t>genipin</w:t>
            </w:r>
            <w:proofErr w:type="spellEnd"/>
            <w:r w:rsidRPr="0015728C">
              <w:rPr>
                <w:rFonts w:ascii="Times New Roman" w:hAnsi="Times New Roman" w:cs="Times New Roman"/>
              </w:rPr>
              <w:t xml:space="preserve"> (dual pH + temperature)</w:t>
            </w:r>
          </w:p>
        </w:tc>
        <w:tc>
          <w:tcPr>
            <w:tcW w:w="4680" w:type="dxa"/>
            <w:hideMark/>
          </w:tcPr>
          <w:p w14:paraId="43B2995E"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Papp 4.46× vs drops; longer precorneal retention; no significant corneal irritation</w:t>
            </w:r>
          </w:p>
        </w:tc>
      </w:tr>
      <w:tr w:rsidR="00450B9B" w:rsidRPr="0015728C" w14:paraId="233951C7" w14:textId="77777777" w:rsidTr="00450B9B">
        <w:tc>
          <w:tcPr>
            <w:tcW w:w="1165" w:type="dxa"/>
            <w:hideMark/>
          </w:tcPr>
          <w:p w14:paraId="35E4328D"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Oxytetracycline (keratitis)</w:t>
            </w:r>
          </w:p>
        </w:tc>
        <w:tc>
          <w:tcPr>
            <w:tcW w:w="1620" w:type="dxa"/>
            <w:hideMark/>
          </w:tcPr>
          <w:p w14:paraId="0E74203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Polymeric NPs in </w:t>
            </w:r>
            <w:proofErr w:type="spellStart"/>
            <w:r w:rsidRPr="0015728C">
              <w:rPr>
                <w:rFonts w:ascii="Times New Roman" w:hAnsi="Times New Roman" w:cs="Times New Roman"/>
              </w:rPr>
              <w:t>thermogel</w:t>
            </w:r>
            <w:proofErr w:type="spellEnd"/>
          </w:p>
        </w:tc>
        <w:tc>
          <w:tcPr>
            <w:tcW w:w="2070" w:type="dxa"/>
            <w:hideMark/>
          </w:tcPr>
          <w:p w14:paraId="1803D0E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 xml:space="preserve">Poloxamer </w:t>
            </w:r>
            <w:proofErr w:type="spellStart"/>
            <w:r w:rsidRPr="0015728C">
              <w:rPr>
                <w:rFonts w:ascii="Times New Roman" w:hAnsi="Times New Roman" w:cs="Times New Roman"/>
              </w:rPr>
              <w:t>thermogel</w:t>
            </w:r>
            <w:proofErr w:type="spellEnd"/>
          </w:p>
        </w:tc>
        <w:tc>
          <w:tcPr>
            <w:tcW w:w="4680" w:type="dxa"/>
            <w:hideMark/>
          </w:tcPr>
          <w:p w14:paraId="6571938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Gelation ~28–31 °C; pH ~7–7.45; tolerated in rabbits; sustained release</w:t>
            </w:r>
          </w:p>
        </w:tc>
      </w:tr>
      <w:tr w:rsidR="00450B9B" w:rsidRPr="0015728C" w14:paraId="06EB1501" w14:textId="77777777" w:rsidTr="00450B9B">
        <w:tc>
          <w:tcPr>
            <w:tcW w:w="1165" w:type="dxa"/>
            <w:hideMark/>
          </w:tcPr>
          <w:p w14:paraId="690307E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Ketoconazole (antifungal)</w:t>
            </w:r>
          </w:p>
        </w:tc>
        <w:tc>
          <w:tcPr>
            <w:tcW w:w="1620" w:type="dxa"/>
            <w:hideMark/>
          </w:tcPr>
          <w:p w14:paraId="3452DCC5"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Ketoconazole nanoparticles</w:t>
            </w:r>
          </w:p>
        </w:tc>
        <w:tc>
          <w:tcPr>
            <w:tcW w:w="2070" w:type="dxa"/>
            <w:hideMark/>
          </w:tcPr>
          <w:p w14:paraId="69EC3FB7"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Poloxamer/HPMC/alginate blends (temperature)</w:t>
            </w:r>
          </w:p>
        </w:tc>
        <w:tc>
          <w:tcPr>
            <w:tcW w:w="4680" w:type="dxa"/>
            <w:hideMark/>
          </w:tcPr>
          <w:p w14:paraId="27553AA1"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Gelation temperature tunable (e.g., ~34.7 °C at 16% P407); near-neutral pH; stability/gelation tracked</w:t>
            </w:r>
          </w:p>
        </w:tc>
      </w:tr>
      <w:tr w:rsidR="00450B9B" w:rsidRPr="0015728C" w14:paraId="3B12B62F" w14:textId="77777777" w:rsidTr="00450B9B">
        <w:tc>
          <w:tcPr>
            <w:tcW w:w="1165" w:type="dxa"/>
            <w:hideMark/>
          </w:tcPr>
          <w:p w14:paraId="0391790B"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Loratadine</w:t>
            </w:r>
          </w:p>
        </w:tc>
        <w:tc>
          <w:tcPr>
            <w:tcW w:w="1620" w:type="dxa"/>
            <w:hideMark/>
          </w:tcPr>
          <w:p w14:paraId="7EDD5EE1"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NLC</w:t>
            </w:r>
          </w:p>
        </w:tc>
        <w:tc>
          <w:tcPr>
            <w:tcW w:w="2070" w:type="dxa"/>
            <w:hideMark/>
          </w:tcPr>
          <w:p w14:paraId="0D8DCD4F"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Carbopol 934 + HPMC gel</w:t>
            </w:r>
          </w:p>
        </w:tc>
        <w:tc>
          <w:tcPr>
            <w:tcW w:w="4680" w:type="dxa"/>
            <w:hideMark/>
          </w:tcPr>
          <w:p w14:paraId="140A1503"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High entrapment; mucoadhesive gel; non-irritating; better corneal retention with sustained release</w:t>
            </w:r>
          </w:p>
        </w:tc>
      </w:tr>
      <w:tr w:rsidR="00450B9B" w:rsidRPr="0015728C" w14:paraId="2F075F9C" w14:textId="77777777" w:rsidTr="00450B9B">
        <w:tc>
          <w:tcPr>
            <w:tcW w:w="1165" w:type="dxa"/>
            <w:hideMark/>
          </w:tcPr>
          <w:p w14:paraId="57E403B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lastRenderedPageBreak/>
              <w:t>Flurbiprofen</w:t>
            </w:r>
          </w:p>
        </w:tc>
        <w:tc>
          <w:tcPr>
            <w:tcW w:w="1620" w:type="dxa"/>
            <w:hideMark/>
          </w:tcPr>
          <w:p w14:paraId="61703B41"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Drug nanoparticles (“</w:t>
            </w:r>
            <w:proofErr w:type="spellStart"/>
            <w:r w:rsidRPr="0015728C">
              <w:rPr>
                <w:rFonts w:ascii="Times New Roman" w:hAnsi="Times New Roman" w:cs="Times New Roman"/>
              </w:rPr>
              <w:t>nano</w:t>
            </w:r>
            <w:proofErr w:type="spellEnd"/>
            <w:r w:rsidRPr="0015728C">
              <w:rPr>
                <w:rFonts w:ascii="Times New Roman" w:hAnsi="Times New Roman" w:cs="Times New Roman"/>
              </w:rPr>
              <w:t xml:space="preserve"> gel”)</w:t>
            </w:r>
          </w:p>
        </w:tc>
        <w:tc>
          <w:tcPr>
            <w:tcW w:w="2070" w:type="dxa"/>
            <w:hideMark/>
          </w:tcPr>
          <w:p w14:paraId="299E2566"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F127 + Carbopol 934 (temperature)</w:t>
            </w:r>
          </w:p>
        </w:tc>
        <w:tc>
          <w:tcPr>
            <w:tcW w:w="4680" w:type="dxa"/>
            <w:hideMark/>
          </w:tcPr>
          <w:p w14:paraId="330D8C67"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~95% release at 6 h; increased precorneal residence and aqueous humor concentration vs drops</w:t>
            </w:r>
          </w:p>
        </w:tc>
      </w:tr>
      <w:tr w:rsidR="00450B9B" w:rsidRPr="0015728C" w14:paraId="1FB41B9C" w14:textId="77777777" w:rsidTr="00450B9B">
        <w:tc>
          <w:tcPr>
            <w:tcW w:w="1165" w:type="dxa"/>
            <w:hideMark/>
          </w:tcPr>
          <w:p w14:paraId="48EBB2C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Propamidine isethionate systems (Acanthamoeba keratitis)</w:t>
            </w:r>
          </w:p>
        </w:tc>
        <w:tc>
          <w:tcPr>
            <w:tcW w:w="1620" w:type="dxa"/>
            <w:hideMark/>
          </w:tcPr>
          <w:p w14:paraId="15370EC2"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CS NPs / NLC / liposomes in gel</w:t>
            </w:r>
          </w:p>
        </w:tc>
        <w:tc>
          <w:tcPr>
            <w:tcW w:w="2070" w:type="dxa"/>
            <w:hideMark/>
          </w:tcPr>
          <w:p w14:paraId="7C3DE95C"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F127 + chitosan gel (temperature + pH effects)</w:t>
            </w:r>
          </w:p>
        </w:tc>
        <w:tc>
          <w:tcPr>
            <w:tcW w:w="4680" w:type="dxa"/>
            <w:hideMark/>
          </w:tcPr>
          <w:p w14:paraId="6E2E7A29" w14:textId="77777777" w:rsidR="00450B9B" w:rsidRPr="0015728C" w:rsidRDefault="00450B9B" w:rsidP="00450B9B">
            <w:pPr>
              <w:spacing w:line="278" w:lineRule="auto"/>
              <w:jc w:val="both"/>
              <w:rPr>
                <w:rFonts w:ascii="Times New Roman" w:hAnsi="Times New Roman" w:cs="Times New Roman"/>
              </w:rPr>
            </w:pPr>
            <w:r w:rsidRPr="0015728C">
              <w:rPr>
                <w:rFonts w:ascii="Times New Roman" w:hAnsi="Times New Roman" w:cs="Times New Roman"/>
              </w:rPr>
              <w:t>Gelation temps ~33–34.8 °C; viscosity rises sharply at 37 °C; sustained release vs marketed drops</w:t>
            </w:r>
          </w:p>
        </w:tc>
      </w:tr>
    </w:tbl>
    <w:p w14:paraId="719272EB" w14:textId="77777777" w:rsidR="0015728C" w:rsidRDefault="0015728C" w:rsidP="00702417">
      <w:pPr>
        <w:jc w:val="both"/>
        <w:rPr>
          <w:rFonts w:ascii="Times New Roman" w:hAnsi="Times New Roman" w:cs="Times New Roman"/>
          <w:b/>
          <w:bCs/>
        </w:rPr>
      </w:pPr>
    </w:p>
    <w:p w14:paraId="2EF2BA0A" w14:textId="439C012A"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0</w:t>
      </w:r>
      <w:r w:rsidR="004836BE">
        <w:rPr>
          <w:rFonts w:ascii="Times New Roman" w:hAnsi="Times New Roman" w:cs="Times New Roman"/>
          <w:b/>
          <w:bCs/>
        </w:rPr>
        <w:t>7</w:t>
      </w:r>
      <w:r w:rsidRPr="00450B9B">
        <w:rPr>
          <w:rFonts w:ascii="Times New Roman" w:hAnsi="Times New Roman" w:cs="Times New Roman"/>
          <w:b/>
          <w:bCs/>
        </w:rPr>
        <w:t>. FORMULATION &amp; EVALUATION PARAMETERS </w:t>
      </w:r>
    </w:p>
    <w:p w14:paraId="30D7D48C" w14:textId="4B4F38A6" w:rsidR="00450B9B" w:rsidRPr="00450B9B" w:rsidRDefault="004836BE" w:rsidP="00450B9B">
      <w:pPr>
        <w:jc w:val="both"/>
        <w:rPr>
          <w:rFonts w:ascii="Times New Roman" w:hAnsi="Times New Roman" w:cs="Times New Roman"/>
          <w:b/>
          <w:bCs/>
        </w:rPr>
      </w:pPr>
      <w:r>
        <w:rPr>
          <w:rFonts w:ascii="Times New Roman" w:hAnsi="Times New Roman" w:cs="Times New Roman"/>
          <w:b/>
          <w:bCs/>
        </w:rPr>
        <w:t>7</w:t>
      </w:r>
      <w:r w:rsidR="00450B9B" w:rsidRPr="00450B9B">
        <w:rPr>
          <w:rFonts w:ascii="Times New Roman" w:hAnsi="Times New Roman" w:cs="Times New Roman"/>
          <w:b/>
          <w:bCs/>
        </w:rPr>
        <w:t>.1 Formulation considerations</w:t>
      </w:r>
    </w:p>
    <w:p w14:paraId="6301BA33" w14:textId="16F27EF4" w:rsidR="00450B9B" w:rsidRPr="00450B9B" w:rsidRDefault="00450B9B" w:rsidP="00450B9B">
      <w:pPr>
        <w:jc w:val="both"/>
        <w:rPr>
          <w:rFonts w:ascii="Times New Roman" w:hAnsi="Times New Roman" w:cs="Times New Roman"/>
        </w:rPr>
      </w:pPr>
      <w:r w:rsidRPr="00450B9B">
        <w:rPr>
          <w:rFonts w:ascii="Times New Roman" w:hAnsi="Times New Roman" w:cs="Times New Roman"/>
        </w:rPr>
        <w:t>Developing a nanoparticle-laden in situ gel (NP–ISG) is essentially a </w:t>
      </w:r>
      <w:r w:rsidRPr="00450B9B">
        <w:rPr>
          <w:rFonts w:ascii="Times New Roman" w:hAnsi="Times New Roman" w:cs="Times New Roman"/>
          <w:i/>
          <w:iCs/>
        </w:rPr>
        <w:t>two-level formulation problem</w:t>
      </w:r>
      <w:r w:rsidRPr="00450B9B">
        <w:rPr>
          <w:rFonts w:ascii="Times New Roman" w:hAnsi="Times New Roman" w:cs="Times New Roman"/>
        </w:rPr>
        <w:t>: (</w:t>
      </w:r>
      <w:proofErr w:type="spellStart"/>
      <w:r w:rsidRPr="00450B9B">
        <w:rPr>
          <w:rFonts w:ascii="Times New Roman" w:hAnsi="Times New Roman" w:cs="Times New Roman"/>
        </w:rPr>
        <w:t>i</w:t>
      </w:r>
      <w:proofErr w:type="spellEnd"/>
      <w:r w:rsidRPr="00450B9B">
        <w:rPr>
          <w:rFonts w:ascii="Times New Roman" w:hAnsi="Times New Roman" w:cs="Times New Roman"/>
        </w:rPr>
        <w:t xml:space="preserve">) design a stable, reproducible nanoparticle dispersion (or dry nanoparticles suitable for redispersion) and (ii) design an </w:t>
      </w:r>
      <w:proofErr w:type="gramStart"/>
      <w:r w:rsidRPr="00450B9B">
        <w:rPr>
          <w:rFonts w:ascii="Times New Roman" w:hAnsi="Times New Roman" w:cs="Times New Roman"/>
        </w:rPr>
        <w:t>in situ</w:t>
      </w:r>
      <w:proofErr w:type="gramEnd"/>
      <w:r w:rsidRPr="00450B9B">
        <w:rPr>
          <w:rFonts w:ascii="Times New Roman" w:hAnsi="Times New Roman" w:cs="Times New Roman"/>
        </w:rPr>
        <w:t xml:space="preserve"> gelling vehicle that can gel rapidly under ocular conditions without causing discomfort or instability. In practice, the final performance is governed by the interaction between these two subsystems</w:t>
      </w:r>
      <w:r w:rsidR="0037244D">
        <w:rPr>
          <w:rFonts w:ascii="Times New Roman" w:hAnsi="Times New Roman" w:cs="Times New Roman"/>
        </w:rPr>
        <w:t xml:space="preserve"> </w:t>
      </w:r>
      <w:r w:rsidRPr="00450B9B">
        <w:rPr>
          <w:rFonts w:ascii="Times New Roman" w:hAnsi="Times New Roman" w:cs="Times New Roman"/>
        </w:rPr>
        <w:t xml:space="preserve">e.g., gel viscosity can slow nanoparticle diffusion, while nanoparticle surface charge can change gel microstructure and </w:t>
      </w:r>
      <w:proofErr w:type="spellStart"/>
      <w:r w:rsidRPr="00450B9B">
        <w:rPr>
          <w:rFonts w:ascii="Times New Roman" w:hAnsi="Times New Roman" w:cs="Times New Roman"/>
        </w:rPr>
        <w:t>mucoadhesion</w:t>
      </w:r>
      <w:proofErr w:type="spellEnd"/>
      <w:r w:rsidRPr="00450B9B">
        <w:rPr>
          <w:rFonts w:ascii="Times New Roman" w:hAnsi="Times New Roman" w:cs="Times New Roman"/>
        </w:rPr>
        <w:t>. [71] </w:t>
      </w:r>
      <w:r w:rsidR="0037244D" w:rsidRPr="00450B9B">
        <w:rPr>
          <w:rFonts w:ascii="Times New Roman" w:hAnsi="Times New Roman" w:cs="Times New Roman"/>
        </w:rPr>
        <w:t xml:space="preserve"> </w:t>
      </w:r>
    </w:p>
    <w:p w14:paraId="54513155" w14:textId="59AAD05F"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Drug–polymer compatibility. </w:t>
      </w:r>
      <w:proofErr w:type="spellStart"/>
      <w:r w:rsidRPr="00450B9B">
        <w:rPr>
          <w:rFonts w:ascii="Times New Roman" w:hAnsi="Times New Roman" w:cs="Times New Roman"/>
        </w:rPr>
        <w:t>Preformulation</w:t>
      </w:r>
      <w:proofErr w:type="spellEnd"/>
      <w:r w:rsidRPr="00450B9B">
        <w:rPr>
          <w:rFonts w:ascii="Times New Roman" w:hAnsi="Times New Roman" w:cs="Times New Roman"/>
        </w:rPr>
        <w:t xml:space="preserve"> compatibility is typically assessed using FTIR (functional group shifts/interaction evidence) and DSC (changes in melting transitions, crystallinity, and interaction-driven thermal events). These tools are frequently reported in nanoparticle-in-gel development papers to justify that the drug remains chemically compatible with the chosen polymers/surfactants and that no unexpected interaction compromises stability or release. [72] </w:t>
      </w:r>
      <w:r w:rsidR="0037244D" w:rsidRPr="00450B9B">
        <w:rPr>
          <w:rFonts w:ascii="Times New Roman" w:hAnsi="Times New Roman" w:cs="Times New Roman"/>
          <w:b/>
          <w:bCs/>
        </w:rPr>
        <w:t xml:space="preserve"> </w:t>
      </w:r>
    </w:p>
    <w:p w14:paraId="49DE7EEB" w14:textId="2CD41181"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 xml:space="preserve">Sterility strategy (non-negotiable for </w:t>
      </w:r>
      <w:proofErr w:type="spellStart"/>
      <w:r w:rsidRPr="00450B9B">
        <w:rPr>
          <w:rFonts w:ascii="Times New Roman" w:hAnsi="Times New Roman" w:cs="Times New Roman"/>
          <w:b/>
          <w:bCs/>
        </w:rPr>
        <w:t>ophthalmics</w:t>
      </w:r>
      <w:proofErr w:type="spellEnd"/>
      <w:r w:rsidRPr="00450B9B">
        <w:rPr>
          <w:rFonts w:ascii="Times New Roman" w:hAnsi="Times New Roman" w:cs="Times New Roman"/>
          <w:b/>
          <w:bCs/>
        </w:rPr>
        <w:t>).</w:t>
      </w:r>
      <w:r w:rsidRPr="00450B9B">
        <w:rPr>
          <w:rFonts w:ascii="Times New Roman" w:hAnsi="Times New Roman" w:cs="Times New Roman"/>
        </w:rPr>
        <w:t xml:space="preserve"> Ophthalmic dosage forms must be sterile, but sterilization can be technically difficult for </w:t>
      </w:r>
      <w:proofErr w:type="spellStart"/>
      <w:r w:rsidRPr="00450B9B">
        <w:rPr>
          <w:rFonts w:ascii="Times New Roman" w:hAnsi="Times New Roman" w:cs="Times New Roman"/>
        </w:rPr>
        <w:t>nanosystems</w:t>
      </w:r>
      <w:proofErr w:type="spellEnd"/>
      <w:r w:rsidRPr="00450B9B">
        <w:rPr>
          <w:rFonts w:ascii="Times New Roman" w:hAnsi="Times New Roman" w:cs="Times New Roman"/>
        </w:rPr>
        <w:t xml:space="preserve"> because heat, radiation, and filtration may change particle size, drug loading, or gelation behavior. One common approach</w:t>
      </w:r>
      <w:r w:rsidR="0037244D">
        <w:rPr>
          <w:rFonts w:ascii="Times New Roman" w:hAnsi="Times New Roman" w:cs="Times New Roman"/>
        </w:rPr>
        <w:t xml:space="preserve"> </w:t>
      </w:r>
      <w:r w:rsidRPr="00450B9B">
        <w:rPr>
          <w:rFonts w:ascii="Times New Roman" w:hAnsi="Times New Roman" w:cs="Times New Roman"/>
        </w:rPr>
        <w:t>when the formulation tolerates moist heat</w:t>
      </w:r>
      <w:r w:rsidR="0037244D">
        <w:rPr>
          <w:rFonts w:ascii="Times New Roman" w:hAnsi="Times New Roman" w:cs="Times New Roman"/>
        </w:rPr>
        <w:t xml:space="preserve"> </w:t>
      </w:r>
      <w:r w:rsidRPr="00450B9B">
        <w:rPr>
          <w:rFonts w:ascii="Times New Roman" w:hAnsi="Times New Roman" w:cs="Times New Roman"/>
        </w:rPr>
        <w:t>is terminal autoclaving of the filled container, and at least one nanoparticles-loaded in situ gel study reports autoclaving at 121 °C for 20 minutes at 15 psi. [72] </w:t>
      </w:r>
      <w:hyperlink r:id="rId12" w:tgtFrame="_blank" w:history="1">
        <w:r w:rsidRPr="00450B9B">
          <w:rPr>
            <w:rStyle w:val="Hyperlink"/>
            <w:rFonts w:ascii="Times New Roman" w:hAnsi="Times New Roman" w:cs="Times New Roman"/>
          </w:rPr>
          <w:t>2</w:t>
        </w:r>
      </w:hyperlink>
      <w:r w:rsidRPr="00450B9B">
        <w:rPr>
          <w:rFonts w:ascii="Times New Roman" w:hAnsi="Times New Roman" w:cs="Times New Roman"/>
        </w:rPr>
        <w:br/>
        <w:t xml:space="preserve">When heat-sensitive nanocarriers are involved, sterile filtration (0.22 </w:t>
      </w:r>
      <w:proofErr w:type="spellStart"/>
      <w:r w:rsidRPr="00450B9B">
        <w:rPr>
          <w:rFonts w:ascii="Times New Roman" w:hAnsi="Times New Roman" w:cs="Times New Roman"/>
        </w:rPr>
        <w:t>μm</w:t>
      </w:r>
      <w:proofErr w:type="spellEnd"/>
      <w:r w:rsidRPr="00450B9B">
        <w:rPr>
          <w:rFonts w:ascii="Times New Roman" w:hAnsi="Times New Roman" w:cs="Times New Roman"/>
        </w:rPr>
        <w:t>) may be used for </w:t>
      </w:r>
      <w:r w:rsidRPr="00450B9B">
        <w:rPr>
          <w:rFonts w:ascii="Times New Roman" w:hAnsi="Times New Roman" w:cs="Times New Roman"/>
          <w:i/>
          <w:iCs/>
        </w:rPr>
        <w:t>solutions</w:t>
      </w:r>
      <w:r w:rsidRPr="00450B9B">
        <w:rPr>
          <w:rFonts w:ascii="Times New Roman" w:hAnsi="Times New Roman" w:cs="Times New Roman"/>
        </w:rPr>
        <w:t xml:space="preserve">, but it can be impractical for many nanoparticle dispersions (because particles may be larger than the pore size or may be lost on the filter). Reviews focused on ophthalmic </w:t>
      </w:r>
      <w:proofErr w:type="spellStart"/>
      <w:r w:rsidRPr="00450B9B">
        <w:rPr>
          <w:rFonts w:ascii="Times New Roman" w:hAnsi="Times New Roman" w:cs="Times New Roman"/>
        </w:rPr>
        <w:t>nanopharmaceuticals</w:t>
      </w:r>
      <w:proofErr w:type="spellEnd"/>
      <w:r w:rsidRPr="00450B9B">
        <w:rPr>
          <w:rFonts w:ascii="Times New Roman" w:hAnsi="Times New Roman" w:cs="Times New Roman"/>
        </w:rPr>
        <w:t xml:space="preserve"> discuss the need to select sterilization method case-by-case and emphasize confirming post-sterilization changes in particle attributes and formulation performance (size distribution, loading, viscosity, etc.). [73] </w:t>
      </w:r>
      <w:r w:rsidR="0037244D" w:rsidRPr="00450B9B">
        <w:rPr>
          <w:rFonts w:ascii="Times New Roman" w:hAnsi="Times New Roman" w:cs="Times New Roman"/>
          <w:b/>
          <w:bCs/>
        </w:rPr>
        <w:t xml:space="preserve"> </w:t>
      </w:r>
    </w:p>
    <w:p w14:paraId="77B7CC91" w14:textId="2E871C64" w:rsidR="00450B9B" w:rsidRPr="00450B9B" w:rsidRDefault="00450B9B" w:rsidP="00450B9B">
      <w:pPr>
        <w:jc w:val="both"/>
        <w:rPr>
          <w:rFonts w:ascii="Times New Roman" w:hAnsi="Times New Roman" w:cs="Times New Roman"/>
        </w:rPr>
      </w:pPr>
      <w:r w:rsidRPr="00450B9B">
        <w:rPr>
          <w:rFonts w:ascii="Times New Roman" w:hAnsi="Times New Roman" w:cs="Times New Roman"/>
          <w:b/>
          <w:bCs/>
        </w:rPr>
        <w:lastRenderedPageBreak/>
        <w:t>pH adjustment and gelation intent. </w:t>
      </w:r>
      <w:r w:rsidRPr="00450B9B">
        <w:rPr>
          <w:rFonts w:ascii="Times New Roman" w:hAnsi="Times New Roman" w:cs="Times New Roman"/>
        </w:rPr>
        <w:t>For pH-triggered systems, the formulation is typically prepared at a lower pH (often in the ~4.0–6.0 range) to remain pourable, then thickens after exposure to tear fluid near pH ~7.4. In experimental gelation testing, simulated tear fluid at pH 7.4 and physiological temperature is commonly used to confirm gelation capacity and integrity. [72] </w:t>
      </w:r>
      <w:r w:rsidR="0037244D" w:rsidRPr="00450B9B">
        <w:rPr>
          <w:rFonts w:ascii="Times New Roman" w:hAnsi="Times New Roman" w:cs="Times New Roman"/>
        </w:rPr>
        <w:t xml:space="preserve"> </w:t>
      </w:r>
    </w:p>
    <w:p w14:paraId="612FD6A7" w14:textId="41420277" w:rsidR="00450B9B" w:rsidRPr="00450B9B" w:rsidRDefault="00450B9B" w:rsidP="00450B9B">
      <w:pPr>
        <w:jc w:val="both"/>
        <w:rPr>
          <w:rFonts w:ascii="Times New Roman" w:hAnsi="Times New Roman" w:cs="Times New Roman"/>
        </w:rPr>
      </w:pPr>
      <w:r w:rsidRPr="00450B9B">
        <w:rPr>
          <w:rFonts w:ascii="Times New Roman" w:hAnsi="Times New Roman" w:cs="Times New Roman"/>
          <w:b/>
          <w:bCs/>
        </w:rPr>
        <w:t>Osmolarity and isotonicity. </w:t>
      </w:r>
      <w:r w:rsidRPr="00450B9B">
        <w:rPr>
          <w:rFonts w:ascii="Times New Roman" w:hAnsi="Times New Roman" w:cs="Times New Roman"/>
        </w:rPr>
        <w:t xml:space="preserve">Isotonicity is adjusted (commonly with NaCl and/or suitable tonicity agents) to avoid reflex tearing, irritation, and rapid clearance that can erase the residence-time benefit of gels. In practice, isotonicity is treated as a comfort- and safety-critical specification alongside </w:t>
      </w:r>
      <w:proofErr w:type="spellStart"/>
      <w:r w:rsidRPr="00450B9B">
        <w:rPr>
          <w:rFonts w:ascii="Times New Roman" w:hAnsi="Times New Roman" w:cs="Times New Roman"/>
        </w:rPr>
        <w:t>pH.</w:t>
      </w:r>
      <w:proofErr w:type="spellEnd"/>
      <w:r w:rsidRPr="00450B9B">
        <w:rPr>
          <w:rFonts w:ascii="Times New Roman" w:hAnsi="Times New Roman" w:cs="Times New Roman"/>
        </w:rPr>
        <w:t xml:space="preserve"> [73] </w:t>
      </w:r>
      <w:r w:rsidR="0037244D" w:rsidRPr="00450B9B">
        <w:rPr>
          <w:rFonts w:ascii="Times New Roman" w:hAnsi="Times New Roman" w:cs="Times New Roman"/>
        </w:rPr>
        <w:t xml:space="preserve"> </w:t>
      </w:r>
    </w:p>
    <w:p w14:paraId="034AA7CD" w14:textId="7B205653" w:rsidR="00450B9B" w:rsidRPr="00450B9B" w:rsidRDefault="00450B9B" w:rsidP="00450B9B">
      <w:pPr>
        <w:jc w:val="both"/>
        <w:rPr>
          <w:rFonts w:ascii="Times New Roman" w:hAnsi="Times New Roman" w:cs="Times New Roman"/>
        </w:rPr>
      </w:pPr>
      <w:r w:rsidRPr="00450B9B">
        <w:rPr>
          <w:rFonts w:ascii="Times New Roman" w:hAnsi="Times New Roman" w:cs="Times New Roman"/>
        </w:rPr>
        <w:t>Optimization using DoE/</w:t>
      </w:r>
      <w:proofErr w:type="spellStart"/>
      <w:r w:rsidRPr="00450B9B">
        <w:rPr>
          <w:rFonts w:ascii="Times New Roman" w:hAnsi="Times New Roman" w:cs="Times New Roman"/>
        </w:rPr>
        <w:t>QbD</w:t>
      </w:r>
      <w:proofErr w:type="spellEnd"/>
      <w:r w:rsidRPr="00450B9B">
        <w:rPr>
          <w:rFonts w:ascii="Times New Roman" w:hAnsi="Times New Roman" w:cs="Times New Roman"/>
        </w:rPr>
        <w:t>. A Quality-by-Design mindset is increasingly applied to NP–ISG development because multiple variables interact nonlinearly (polymer concentration, surfactant level, mixing energy, crosslinking degree, etc.). A recent NP–ISG study reports a structured multi-step optimization workflow using screening and response-surface designs (</w:t>
      </w:r>
      <w:proofErr w:type="spellStart"/>
      <w:r w:rsidRPr="00450B9B">
        <w:rPr>
          <w:rFonts w:ascii="Times New Roman" w:hAnsi="Times New Roman" w:cs="Times New Roman"/>
        </w:rPr>
        <w:t>Plackett</w:t>
      </w:r>
      <w:proofErr w:type="spellEnd"/>
      <w:r w:rsidRPr="00450B9B">
        <w:rPr>
          <w:rFonts w:ascii="Times New Roman" w:hAnsi="Times New Roman" w:cs="Times New Roman"/>
        </w:rPr>
        <w:t>–Burman, steepest ascent, and Box–Behnken design) to optimize nanoparticle attributes and final ocular performance. [71] </w:t>
      </w:r>
      <w:r w:rsidR="0037244D" w:rsidRPr="00450B9B">
        <w:rPr>
          <w:rFonts w:ascii="Times New Roman" w:hAnsi="Times New Roman" w:cs="Times New Roman"/>
        </w:rPr>
        <w:t xml:space="preserve"> </w:t>
      </w:r>
    </w:p>
    <w:p w14:paraId="398A4564" w14:textId="76A32A79" w:rsidR="00450B9B" w:rsidRPr="00450B9B" w:rsidRDefault="004836BE" w:rsidP="00450B9B">
      <w:pPr>
        <w:jc w:val="both"/>
        <w:rPr>
          <w:rFonts w:ascii="Times New Roman" w:hAnsi="Times New Roman" w:cs="Times New Roman"/>
          <w:b/>
          <w:bCs/>
        </w:rPr>
      </w:pPr>
      <w:r>
        <w:rPr>
          <w:rFonts w:ascii="Times New Roman" w:hAnsi="Times New Roman" w:cs="Times New Roman"/>
          <w:b/>
          <w:bCs/>
        </w:rPr>
        <w:t>7</w:t>
      </w:r>
      <w:r w:rsidR="00450B9B" w:rsidRPr="00450B9B">
        <w:rPr>
          <w:rFonts w:ascii="Times New Roman" w:hAnsi="Times New Roman" w:cs="Times New Roman"/>
          <w:b/>
          <w:bCs/>
        </w:rPr>
        <w:t>.2 Evaluation parameters</w:t>
      </w:r>
    </w:p>
    <w:p w14:paraId="0894D44A" w14:textId="77777777" w:rsidR="00450B9B" w:rsidRPr="00450B9B" w:rsidRDefault="00450B9B" w:rsidP="00450B9B">
      <w:pPr>
        <w:jc w:val="both"/>
        <w:rPr>
          <w:rFonts w:ascii="Times New Roman" w:hAnsi="Times New Roman" w:cs="Times New Roman"/>
        </w:rPr>
      </w:pPr>
      <w:r w:rsidRPr="00450B9B">
        <w:rPr>
          <w:rFonts w:ascii="Times New Roman" w:hAnsi="Times New Roman" w:cs="Times New Roman"/>
        </w:rPr>
        <w:t>Characterization should confirm three things: (</w:t>
      </w:r>
      <w:proofErr w:type="spellStart"/>
      <w:r w:rsidRPr="00450B9B">
        <w:rPr>
          <w:rFonts w:ascii="Times New Roman" w:hAnsi="Times New Roman" w:cs="Times New Roman"/>
        </w:rPr>
        <w:t>i</w:t>
      </w:r>
      <w:proofErr w:type="spellEnd"/>
      <w:r w:rsidRPr="00450B9B">
        <w:rPr>
          <w:rFonts w:ascii="Times New Roman" w:hAnsi="Times New Roman" w:cs="Times New Roman"/>
        </w:rPr>
        <w:t>) nanoparticles are stable and within target size distribution; (ii) the gel behaves as intended (sol in bottle → gel in eye); and (iii) the combined product releases drug in a sustained manner without irritation.</w:t>
      </w:r>
    </w:p>
    <w:p w14:paraId="50A0CEE2" w14:textId="77777777"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Table 6. Comprehensive evaluation parameters for NP</w:t>
      </w:r>
      <w:r w:rsidRPr="00450B9B">
        <w:rPr>
          <w:rFonts w:ascii="Times New Roman" w:hAnsi="Times New Roman" w:cs="Times New Roman"/>
          <w:b/>
          <w:bCs/>
        </w:rPr>
        <w:noBreakHyphen/>
        <w:t>laden in situ gels</w:t>
      </w:r>
    </w:p>
    <w:p w14:paraId="442D9030" w14:textId="3BFC291D" w:rsidR="00450B9B" w:rsidRPr="00450B9B" w:rsidRDefault="00450B9B" w:rsidP="00450B9B">
      <w:pPr>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2441"/>
        <w:gridCol w:w="2769"/>
        <w:gridCol w:w="4140"/>
      </w:tblGrid>
      <w:tr w:rsidR="00450B9B" w:rsidRPr="00450B9B" w14:paraId="024F807A" w14:textId="77777777" w:rsidTr="00450B9B">
        <w:tc>
          <w:tcPr>
            <w:tcW w:w="0" w:type="auto"/>
            <w:hideMark/>
          </w:tcPr>
          <w:p w14:paraId="2A7186FF" w14:textId="77777777" w:rsidR="00450B9B" w:rsidRPr="00450B9B" w:rsidRDefault="00450B9B" w:rsidP="00450B9B">
            <w:pPr>
              <w:spacing w:line="278" w:lineRule="auto"/>
              <w:jc w:val="both"/>
              <w:rPr>
                <w:rFonts w:ascii="Times New Roman" w:hAnsi="Times New Roman" w:cs="Times New Roman"/>
                <w:b/>
                <w:bCs/>
              </w:rPr>
            </w:pPr>
            <w:r w:rsidRPr="00450B9B">
              <w:rPr>
                <w:rFonts w:ascii="Times New Roman" w:hAnsi="Times New Roman" w:cs="Times New Roman"/>
                <w:b/>
                <w:bCs/>
              </w:rPr>
              <w:t>Parameter</w:t>
            </w:r>
          </w:p>
        </w:tc>
        <w:tc>
          <w:tcPr>
            <w:tcW w:w="0" w:type="auto"/>
            <w:hideMark/>
          </w:tcPr>
          <w:p w14:paraId="6054B662" w14:textId="77777777" w:rsidR="00450B9B" w:rsidRPr="00450B9B" w:rsidRDefault="00450B9B" w:rsidP="00450B9B">
            <w:pPr>
              <w:spacing w:line="278" w:lineRule="auto"/>
              <w:jc w:val="both"/>
              <w:rPr>
                <w:rFonts w:ascii="Times New Roman" w:hAnsi="Times New Roman" w:cs="Times New Roman"/>
                <w:b/>
                <w:bCs/>
              </w:rPr>
            </w:pPr>
            <w:r w:rsidRPr="00450B9B">
              <w:rPr>
                <w:rFonts w:ascii="Times New Roman" w:hAnsi="Times New Roman" w:cs="Times New Roman"/>
                <w:b/>
                <w:bCs/>
              </w:rPr>
              <w:t>Method</w:t>
            </w:r>
          </w:p>
        </w:tc>
        <w:tc>
          <w:tcPr>
            <w:tcW w:w="0" w:type="auto"/>
            <w:hideMark/>
          </w:tcPr>
          <w:p w14:paraId="2CE5ADF6" w14:textId="77777777" w:rsidR="00450B9B" w:rsidRPr="00450B9B" w:rsidRDefault="00450B9B" w:rsidP="00450B9B">
            <w:pPr>
              <w:spacing w:line="278" w:lineRule="auto"/>
              <w:jc w:val="both"/>
              <w:rPr>
                <w:rFonts w:ascii="Times New Roman" w:hAnsi="Times New Roman" w:cs="Times New Roman"/>
                <w:b/>
                <w:bCs/>
              </w:rPr>
            </w:pPr>
            <w:r w:rsidRPr="00450B9B">
              <w:rPr>
                <w:rFonts w:ascii="Times New Roman" w:hAnsi="Times New Roman" w:cs="Times New Roman"/>
                <w:b/>
                <w:bCs/>
              </w:rPr>
              <w:t>Typical target / acceptable range (practical)</w:t>
            </w:r>
          </w:p>
        </w:tc>
      </w:tr>
      <w:tr w:rsidR="00450B9B" w:rsidRPr="00450B9B" w14:paraId="32F029C7" w14:textId="77777777" w:rsidTr="00F261CB">
        <w:tc>
          <w:tcPr>
            <w:tcW w:w="0" w:type="auto"/>
            <w:gridSpan w:val="3"/>
            <w:hideMark/>
          </w:tcPr>
          <w:p w14:paraId="2D79C10F" w14:textId="7329EB4F" w:rsidR="00450B9B" w:rsidRPr="00450B9B" w:rsidRDefault="00450B9B" w:rsidP="00450B9B">
            <w:pPr>
              <w:spacing w:line="278" w:lineRule="auto"/>
              <w:jc w:val="center"/>
              <w:rPr>
                <w:rFonts w:ascii="Times New Roman" w:hAnsi="Times New Roman" w:cs="Times New Roman"/>
                <w:b/>
                <w:bCs/>
              </w:rPr>
            </w:pPr>
            <w:r w:rsidRPr="00450B9B">
              <w:rPr>
                <w:rFonts w:ascii="Times New Roman" w:hAnsi="Times New Roman" w:cs="Times New Roman"/>
                <w:b/>
                <w:bCs/>
              </w:rPr>
              <w:t>Nanoparticle characterization</w:t>
            </w:r>
          </w:p>
        </w:tc>
      </w:tr>
      <w:tr w:rsidR="00450B9B" w:rsidRPr="00450B9B" w14:paraId="679BE87D" w14:textId="77777777" w:rsidTr="00450B9B">
        <w:tc>
          <w:tcPr>
            <w:tcW w:w="0" w:type="auto"/>
            <w:hideMark/>
          </w:tcPr>
          <w:p w14:paraId="427F7C2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Particle size</w:t>
            </w:r>
          </w:p>
        </w:tc>
        <w:tc>
          <w:tcPr>
            <w:tcW w:w="0" w:type="auto"/>
            <w:hideMark/>
          </w:tcPr>
          <w:p w14:paraId="2FCABB3C"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 xml:space="preserve">DLS / </w:t>
            </w:r>
            <w:proofErr w:type="spellStart"/>
            <w:r w:rsidRPr="00450B9B">
              <w:rPr>
                <w:rFonts w:ascii="Times New Roman" w:hAnsi="Times New Roman" w:cs="Times New Roman"/>
              </w:rPr>
              <w:t>Zetasizer</w:t>
            </w:r>
            <w:proofErr w:type="spellEnd"/>
          </w:p>
        </w:tc>
        <w:tc>
          <w:tcPr>
            <w:tcW w:w="0" w:type="auto"/>
            <w:hideMark/>
          </w:tcPr>
          <w:p w14:paraId="0F7DC930"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~100–300 nm often targeted for topical comfort &amp; stability</w:t>
            </w:r>
          </w:p>
        </w:tc>
      </w:tr>
      <w:tr w:rsidR="00450B9B" w:rsidRPr="00450B9B" w14:paraId="160B70BB" w14:textId="77777777" w:rsidTr="00450B9B">
        <w:tc>
          <w:tcPr>
            <w:tcW w:w="0" w:type="auto"/>
            <w:hideMark/>
          </w:tcPr>
          <w:p w14:paraId="6332EA23"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PDI</w:t>
            </w:r>
          </w:p>
        </w:tc>
        <w:tc>
          <w:tcPr>
            <w:tcW w:w="0" w:type="auto"/>
            <w:hideMark/>
          </w:tcPr>
          <w:p w14:paraId="334D1BA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DLS</w:t>
            </w:r>
          </w:p>
        </w:tc>
        <w:tc>
          <w:tcPr>
            <w:tcW w:w="0" w:type="auto"/>
            <w:hideMark/>
          </w:tcPr>
          <w:p w14:paraId="302BA95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&lt; 0.3 (narrow distribution)</w:t>
            </w:r>
          </w:p>
        </w:tc>
      </w:tr>
      <w:tr w:rsidR="00450B9B" w:rsidRPr="00450B9B" w14:paraId="18109A10" w14:textId="77777777" w:rsidTr="00450B9B">
        <w:tc>
          <w:tcPr>
            <w:tcW w:w="0" w:type="auto"/>
            <w:hideMark/>
          </w:tcPr>
          <w:p w14:paraId="45604EE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Entrapment efficiency</w:t>
            </w:r>
          </w:p>
        </w:tc>
        <w:tc>
          <w:tcPr>
            <w:tcW w:w="0" w:type="auto"/>
            <w:hideMark/>
          </w:tcPr>
          <w:p w14:paraId="1ABFBEC6"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UV–Vis / HPLC</w:t>
            </w:r>
          </w:p>
        </w:tc>
        <w:tc>
          <w:tcPr>
            <w:tcW w:w="0" w:type="auto"/>
            <w:hideMark/>
          </w:tcPr>
          <w:p w14:paraId="49067703"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Often &gt; 60% desirable (drug/platform-dependent)</w:t>
            </w:r>
          </w:p>
        </w:tc>
      </w:tr>
      <w:tr w:rsidR="00450B9B" w:rsidRPr="00450B9B" w14:paraId="754FA14C" w14:textId="77777777" w:rsidTr="00450B9B">
        <w:tc>
          <w:tcPr>
            <w:tcW w:w="0" w:type="auto"/>
            <w:hideMark/>
          </w:tcPr>
          <w:p w14:paraId="4FF327D6"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Morphology</w:t>
            </w:r>
          </w:p>
        </w:tc>
        <w:tc>
          <w:tcPr>
            <w:tcW w:w="0" w:type="auto"/>
            <w:hideMark/>
          </w:tcPr>
          <w:p w14:paraId="3E4C1648"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SEM / TEM</w:t>
            </w:r>
          </w:p>
        </w:tc>
        <w:tc>
          <w:tcPr>
            <w:tcW w:w="0" w:type="auto"/>
            <w:hideMark/>
          </w:tcPr>
          <w:p w14:paraId="07FFA45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Spherical/regular; minimal aggregation</w:t>
            </w:r>
          </w:p>
        </w:tc>
      </w:tr>
      <w:tr w:rsidR="00450B9B" w:rsidRPr="00450B9B" w14:paraId="1EB04C2E" w14:textId="77777777" w:rsidTr="00BD720A">
        <w:tc>
          <w:tcPr>
            <w:tcW w:w="0" w:type="auto"/>
            <w:gridSpan w:val="3"/>
            <w:hideMark/>
          </w:tcPr>
          <w:p w14:paraId="770F3D51" w14:textId="3D1390C5" w:rsidR="00450B9B" w:rsidRPr="00450B9B" w:rsidRDefault="00450B9B" w:rsidP="00450B9B">
            <w:pPr>
              <w:spacing w:line="278" w:lineRule="auto"/>
              <w:jc w:val="center"/>
              <w:rPr>
                <w:rFonts w:ascii="Times New Roman" w:hAnsi="Times New Roman" w:cs="Times New Roman"/>
                <w:b/>
                <w:bCs/>
              </w:rPr>
            </w:pPr>
            <w:r w:rsidRPr="00450B9B">
              <w:rPr>
                <w:rFonts w:ascii="Times New Roman" w:hAnsi="Times New Roman" w:cs="Times New Roman"/>
                <w:b/>
                <w:bCs/>
              </w:rPr>
              <w:t>In situ gel characterization</w:t>
            </w:r>
          </w:p>
        </w:tc>
      </w:tr>
      <w:tr w:rsidR="00450B9B" w:rsidRPr="00450B9B" w14:paraId="753EE920" w14:textId="77777777" w:rsidTr="00450B9B">
        <w:tc>
          <w:tcPr>
            <w:tcW w:w="0" w:type="auto"/>
            <w:hideMark/>
          </w:tcPr>
          <w:p w14:paraId="6C674F0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Clarity &amp; appearance</w:t>
            </w:r>
          </w:p>
        </w:tc>
        <w:tc>
          <w:tcPr>
            <w:tcW w:w="0" w:type="auto"/>
            <w:hideMark/>
          </w:tcPr>
          <w:p w14:paraId="524EF8CF"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Visual</w:t>
            </w:r>
          </w:p>
        </w:tc>
        <w:tc>
          <w:tcPr>
            <w:tcW w:w="0" w:type="auto"/>
            <w:hideMark/>
          </w:tcPr>
          <w:p w14:paraId="3AAC0B6B"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Clear/transparent; no particulates</w:t>
            </w:r>
          </w:p>
        </w:tc>
      </w:tr>
      <w:tr w:rsidR="00450B9B" w:rsidRPr="00450B9B" w14:paraId="45B481B4" w14:textId="77777777" w:rsidTr="00450B9B">
        <w:tc>
          <w:tcPr>
            <w:tcW w:w="0" w:type="auto"/>
            <w:hideMark/>
          </w:tcPr>
          <w:p w14:paraId="098267FD"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pH</w:t>
            </w:r>
          </w:p>
        </w:tc>
        <w:tc>
          <w:tcPr>
            <w:tcW w:w="0" w:type="auto"/>
            <w:hideMark/>
          </w:tcPr>
          <w:p w14:paraId="6ADC1605"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Calibrated pH meter</w:t>
            </w:r>
          </w:p>
        </w:tc>
        <w:tc>
          <w:tcPr>
            <w:tcW w:w="0" w:type="auto"/>
            <w:hideMark/>
          </w:tcPr>
          <w:p w14:paraId="1845B81A" w14:textId="77777777" w:rsidR="00450B9B" w:rsidRPr="00450B9B" w:rsidRDefault="00450B9B" w:rsidP="00450B9B">
            <w:pPr>
              <w:spacing w:line="278" w:lineRule="auto"/>
              <w:jc w:val="both"/>
              <w:rPr>
                <w:rFonts w:ascii="Times New Roman" w:hAnsi="Times New Roman" w:cs="Times New Roman"/>
              </w:rPr>
            </w:pPr>
            <w:proofErr w:type="gramStart"/>
            <w:r w:rsidRPr="00450B9B">
              <w:rPr>
                <w:rFonts w:ascii="Times New Roman" w:hAnsi="Times New Roman" w:cs="Times New Roman"/>
              </w:rPr>
              <w:t>Typically</w:t>
            </w:r>
            <w:proofErr w:type="gramEnd"/>
            <w:r w:rsidRPr="00450B9B">
              <w:rPr>
                <w:rFonts w:ascii="Times New Roman" w:hAnsi="Times New Roman" w:cs="Times New Roman"/>
              </w:rPr>
              <w:t> ~6.8–7.4 for comfort (trigger systems may start lower)</w:t>
            </w:r>
          </w:p>
        </w:tc>
      </w:tr>
      <w:tr w:rsidR="00450B9B" w:rsidRPr="00450B9B" w14:paraId="224FE607" w14:textId="77777777" w:rsidTr="00450B9B">
        <w:tc>
          <w:tcPr>
            <w:tcW w:w="0" w:type="auto"/>
            <w:hideMark/>
          </w:tcPr>
          <w:p w14:paraId="38E0C270"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Viscosity (sol and gel)</w:t>
            </w:r>
          </w:p>
        </w:tc>
        <w:tc>
          <w:tcPr>
            <w:tcW w:w="0" w:type="auto"/>
            <w:hideMark/>
          </w:tcPr>
          <w:p w14:paraId="219019A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Brookfield / rheometer</w:t>
            </w:r>
          </w:p>
        </w:tc>
        <w:tc>
          <w:tcPr>
            <w:tcW w:w="0" w:type="auto"/>
            <w:hideMark/>
          </w:tcPr>
          <w:p w14:paraId="3035FDA1"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Low viscosity in bottle; high viscosity after gelation</w:t>
            </w:r>
          </w:p>
        </w:tc>
      </w:tr>
      <w:tr w:rsidR="00450B9B" w:rsidRPr="00450B9B" w14:paraId="2B24DB6F" w14:textId="77777777" w:rsidTr="00450B9B">
        <w:tc>
          <w:tcPr>
            <w:tcW w:w="0" w:type="auto"/>
            <w:hideMark/>
          </w:tcPr>
          <w:p w14:paraId="6E385A8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lastRenderedPageBreak/>
              <w:t>Gelation temperature (</w:t>
            </w:r>
            <w:proofErr w:type="spellStart"/>
            <w:r w:rsidRPr="00450B9B">
              <w:rPr>
                <w:rFonts w:ascii="Times New Roman" w:hAnsi="Times New Roman" w:cs="Times New Roman"/>
              </w:rPr>
              <w:t>thermogels</w:t>
            </w:r>
            <w:proofErr w:type="spellEnd"/>
            <w:r w:rsidRPr="00450B9B">
              <w:rPr>
                <w:rFonts w:ascii="Times New Roman" w:hAnsi="Times New Roman" w:cs="Times New Roman"/>
              </w:rPr>
              <w:t>)</w:t>
            </w:r>
          </w:p>
        </w:tc>
        <w:tc>
          <w:tcPr>
            <w:tcW w:w="0" w:type="auto"/>
            <w:hideMark/>
          </w:tcPr>
          <w:p w14:paraId="02F5F1E5"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Tube inversion / rheology</w:t>
            </w:r>
          </w:p>
        </w:tc>
        <w:tc>
          <w:tcPr>
            <w:tcW w:w="0" w:type="auto"/>
            <w:hideMark/>
          </w:tcPr>
          <w:p w14:paraId="304D939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Usually targeted around 32–37 °C</w:t>
            </w:r>
          </w:p>
        </w:tc>
      </w:tr>
      <w:tr w:rsidR="00450B9B" w:rsidRPr="00450B9B" w14:paraId="48465E21" w14:textId="77777777" w:rsidTr="00450B9B">
        <w:tc>
          <w:tcPr>
            <w:tcW w:w="0" w:type="auto"/>
            <w:hideMark/>
          </w:tcPr>
          <w:p w14:paraId="4003034C"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Gelation time</w:t>
            </w:r>
          </w:p>
        </w:tc>
        <w:tc>
          <w:tcPr>
            <w:tcW w:w="0" w:type="auto"/>
            <w:hideMark/>
          </w:tcPr>
          <w:p w14:paraId="4EA2498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Visual / rheological</w:t>
            </w:r>
          </w:p>
        </w:tc>
        <w:tc>
          <w:tcPr>
            <w:tcW w:w="0" w:type="auto"/>
            <w:hideMark/>
          </w:tcPr>
          <w:p w14:paraId="42EAE455"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Often targeted &lt; 60 s</w:t>
            </w:r>
          </w:p>
        </w:tc>
      </w:tr>
      <w:tr w:rsidR="00450B9B" w:rsidRPr="00450B9B" w14:paraId="103420EE" w14:textId="77777777" w:rsidTr="00450B9B">
        <w:tc>
          <w:tcPr>
            <w:tcW w:w="0" w:type="auto"/>
            <w:hideMark/>
          </w:tcPr>
          <w:p w14:paraId="4E95FC3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Gel strength</w:t>
            </w:r>
          </w:p>
        </w:tc>
        <w:tc>
          <w:tcPr>
            <w:tcW w:w="0" w:type="auto"/>
            <w:hideMark/>
          </w:tcPr>
          <w:p w14:paraId="6AFAB1B5"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Texture analysis</w:t>
            </w:r>
          </w:p>
        </w:tc>
        <w:tc>
          <w:tcPr>
            <w:tcW w:w="0" w:type="auto"/>
            <w:hideMark/>
          </w:tcPr>
          <w:p w14:paraId="2E806F21"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Sufficient to resist drainage but not blur excessively</w:t>
            </w:r>
          </w:p>
        </w:tc>
      </w:tr>
      <w:tr w:rsidR="00450B9B" w:rsidRPr="00450B9B" w14:paraId="3160541C" w14:textId="77777777" w:rsidTr="000F6953">
        <w:tc>
          <w:tcPr>
            <w:tcW w:w="0" w:type="auto"/>
            <w:gridSpan w:val="3"/>
            <w:hideMark/>
          </w:tcPr>
          <w:p w14:paraId="145C3B6C" w14:textId="66B2C7BF" w:rsidR="00450B9B" w:rsidRPr="00450B9B" w:rsidRDefault="00450B9B" w:rsidP="00450B9B">
            <w:pPr>
              <w:spacing w:line="278" w:lineRule="auto"/>
              <w:jc w:val="center"/>
              <w:rPr>
                <w:rFonts w:ascii="Times New Roman" w:hAnsi="Times New Roman" w:cs="Times New Roman"/>
                <w:b/>
                <w:bCs/>
              </w:rPr>
            </w:pPr>
            <w:r w:rsidRPr="00450B9B">
              <w:rPr>
                <w:rFonts w:ascii="Times New Roman" w:hAnsi="Times New Roman" w:cs="Times New Roman"/>
                <w:b/>
                <w:bCs/>
              </w:rPr>
              <w:t>Drug release &amp; permeation</w:t>
            </w:r>
          </w:p>
        </w:tc>
      </w:tr>
      <w:tr w:rsidR="00450B9B" w:rsidRPr="00450B9B" w14:paraId="26B22A18" w14:textId="77777777" w:rsidTr="00450B9B">
        <w:tc>
          <w:tcPr>
            <w:tcW w:w="0" w:type="auto"/>
            <w:hideMark/>
          </w:tcPr>
          <w:p w14:paraId="578780A6"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In vitro release</w:t>
            </w:r>
          </w:p>
        </w:tc>
        <w:tc>
          <w:tcPr>
            <w:tcW w:w="0" w:type="auto"/>
            <w:hideMark/>
          </w:tcPr>
          <w:p w14:paraId="045F4F4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Dialysis / Franz diffusion</w:t>
            </w:r>
          </w:p>
        </w:tc>
        <w:tc>
          <w:tcPr>
            <w:tcW w:w="0" w:type="auto"/>
            <w:hideMark/>
          </w:tcPr>
          <w:p w14:paraId="57710AA4"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Sustained release (commonly ≥ 8 h, indication-dependent)</w:t>
            </w:r>
          </w:p>
        </w:tc>
      </w:tr>
      <w:tr w:rsidR="00450B9B" w:rsidRPr="00450B9B" w14:paraId="3E72716B" w14:textId="77777777" w:rsidTr="00450B9B">
        <w:tc>
          <w:tcPr>
            <w:tcW w:w="0" w:type="auto"/>
            <w:hideMark/>
          </w:tcPr>
          <w:p w14:paraId="1C059F81"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Ex vivo corneal permeation</w:t>
            </w:r>
          </w:p>
        </w:tc>
        <w:tc>
          <w:tcPr>
            <w:tcW w:w="0" w:type="auto"/>
            <w:hideMark/>
          </w:tcPr>
          <w:p w14:paraId="1EC4E7F7"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Excised rabbit/goat cornea</w:t>
            </w:r>
          </w:p>
        </w:tc>
        <w:tc>
          <w:tcPr>
            <w:tcW w:w="0" w:type="auto"/>
            <w:hideMark/>
          </w:tcPr>
          <w:p w14:paraId="0303A8E1"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Higher flux/permeation vs control formulation</w:t>
            </w:r>
          </w:p>
        </w:tc>
      </w:tr>
      <w:tr w:rsidR="00450B9B" w:rsidRPr="00450B9B" w14:paraId="71DC4B2D" w14:textId="77777777" w:rsidTr="00450B9B">
        <w:tc>
          <w:tcPr>
            <w:tcW w:w="0" w:type="auto"/>
            <w:hideMark/>
          </w:tcPr>
          <w:p w14:paraId="4775D9C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Release kinetics modeling</w:t>
            </w:r>
          </w:p>
        </w:tc>
        <w:tc>
          <w:tcPr>
            <w:tcW w:w="0" w:type="auto"/>
            <w:hideMark/>
          </w:tcPr>
          <w:p w14:paraId="0F2FC7B0"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Zero</w:t>
            </w:r>
            <w:r w:rsidRPr="00450B9B">
              <w:rPr>
                <w:rFonts w:ascii="Times New Roman" w:hAnsi="Times New Roman" w:cs="Times New Roman"/>
              </w:rPr>
              <w:noBreakHyphen/>
              <w:t xml:space="preserve">order / Higuchi / </w:t>
            </w:r>
            <w:proofErr w:type="spellStart"/>
            <w:r w:rsidRPr="00450B9B">
              <w:rPr>
                <w:rFonts w:ascii="Times New Roman" w:hAnsi="Times New Roman" w:cs="Times New Roman"/>
              </w:rPr>
              <w:t>Korsmeyer</w:t>
            </w:r>
            <w:proofErr w:type="spellEnd"/>
            <w:r w:rsidRPr="00450B9B">
              <w:rPr>
                <w:rFonts w:ascii="Times New Roman" w:hAnsi="Times New Roman" w:cs="Times New Roman"/>
              </w:rPr>
              <w:t>–</w:t>
            </w:r>
            <w:proofErr w:type="spellStart"/>
            <w:r w:rsidRPr="00450B9B">
              <w:rPr>
                <w:rFonts w:ascii="Times New Roman" w:hAnsi="Times New Roman" w:cs="Times New Roman"/>
              </w:rPr>
              <w:t>Peppas</w:t>
            </w:r>
            <w:proofErr w:type="spellEnd"/>
          </w:p>
        </w:tc>
        <w:tc>
          <w:tcPr>
            <w:tcW w:w="0" w:type="auto"/>
            <w:hideMark/>
          </w:tcPr>
          <w:p w14:paraId="370C671B"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Model-dependent; used to infer mechanisms</w:t>
            </w:r>
          </w:p>
        </w:tc>
      </w:tr>
      <w:tr w:rsidR="00450B9B" w:rsidRPr="00450B9B" w14:paraId="3BCDF02D" w14:textId="77777777" w:rsidTr="00450B9B">
        <w:tc>
          <w:tcPr>
            <w:tcW w:w="0" w:type="auto"/>
            <w:hideMark/>
          </w:tcPr>
          <w:p w14:paraId="2B3CEB6B"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Safety</w:t>
            </w:r>
          </w:p>
        </w:tc>
        <w:tc>
          <w:tcPr>
            <w:tcW w:w="0" w:type="auto"/>
            <w:hideMark/>
          </w:tcPr>
          <w:p w14:paraId="5B203B44" w14:textId="77777777" w:rsidR="00450B9B" w:rsidRPr="00450B9B" w:rsidRDefault="00450B9B" w:rsidP="00450B9B">
            <w:pPr>
              <w:spacing w:line="278" w:lineRule="auto"/>
              <w:jc w:val="both"/>
              <w:rPr>
                <w:rFonts w:ascii="Times New Roman" w:hAnsi="Times New Roman" w:cs="Times New Roman"/>
              </w:rPr>
            </w:pPr>
          </w:p>
        </w:tc>
        <w:tc>
          <w:tcPr>
            <w:tcW w:w="0" w:type="auto"/>
            <w:hideMark/>
          </w:tcPr>
          <w:p w14:paraId="7E8E7FE8" w14:textId="77777777" w:rsidR="00450B9B" w:rsidRPr="00450B9B" w:rsidRDefault="00450B9B" w:rsidP="00450B9B">
            <w:pPr>
              <w:spacing w:line="278" w:lineRule="auto"/>
              <w:jc w:val="both"/>
              <w:rPr>
                <w:rFonts w:ascii="Times New Roman" w:hAnsi="Times New Roman" w:cs="Times New Roman"/>
              </w:rPr>
            </w:pPr>
          </w:p>
        </w:tc>
      </w:tr>
      <w:tr w:rsidR="00450B9B" w:rsidRPr="00450B9B" w14:paraId="1D3F15F1" w14:textId="77777777" w:rsidTr="00450B9B">
        <w:tc>
          <w:tcPr>
            <w:tcW w:w="0" w:type="auto"/>
            <w:hideMark/>
          </w:tcPr>
          <w:p w14:paraId="6683C2CA"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Ocular irritation</w:t>
            </w:r>
          </w:p>
        </w:tc>
        <w:tc>
          <w:tcPr>
            <w:tcW w:w="0" w:type="auto"/>
            <w:hideMark/>
          </w:tcPr>
          <w:p w14:paraId="67D4B46B"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HET</w:t>
            </w:r>
            <w:r w:rsidRPr="00450B9B">
              <w:rPr>
                <w:rFonts w:ascii="Times New Roman" w:hAnsi="Times New Roman" w:cs="Times New Roman"/>
              </w:rPr>
              <w:noBreakHyphen/>
              <w:t>CAM; Draize (rabbit); cell viability</w:t>
            </w:r>
          </w:p>
        </w:tc>
        <w:tc>
          <w:tcPr>
            <w:tcW w:w="0" w:type="auto"/>
            <w:hideMark/>
          </w:tcPr>
          <w:p w14:paraId="661A626E"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Non</w:t>
            </w:r>
            <w:r w:rsidRPr="00450B9B">
              <w:rPr>
                <w:rFonts w:ascii="Times New Roman" w:hAnsi="Times New Roman" w:cs="Times New Roman"/>
              </w:rPr>
              <w:noBreakHyphen/>
              <w:t>irritant / well tolerated</w:t>
            </w:r>
          </w:p>
        </w:tc>
      </w:tr>
      <w:tr w:rsidR="00450B9B" w:rsidRPr="00450B9B" w14:paraId="191DC6F5" w14:textId="77777777" w:rsidTr="00450B9B">
        <w:tc>
          <w:tcPr>
            <w:tcW w:w="0" w:type="auto"/>
            <w:hideMark/>
          </w:tcPr>
          <w:p w14:paraId="18397B5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Sterility</w:t>
            </w:r>
          </w:p>
        </w:tc>
        <w:tc>
          <w:tcPr>
            <w:tcW w:w="0" w:type="auto"/>
            <w:hideMark/>
          </w:tcPr>
          <w:p w14:paraId="703CB82D"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Membrane filtration / direct inoculation</w:t>
            </w:r>
          </w:p>
        </w:tc>
        <w:tc>
          <w:tcPr>
            <w:tcW w:w="0" w:type="auto"/>
            <w:hideMark/>
          </w:tcPr>
          <w:p w14:paraId="647289CF"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Sterile (no microbial growth)</w:t>
            </w:r>
          </w:p>
        </w:tc>
      </w:tr>
      <w:tr w:rsidR="00450B9B" w:rsidRPr="00450B9B" w14:paraId="158F4AD1" w14:textId="77777777" w:rsidTr="00606A90">
        <w:tc>
          <w:tcPr>
            <w:tcW w:w="0" w:type="auto"/>
            <w:gridSpan w:val="3"/>
            <w:hideMark/>
          </w:tcPr>
          <w:p w14:paraId="29113E49" w14:textId="5F31FC2A" w:rsidR="00450B9B" w:rsidRPr="00450B9B" w:rsidRDefault="00450B9B" w:rsidP="00450B9B">
            <w:pPr>
              <w:spacing w:line="278" w:lineRule="auto"/>
              <w:jc w:val="center"/>
              <w:rPr>
                <w:rFonts w:ascii="Times New Roman" w:hAnsi="Times New Roman" w:cs="Times New Roman"/>
                <w:b/>
                <w:bCs/>
              </w:rPr>
            </w:pPr>
            <w:r w:rsidRPr="00450B9B">
              <w:rPr>
                <w:rFonts w:ascii="Times New Roman" w:hAnsi="Times New Roman" w:cs="Times New Roman"/>
                <w:b/>
                <w:bCs/>
              </w:rPr>
              <w:t>Stability</w:t>
            </w:r>
          </w:p>
        </w:tc>
      </w:tr>
      <w:tr w:rsidR="00450B9B" w:rsidRPr="00450B9B" w14:paraId="52ABACA7" w14:textId="77777777" w:rsidTr="00450B9B">
        <w:tc>
          <w:tcPr>
            <w:tcW w:w="0" w:type="auto"/>
            <w:hideMark/>
          </w:tcPr>
          <w:p w14:paraId="3535F4AA"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Accelerated stability</w:t>
            </w:r>
          </w:p>
        </w:tc>
        <w:tc>
          <w:tcPr>
            <w:tcW w:w="0" w:type="auto"/>
            <w:hideMark/>
          </w:tcPr>
          <w:p w14:paraId="71F7F532"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ICH-aligned design</w:t>
            </w:r>
          </w:p>
        </w:tc>
        <w:tc>
          <w:tcPr>
            <w:tcW w:w="0" w:type="auto"/>
            <w:hideMark/>
          </w:tcPr>
          <w:p w14:paraId="50867E64" w14:textId="77777777" w:rsidR="00450B9B" w:rsidRPr="00450B9B" w:rsidRDefault="00450B9B" w:rsidP="00450B9B">
            <w:pPr>
              <w:spacing w:line="278" w:lineRule="auto"/>
              <w:jc w:val="both"/>
              <w:rPr>
                <w:rFonts w:ascii="Times New Roman" w:hAnsi="Times New Roman" w:cs="Times New Roman"/>
              </w:rPr>
            </w:pPr>
            <w:r w:rsidRPr="00450B9B">
              <w:rPr>
                <w:rFonts w:ascii="Times New Roman" w:hAnsi="Times New Roman" w:cs="Times New Roman"/>
              </w:rPr>
              <w:t>Often 3–6 months accelerated + long</w:t>
            </w:r>
            <w:r w:rsidRPr="00450B9B">
              <w:rPr>
                <w:rFonts w:ascii="Times New Roman" w:hAnsi="Times New Roman" w:cs="Times New Roman"/>
              </w:rPr>
              <w:noBreakHyphen/>
              <w:t>term program</w:t>
            </w:r>
          </w:p>
        </w:tc>
      </w:tr>
    </w:tbl>
    <w:p w14:paraId="1D934D36" w14:textId="77777777" w:rsidR="00450B9B" w:rsidRDefault="00450B9B" w:rsidP="00702417">
      <w:pPr>
        <w:jc w:val="both"/>
        <w:rPr>
          <w:rFonts w:ascii="Times New Roman" w:hAnsi="Times New Roman" w:cs="Times New Roman"/>
          <w:b/>
          <w:bCs/>
        </w:rPr>
      </w:pPr>
    </w:p>
    <w:p w14:paraId="5C2F4CD2" w14:textId="054A5921" w:rsidR="00450B9B" w:rsidRPr="00450B9B" w:rsidRDefault="00450B9B" w:rsidP="00450B9B">
      <w:pPr>
        <w:jc w:val="both"/>
        <w:rPr>
          <w:rFonts w:ascii="Times New Roman" w:hAnsi="Times New Roman" w:cs="Times New Roman"/>
          <w:b/>
          <w:bCs/>
        </w:rPr>
      </w:pPr>
      <w:r w:rsidRPr="00450B9B">
        <w:rPr>
          <w:rFonts w:ascii="Times New Roman" w:hAnsi="Times New Roman" w:cs="Times New Roman"/>
          <w:b/>
          <w:bCs/>
        </w:rPr>
        <w:t>0</w:t>
      </w:r>
      <w:r w:rsidR="004836BE">
        <w:rPr>
          <w:rFonts w:ascii="Times New Roman" w:hAnsi="Times New Roman" w:cs="Times New Roman"/>
          <w:b/>
          <w:bCs/>
        </w:rPr>
        <w:t>8</w:t>
      </w:r>
      <w:r w:rsidRPr="00450B9B">
        <w:rPr>
          <w:rFonts w:ascii="Times New Roman" w:hAnsi="Times New Roman" w:cs="Times New Roman"/>
          <w:b/>
          <w:bCs/>
        </w:rPr>
        <w:t>. DISEASE-SPECIFIC APPLICATIONS </w:t>
      </w:r>
    </w:p>
    <w:p w14:paraId="1DA2FD7E" w14:textId="02456B75"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.1 Glaucoma</w:t>
      </w:r>
    </w:p>
    <w:p w14:paraId="10E37F27" w14:textId="6D768F19" w:rsidR="00450B9B" w:rsidRPr="00450B9B" w:rsidRDefault="00450B9B" w:rsidP="00450B9B">
      <w:pPr>
        <w:jc w:val="both"/>
        <w:rPr>
          <w:rFonts w:ascii="Times New Roman" w:hAnsi="Times New Roman" w:cs="Times New Roman"/>
        </w:rPr>
      </w:pPr>
      <w:r w:rsidRPr="00450B9B">
        <w:rPr>
          <w:rFonts w:ascii="Times New Roman" w:hAnsi="Times New Roman" w:cs="Times New Roman"/>
        </w:rPr>
        <w:t>Glaucoma management is fundamentally exposure-driven: intraocular pressure (IOP) control depends on maintaining adequate drug levels at tissues that regulate aqueous humor production and outflow, especially the ciliary body (production) and the trabecular meshwork/outflow pathway. Conventional eye drops can lower IOP, but they often require long-term, frequent dosing and are vulnerable to rapid precorneal loss</w:t>
      </w:r>
      <w:r w:rsidR="0037244D">
        <w:rPr>
          <w:rFonts w:ascii="Times New Roman" w:hAnsi="Times New Roman" w:cs="Times New Roman"/>
        </w:rPr>
        <w:t xml:space="preserve"> </w:t>
      </w:r>
      <w:r w:rsidRPr="00450B9B">
        <w:rPr>
          <w:rFonts w:ascii="Times New Roman" w:hAnsi="Times New Roman" w:cs="Times New Roman"/>
        </w:rPr>
        <w:t>both of which contribute to non-adherence and variable therapeutic control. Nanotechnology-enabled systems are therefore increasingly discussed as a means to improve glaucoma therapy by prolonging drug residence time, improving penetration, and enabling more localized (and potentially tissue-targeted) delivery that reduces systemic exposure through nasolacrimal drainage. A comprehensive review in </w:t>
      </w:r>
      <w:r w:rsidRPr="00450B9B">
        <w:rPr>
          <w:rFonts w:ascii="Times New Roman" w:hAnsi="Times New Roman" w:cs="Times New Roman"/>
          <w:i/>
          <w:iCs/>
        </w:rPr>
        <w:t>Discover Nano</w:t>
      </w:r>
      <w:r w:rsidRPr="00450B9B">
        <w:rPr>
          <w:rFonts w:ascii="Times New Roman" w:hAnsi="Times New Roman" w:cs="Times New Roman"/>
        </w:rPr>
        <w:t> explicitly highlights that nanotechnology can enable targeted delivery to tissues such as the trabecular meshwork and ciliary body, improving efficacy while minimizing systemic side effects. [75]</w:t>
      </w:r>
    </w:p>
    <w:p w14:paraId="29B4E3D0" w14:textId="4B0BD799" w:rsidR="00450B9B" w:rsidRPr="00450B9B" w:rsidRDefault="00450B9B" w:rsidP="00450B9B">
      <w:pPr>
        <w:jc w:val="both"/>
        <w:rPr>
          <w:rFonts w:ascii="Times New Roman" w:hAnsi="Times New Roman" w:cs="Times New Roman"/>
        </w:rPr>
      </w:pPr>
      <w:r w:rsidRPr="00450B9B">
        <w:rPr>
          <w:rFonts w:ascii="Times New Roman" w:hAnsi="Times New Roman" w:cs="Times New Roman"/>
        </w:rPr>
        <w:t>In the context of nanoparticle-laden in situ gels, the logic is particularly strong: the </w:t>
      </w:r>
      <w:proofErr w:type="gramStart"/>
      <w:r w:rsidRPr="00450B9B">
        <w:rPr>
          <w:rFonts w:ascii="Times New Roman" w:hAnsi="Times New Roman" w:cs="Times New Roman"/>
        </w:rPr>
        <w:t>in situ</w:t>
      </w:r>
      <w:proofErr w:type="gramEnd"/>
      <w:r w:rsidRPr="00450B9B">
        <w:rPr>
          <w:rFonts w:ascii="Times New Roman" w:hAnsi="Times New Roman" w:cs="Times New Roman"/>
        </w:rPr>
        <w:t xml:space="preserve"> gel extends retention on the ocular surface (time to absorb), while the nanoparticles provide controlled release and can be engineered for </w:t>
      </w:r>
      <w:proofErr w:type="spellStart"/>
      <w:r w:rsidRPr="00450B9B">
        <w:rPr>
          <w:rFonts w:ascii="Times New Roman" w:hAnsi="Times New Roman" w:cs="Times New Roman"/>
        </w:rPr>
        <w:t>mucoadhesion</w:t>
      </w:r>
      <w:proofErr w:type="spellEnd"/>
      <w:r w:rsidRPr="00450B9B">
        <w:rPr>
          <w:rFonts w:ascii="Times New Roman" w:hAnsi="Times New Roman" w:cs="Times New Roman"/>
        </w:rPr>
        <w:t xml:space="preserve"> or improved epithelial interaction. Drug examples frequently explored within </w:t>
      </w:r>
      <w:proofErr w:type="spellStart"/>
      <w:r w:rsidRPr="00450B9B">
        <w:rPr>
          <w:rFonts w:ascii="Times New Roman" w:hAnsi="Times New Roman" w:cs="Times New Roman"/>
        </w:rPr>
        <w:t>nano</w:t>
      </w:r>
      <w:proofErr w:type="spellEnd"/>
      <w:r w:rsidRPr="00450B9B">
        <w:rPr>
          <w:rFonts w:ascii="Times New Roman" w:hAnsi="Times New Roman" w:cs="Times New Roman"/>
        </w:rPr>
        <w:t xml:space="preserve">-enabled glaucoma delivery </w:t>
      </w:r>
      <w:r w:rsidRPr="00450B9B">
        <w:rPr>
          <w:rFonts w:ascii="Times New Roman" w:hAnsi="Times New Roman" w:cs="Times New Roman"/>
        </w:rPr>
        <w:lastRenderedPageBreak/>
        <w:t>include timolol, brinzolamide, and latanoprost (often selected because they represent major therapeutic classes and require sustained exposure for best outcomes). [75]</w:t>
      </w:r>
    </w:p>
    <w:p w14:paraId="1B94754A" w14:textId="4E61AD04"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.2 Ocular infections (bacterial keratitis, fungal keratitis, HSV keratitis)</w:t>
      </w:r>
    </w:p>
    <w:p w14:paraId="086C716F" w14:textId="124D9BD0" w:rsidR="00450B9B" w:rsidRPr="00450B9B" w:rsidRDefault="00450B9B" w:rsidP="00450B9B">
      <w:pPr>
        <w:jc w:val="both"/>
        <w:rPr>
          <w:rFonts w:ascii="Times New Roman" w:hAnsi="Times New Roman" w:cs="Times New Roman"/>
        </w:rPr>
      </w:pPr>
      <w:r w:rsidRPr="00450B9B">
        <w:rPr>
          <w:rFonts w:ascii="Times New Roman" w:hAnsi="Times New Roman" w:cs="Times New Roman"/>
        </w:rPr>
        <w:t>Infectious keratitis is a practical stress test for topical delivery systems because antibiotics often must be instilled frequently to maintain concentrations above the pathogen’s inhibitory threshold. A notable “</w:t>
      </w:r>
      <w:proofErr w:type="spellStart"/>
      <w:r w:rsidRPr="00450B9B">
        <w:rPr>
          <w:rFonts w:ascii="Times New Roman" w:hAnsi="Times New Roman" w:cs="Times New Roman"/>
        </w:rPr>
        <w:t>nano</w:t>
      </w:r>
      <w:proofErr w:type="spellEnd"/>
      <w:r w:rsidRPr="00450B9B">
        <w:rPr>
          <w:rFonts w:ascii="Times New Roman" w:hAnsi="Times New Roman" w:cs="Times New Roman"/>
        </w:rPr>
        <w:t>-in-gel” example is a </w:t>
      </w:r>
      <w:proofErr w:type="gramStart"/>
      <w:r w:rsidRPr="00450B9B">
        <w:rPr>
          <w:rFonts w:ascii="Times New Roman" w:hAnsi="Times New Roman" w:cs="Times New Roman"/>
        </w:rPr>
        <w:t>moxifloxacin-loaded nanoparticles</w:t>
      </w:r>
      <w:proofErr w:type="gramEnd"/>
      <w:r w:rsidRPr="00450B9B">
        <w:rPr>
          <w:rFonts w:ascii="Times New Roman" w:hAnsi="Times New Roman" w:cs="Times New Roman"/>
        </w:rPr>
        <w:t>-laden in situ gel developed to sustain release and improve ocular tolerance. In an ex vivo caprine keratitis model, the formulation produced a ~4-log reduction (CFU/mL) in infected corneas, and histopathology supported recovery of the corneal epithelium. Safety screening using HET-CAM indicated the formulation was non-irritant at the tested dose. These outcomes collectively support the core claim of NP–ISG systems in infections: prolong drug contact time and sustain local concentrations while maintaining tolerability. [76]</w:t>
      </w:r>
    </w:p>
    <w:p w14:paraId="43485AC8" w14:textId="26A7DFBE"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.3 Dry eye disease (DED)</w:t>
      </w:r>
    </w:p>
    <w:p w14:paraId="3B203688" w14:textId="55D10070" w:rsidR="00450B9B" w:rsidRPr="00450B9B" w:rsidRDefault="00450B9B" w:rsidP="00450B9B">
      <w:pPr>
        <w:jc w:val="both"/>
        <w:rPr>
          <w:rFonts w:ascii="Times New Roman" w:hAnsi="Times New Roman" w:cs="Times New Roman"/>
        </w:rPr>
      </w:pPr>
      <w:r w:rsidRPr="00450B9B">
        <w:rPr>
          <w:rFonts w:ascii="Times New Roman" w:hAnsi="Times New Roman" w:cs="Times New Roman"/>
        </w:rPr>
        <w:t>DED is increasingly understood as a disease of tear-film instability coupled with ocular-surface inflammation, where oxidative stress can amplify epithelial injury and inflammatory signaling. An innovative nanotechnology–hydrogel approach reported by </w:t>
      </w:r>
      <w:proofErr w:type="spellStart"/>
      <w:r w:rsidRPr="00450B9B">
        <w:rPr>
          <w:rFonts w:ascii="Times New Roman" w:hAnsi="Times New Roman" w:cs="Times New Roman"/>
        </w:rPr>
        <w:t>Ou</w:t>
      </w:r>
      <w:proofErr w:type="spellEnd"/>
      <w:r w:rsidRPr="00450B9B">
        <w:rPr>
          <w:rFonts w:ascii="Times New Roman" w:hAnsi="Times New Roman" w:cs="Times New Roman"/>
        </w:rPr>
        <w:t xml:space="preserve"> et al. used aldehyde-functionalized Pluronic F127 (AF127) hydrogel eye drops to deliver </w:t>
      </w:r>
      <w:proofErr w:type="spellStart"/>
      <w:r w:rsidRPr="00450B9B">
        <w:rPr>
          <w:rFonts w:ascii="Times New Roman" w:hAnsi="Times New Roman" w:cs="Times New Roman"/>
        </w:rPr>
        <w:t>ultrasmall</w:t>
      </w:r>
      <w:proofErr w:type="spellEnd"/>
      <w:r w:rsidRPr="00450B9B">
        <w:rPr>
          <w:rFonts w:ascii="Times New Roman" w:hAnsi="Times New Roman" w:cs="Times New Roman"/>
        </w:rPr>
        <w:t xml:space="preserve"> Cu₂₋ₓSe nanoparticles with antioxidant/nanozyme-like activity. The authors report that these nanoparticles display superoxide dismutase (SOD)-like and glutathione peroxidase (</w:t>
      </w:r>
      <w:proofErr w:type="spellStart"/>
      <w:r w:rsidRPr="00450B9B">
        <w:rPr>
          <w:rFonts w:ascii="Times New Roman" w:hAnsi="Times New Roman" w:cs="Times New Roman"/>
        </w:rPr>
        <w:t>GPx</w:t>
      </w:r>
      <w:proofErr w:type="spellEnd"/>
      <w:r w:rsidRPr="00450B9B">
        <w:rPr>
          <w:rFonts w:ascii="Times New Roman" w:hAnsi="Times New Roman" w:cs="Times New Roman"/>
        </w:rPr>
        <w:t>)-like behavior, enabling reactive oxygen species (ROS) scavenging and mitigation of oxidative damage; mechanistic experiments linked effects to modulation of NRF2 and p38 MAPK pathways. The AF127 hydrogel also provided ocular-surface adhesion via Schiff-base bonding, which supports longer residence and better therapeutic contact. [77]</w:t>
      </w:r>
    </w:p>
    <w:p w14:paraId="5DD8CBE8" w14:textId="41AEE06B"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.4 Uveitis and ocular inflammation</w:t>
      </w:r>
    </w:p>
    <w:p w14:paraId="418601CD" w14:textId="48A478AE" w:rsidR="00450B9B" w:rsidRPr="00450B9B" w:rsidRDefault="00450B9B" w:rsidP="00450B9B">
      <w:pPr>
        <w:jc w:val="both"/>
        <w:rPr>
          <w:rFonts w:ascii="Times New Roman" w:hAnsi="Times New Roman" w:cs="Times New Roman"/>
        </w:rPr>
      </w:pPr>
      <w:r w:rsidRPr="00450B9B">
        <w:rPr>
          <w:rFonts w:ascii="Times New Roman" w:hAnsi="Times New Roman" w:cs="Times New Roman"/>
        </w:rPr>
        <w:t>Uveitis treatment illustrates a key boundary of conventional eye drops: even potent anti-inflammatory drugs may not reach intraocular inflammatory sites efficiently because of tissue barriers and clearance. A biomaterials-centered strategy described by Zou et al. developed an injectable, thermo-sensitive hydrogel platform (PNMHTI) based on </w:t>
      </w:r>
      <w:proofErr w:type="spellStart"/>
      <w:r w:rsidRPr="00450B9B">
        <w:rPr>
          <w:rFonts w:ascii="Times New Roman" w:hAnsi="Times New Roman" w:cs="Times New Roman"/>
        </w:rPr>
        <w:t>NIPAAm</w:t>
      </w:r>
      <w:proofErr w:type="spellEnd"/>
      <w:r w:rsidRPr="00450B9B">
        <w:rPr>
          <w:rFonts w:ascii="Times New Roman" w:hAnsi="Times New Roman" w:cs="Times New Roman"/>
        </w:rPr>
        <w:t>-co-MAA chemistry with an indomethacin-conjugated component. The hydrogel showed a sol–gel conversion temperature around ~33°C, enabling gelation under physiological conditions, and sustained indomethacin release for over two weeks in enzyme-containing media. In a rabbit uveitis model, the formulation was injected into the vitreous and showed biocompatibility and anti-inflammatory effects supported by histopathology. While this approach is more invasive than topical gels, it demonstrates how “smart gel” principles (triggered gelation + sustained release) can be translated to intraocular inflammation when topical exposure is insufficient. [78]</w:t>
      </w:r>
    </w:p>
    <w:p w14:paraId="4CFFEDBD" w14:textId="0E3E9681" w:rsidR="00450B9B" w:rsidRPr="00450B9B" w:rsidRDefault="004836BE" w:rsidP="00450B9B">
      <w:pPr>
        <w:jc w:val="both"/>
        <w:rPr>
          <w:rFonts w:ascii="Times New Roman" w:hAnsi="Times New Roman" w:cs="Times New Roman"/>
          <w:b/>
          <w:bCs/>
        </w:rPr>
      </w:pPr>
      <w:r>
        <w:rPr>
          <w:rFonts w:ascii="Times New Roman" w:hAnsi="Times New Roman" w:cs="Times New Roman"/>
          <w:b/>
          <w:bCs/>
        </w:rPr>
        <w:t>8</w:t>
      </w:r>
      <w:r w:rsidR="00450B9B" w:rsidRPr="00450B9B">
        <w:rPr>
          <w:rFonts w:ascii="Times New Roman" w:hAnsi="Times New Roman" w:cs="Times New Roman"/>
          <w:b/>
          <w:bCs/>
        </w:rPr>
        <w:t>.5 Posterior segment diseases (AMD, DR)</w:t>
      </w:r>
    </w:p>
    <w:p w14:paraId="11504474" w14:textId="77777777" w:rsidR="00450B9B" w:rsidRDefault="00450B9B" w:rsidP="00450B9B">
      <w:pPr>
        <w:jc w:val="both"/>
        <w:rPr>
          <w:rFonts w:ascii="Times New Roman" w:hAnsi="Times New Roman" w:cs="Times New Roman"/>
        </w:rPr>
      </w:pPr>
      <w:r w:rsidRPr="00450B9B">
        <w:rPr>
          <w:rFonts w:ascii="Times New Roman" w:hAnsi="Times New Roman" w:cs="Times New Roman"/>
        </w:rPr>
        <w:lastRenderedPageBreak/>
        <w:t>Posterior diseases such as wet AMD are commonly treated with anti-VEGF agents, but the need for repeated injections creates high burden and cumulative procedural risk. A particularly influential example of an in situ–forming gel depot for posterior targeting is the suprachoroidal anti-VEGF hydrogel reported by Jung et al. They developed an in situ forming bevacizumab–hyaluronic acid (Bev–HA) hydrogel crosslinked with PEG diacrylate, delivered into the suprachoroidal space using a microneedle. The study reports &gt;6 months of bevacizumab release in vivo in rabbit eyes (assay- and formulation-dependent), broad posterior distribution, and good tolerability assessed by clinical examination, fundus imaging, histology, and IOP monitoring. This work is widely cited because it demonstrates a credible pathway to reduce dosing frequency while leveraging the anatomical advantage of suprachoroidal delivery for choroid/retina-adjacent targets. [79]</w:t>
      </w:r>
    </w:p>
    <w:p w14:paraId="707C6449" w14:textId="60833937" w:rsidR="00B3263D" w:rsidRPr="00B3263D" w:rsidRDefault="00B3263D" w:rsidP="00B3263D">
      <w:pPr>
        <w:jc w:val="both"/>
        <w:rPr>
          <w:rFonts w:ascii="Times New Roman" w:hAnsi="Times New Roman" w:cs="Times New Roman"/>
        </w:rPr>
      </w:pPr>
      <w:r w:rsidRPr="00B3263D">
        <w:rPr>
          <w:rFonts w:ascii="Times New Roman" w:hAnsi="Times New Roman" w:cs="Times New Roman"/>
          <w:noProof/>
        </w:rPr>
        <w:drawing>
          <wp:inline distT="0" distB="0" distL="0" distR="0" wp14:anchorId="6345312D" wp14:editId="114236BC">
            <wp:extent cx="5943600" cy="3241675"/>
            <wp:effectExtent l="0" t="0" r="0" b="0"/>
            <wp:docPr id="5381209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68A71068" w14:textId="17C35370" w:rsidR="00B3263D" w:rsidRDefault="00B3263D" w:rsidP="00450B9B">
      <w:pPr>
        <w:jc w:val="both"/>
        <w:rPr>
          <w:rFonts w:ascii="Times New Roman" w:hAnsi="Times New Roman" w:cs="Times New Roman"/>
        </w:rPr>
      </w:pPr>
      <w:r>
        <w:rPr>
          <w:rFonts w:ascii="Times New Roman" w:hAnsi="Times New Roman" w:cs="Times New Roman"/>
        </w:rPr>
        <w:t xml:space="preserve">Fig No 05 - </w:t>
      </w:r>
      <w:r w:rsidRPr="00B3263D">
        <w:rPr>
          <w:rFonts w:ascii="Times New Roman" w:hAnsi="Times New Roman" w:cs="Times New Roman"/>
        </w:rPr>
        <w:t>Classification of Ocular Nanocarriers: Types, Characteristics, and Limitations</w:t>
      </w:r>
    </w:p>
    <w:p w14:paraId="1FDFA7E8" w14:textId="1C5202CD" w:rsidR="00B3263D" w:rsidRPr="00450B9B" w:rsidRDefault="00B3263D" w:rsidP="00450B9B">
      <w:pPr>
        <w:jc w:val="both"/>
        <w:rPr>
          <w:rFonts w:ascii="Times New Roman" w:hAnsi="Times New Roman" w:cs="Times New Roman"/>
        </w:rPr>
      </w:pPr>
      <w:r w:rsidRPr="00B3263D">
        <w:rPr>
          <w:rFonts w:ascii="Times New Roman" w:hAnsi="Times New Roman" w:cs="Times New Roman"/>
          <w:b/>
          <w:bCs/>
        </w:rPr>
        <w:t xml:space="preserve">Figure </w:t>
      </w:r>
      <w:r>
        <w:rPr>
          <w:rFonts w:ascii="Times New Roman" w:hAnsi="Times New Roman" w:cs="Times New Roman"/>
          <w:b/>
          <w:bCs/>
        </w:rPr>
        <w:t>05</w:t>
      </w:r>
      <w:r w:rsidRPr="00B3263D">
        <w:rPr>
          <w:rFonts w:ascii="Times New Roman" w:hAnsi="Times New Roman" w:cs="Times New Roman"/>
          <w:b/>
          <w:bCs/>
        </w:rPr>
        <w:t>.</w:t>
      </w:r>
      <w:r w:rsidRPr="00B3263D">
        <w:rPr>
          <w:rFonts w:ascii="Times New Roman" w:hAnsi="Times New Roman" w:cs="Times New Roman"/>
        </w:rPr>
        <w:t xml:space="preserve"> </w:t>
      </w:r>
      <w:r w:rsidRPr="00B3263D">
        <w:rPr>
          <w:rFonts w:ascii="Times New Roman" w:hAnsi="Times New Roman" w:cs="Times New Roman"/>
          <w:i/>
          <w:iCs/>
        </w:rPr>
        <w:t xml:space="preserve">Schematic overview of major nanocarrier systems used in ocular drug delivery. The figure categorizes polymeric nanoparticles (PLGA, PLA, PCL, chitosan), solid lipid nanoparticles (SLN), nanostructured lipid carriers (NLC), liposomes, </w:t>
      </w:r>
      <w:proofErr w:type="spellStart"/>
      <w:r w:rsidRPr="00B3263D">
        <w:rPr>
          <w:rFonts w:ascii="Times New Roman" w:hAnsi="Times New Roman" w:cs="Times New Roman"/>
          <w:i/>
          <w:iCs/>
        </w:rPr>
        <w:t>nanoemulsions</w:t>
      </w:r>
      <w:proofErr w:type="spellEnd"/>
      <w:r w:rsidRPr="00B3263D">
        <w:rPr>
          <w:rFonts w:ascii="Times New Roman" w:hAnsi="Times New Roman" w:cs="Times New Roman"/>
          <w:i/>
          <w:iCs/>
        </w:rPr>
        <w:t xml:space="preserve">, </w:t>
      </w:r>
      <w:proofErr w:type="spellStart"/>
      <w:r w:rsidRPr="00B3263D">
        <w:rPr>
          <w:rFonts w:ascii="Times New Roman" w:hAnsi="Times New Roman" w:cs="Times New Roman"/>
          <w:i/>
          <w:iCs/>
        </w:rPr>
        <w:t>nanomicelles</w:t>
      </w:r>
      <w:proofErr w:type="spellEnd"/>
      <w:r w:rsidRPr="00B3263D">
        <w:rPr>
          <w:rFonts w:ascii="Times New Roman" w:hAnsi="Times New Roman" w:cs="Times New Roman"/>
          <w:i/>
          <w:iCs/>
        </w:rPr>
        <w:t>, dendrimers, and nanogels, along with their typical size ranges, key advantages (e.g., improved solubility, controlled release, enhanced stability), and limitations (e.g., low drug loading, instability, complex manufacturing). These systems are designed to overcome ocular barriers and improve drug bioavailability.</w:t>
      </w:r>
    </w:p>
    <w:p w14:paraId="4622B89E" w14:textId="41DC769D" w:rsidR="004836BE" w:rsidRDefault="004836BE" w:rsidP="004836BE">
      <w:pPr>
        <w:jc w:val="both"/>
        <w:rPr>
          <w:rFonts w:ascii="Times New Roman" w:hAnsi="Times New Roman" w:cs="Times New Roman"/>
          <w:b/>
          <w:bCs/>
          <w:i/>
          <w:iCs/>
        </w:rPr>
      </w:pPr>
      <w:r>
        <w:rPr>
          <w:rFonts w:ascii="Times New Roman" w:hAnsi="Times New Roman" w:cs="Times New Roman"/>
          <w:b/>
          <w:bCs/>
        </w:rPr>
        <w:t>9</w:t>
      </w:r>
      <w:r w:rsidRPr="004836BE">
        <w:rPr>
          <w:rFonts w:ascii="Times New Roman" w:hAnsi="Times New Roman" w:cs="Times New Roman"/>
          <w:b/>
          <w:bCs/>
        </w:rPr>
        <w:t>. CHALLENGES, FUTURE PERSPECTIVES &amp; EMERGING TECHNOLOGIES</w:t>
      </w:r>
    </w:p>
    <w:p w14:paraId="67DEA374" w14:textId="15EA7D46" w:rsidR="004836BE" w:rsidRPr="004836BE" w:rsidRDefault="004836BE" w:rsidP="004836BE">
      <w:pPr>
        <w:jc w:val="both"/>
        <w:rPr>
          <w:rFonts w:ascii="Times New Roman" w:hAnsi="Times New Roman" w:cs="Times New Roman"/>
          <w:b/>
          <w:bCs/>
        </w:rPr>
      </w:pPr>
      <w:r w:rsidRPr="004836BE">
        <w:rPr>
          <w:rFonts w:ascii="Times New Roman" w:hAnsi="Times New Roman" w:cs="Times New Roman"/>
          <w:b/>
          <w:bCs/>
        </w:rPr>
        <w:t xml:space="preserve">9.1 Current challenges </w:t>
      </w:r>
    </w:p>
    <w:p w14:paraId="63319046" w14:textId="14816B1A" w:rsidR="004836BE" w:rsidRPr="004836BE" w:rsidRDefault="004836BE" w:rsidP="004836BE">
      <w:pPr>
        <w:jc w:val="both"/>
        <w:rPr>
          <w:rFonts w:ascii="Times New Roman" w:hAnsi="Times New Roman" w:cs="Times New Roman"/>
        </w:rPr>
      </w:pPr>
      <w:r w:rsidRPr="004836BE">
        <w:rPr>
          <w:rFonts w:ascii="Times New Roman" w:hAnsi="Times New Roman" w:cs="Times New Roman"/>
        </w:rPr>
        <w:lastRenderedPageBreak/>
        <w:t>Despite strong preclinical performance, nanoparticle-enabled gels (and smart ocular biomaterials more broadly) still face a persistent “translation gap.” A central reason is that ocular delivery systems must satisfy </w:t>
      </w:r>
      <w:r w:rsidRPr="004836BE">
        <w:rPr>
          <w:rFonts w:ascii="Times New Roman" w:hAnsi="Times New Roman" w:cs="Times New Roman"/>
          <w:i/>
          <w:iCs/>
        </w:rPr>
        <w:t>simultaneously</w:t>
      </w:r>
      <w:r w:rsidRPr="004836BE">
        <w:rPr>
          <w:rFonts w:ascii="Times New Roman" w:hAnsi="Times New Roman" w:cs="Times New Roman"/>
        </w:rPr>
        <w:t> (</w:t>
      </w:r>
      <w:proofErr w:type="spellStart"/>
      <w:r w:rsidRPr="004836BE">
        <w:rPr>
          <w:rFonts w:ascii="Times New Roman" w:hAnsi="Times New Roman" w:cs="Times New Roman"/>
        </w:rPr>
        <w:t>i</w:t>
      </w:r>
      <w:proofErr w:type="spellEnd"/>
      <w:r w:rsidRPr="004836BE">
        <w:rPr>
          <w:rFonts w:ascii="Times New Roman" w:hAnsi="Times New Roman" w:cs="Times New Roman"/>
        </w:rPr>
        <w:t>) sensitive biological constraints (comfort, vision clarity, irritation potential), (ii) demanding quality requirements (sterility, reproducibility, stability), and (iii) practical clinical workflows (simple use, low visit burden). Recent reviews of smart ocular materials emphasize that conventional therapies remain limited by poor targeting, penetration, and retention, and that even advanced systems do not automatically solve all barriers</w:t>
      </w:r>
      <w:r w:rsidR="0037244D">
        <w:rPr>
          <w:rFonts w:ascii="Times New Roman" w:hAnsi="Times New Roman" w:cs="Times New Roman"/>
        </w:rPr>
        <w:t xml:space="preserve"> </w:t>
      </w:r>
      <w:r w:rsidRPr="004836BE">
        <w:rPr>
          <w:rFonts w:ascii="Times New Roman" w:hAnsi="Times New Roman" w:cs="Times New Roman"/>
        </w:rPr>
        <w:t>especially for posterior-segment needs where drug residence time and safety are critical. [78]</w:t>
      </w:r>
    </w:p>
    <w:p w14:paraId="7F78C649" w14:textId="31983C3C" w:rsidR="004836BE" w:rsidRPr="004836BE" w:rsidRDefault="004836BE" w:rsidP="004836BE">
      <w:pPr>
        <w:jc w:val="both"/>
        <w:rPr>
          <w:rFonts w:ascii="Times New Roman" w:hAnsi="Times New Roman" w:cs="Times New Roman"/>
        </w:rPr>
      </w:pPr>
      <w:r w:rsidRPr="004836BE">
        <w:rPr>
          <w:rFonts w:ascii="Times New Roman" w:hAnsi="Times New Roman" w:cs="Times New Roman"/>
        </w:rPr>
        <w:t>(a) Controlling degradation and long-term biocompatibility</w:t>
      </w:r>
      <w:r>
        <w:rPr>
          <w:rFonts w:ascii="Times New Roman" w:hAnsi="Times New Roman" w:cs="Times New Roman"/>
        </w:rPr>
        <w:t xml:space="preserve"> -</w:t>
      </w:r>
      <w:r w:rsidRPr="004836BE">
        <w:rPr>
          <w:rFonts w:ascii="Times New Roman" w:hAnsi="Times New Roman" w:cs="Times New Roman"/>
        </w:rPr>
        <w:t>In situ gels and hydrogel depots are attractive because they can localize therapy and sustain release, but their clinical adoption depends heavily on predictable degradation kinetics and the safety of both the intact network and its byproducts. Broad hydrogel translation discussions highlight that </w:t>
      </w:r>
      <w:r w:rsidRPr="004836BE">
        <w:rPr>
          <w:rFonts w:ascii="Times New Roman" w:hAnsi="Times New Roman" w:cs="Times New Roman"/>
          <w:i/>
          <w:iCs/>
        </w:rPr>
        <w:t>overly rapid</w:t>
      </w:r>
      <w:r w:rsidRPr="004836BE">
        <w:rPr>
          <w:rFonts w:ascii="Times New Roman" w:hAnsi="Times New Roman" w:cs="Times New Roman"/>
        </w:rPr>
        <w:t> degradation can shorten efficacy and provoke inflammation, while </w:t>
      </w:r>
      <w:r w:rsidRPr="004836BE">
        <w:rPr>
          <w:rFonts w:ascii="Times New Roman" w:hAnsi="Times New Roman" w:cs="Times New Roman"/>
          <w:i/>
          <w:iCs/>
        </w:rPr>
        <w:t>overly slow</w:t>
      </w:r>
      <w:r w:rsidRPr="004836BE">
        <w:rPr>
          <w:rFonts w:ascii="Times New Roman" w:hAnsi="Times New Roman" w:cs="Times New Roman"/>
        </w:rPr>
        <w:t> degradation may lead to persistent foreign-body response, fibrosis, or prolonged exposure to crosslinked material. Achieving “just-right” degradation is difficult because small changes in polymer molecular weight, crosslink density, and environmental conditions (pH/ions/enzymes) can substantially alter erosion and drug release. [79]</w:t>
      </w:r>
    </w:p>
    <w:p w14:paraId="575BDE32" w14:textId="1AC050A6" w:rsidR="004836BE" w:rsidRPr="004836BE" w:rsidRDefault="004836BE" w:rsidP="004836BE">
      <w:pPr>
        <w:jc w:val="both"/>
        <w:rPr>
          <w:rFonts w:ascii="Times New Roman" w:hAnsi="Times New Roman" w:cs="Times New Roman"/>
        </w:rPr>
      </w:pPr>
      <w:r w:rsidRPr="004836BE">
        <w:rPr>
          <w:rFonts w:ascii="Times New Roman" w:hAnsi="Times New Roman" w:cs="Times New Roman"/>
        </w:rPr>
        <w:t xml:space="preserve">(b) Sterilization and shelf-life constraints </w:t>
      </w:r>
      <w:r>
        <w:rPr>
          <w:rFonts w:ascii="Times New Roman" w:hAnsi="Times New Roman" w:cs="Times New Roman"/>
        </w:rPr>
        <w:t>-</w:t>
      </w:r>
      <w:r w:rsidRPr="004836BE">
        <w:rPr>
          <w:rFonts w:ascii="Times New Roman" w:hAnsi="Times New Roman" w:cs="Times New Roman"/>
        </w:rPr>
        <w:t>Sterility is non-negotiable for ophthalmic products, but it is one of the hardest hurdles for complex soft materials. Hydrogels may be sensitive to autoclaving, gamma irradiation, or ethylene oxide, and each method can change polymer structure, mechanical strength, or residual chemistry. The hydrogel manufacturing and regulatory literature also notes practical limitations of UV sterilization (poor penetration) and sterile filtration (often only feasible for low-viscosity precursor solutions, not for finished gels or many nanoparticle dispersions). These sterilization realities intersect directly with shelf-life: high water content increases microbial risk, and gels may shrink, dry, or degrade during storage unless packaging and cold-chain strategies are carefully engineered. [79]</w:t>
      </w:r>
    </w:p>
    <w:p w14:paraId="7A6811C8" w14:textId="77777777" w:rsidR="004836BE" w:rsidRPr="004836BE" w:rsidRDefault="004836BE" w:rsidP="004836BE">
      <w:pPr>
        <w:jc w:val="both"/>
        <w:rPr>
          <w:rFonts w:ascii="Times New Roman" w:hAnsi="Times New Roman" w:cs="Times New Roman"/>
        </w:rPr>
      </w:pPr>
      <w:r w:rsidRPr="004836BE">
        <w:rPr>
          <w:rFonts w:ascii="Times New Roman" w:hAnsi="Times New Roman" w:cs="Times New Roman"/>
        </w:rPr>
        <w:t>(c) Chemical crosslinking risks and residue control (important for safety perception)</w:t>
      </w:r>
      <w:r w:rsidRPr="004836BE">
        <w:rPr>
          <w:rFonts w:ascii="Times New Roman" w:hAnsi="Times New Roman" w:cs="Times New Roman"/>
        </w:rPr>
        <w:br/>
        <w:t>Many “smart” gels rely on chemical crosslinking to maintain strength under tear dilution and blinking shear. However, translation-focused hydrogel reviews repeatedly caution that residual monomers, crosslinkers, or initiators can contribute to cytotoxicity if purification is incomplete, and that regulators expect robust evidence that residues are controlled and that degradation products are safe. This is particularly relevant when the gel is designed to carry sensitive payloads (proteins, peptides, nucleic acids), because crosslinking conditions can also damage the drug itself. [79]</w:t>
      </w:r>
    </w:p>
    <w:p w14:paraId="057F1BE6" w14:textId="008C7827" w:rsidR="004836BE" w:rsidRPr="004836BE" w:rsidRDefault="004836BE" w:rsidP="004836BE">
      <w:pPr>
        <w:jc w:val="both"/>
        <w:rPr>
          <w:rFonts w:ascii="Times New Roman" w:hAnsi="Times New Roman" w:cs="Times New Roman"/>
        </w:rPr>
      </w:pPr>
      <w:r w:rsidRPr="004836BE">
        <w:rPr>
          <w:rFonts w:ascii="Times New Roman" w:hAnsi="Times New Roman" w:cs="Times New Roman"/>
        </w:rPr>
        <w:t>(d) Scale-up, batch reproducibility, and quality-by-design expectations</w:t>
      </w:r>
      <w:r w:rsidRPr="004836BE">
        <w:rPr>
          <w:rFonts w:ascii="Times New Roman" w:hAnsi="Times New Roman" w:cs="Times New Roman"/>
        </w:rPr>
        <w:br/>
        <w:t xml:space="preserve">Formulations that work at bench scale may not reproduce at manufacturing scale because nanoparticle size distribution, gelation temperature, viscosity, and drug release can be highly sensitive to mixing energy, temperature history, and raw-material variability. Manufacturing </w:t>
      </w:r>
      <w:r w:rsidRPr="004836BE">
        <w:rPr>
          <w:rFonts w:ascii="Times New Roman" w:hAnsi="Times New Roman" w:cs="Times New Roman"/>
        </w:rPr>
        <w:lastRenderedPageBreak/>
        <w:t>discussions emphasize that hydrogels</w:t>
      </w:r>
      <w:r w:rsidR="0037244D">
        <w:rPr>
          <w:rFonts w:ascii="Times New Roman" w:hAnsi="Times New Roman" w:cs="Times New Roman"/>
        </w:rPr>
        <w:t xml:space="preserve"> </w:t>
      </w:r>
      <w:r w:rsidRPr="004836BE">
        <w:rPr>
          <w:rFonts w:ascii="Times New Roman" w:hAnsi="Times New Roman" w:cs="Times New Roman"/>
        </w:rPr>
        <w:t>especially those made by polymerization/crosslinking reactions</w:t>
      </w:r>
      <w:r w:rsidR="0037244D">
        <w:rPr>
          <w:rFonts w:ascii="Times New Roman" w:hAnsi="Times New Roman" w:cs="Times New Roman"/>
        </w:rPr>
        <w:t xml:space="preserve"> </w:t>
      </w:r>
      <w:r w:rsidRPr="004836BE">
        <w:rPr>
          <w:rFonts w:ascii="Times New Roman" w:hAnsi="Times New Roman" w:cs="Times New Roman"/>
        </w:rPr>
        <w:t xml:space="preserve">can be difficult to reproduce at industrial scale because small environmental shifts (humidity, pH, temperature) can move critical attributes. Consequently, translation often demands tighter process control, in-line testing, and a </w:t>
      </w:r>
      <w:proofErr w:type="spellStart"/>
      <w:r w:rsidRPr="004836BE">
        <w:rPr>
          <w:rFonts w:ascii="Times New Roman" w:hAnsi="Times New Roman" w:cs="Times New Roman"/>
        </w:rPr>
        <w:t>QbD</w:t>
      </w:r>
      <w:proofErr w:type="spellEnd"/>
      <w:r w:rsidRPr="004836BE">
        <w:rPr>
          <w:rFonts w:ascii="Times New Roman" w:hAnsi="Times New Roman" w:cs="Times New Roman"/>
        </w:rPr>
        <w:t>-style control strategy. [79]</w:t>
      </w:r>
    </w:p>
    <w:p w14:paraId="46316EE4" w14:textId="5ED326AE" w:rsidR="004836BE" w:rsidRPr="004836BE" w:rsidRDefault="004836BE" w:rsidP="004836BE">
      <w:pPr>
        <w:jc w:val="both"/>
        <w:rPr>
          <w:rFonts w:ascii="Times New Roman" w:hAnsi="Times New Roman" w:cs="Times New Roman"/>
        </w:rPr>
      </w:pPr>
      <w:r w:rsidRPr="004836BE">
        <w:rPr>
          <w:rFonts w:ascii="Times New Roman" w:hAnsi="Times New Roman" w:cs="Times New Roman"/>
        </w:rPr>
        <w:t>(e) Regulatory complexity for combination products (</w:t>
      </w:r>
      <w:proofErr w:type="spellStart"/>
      <w:r w:rsidRPr="004836BE">
        <w:rPr>
          <w:rFonts w:ascii="Times New Roman" w:hAnsi="Times New Roman" w:cs="Times New Roman"/>
        </w:rPr>
        <w:t>nano</w:t>
      </w:r>
      <w:proofErr w:type="spellEnd"/>
      <w:r w:rsidRPr="004836BE">
        <w:rPr>
          <w:rFonts w:ascii="Times New Roman" w:hAnsi="Times New Roman" w:cs="Times New Roman"/>
        </w:rPr>
        <w:t xml:space="preserve"> + gel = “more than the sum”)</w:t>
      </w:r>
      <w:r w:rsidRPr="004836BE">
        <w:rPr>
          <w:rFonts w:ascii="Times New Roman" w:hAnsi="Times New Roman" w:cs="Times New Roman"/>
        </w:rPr>
        <w:br/>
        <w:t xml:space="preserve">From a regulatory standpoint, </w:t>
      </w:r>
      <w:proofErr w:type="spellStart"/>
      <w:r w:rsidRPr="004836BE">
        <w:rPr>
          <w:rFonts w:ascii="Times New Roman" w:hAnsi="Times New Roman" w:cs="Times New Roman"/>
        </w:rPr>
        <w:t>nano</w:t>
      </w:r>
      <w:proofErr w:type="spellEnd"/>
      <w:r w:rsidRPr="004836BE">
        <w:rPr>
          <w:rFonts w:ascii="Times New Roman" w:hAnsi="Times New Roman" w:cs="Times New Roman"/>
        </w:rPr>
        <w:t>-in-gel systems are frequently “combination-like” products: they blur boundaries between a drug, a device-like matrix, and sometimes even a biologic if the payload is a protein or gene therapy. Regulatory overviews of hydrogel commercialization highlight that products may fall under multiple FDA pathways (device classes, NDA/BLA routes, or formal combination product pathways), requiring coordinated review and extensive evidence of sterility, biocompatibility, stability, and manufacturing controls</w:t>
      </w:r>
      <w:r w:rsidR="0037244D">
        <w:rPr>
          <w:rFonts w:ascii="Times New Roman" w:hAnsi="Times New Roman" w:cs="Times New Roman"/>
        </w:rPr>
        <w:t xml:space="preserve"> </w:t>
      </w:r>
      <w:r w:rsidRPr="004836BE">
        <w:rPr>
          <w:rFonts w:ascii="Times New Roman" w:hAnsi="Times New Roman" w:cs="Times New Roman"/>
        </w:rPr>
        <w:t>often increasing development time and cost. [79]</w:t>
      </w:r>
    </w:p>
    <w:p w14:paraId="717801DC" w14:textId="0445050A" w:rsidR="004836BE" w:rsidRPr="004836BE" w:rsidRDefault="004836BE" w:rsidP="004836BE">
      <w:pPr>
        <w:jc w:val="both"/>
        <w:rPr>
          <w:rFonts w:ascii="Times New Roman" w:hAnsi="Times New Roman" w:cs="Times New Roman"/>
          <w:b/>
          <w:bCs/>
        </w:rPr>
      </w:pPr>
      <w:r w:rsidRPr="004836BE">
        <w:rPr>
          <w:rFonts w:ascii="Times New Roman" w:hAnsi="Times New Roman" w:cs="Times New Roman"/>
          <w:b/>
          <w:bCs/>
        </w:rPr>
        <w:t xml:space="preserve">9.2 Future perspectives and emerging technologies </w:t>
      </w:r>
    </w:p>
    <w:p w14:paraId="23EC3761" w14:textId="77777777" w:rsidR="004836BE" w:rsidRPr="004836BE" w:rsidRDefault="004836BE" w:rsidP="004836BE">
      <w:pPr>
        <w:jc w:val="both"/>
        <w:rPr>
          <w:rFonts w:ascii="Times New Roman" w:hAnsi="Times New Roman" w:cs="Times New Roman"/>
        </w:rPr>
      </w:pPr>
      <w:r w:rsidRPr="004836BE">
        <w:rPr>
          <w:rFonts w:ascii="Times New Roman" w:hAnsi="Times New Roman" w:cs="Times New Roman"/>
        </w:rPr>
        <w:t>Current innovation is moving toward integrated systems that combine materials, triggers, and delivery routes to improve precision and reduce treatment burden. A recent review of smart ocular materials points out that the next generation of ocular DDS increasingly includes not only nanoparticles and hydrogels, but also microneedles and contact-lens platforms, selected according to disease location and required duration of exposure. [78]</w:t>
      </w:r>
    </w:p>
    <w:p w14:paraId="381551CA" w14:textId="3ABFDE27" w:rsidR="004836BE" w:rsidRPr="004836BE" w:rsidRDefault="004836BE" w:rsidP="004836BE">
      <w:pPr>
        <w:jc w:val="both"/>
        <w:rPr>
          <w:rFonts w:ascii="Times New Roman" w:hAnsi="Times New Roman" w:cs="Times New Roman"/>
        </w:rPr>
      </w:pPr>
      <w:r w:rsidRPr="004836BE">
        <w:rPr>
          <w:rFonts w:ascii="Times New Roman" w:hAnsi="Times New Roman" w:cs="Times New Roman"/>
          <w:b/>
          <w:bCs/>
        </w:rPr>
        <w:t xml:space="preserve">(a) Smarter responsiveness: </w:t>
      </w:r>
      <w:r w:rsidRPr="004836BE">
        <w:rPr>
          <w:rFonts w:ascii="Times New Roman" w:hAnsi="Times New Roman" w:cs="Times New Roman"/>
        </w:rPr>
        <w:t>“on-demand” and multi-stimuli release</w:t>
      </w:r>
      <w:r>
        <w:rPr>
          <w:rFonts w:ascii="Times New Roman" w:hAnsi="Times New Roman" w:cs="Times New Roman"/>
        </w:rPr>
        <w:t xml:space="preserve"> </w:t>
      </w:r>
      <w:r w:rsidRPr="004836BE">
        <w:rPr>
          <w:rFonts w:ascii="Times New Roman" w:hAnsi="Times New Roman" w:cs="Times New Roman"/>
        </w:rPr>
        <w:t>A clear trajectory is toward hydrogels that respond to ocular-relevant cues (temperature, pH, ions, inflammation-associated signals) to provide more controlled, situational release. Smart-materials reviews emphasize that stimulus-responsive behavior can support longer retention, higher penetration efficiency, and more patient-friendly dosing, provided that responsiveness is reliable and reproducible. [78]</w:t>
      </w:r>
    </w:p>
    <w:p w14:paraId="24EF8C26" w14:textId="70B4BDCE" w:rsidR="004836BE" w:rsidRPr="004836BE" w:rsidRDefault="004836BE" w:rsidP="004836BE">
      <w:pPr>
        <w:jc w:val="both"/>
        <w:rPr>
          <w:rFonts w:ascii="Times New Roman" w:hAnsi="Times New Roman" w:cs="Times New Roman"/>
        </w:rPr>
      </w:pPr>
      <w:r w:rsidRPr="004836BE">
        <w:rPr>
          <w:rFonts w:ascii="Times New Roman" w:hAnsi="Times New Roman" w:cs="Times New Roman"/>
        </w:rPr>
        <w:t xml:space="preserve">(b) </w:t>
      </w:r>
      <w:r w:rsidRPr="004836BE">
        <w:rPr>
          <w:rFonts w:ascii="Times New Roman" w:hAnsi="Times New Roman" w:cs="Times New Roman"/>
          <w:b/>
          <w:bCs/>
        </w:rPr>
        <w:t>Device–material convergence:</w:t>
      </w:r>
      <w:r w:rsidRPr="004836BE">
        <w:rPr>
          <w:rFonts w:ascii="Times New Roman" w:hAnsi="Times New Roman" w:cs="Times New Roman"/>
        </w:rPr>
        <w:t xml:space="preserve"> microneedles and contact-lens delivery</w:t>
      </w:r>
      <w:r>
        <w:rPr>
          <w:rFonts w:ascii="Times New Roman" w:hAnsi="Times New Roman" w:cs="Times New Roman"/>
        </w:rPr>
        <w:t xml:space="preserve"> </w:t>
      </w:r>
      <w:proofErr w:type="gramStart"/>
      <w:r w:rsidRPr="004836BE">
        <w:rPr>
          <w:rFonts w:ascii="Times New Roman" w:hAnsi="Times New Roman" w:cs="Times New Roman"/>
        </w:rPr>
        <w:t>For</w:t>
      </w:r>
      <w:proofErr w:type="gramEnd"/>
      <w:r w:rsidRPr="004836BE">
        <w:rPr>
          <w:rFonts w:ascii="Times New Roman" w:hAnsi="Times New Roman" w:cs="Times New Roman"/>
        </w:rPr>
        <w:t xml:space="preserve"> posterior targets, microneedle-enabled placement (e.g., suprachoroidal or other minimally invasive compartments) can combine anatomical advantage with in situ-forming depots, potentially reducing repeated intravitreal injections. In parallel, drug-eluting contact lenses represent a surface-based sustained-release strategy that can complement gel systems, especially for ocular-surface disease</w:t>
      </w:r>
      <w:r w:rsidR="0037244D">
        <w:rPr>
          <w:rFonts w:ascii="Times New Roman" w:hAnsi="Times New Roman" w:cs="Times New Roman"/>
        </w:rPr>
        <w:t xml:space="preserve"> </w:t>
      </w:r>
      <w:r w:rsidRPr="004836BE">
        <w:rPr>
          <w:rFonts w:ascii="Times New Roman" w:hAnsi="Times New Roman" w:cs="Times New Roman"/>
        </w:rPr>
        <w:t>though oxygen permeability and infection risk must be managed. This “material + device” direction is explicitly highlighted as a growing branch of smart ocular delivery. [78]</w:t>
      </w:r>
    </w:p>
    <w:p w14:paraId="14E05883" w14:textId="126FC2B2" w:rsidR="004836BE" w:rsidRPr="004836BE" w:rsidRDefault="004836BE" w:rsidP="004836BE">
      <w:pPr>
        <w:jc w:val="both"/>
        <w:rPr>
          <w:rFonts w:ascii="Times New Roman" w:hAnsi="Times New Roman" w:cs="Times New Roman"/>
        </w:rPr>
      </w:pPr>
      <w:r w:rsidRPr="004836BE">
        <w:rPr>
          <w:rFonts w:ascii="Times New Roman" w:hAnsi="Times New Roman" w:cs="Times New Roman"/>
          <w:b/>
          <w:bCs/>
        </w:rPr>
        <w:t>(c) AI/ML-guided formulation and advanced manufacturing (3D/4D printing)</w:t>
      </w:r>
      <w:r w:rsidRPr="004836BE">
        <w:rPr>
          <w:rFonts w:ascii="Times New Roman" w:hAnsi="Times New Roman" w:cs="Times New Roman"/>
        </w:rPr>
        <w:br/>
        <w:t>Hydrogel translation literature increasingly points to computational tools for rational design</w:t>
      </w:r>
      <w:r w:rsidR="0037244D">
        <w:rPr>
          <w:rFonts w:ascii="Times New Roman" w:hAnsi="Times New Roman" w:cs="Times New Roman"/>
        </w:rPr>
        <w:t xml:space="preserve"> </w:t>
      </w:r>
      <w:r w:rsidRPr="004836BE">
        <w:rPr>
          <w:rFonts w:ascii="Times New Roman" w:hAnsi="Times New Roman" w:cs="Times New Roman"/>
        </w:rPr>
        <w:t>using data-driven methods to predict gel properties, optimize compositions, and reduce experimental iteration. The same sources also discuss 3D/4D bioprinting and microfabrication as enabling technologies for personalized or anatomically tailored hydrogel systems, while acknowledging that regulatory and reproducibility barriers remain substantial. [79</w:t>
      </w:r>
      <w:r w:rsidR="00344E41">
        <w:rPr>
          <w:rFonts w:ascii="Times New Roman" w:hAnsi="Times New Roman" w:cs="Times New Roman"/>
        </w:rPr>
        <w:t>,80</w:t>
      </w:r>
      <w:r w:rsidRPr="004836BE">
        <w:rPr>
          <w:rFonts w:ascii="Times New Roman" w:hAnsi="Times New Roman" w:cs="Times New Roman"/>
        </w:rPr>
        <w:t>]</w:t>
      </w:r>
    </w:p>
    <w:p w14:paraId="7DB050BC" w14:textId="63118671" w:rsidR="004836BE" w:rsidRPr="004836BE" w:rsidRDefault="004836BE" w:rsidP="004836BE">
      <w:pPr>
        <w:jc w:val="both"/>
        <w:rPr>
          <w:rFonts w:ascii="Times New Roman" w:hAnsi="Times New Roman" w:cs="Times New Roman"/>
        </w:rPr>
      </w:pPr>
      <w:r w:rsidRPr="004836BE">
        <w:rPr>
          <w:rFonts w:ascii="Times New Roman" w:hAnsi="Times New Roman" w:cs="Times New Roman"/>
          <w:b/>
          <w:bCs/>
        </w:rPr>
        <w:lastRenderedPageBreak/>
        <w:t>(d) Nanozyme–hydrogel hybrids (therapeutic + immunomodulatory functions)</w:t>
      </w:r>
      <w:r w:rsidRPr="004836BE">
        <w:rPr>
          <w:rFonts w:ascii="Times New Roman" w:hAnsi="Times New Roman" w:cs="Times New Roman"/>
        </w:rPr>
        <w:br/>
        <w:t>A particularly innovative emerging direction is the use of nanozyme-loaded hydrogels that provide both drug delivery and microenvironment modulation (e.g., ROS control or immune-pathway regulation). For example, Zhang et al. reported a carbon-nanotube (CNT) nanozyme–based thixotropic anionic hydrogel coating loaded with itraconazole for fungal keratitis. The study described antifungal activity against </w:t>
      </w:r>
      <w:r w:rsidRPr="004836BE">
        <w:rPr>
          <w:rFonts w:ascii="Times New Roman" w:hAnsi="Times New Roman" w:cs="Times New Roman"/>
          <w:i/>
          <w:iCs/>
        </w:rPr>
        <w:t>Aspergillus fumigatus</w:t>
      </w:r>
      <w:r w:rsidRPr="004836BE">
        <w:rPr>
          <w:rFonts w:ascii="Times New Roman" w:hAnsi="Times New Roman" w:cs="Times New Roman"/>
        </w:rPr>
        <w:t> (including CFU and biofilm reduction), good biocompatibility in cell testing, and downregulation of inflammatory mediators with inhibition of p38 MAPK phosphorylation</w:t>
      </w:r>
      <w:r>
        <w:rPr>
          <w:rFonts w:ascii="Times New Roman" w:hAnsi="Times New Roman" w:cs="Times New Roman"/>
        </w:rPr>
        <w:t>.</w:t>
      </w:r>
    </w:p>
    <w:p w14:paraId="73BE026B" w14:textId="6AC39467" w:rsidR="004836BE" w:rsidRDefault="004836BE" w:rsidP="00702417">
      <w:pPr>
        <w:jc w:val="both"/>
        <w:rPr>
          <w:rFonts w:ascii="Times New Roman" w:hAnsi="Times New Roman" w:cs="Times New Roman"/>
          <w:b/>
          <w:bCs/>
        </w:rPr>
      </w:pPr>
      <w:r>
        <w:rPr>
          <w:rFonts w:ascii="Times New Roman" w:hAnsi="Times New Roman" w:cs="Times New Roman"/>
          <w:b/>
          <w:bCs/>
        </w:rPr>
        <w:t>Conclusion –</w:t>
      </w:r>
    </w:p>
    <w:p w14:paraId="19F06FDD" w14:textId="77777777" w:rsidR="004836BE" w:rsidRPr="004836BE" w:rsidRDefault="004836BE" w:rsidP="004836BE">
      <w:pPr>
        <w:jc w:val="both"/>
        <w:rPr>
          <w:rFonts w:ascii="Times New Roman" w:hAnsi="Times New Roman" w:cs="Times New Roman"/>
        </w:rPr>
      </w:pPr>
      <w:r w:rsidRPr="004836BE">
        <w:rPr>
          <w:rFonts w:ascii="Times New Roman" w:hAnsi="Times New Roman" w:cs="Times New Roman"/>
        </w:rPr>
        <w:t>Nanoparticle-laden in situ gelling ophthalmic formulations represent a rational, next-generation strategy to overcome the fundamental limitations of conventional ocular dosage forms. Traditional eye drops are convenient but typically provide short precorneal contact time and low ocular bioavailability due to tear turnover, blinking, and nasolacrimal drainage. In situ gels address this challenge by undergoing a sol-to-gel transition on the ocular surface, forming a viscoelastic depot that resists rapid clearance and sustains drug availability. Nanocarriers complement this approach by improving drug solubilization, protecting labile molecules, enabling controlled release, and enhancing interactions with ocular tissues. When integrated, the hybrid “</w:t>
      </w:r>
      <w:proofErr w:type="spellStart"/>
      <w:r w:rsidRPr="004836BE">
        <w:rPr>
          <w:rFonts w:ascii="Times New Roman" w:hAnsi="Times New Roman" w:cs="Times New Roman"/>
        </w:rPr>
        <w:t>nano</w:t>
      </w:r>
      <w:proofErr w:type="spellEnd"/>
      <w:r w:rsidRPr="004836BE">
        <w:rPr>
          <w:rFonts w:ascii="Times New Roman" w:hAnsi="Times New Roman" w:cs="Times New Roman"/>
        </w:rPr>
        <w:t>-in-gel” architecture can simultaneously prolong residence time and optimize release and permeation, resulting in improved exposure profiles and stronger pharmacodynamic outcomes in models of glaucoma, keratitis, dry eye disease, and other ocular conditions.</w:t>
      </w:r>
    </w:p>
    <w:p w14:paraId="38003732" w14:textId="77777777" w:rsidR="004836BE" w:rsidRPr="004836BE" w:rsidRDefault="004836BE" w:rsidP="004836BE">
      <w:pPr>
        <w:jc w:val="both"/>
        <w:rPr>
          <w:rFonts w:ascii="Times New Roman" w:hAnsi="Times New Roman" w:cs="Times New Roman"/>
        </w:rPr>
      </w:pPr>
      <w:r w:rsidRPr="004836BE">
        <w:rPr>
          <w:rFonts w:ascii="Times New Roman" w:hAnsi="Times New Roman" w:cs="Times New Roman"/>
        </w:rPr>
        <w:t xml:space="preserve">Despite promising results, clinical translation remains limited by sterilization feasibility, long-term stability, scalable manufacturing, and regulatory complexity for combination </w:t>
      </w:r>
      <w:proofErr w:type="spellStart"/>
      <w:r w:rsidRPr="004836BE">
        <w:rPr>
          <w:rFonts w:ascii="Times New Roman" w:hAnsi="Times New Roman" w:cs="Times New Roman"/>
        </w:rPr>
        <w:t>nano</w:t>
      </w:r>
      <w:proofErr w:type="spellEnd"/>
      <w:r w:rsidRPr="004836BE">
        <w:rPr>
          <w:rFonts w:ascii="Times New Roman" w:hAnsi="Times New Roman" w:cs="Times New Roman"/>
        </w:rPr>
        <w:t>–hydrogel products. Future progress will likely depend on rigorous quality-by-design development, standardized characterization, and clinically relevant efficacy and safety endpoints. With these advances, nanoparticle-laden in situ gels have strong potential to reduce dosing frequency, improve adherence, and deliver more precise and durable ocular therapy.</w:t>
      </w:r>
    </w:p>
    <w:p w14:paraId="001B8E39" w14:textId="77777777" w:rsidR="004836BE" w:rsidRDefault="004836BE" w:rsidP="00702417">
      <w:pPr>
        <w:jc w:val="both"/>
        <w:rPr>
          <w:rFonts w:ascii="Times New Roman" w:hAnsi="Times New Roman" w:cs="Times New Roman"/>
          <w:b/>
          <w:bCs/>
        </w:rPr>
      </w:pPr>
    </w:p>
    <w:p w14:paraId="431F79F9" w14:textId="77777777" w:rsidR="004836BE" w:rsidRPr="004836BE" w:rsidRDefault="004836BE" w:rsidP="004836BE">
      <w:pPr>
        <w:jc w:val="both"/>
        <w:rPr>
          <w:rFonts w:ascii="Times New Roman" w:hAnsi="Times New Roman" w:cs="Times New Roman"/>
          <w:b/>
          <w:bCs/>
        </w:rPr>
      </w:pPr>
      <w:r w:rsidRPr="004836BE">
        <w:rPr>
          <w:rFonts w:ascii="Times New Roman" w:hAnsi="Times New Roman" w:cs="Times New Roman"/>
          <w:b/>
          <w:bCs/>
        </w:rPr>
        <w:t>List of abbreviations used</w:t>
      </w:r>
    </w:p>
    <w:p w14:paraId="29971110" w14:textId="50C6E00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AHA </w:t>
      </w:r>
      <w:r w:rsidR="0037244D" w:rsidRPr="00A41E66">
        <w:rPr>
          <w:rFonts w:ascii="Times New Roman" w:hAnsi="Times New Roman" w:cs="Times New Roman"/>
        </w:rPr>
        <w:t xml:space="preserve"> </w:t>
      </w:r>
      <w:r w:rsidRPr="004836BE">
        <w:rPr>
          <w:rFonts w:ascii="Times New Roman" w:hAnsi="Times New Roman" w:cs="Times New Roman"/>
        </w:rPr>
        <w:t xml:space="preserve"> Amino</w:t>
      </w:r>
      <w:r w:rsidRPr="004836BE">
        <w:rPr>
          <w:rFonts w:ascii="Times New Roman" w:hAnsi="Times New Roman" w:cs="Times New Roman"/>
        </w:rPr>
        <w:noBreakHyphen/>
        <w:t>functionalized hyaluronic acid</w:t>
      </w:r>
    </w:p>
    <w:p w14:paraId="237650DB" w14:textId="78F8A21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AMD </w:t>
      </w:r>
      <w:r w:rsidR="0037244D" w:rsidRPr="00A41E66">
        <w:rPr>
          <w:rFonts w:ascii="Times New Roman" w:hAnsi="Times New Roman" w:cs="Times New Roman"/>
        </w:rPr>
        <w:t xml:space="preserve"> </w:t>
      </w:r>
      <w:r w:rsidRPr="004836BE">
        <w:rPr>
          <w:rFonts w:ascii="Times New Roman" w:hAnsi="Times New Roman" w:cs="Times New Roman"/>
        </w:rPr>
        <w:t xml:space="preserve"> Age</w:t>
      </w:r>
      <w:r w:rsidRPr="004836BE">
        <w:rPr>
          <w:rFonts w:ascii="Times New Roman" w:hAnsi="Times New Roman" w:cs="Times New Roman"/>
        </w:rPr>
        <w:noBreakHyphen/>
        <w:t>related macular degeneration</w:t>
      </w:r>
    </w:p>
    <w:p w14:paraId="0D08A453" w14:textId="2BFAB3B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AUC </w:t>
      </w:r>
      <w:r w:rsidR="0037244D" w:rsidRPr="00A41E66">
        <w:rPr>
          <w:rFonts w:ascii="Times New Roman" w:hAnsi="Times New Roman" w:cs="Times New Roman"/>
        </w:rPr>
        <w:t xml:space="preserve"> </w:t>
      </w:r>
      <w:r w:rsidRPr="004836BE">
        <w:rPr>
          <w:rFonts w:ascii="Times New Roman" w:hAnsi="Times New Roman" w:cs="Times New Roman"/>
        </w:rPr>
        <w:t xml:space="preserve"> Area under the concentration–time curve</w:t>
      </w:r>
    </w:p>
    <w:p w14:paraId="1F94B190" w14:textId="0C5E60CD"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BAB </w:t>
      </w:r>
      <w:r w:rsidR="0037244D" w:rsidRPr="00A41E66">
        <w:rPr>
          <w:rFonts w:ascii="Times New Roman" w:hAnsi="Times New Roman" w:cs="Times New Roman"/>
        </w:rPr>
        <w:t xml:space="preserve"> </w:t>
      </w:r>
      <w:r w:rsidRPr="004836BE">
        <w:rPr>
          <w:rFonts w:ascii="Times New Roman" w:hAnsi="Times New Roman" w:cs="Times New Roman"/>
        </w:rPr>
        <w:t xml:space="preserve"> Blood–aqueous barrier</w:t>
      </w:r>
    </w:p>
    <w:p w14:paraId="266C97A3" w14:textId="6D2ECDD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Bev </w:t>
      </w:r>
      <w:r w:rsidR="0037244D" w:rsidRPr="00A41E66">
        <w:rPr>
          <w:rFonts w:ascii="Times New Roman" w:hAnsi="Times New Roman" w:cs="Times New Roman"/>
        </w:rPr>
        <w:t xml:space="preserve"> </w:t>
      </w:r>
      <w:r w:rsidRPr="004836BE">
        <w:rPr>
          <w:rFonts w:ascii="Times New Roman" w:hAnsi="Times New Roman" w:cs="Times New Roman"/>
        </w:rPr>
        <w:t xml:space="preserve"> Bevacizumab</w:t>
      </w:r>
    </w:p>
    <w:p w14:paraId="2F021624" w14:textId="57CBD1D1"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BRB </w:t>
      </w:r>
      <w:r w:rsidR="0037244D" w:rsidRPr="00A41E66">
        <w:rPr>
          <w:rFonts w:ascii="Times New Roman" w:hAnsi="Times New Roman" w:cs="Times New Roman"/>
        </w:rPr>
        <w:t xml:space="preserve"> </w:t>
      </w:r>
      <w:r w:rsidRPr="004836BE">
        <w:rPr>
          <w:rFonts w:ascii="Times New Roman" w:hAnsi="Times New Roman" w:cs="Times New Roman"/>
        </w:rPr>
        <w:t xml:space="preserve"> Blood–retinal barrier</w:t>
      </w:r>
    </w:p>
    <w:p w14:paraId="7E183951" w14:textId="612AFA8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CAP </w:t>
      </w:r>
      <w:r w:rsidR="0037244D" w:rsidRPr="00A41E66">
        <w:rPr>
          <w:rFonts w:ascii="Times New Roman" w:hAnsi="Times New Roman" w:cs="Times New Roman"/>
        </w:rPr>
        <w:t xml:space="preserve"> </w:t>
      </w:r>
      <w:r w:rsidRPr="004836BE">
        <w:rPr>
          <w:rFonts w:ascii="Times New Roman" w:hAnsi="Times New Roman" w:cs="Times New Roman"/>
        </w:rPr>
        <w:t xml:space="preserve"> Cellulose </w:t>
      </w:r>
      <w:proofErr w:type="spellStart"/>
      <w:r w:rsidRPr="004836BE">
        <w:rPr>
          <w:rFonts w:ascii="Times New Roman" w:hAnsi="Times New Roman" w:cs="Times New Roman"/>
        </w:rPr>
        <w:t>acetophthalate</w:t>
      </w:r>
      <w:proofErr w:type="spellEnd"/>
    </w:p>
    <w:p w14:paraId="025BDB41" w14:textId="5F5A9DEF"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CFU </w:t>
      </w:r>
      <w:r w:rsidR="0037244D" w:rsidRPr="00A41E66">
        <w:rPr>
          <w:rFonts w:ascii="Times New Roman" w:hAnsi="Times New Roman" w:cs="Times New Roman"/>
        </w:rPr>
        <w:t xml:space="preserve"> </w:t>
      </w:r>
      <w:r w:rsidRPr="004836BE">
        <w:rPr>
          <w:rFonts w:ascii="Times New Roman" w:hAnsi="Times New Roman" w:cs="Times New Roman"/>
        </w:rPr>
        <w:t xml:space="preserve"> Colony-forming units</w:t>
      </w:r>
    </w:p>
    <w:p w14:paraId="18F705C9" w14:textId="1EAAD513"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CMCS </w:t>
      </w:r>
      <w:r w:rsidR="0037244D" w:rsidRPr="00A41E66">
        <w:rPr>
          <w:rFonts w:ascii="Times New Roman" w:hAnsi="Times New Roman" w:cs="Times New Roman"/>
        </w:rPr>
        <w:t xml:space="preserve"> </w:t>
      </w:r>
      <w:r w:rsidRPr="004836BE">
        <w:rPr>
          <w:rFonts w:ascii="Times New Roman" w:hAnsi="Times New Roman" w:cs="Times New Roman"/>
        </w:rPr>
        <w:t xml:space="preserve"> Carboxymethyl chitosan</w:t>
      </w:r>
    </w:p>
    <w:p w14:paraId="57A5BA33" w14:textId="6063ABF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lastRenderedPageBreak/>
        <w:t>CNT </w:t>
      </w:r>
      <w:r w:rsidR="0037244D" w:rsidRPr="00A41E66">
        <w:rPr>
          <w:rFonts w:ascii="Times New Roman" w:hAnsi="Times New Roman" w:cs="Times New Roman"/>
        </w:rPr>
        <w:t xml:space="preserve"> </w:t>
      </w:r>
      <w:r w:rsidRPr="004836BE">
        <w:rPr>
          <w:rFonts w:ascii="Times New Roman" w:hAnsi="Times New Roman" w:cs="Times New Roman"/>
        </w:rPr>
        <w:t xml:space="preserve"> Carbon nanotube</w:t>
      </w:r>
    </w:p>
    <w:p w14:paraId="0BE520A1" w14:textId="23617527" w:rsidR="004836BE" w:rsidRPr="004836BE" w:rsidRDefault="004836BE" w:rsidP="004836BE">
      <w:pPr>
        <w:numPr>
          <w:ilvl w:val="0"/>
          <w:numId w:val="4"/>
        </w:numPr>
        <w:spacing w:after="0"/>
        <w:jc w:val="both"/>
        <w:rPr>
          <w:rFonts w:ascii="Times New Roman" w:hAnsi="Times New Roman" w:cs="Times New Roman"/>
        </w:rPr>
      </w:pPr>
      <w:proofErr w:type="spellStart"/>
      <w:r w:rsidRPr="004836BE">
        <w:rPr>
          <w:rFonts w:ascii="Times New Roman" w:hAnsi="Times New Roman" w:cs="Times New Roman"/>
        </w:rPr>
        <w:t>CuPC</w:t>
      </w:r>
      <w:proofErr w:type="spellEnd"/>
      <w:r w:rsidRPr="004836BE">
        <w:rPr>
          <w:rFonts w:ascii="Times New Roman" w:hAnsi="Times New Roman" w:cs="Times New Roman"/>
        </w:rPr>
        <w:t> </w:t>
      </w:r>
      <w:r w:rsidR="0037244D" w:rsidRPr="00A41E66">
        <w:rPr>
          <w:rFonts w:ascii="Times New Roman" w:hAnsi="Times New Roman" w:cs="Times New Roman"/>
        </w:rPr>
        <w:t xml:space="preserve"> </w:t>
      </w:r>
      <w:r w:rsidRPr="004836BE">
        <w:rPr>
          <w:rFonts w:ascii="Times New Roman" w:hAnsi="Times New Roman" w:cs="Times New Roman"/>
        </w:rPr>
        <w:t xml:space="preserve"> Copper</w:t>
      </w:r>
      <w:r w:rsidRPr="004836BE">
        <w:rPr>
          <w:rFonts w:ascii="Times New Roman" w:hAnsi="Times New Roman" w:cs="Times New Roman"/>
        </w:rPr>
        <w:noBreakHyphen/>
      </w:r>
      <w:proofErr w:type="spellStart"/>
      <w:r w:rsidRPr="004836BE">
        <w:rPr>
          <w:rFonts w:ascii="Times New Roman" w:hAnsi="Times New Roman" w:cs="Times New Roman"/>
        </w:rPr>
        <w:t>proanthocyanidins</w:t>
      </w:r>
      <w:proofErr w:type="spellEnd"/>
      <w:r w:rsidRPr="004836BE">
        <w:rPr>
          <w:rFonts w:ascii="Times New Roman" w:hAnsi="Times New Roman" w:cs="Times New Roman"/>
        </w:rPr>
        <w:t xml:space="preserve"> (nanozyme component)</w:t>
      </w:r>
    </w:p>
    <w:p w14:paraId="70217BC1" w14:textId="38F695C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Cu₂₋ₓSe </w:t>
      </w:r>
      <w:r w:rsidR="0037244D" w:rsidRPr="00A41E66">
        <w:rPr>
          <w:rFonts w:ascii="Times New Roman" w:hAnsi="Times New Roman" w:cs="Times New Roman"/>
        </w:rPr>
        <w:t xml:space="preserve"> </w:t>
      </w:r>
      <w:r w:rsidRPr="004836BE">
        <w:rPr>
          <w:rFonts w:ascii="Times New Roman" w:hAnsi="Times New Roman" w:cs="Times New Roman"/>
        </w:rPr>
        <w:t xml:space="preserve"> Copper selenide nanoparticles (non</w:t>
      </w:r>
      <w:r w:rsidRPr="004836BE">
        <w:rPr>
          <w:rFonts w:ascii="Times New Roman" w:hAnsi="Times New Roman" w:cs="Times New Roman"/>
        </w:rPr>
        <w:noBreakHyphen/>
        <w:t>stoichiometric copper-deficient copper selenide)</w:t>
      </w:r>
    </w:p>
    <w:p w14:paraId="4F958EF4" w14:textId="2F689ECE"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DED </w:t>
      </w:r>
      <w:r w:rsidR="0037244D" w:rsidRPr="00A41E66">
        <w:rPr>
          <w:rFonts w:ascii="Times New Roman" w:hAnsi="Times New Roman" w:cs="Times New Roman"/>
        </w:rPr>
        <w:t xml:space="preserve"> </w:t>
      </w:r>
      <w:r w:rsidRPr="004836BE">
        <w:rPr>
          <w:rFonts w:ascii="Times New Roman" w:hAnsi="Times New Roman" w:cs="Times New Roman"/>
        </w:rPr>
        <w:t xml:space="preserve"> Dry eye disease</w:t>
      </w:r>
    </w:p>
    <w:p w14:paraId="3799F996" w14:textId="4EEEE6D9"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DLS </w:t>
      </w:r>
      <w:r w:rsidR="0037244D" w:rsidRPr="00A41E66">
        <w:rPr>
          <w:rFonts w:ascii="Times New Roman" w:hAnsi="Times New Roman" w:cs="Times New Roman"/>
        </w:rPr>
        <w:t xml:space="preserve"> </w:t>
      </w:r>
      <w:r w:rsidRPr="004836BE">
        <w:rPr>
          <w:rFonts w:ascii="Times New Roman" w:hAnsi="Times New Roman" w:cs="Times New Roman"/>
        </w:rPr>
        <w:t xml:space="preserve"> Dynamic light scattering</w:t>
      </w:r>
    </w:p>
    <w:p w14:paraId="2908CC41" w14:textId="2983595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DoE </w:t>
      </w:r>
      <w:r w:rsidR="0037244D" w:rsidRPr="00A41E66">
        <w:rPr>
          <w:rFonts w:ascii="Times New Roman" w:hAnsi="Times New Roman" w:cs="Times New Roman"/>
        </w:rPr>
        <w:t xml:space="preserve"> </w:t>
      </w:r>
      <w:r w:rsidRPr="004836BE">
        <w:rPr>
          <w:rFonts w:ascii="Times New Roman" w:hAnsi="Times New Roman" w:cs="Times New Roman"/>
        </w:rPr>
        <w:t xml:space="preserve"> Design of experiments</w:t>
      </w:r>
    </w:p>
    <w:p w14:paraId="5190AE82" w14:textId="3371B2DA"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DSC </w:t>
      </w:r>
      <w:r w:rsidR="0037244D" w:rsidRPr="00A41E66">
        <w:rPr>
          <w:rFonts w:ascii="Times New Roman" w:hAnsi="Times New Roman" w:cs="Times New Roman"/>
        </w:rPr>
        <w:t xml:space="preserve"> </w:t>
      </w:r>
      <w:r w:rsidRPr="004836BE">
        <w:rPr>
          <w:rFonts w:ascii="Times New Roman" w:hAnsi="Times New Roman" w:cs="Times New Roman"/>
        </w:rPr>
        <w:t xml:space="preserve"> Differential scanning calorimetry</w:t>
      </w:r>
    </w:p>
    <w:p w14:paraId="36838359" w14:textId="5B04EBF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EE </w:t>
      </w:r>
      <w:r w:rsidR="0037244D" w:rsidRPr="00A41E66">
        <w:rPr>
          <w:rFonts w:ascii="Times New Roman" w:hAnsi="Times New Roman" w:cs="Times New Roman"/>
        </w:rPr>
        <w:t xml:space="preserve"> </w:t>
      </w:r>
      <w:r w:rsidRPr="004836BE">
        <w:rPr>
          <w:rFonts w:ascii="Times New Roman" w:hAnsi="Times New Roman" w:cs="Times New Roman"/>
        </w:rPr>
        <w:t xml:space="preserve"> Entrapment efficiency</w:t>
      </w:r>
    </w:p>
    <w:p w14:paraId="6E52CA2A" w14:textId="68BBA697"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FDA </w:t>
      </w:r>
      <w:r w:rsidR="0037244D" w:rsidRPr="00A41E66">
        <w:rPr>
          <w:rFonts w:ascii="Times New Roman" w:hAnsi="Times New Roman" w:cs="Times New Roman"/>
        </w:rPr>
        <w:t xml:space="preserve"> </w:t>
      </w:r>
      <w:r w:rsidRPr="004836BE">
        <w:rPr>
          <w:rFonts w:ascii="Times New Roman" w:hAnsi="Times New Roman" w:cs="Times New Roman"/>
        </w:rPr>
        <w:t xml:space="preserve"> U.S. Food and Drug Administration</w:t>
      </w:r>
    </w:p>
    <w:p w14:paraId="7922AF7B" w14:textId="5BD611A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FTIR </w:t>
      </w:r>
      <w:r w:rsidR="0037244D" w:rsidRPr="00A41E66">
        <w:rPr>
          <w:rFonts w:ascii="Times New Roman" w:hAnsi="Times New Roman" w:cs="Times New Roman"/>
        </w:rPr>
        <w:t xml:space="preserve"> </w:t>
      </w:r>
      <w:r w:rsidRPr="004836BE">
        <w:rPr>
          <w:rFonts w:ascii="Times New Roman" w:hAnsi="Times New Roman" w:cs="Times New Roman"/>
        </w:rPr>
        <w:t xml:space="preserve"> Fourier transform infrared spectroscopy</w:t>
      </w:r>
    </w:p>
    <w:p w14:paraId="42B2F632" w14:textId="5F1E6E8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GA </w:t>
      </w:r>
      <w:r w:rsidR="0037244D" w:rsidRPr="00A41E66">
        <w:rPr>
          <w:rFonts w:ascii="Times New Roman" w:hAnsi="Times New Roman" w:cs="Times New Roman"/>
        </w:rPr>
        <w:t xml:space="preserve"> </w:t>
      </w:r>
      <w:r w:rsidRPr="004836BE">
        <w:rPr>
          <w:rFonts w:ascii="Times New Roman" w:hAnsi="Times New Roman" w:cs="Times New Roman"/>
        </w:rPr>
        <w:t xml:space="preserve"> Glutaraldehyde</w:t>
      </w:r>
    </w:p>
    <w:p w14:paraId="669BC762" w14:textId="0FD94743"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GBD </w:t>
      </w:r>
      <w:r w:rsidR="0037244D" w:rsidRPr="00A41E66">
        <w:rPr>
          <w:rFonts w:ascii="Times New Roman" w:hAnsi="Times New Roman" w:cs="Times New Roman"/>
        </w:rPr>
        <w:t xml:space="preserve"> </w:t>
      </w:r>
      <w:r w:rsidRPr="004836BE">
        <w:rPr>
          <w:rFonts w:ascii="Times New Roman" w:hAnsi="Times New Roman" w:cs="Times New Roman"/>
        </w:rPr>
        <w:t xml:space="preserve"> Global Burden of Disease</w:t>
      </w:r>
    </w:p>
    <w:p w14:paraId="013CF809" w14:textId="2677EBFD" w:rsidR="004836BE" w:rsidRPr="004836BE" w:rsidRDefault="004836BE" w:rsidP="004836BE">
      <w:pPr>
        <w:numPr>
          <w:ilvl w:val="0"/>
          <w:numId w:val="4"/>
        </w:numPr>
        <w:spacing w:after="0"/>
        <w:jc w:val="both"/>
        <w:rPr>
          <w:rFonts w:ascii="Times New Roman" w:hAnsi="Times New Roman" w:cs="Times New Roman"/>
        </w:rPr>
      </w:pPr>
      <w:proofErr w:type="spellStart"/>
      <w:r w:rsidRPr="004836BE">
        <w:rPr>
          <w:rFonts w:ascii="Times New Roman" w:hAnsi="Times New Roman" w:cs="Times New Roman"/>
        </w:rPr>
        <w:t>GPx</w:t>
      </w:r>
      <w:proofErr w:type="spellEnd"/>
      <w:r w:rsidRPr="004836BE">
        <w:rPr>
          <w:rFonts w:ascii="Times New Roman" w:hAnsi="Times New Roman" w:cs="Times New Roman"/>
        </w:rPr>
        <w:t> </w:t>
      </w:r>
      <w:r w:rsidR="0037244D" w:rsidRPr="00A41E66">
        <w:rPr>
          <w:rFonts w:ascii="Times New Roman" w:hAnsi="Times New Roman" w:cs="Times New Roman"/>
        </w:rPr>
        <w:t xml:space="preserve"> </w:t>
      </w:r>
      <w:r w:rsidRPr="004836BE">
        <w:rPr>
          <w:rFonts w:ascii="Times New Roman" w:hAnsi="Times New Roman" w:cs="Times New Roman"/>
        </w:rPr>
        <w:t xml:space="preserve"> Glutathione peroxidase</w:t>
      </w:r>
    </w:p>
    <w:p w14:paraId="1B04274C" w14:textId="599251C6"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HET</w:t>
      </w:r>
      <w:r w:rsidRPr="004836BE">
        <w:rPr>
          <w:rFonts w:ascii="Times New Roman" w:hAnsi="Times New Roman" w:cs="Times New Roman"/>
        </w:rPr>
        <w:noBreakHyphen/>
        <w:t>CAM </w:t>
      </w:r>
      <w:r w:rsidR="0037244D" w:rsidRPr="00A41E66">
        <w:rPr>
          <w:rFonts w:ascii="Times New Roman" w:hAnsi="Times New Roman" w:cs="Times New Roman"/>
        </w:rPr>
        <w:t xml:space="preserve"> </w:t>
      </w:r>
      <w:r w:rsidRPr="004836BE">
        <w:rPr>
          <w:rFonts w:ascii="Times New Roman" w:hAnsi="Times New Roman" w:cs="Times New Roman"/>
        </w:rPr>
        <w:t xml:space="preserve"> Hen’s egg test</w:t>
      </w:r>
      <w:r w:rsidR="0037244D" w:rsidRPr="00A41E66">
        <w:rPr>
          <w:rFonts w:ascii="Times New Roman" w:hAnsi="Times New Roman" w:cs="Times New Roman"/>
        </w:rPr>
        <w:t xml:space="preserve"> </w:t>
      </w:r>
      <w:proofErr w:type="spellStart"/>
      <w:r w:rsidRPr="004836BE">
        <w:rPr>
          <w:rFonts w:ascii="Times New Roman" w:hAnsi="Times New Roman" w:cs="Times New Roman"/>
        </w:rPr>
        <w:t>chorioallantoic</w:t>
      </w:r>
      <w:proofErr w:type="spellEnd"/>
      <w:r w:rsidRPr="004836BE">
        <w:rPr>
          <w:rFonts w:ascii="Times New Roman" w:hAnsi="Times New Roman" w:cs="Times New Roman"/>
        </w:rPr>
        <w:t xml:space="preserve"> membrane</w:t>
      </w:r>
    </w:p>
    <w:p w14:paraId="096440AB" w14:textId="123FDEC9"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HPMC </w:t>
      </w:r>
      <w:r w:rsidR="0037244D" w:rsidRPr="00A41E66">
        <w:rPr>
          <w:rFonts w:ascii="Times New Roman" w:hAnsi="Times New Roman" w:cs="Times New Roman"/>
        </w:rPr>
        <w:t xml:space="preserve"> </w:t>
      </w:r>
      <w:r w:rsidRPr="004836BE">
        <w:rPr>
          <w:rFonts w:ascii="Times New Roman" w:hAnsi="Times New Roman" w:cs="Times New Roman"/>
        </w:rPr>
        <w:t xml:space="preserve"> Hydroxypropyl methylcellulose</w:t>
      </w:r>
    </w:p>
    <w:p w14:paraId="6611859F" w14:textId="7197D54C"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HSV </w:t>
      </w:r>
      <w:r w:rsidR="0037244D" w:rsidRPr="00A41E66">
        <w:rPr>
          <w:rFonts w:ascii="Times New Roman" w:hAnsi="Times New Roman" w:cs="Times New Roman"/>
        </w:rPr>
        <w:t xml:space="preserve"> </w:t>
      </w:r>
      <w:r w:rsidRPr="004836BE">
        <w:rPr>
          <w:rFonts w:ascii="Times New Roman" w:hAnsi="Times New Roman" w:cs="Times New Roman"/>
        </w:rPr>
        <w:t xml:space="preserve"> Herpes simplex virus</w:t>
      </w:r>
    </w:p>
    <w:p w14:paraId="49400E5F" w14:textId="448D58C1"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ICH </w:t>
      </w:r>
      <w:r w:rsidR="0037244D" w:rsidRPr="00A41E66">
        <w:rPr>
          <w:rFonts w:ascii="Times New Roman" w:hAnsi="Times New Roman" w:cs="Times New Roman"/>
        </w:rPr>
        <w:t xml:space="preserve"> </w:t>
      </w:r>
      <w:r w:rsidRPr="004836BE">
        <w:rPr>
          <w:rFonts w:ascii="Times New Roman" w:hAnsi="Times New Roman" w:cs="Times New Roman"/>
        </w:rPr>
        <w:t xml:space="preserve"> International Council for </w:t>
      </w:r>
      <w:proofErr w:type="spellStart"/>
      <w:r w:rsidRPr="004836BE">
        <w:rPr>
          <w:rFonts w:ascii="Times New Roman" w:hAnsi="Times New Roman" w:cs="Times New Roman"/>
        </w:rPr>
        <w:t>Harmonisation</w:t>
      </w:r>
      <w:proofErr w:type="spellEnd"/>
      <w:r w:rsidRPr="004836BE">
        <w:rPr>
          <w:rFonts w:ascii="Times New Roman" w:hAnsi="Times New Roman" w:cs="Times New Roman"/>
        </w:rPr>
        <w:t xml:space="preserve"> of Technical Requirements for Pharmaceuticals for Human Use</w:t>
      </w:r>
    </w:p>
    <w:p w14:paraId="3974405B" w14:textId="04488BE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IOP </w:t>
      </w:r>
      <w:r w:rsidR="0037244D" w:rsidRPr="00A41E66">
        <w:rPr>
          <w:rFonts w:ascii="Times New Roman" w:hAnsi="Times New Roman" w:cs="Times New Roman"/>
        </w:rPr>
        <w:t xml:space="preserve"> </w:t>
      </w:r>
      <w:r w:rsidRPr="004836BE">
        <w:rPr>
          <w:rFonts w:ascii="Times New Roman" w:hAnsi="Times New Roman" w:cs="Times New Roman"/>
        </w:rPr>
        <w:t xml:space="preserve"> Intraocular pressure</w:t>
      </w:r>
    </w:p>
    <w:p w14:paraId="3BD5C7D6" w14:textId="10009283"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ISG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Start"/>
      <w:r w:rsidRPr="004836BE">
        <w:rPr>
          <w:rFonts w:ascii="Times New Roman" w:hAnsi="Times New Roman" w:cs="Times New Roman"/>
        </w:rPr>
        <w:t>In</w:t>
      </w:r>
      <w:proofErr w:type="gramEnd"/>
      <w:r w:rsidRPr="004836BE">
        <w:rPr>
          <w:rFonts w:ascii="Times New Roman" w:hAnsi="Times New Roman" w:cs="Times New Roman"/>
        </w:rPr>
        <w:t xml:space="preserve"> situ gel</w:t>
      </w:r>
    </w:p>
    <w:p w14:paraId="13604259" w14:textId="2DEAD25D"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IVT </w:t>
      </w:r>
      <w:r w:rsidR="0037244D" w:rsidRPr="00A41E66">
        <w:rPr>
          <w:rFonts w:ascii="Times New Roman" w:hAnsi="Times New Roman" w:cs="Times New Roman"/>
        </w:rPr>
        <w:t xml:space="preserve"> </w:t>
      </w:r>
      <w:r w:rsidRPr="004836BE">
        <w:rPr>
          <w:rFonts w:ascii="Times New Roman" w:hAnsi="Times New Roman" w:cs="Times New Roman"/>
        </w:rPr>
        <w:t xml:space="preserve"> Intravitreal (intravitreal injection)</w:t>
      </w:r>
    </w:p>
    <w:p w14:paraId="6EDE0F7E" w14:textId="05DF8126"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LCST </w:t>
      </w:r>
      <w:r w:rsidR="0037244D" w:rsidRPr="00A41E66">
        <w:rPr>
          <w:rFonts w:ascii="Times New Roman" w:hAnsi="Times New Roman" w:cs="Times New Roman"/>
        </w:rPr>
        <w:t xml:space="preserve"> </w:t>
      </w:r>
      <w:r w:rsidRPr="004836BE">
        <w:rPr>
          <w:rFonts w:ascii="Times New Roman" w:hAnsi="Times New Roman" w:cs="Times New Roman"/>
        </w:rPr>
        <w:t xml:space="preserve"> Lower critical solution temperature</w:t>
      </w:r>
    </w:p>
    <w:p w14:paraId="580559B2" w14:textId="07F5377C"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MN </w:t>
      </w:r>
      <w:r w:rsidR="0037244D" w:rsidRPr="00A41E66">
        <w:rPr>
          <w:rFonts w:ascii="Times New Roman" w:hAnsi="Times New Roman" w:cs="Times New Roman"/>
        </w:rPr>
        <w:t xml:space="preserve"> </w:t>
      </w:r>
      <w:r w:rsidRPr="004836BE">
        <w:rPr>
          <w:rFonts w:ascii="Times New Roman" w:hAnsi="Times New Roman" w:cs="Times New Roman"/>
        </w:rPr>
        <w:t xml:space="preserve"> Microneedle</w:t>
      </w:r>
    </w:p>
    <w:p w14:paraId="604EE47E" w14:textId="6D2E936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NHC </w:t>
      </w:r>
      <w:r w:rsidR="0037244D" w:rsidRPr="00A41E66">
        <w:rPr>
          <w:rFonts w:ascii="Times New Roman" w:hAnsi="Times New Roman" w:cs="Times New Roman"/>
        </w:rPr>
        <w:t xml:space="preserve"> </w:t>
      </w:r>
      <w:r w:rsidRPr="004836BE">
        <w:rPr>
          <w:rFonts w:ascii="Times New Roman" w:hAnsi="Times New Roman" w:cs="Times New Roman"/>
        </w:rPr>
        <w:t xml:space="preserve"> Nanozyme</w:t>
      </w:r>
      <w:r w:rsidRPr="004836BE">
        <w:rPr>
          <w:rFonts w:ascii="Times New Roman" w:hAnsi="Times New Roman" w:cs="Times New Roman"/>
        </w:rPr>
        <w:noBreakHyphen/>
        <w:t>thixotropic anionic hydrogel coating</w:t>
      </w:r>
    </w:p>
    <w:p w14:paraId="4DA0A604" w14:textId="632B5CFA"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NLC </w:t>
      </w:r>
      <w:r w:rsidR="0037244D" w:rsidRPr="00A41E66">
        <w:rPr>
          <w:rFonts w:ascii="Times New Roman" w:hAnsi="Times New Roman" w:cs="Times New Roman"/>
        </w:rPr>
        <w:t xml:space="preserve"> </w:t>
      </w:r>
      <w:r w:rsidRPr="004836BE">
        <w:rPr>
          <w:rFonts w:ascii="Times New Roman" w:hAnsi="Times New Roman" w:cs="Times New Roman"/>
        </w:rPr>
        <w:t xml:space="preserve"> Nanostructured lipid carrier</w:t>
      </w:r>
    </w:p>
    <w:p w14:paraId="270DC50A" w14:textId="7D99D3A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NP </w:t>
      </w:r>
      <w:r w:rsidR="0037244D" w:rsidRPr="00A41E66">
        <w:rPr>
          <w:rFonts w:ascii="Times New Roman" w:hAnsi="Times New Roman" w:cs="Times New Roman"/>
        </w:rPr>
        <w:t xml:space="preserve"> </w:t>
      </w:r>
      <w:r w:rsidRPr="004836BE">
        <w:rPr>
          <w:rFonts w:ascii="Times New Roman" w:hAnsi="Times New Roman" w:cs="Times New Roman"/>
        </w:rPr>
        <w:t xml:space="preserve"> Nanoparticle</w:t>
      </w:r>
    </w:p>
    <w:p w14:paraId="564CE573" w14:textId="1B7AC338"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NP–ISG </w:t>
      </w:r>
      <w:r w:rsidR="0037244D" w:rsidRPr="00A41E66">
        <w:rPr>
          <w:rFonts w:ascii="Times New Roman" w:hAnsi="Times New Roman" w:cs="Times New Roman"/>
        </w:rPr>
        <w:t xml:space="preserve"> </w:t>
      </w:r>
      <w:r w:rsidRPr="004836BE">
        <w:rPr>
          <w:rFonts w:ascii="Times New Roman" w:hAnsi="Times New Roman" w:cs="Times New Roman"/>
        </w:rPr>
        <w:t xml:space="preserve"> Nanoparticle</w:t>
      </w:r>
      <w:r w:rsidRPr="004836BE">
        <w:rPr>
          <w:rFonts w:ascii="Times New Roman" w:hAnsi="Times New Roman" w:cs="Times New Roman"/>
        </w:rPr>
        <w:noBreakHyphen/>
        <w:t>laden in situ gel</w:t>
      </w:r>
    </w:p>
    <w:p w14:paraId="5F0B5E4B" w14:textId="45C4DE0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NRF2 </w:t>
      </w:r>
      <w:r w:rsidR="0037244D" w:rsidRPr="00A41E66">
        <w:rPr>
          <w:rFonts w:ascii="Times New Roman" w:hAnsi="Times New Roman" w:cs="Times New Roman"/>
        </w:rPr>
        <w:t xml:space="preserve"> </w:t>
      </w:r>
      <w:r w:rsidRPr="004836BE">
        <w:rPr>
          <w:rFonts w:ascii="Times New Roman" w:hAnsi="Times New Roman" w:cs="Times New Roman"/>
        </w:rPr>
        <w:t xml:space="preserve"> Nuclear factor erythroid 2</w:t>
      </w:r>
      <w:r w:rsidRPr="004836BE">
        <w:rPr>
          <w:rFonts w:ascii="Times New Roman" w:hAnsi="Times New Roman" w:cs="Times New Roman"/>
        </w:rPr>
        <w:noBreakHyphen/>
        <w:t>related factor 2</w:t>
      </w:r>
    </w:p>
    <w:p w14:paraId="522D4434" w14:textId="376FA8BE"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P407 / P188 </w:t>
      </w:r>
      <w:r w:rsidR="0037244D" w:rsidRPr="00A41E66">
        <w:rPr>
          <w:rFonts w:ascii="Times New Roman" w:hAnsi="Times New Roman" w:cs="Times New Roman"/>
        </w:rPr>
        <w:t xml:space="preserve"> </w:t>
      </w:r>
      <w:r w:rsidRPr="004836BE">
        <w:rPr>
          <w:rFonts w:ascii="Times New Roman" w:hAnsi="Times New Roman" w:cs="Times New Roman"/>
        </w:rPr>
        <w:t xml:space="preserve"> Poloxamer 407 / Poloxamer 188</w:t>
      </w:r>
    </w:p>
    <w:p w14:paraId="2D9E5A61" w14:textId="6A883103"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Papp </w:t>
      </w:r>
      <w:r w:rsidR="0037244D" w:rsidRPr="00A41E66">
        <w:rPr>
          <w:rFonts w:ascii="Times New Roman" w:hAnsi="Times New Roman" w:cs="Times New Roman"/>
        </w:rPr>
        <w:t xml:space="preserve"> </w:t>
      </w:r>
      <w:r w:rsidRPr="004836BE">
        <w:rPr>
          <w:rFonts w:ascii="Times New Roman" w:hAnsi="Times New Roman" w:cs="Times New Roman"/>
        </w:rPr>
        <w:t xml:space="preserve"> Apparent permeability coefficient</w:t>
      </w:r>
    </w:p>
    <w:p w14:paraId="2EFE0CC3" w14:textId="2DACB47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PCL </w:t>
      </w:r>
      <w:r w:rsidR="0037244D" w:rsidRPr="00A41E66">
        <w:rPr>
          <w:rFonts w:ascii="Times New Roman" w:hAnsi="Times New Roman" w:cs="Times New Roman"/>
        </w:rPr>
        <w:t xml:space="preserve"> </w:t>
      </w:r>
      <w:r w:rsidRPr="004836BE">
        <w:rPr>
          <w:rFonts w:ascii="Times New Roman" w:hAnsi="Times New Roman" w:cs="Times New Roman"/>
        </w:rPr>
        <w:t xml:space="preserve"> Poly(ε</w:t>
      </w:r>
      <w:r w:rsidRPr="004836BE">
        <w:rPr>
          <w:rFonts w:ascii="Times New Roman" w:hAnsi="Times New Roman" w:cs="Times New Roman"/>
        </w:rPr>
        <w:noBreakHyphen/>
        <w:t>caprolactone)</w:t>
      </w:r>
    </w:p>
    <w:p w14:paraId="633C604A" w14:textId="41699C59"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PDI </w:t>
      </w:r>
      <w:r w:rsidR="0037244D" w:rsidRPr="00A41E66">
        <w:rPr>
          <w:rFonts w:ascii="Times New Roman" w:hAnsi="Times New Roman" w:cs="Times New Roman"/>
        </w:rPr>
        <w:t xml:space="preserve"> </w:t>
      </w:r>
      <w:r w:rsidRPr="004836BE">
        <w:rPr>
          <w:rFonts w:ascii="Times New Roman" w:hAnsi="Times New Roman" w:cs="Times New Roman"/>
        </w:rPr>
        <w:t xml:space="preserve"> Polydispersity index</w:t>
      </w:r>
    </w:p>
    <w:p w14:paraId="1E46F3B7" w14:textId="0C645177"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PEG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Start"/>
      <w:r w:rsidRPr="004836BE">
        <w:rPr>
          <w:rFonts w:ascii="Times New Roman" w:hAnsi="Times New Roman" w:cs="Times New Roman"/>
        </w:rPr>
        <w:t>Poly(</w:t>
      </w:r>
      <w:proofErr w:type="gramEnd"/>
      <w:r w:rsidRPr="004836BE">
        <w:rPr>
          <w:rFonts w:ascii="Times New Roman" w:hAnsi="Times New Roman" w:cs="Times New Roman"/>
        </w:rPr>
        <w:t>ethylene glycol)</w:t>
      </w:r>
    </w:p>
    <w:p w14:paraId="23007E7C" w14:textId="377B8CDE"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PEGDA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Start"/>
      <w:r w:rsidRPr="004836BE">
        <w:rPr>
          <w:rFonts w:ascii="Times New Roman" w:hAnsi="Times New Roman" w:cs="Times New Roman"/>
        </w:rPr>
        <w:t>Poly(</w:t>
      </w:r>
      <w:proofErr w:type="gramEnd"/>
      <w:r w:rsidRPr="004836BE">
        <w:rPr>
          <w:rFonts w:ascii="Times New Roman" w:hAnsi="Times New Roman" w:cs="Times New Roman"/>
        </w:rPr>
        <w:t>ethylene glycol) diacrylate</w:t>
      </w:r>
    </w:p>
    <w:p w14:paraId="65012E11" w14:textId="0A13C8B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PLA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Start"/>
      <w:r w:rsidRPr="004836BE">
        <w:rPr>
          <w:rFonts w:ascii="Times New Roman" w:hAnsi="Times New Roman" w:cs="Times New Roman"/>
        </w:rPr>
        <w:t>Poly(</w:t>
      </w:r>
      <w:proofErr w:type="gramEnd"/>
      <w:r w:rsidRPr="004836BE">
        <w:rPr>
          <w:rFonts w:ascii="Times New Roman" w:hAnsi="Times New Roman" w:cs="Times New Roman"/>
        </w:rPr>
        <w:t>lactic acid)</w:t>
      </w:r>
    </w:p>
    <w:p w14:paraId="795125E7" w14:textId="3E20E6C0"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PLGA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Start"/>
      <w:r w:rsidRPr="004836BE">
        <w:rPr>
          <w:rFonts w:ascii="Times New Roman" w:hAnsi="Times New Roman" w:cs="Times New Roman"/>
        </w:rPr>
        <w:t>Poly(</w:t>
      </w:r>
      <w:proofErr w:type="gramEnd"/>
      <w:r w:rsidRPr="004836BE">
        <w:rPr>
          <w:rFonts w:ascii="Times New Roman" w:hAnsi="Times New Roman" w:cs="Times New Roman"/>
        </w:rPr>
        <w:t>lactic</w:t>
      </w:r>
      <w:r w:rsidRPr="004836BE">
        <w:rPr>
          <w:rFonts w:ascii="Times New Roman" w:hAnsi="Times New Roman" w:cs="Times New Roman"/>
        </w:rPr>
        <w:noBreakHyphen/>
        <w:t>co</w:t>
      </w:r>
      <w:r w:rsidRPr="004836BE">
        <w:rPr>
          <w:rFonts w:ascii="Times New Roman" w:hAnsi="Times New Roman" w:cs="Times New Roman"/>
        </w:rPr>
        <w:noBreakHyphen/>
        <w:t>glycolic acid)</w:t>
      </w:r>
    </w:p>
    <w:p w14:paraId="3928060E" w14:textId="53987EDA" w:rsidR="004836BE" w:rsidRPr="004836BE" w:rsidRDefault="004836BE" w:rsidP="004836BE">
      <w:pPr>
        <w:numPr>
          <w:ilvl w:val="0"/>
          <w:numId w:val="4"/>
        </w:numPr>
        <w:spacing w:after="0"/>
        <w:jc w:val="both"/>
        <w:rPr>
          <w:rFonts w:ascii="Times New Roman" w:hAnsi="Times New Roman" w:cs="Times New Roman"/>
        </w:rPr>
      </w:pPr>
      <w:proofErr w:type="spellStart"/>
      <w:r w:rsidRPr="004836BE">
        <w:rPr>
          <w:rFonts w:ascii="Times New Roman" w:hAnsi="Times New Roman" w:cs="Times New Roman"/>
        </w:rPr>
        <w:t>PNIPAAm</w:t>
      </w:r>
      <w:proofErr w:type="spellEnd"/>
      <w:r w:rsidRPr="004836BE">
        <w:rPr>
          <w:rFonts w:ascii="Times New Roman" w:hAnsi="Times New Roman" w:cs="Times New Roman"/>
        </w:rPr>
        <w:t xml:space="preserve"> / PNIPAM </w:t>
      </w:r>
      <w:r w:rsidR="0037244D" w:rsidRPr="00A41E66">
        <w:rPr>
          <w:rFonts w:ascii="Times New Roman" w:hAnsi="Times New Roman" w:cs="Times New Roman"/>
        </w:rPr>
        <w:t xml:space="preserve"> </w:t>
      </w:r>
      <w:r w:rsidRPr="004836BE">
        <w:rPr>
          <w:rFonts w:ascii="Times New Roman" w:hAnsi="Times New Roman" w:cs="Times New Roman"/>
        </w:rPr>
        <w:t xml:space="preserve"> Poly(N</w:t>
      </w:r>
      <w:r w:rsidRPr="004836BE">
        <w:rPr>
          <w:rFonts w:ascii="Times New Roman" w:hAnsi="Times New Roman" w:cs="Times New Roman"/>
        </w:rPr>
        <w:noBreakHyphen/>
        <w:t>isopropylacrylamide)</w:t>
      </w:r>
    </w:p>
    <w:p w14:paraId="4F7D19BB" w14:textId="78BCCB6B"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PNMHTI</w:t>
      </w:r>
      <w:proofErr w:type="gramStart"/>
      <w:r w:rsidRPr="004836BE">
        <w:rPr>
          <w:rFonts w:ascii="Times New Roman" w:hAnsi="Times New Roman" w:cs="Times New Roman"/>
        </w:rPr>
        <w:t> </w:t>
      </w:r>
      <w:r w:rsidR="0037244D" w:rsidRPr="00A41E66">
        <w:rPr>
          <w:rFonts w:ascii="Times New Roman" w:hAnsi="Times New Roman" w:cs="Times New Roman"/>
        </w:rPr>
        <w:t xml:space="preserve"> </w:t>
      </w:r>
      <w:r w:rsidRPr="004836BE">
        <w:rPr>
          <w:rFonts w:ascii="Times New Roman" w:hAnsi="Times New Roman" w:cs="Times New Roman"/>
        </w:rPr>
        <w:t xml:space="preserve"> (</w:t>
      </w:r>
      <w:proofErr w:type="gramEnd"/>
      <w:r w:rsidRPr="004836BE">
        <w:rPr>
          <w:rFonts w:ascii="Times New Roman" w:hAnsi="Times New Roman" w:cs="Times New Roman"/>
        </w:rPr>
        <w:t>As used in cited study) thermo</w:t>
      </w:r>
      <w:r w:rsidRPr="004836BE">
        <w:rPr>
          <w:rFonts w:ascii="Times New Roman" w:hAnsi="Times New Roman" w:cs="Times New Roman"/>
        </w:rPr>
        <w:noBreakHyphen/>
        <w:t>sensitive hydrogel system name for indomethacin delivery</w:t>
      </w:r>
    </w:p>
    <w:p w14:paraId="0D510230" w14:textId="64F5AAB4" w:rsidR="004836BE" w:rsidRPr="004836BE" w:rsidRDefault="004836BE" w:rsidP="004836BE">
      <w:pPr>
        <w:numPr>
          <w:ilvl w:val="0"/>
          <w:numId w:val="4"/>
        </w:numPr>
        <w:spacing w:after="0"/>
        <w:jc w:val="both"/>
        <w:rPr>
          <w:rFonts w:ascii="Times New Roman" w:hAnsi="Times New Roman" w:cs="Times New Roman"/>
        </w:rPr>
      </w:pPr>
      <w:proofErr w:type="spellStart"/>
      <w:r w:rsidRPr="004836BE">
        <w:rPr>
          <w:rFonts w:ascii="Times New Roman" w:hAnsi="Times New Roman" w:cs="Times New Roman"/>
        </w:rPr>
        <w:lastRenderedPageBreak/>
        <w:t>QbD</w:t>
      </w:r>
      <w:proofErr w:type="spellEnd"/>
      <w:r w:rsidRPr="004836BE">
        <w:rPr>
          <w:rFonts w:ascii="Times New Roman" w:hAnsi="Times New Roman" w:cs="Times New Roman"/>
        </w:rPr>
        <w:t> </w:t>
      </w:r>
      <w:r w:rsidR="0037244D" w:rsidRPr="00A41E66">
        <w:rPr>
          <w:rFonts w:ascii="Times New Roman" w:hAnsi="Times New Roman" w:cs="Times New Roman"/>
        </w:rPr>
        <w:t xml:space="preserve"> </w:t>
      </w:r>
      <w:r w:rsidRPr="004836BE">
        <w:rPr>
          <w:rFonts w:ascii="Times New Roman" w:hAnsi="Times New Roman" w:cs="Times New Roman"/>
        </w:rPr>
        <w:t xml:space="preserve"> Quality by Design</w:t>
      </w:r>
    </w:p>
    <w:p w14:paraId="77CDAA73" w14:textId="5C240004"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QC </w:t>
      </w:r>
      <w:r w:rsidR="0037244D" w:rsidRPr="00A41E66">
        <w:rPr>
          <w:rFonts w:ascii="Times New Roman" w:hAnsi="Times New Roman" w:cs="Times New Roman"/>
        </w:rPr>
        <w:t xml:space="preserve"> </w:t>
      </w:r>
      <w:r w:rsidRPr="004836BE">
        <w:rPr>
          <w:rFonts w:ascii="Times New Roman" w:hAnsi="Times New Roman" w:cs="Times New Roman"/>
        </w:rPr>
        <w:t xml:space="preserve"> Quality control</w:t>
      </w:r>
    </w:p>
    <w:p w14:paraId="2810F4C4" w14:textId="5DD1AD91"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ROS </w:t>
      </w:r>
      <w:r w:rsidR="0037244D" w:rsidRPr="00A41E66">
        <w:rPr>
          <w:rFonts w:ascii="Times New Roman" w:hAnsi="Times New Roman" w:cs="Times New Roman"/>
        </w:rPr>
        <w:t xml:space="preserve"> </w:t>
      </w:r>
      <w:r w:rsidRPr="004836BE">
        <w:rPr>
          <w:rFonts w:ascii="Times New Roman" w:hAnsi="Times New Roman" w:cs="Times New Roman"/>
        </w:rPr>
        <w:t xml:space="preserve"> Reactive oxygen species</w:t>
      </w:r>
    </w:p>
    <w:p w14:paraId="2D8AC7C4" w14:textId="24BF931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SEM </w:t>
      </w:r>
      <w:r w:rsidR="0037244D" w:rsidRPr="00A41E66">
        <w:rPr>
          <w:rFonts w:ascii="Times New Roman" w:hAnsi="Times New Roman" w:cs="Times New Roman"/>
        </w:rPr>
        <w:t xml:space="preserve"> </w:t>
      </w:r>
      <w:r w:rsidRPr="004836BE">
        <w:rPr>
          <w:rFonts w:ascii="Times New Roman" w:hAnsi="Times New Roman" w:cs="Times New Roman"/>
        </w:rPr>
        <w:t xml:space="preserve"> Scanning electron microscopy</w:t>
      </w:r>
    </w:p>
    <w:p w14:paraId="401E6566" w14:textId="3432F0A8"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SLN </w:t>
      </w:r>
      <w:r w:rsidR="0037244D" w:rsidRPr="00A41E66">
        <w:rPr>
          <w:rFonts w:ascii="Times New Roman" w:hAnsi="Times New Roman" w:cs="Times New Roman"/>
        </w:rPr>
        <w:t xml:space="preserve"> </w:t>
      </w:r>
      <w:r w:rsidRPr="004836BE">
        <w:rPr>
          <w:rFonts w:ascii="Times New Roman" w:hAnsi="Times New Roman" w:cs="Times New Roman"/>
        </w:rPr>
        <w:t xml:space="preserve"> Solid lipid nanoparticle</w:t>
      </w:r>
    </w:p>
    <w:p w14:paraId="6924C08F" w14:textId="3FAA0D61"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SOD </w:t>
      </w:r>
      <w:r w:rsidR="0037244D" w:rsidRPr="00A41E66">
        <w:rPr>
          <w:rFonts w:ascii="Times New Roman" w:hAnsi="Times New Roman" w:cs="Times New Roman"/>
        </w:rPr>
        <w:t xml:space="preserve"> </w:t>
      </w:r>
      <w:r w:rsidRPr="004836BE">
        <w:rPr>
          <w:rFonts w:ascii="Times New Roman" w:hAnsi="Times New Roman" w:cs="Times New Roman"/>
        </w:rPr>
        <w:t xml:space="preserve"> Superoxide dismutase</w:t>
      </w:r>
    </w:p>
    <w:p w14:paraId="41FC2B3B" w14:textId="4061B679"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TEM </w:t>
      </w:r>
      <w:r w:rsidR="0037244D" w:rsidRPr="00A41E66">
        <w:rPr>
          <w:rFonts w:ascii="Times New Roman" w:hAnsi="Times New Roman" w:cs="Times New Roman"/>
        </w:rPr>
        <w:t xml:space="preserve"> </w:t>
      </w:r>
      <w:r w:rsidRPr="004836BE">
        <w:rPr>
          <w:rFonts w:ascii="Times New Roman" w:hAnsi="Times New Roman" w:cs="Times New Roman"/>
        </w:rPr>
        <w:t xml:space="preserve"> Transmission electron microscopy</w:t>
      </w:r>
    </w:p>
    <w:p w14:paraId="021344E3" w14:textId="06911222"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TFOS DEWS II </w:t>
      </w:r>
      <w:r w:rsidR="0037244D" w:rsidRPr="00A41E66">
        <w:rPr>
          <w:rFonts w:ascii="Times New Roman" w:hAnsi="Times New Roman" w:cs="Times New Roman"/>
        </w:rPr>
        <w:t xml:space="preserve"> </w:t>
      </w:r>
      <w:r w:rsidRPr="004836BE">
        <w:rPr>
          <w:rFonts w:ascii="Times New Roman" w:hAnsi="Times New Roman" w:cs="Times New Roman"/>
        </w:rPr>
        <w:t xml:space="preserve"> Tear Film &amp; Ocular Surface Society Dry Eye Workshop II</w:t>
      </w:r>
    </w:p>
    <w:p w14:paraId="384672C3" w14:textId="453B7495" w:rsidR="004836BE" w:rsidRPr="004836BE" w:rsidRDefault="004836BE" w:rsidP="004836BE">
      <w:pPr>
        <w:numPr>
          <w:ilvl w:val="0"/>
          <w:numId w:val="4"/>
        </w:numPr>
        <w:spacing w:after="0"/>
        <w:jc w:val="both"/>
        <w:rPr>
          <w:rFonts w:ascii="Times New Roman" w:hAnsi="Times New Roman" w:cs="Times New Roman"/>
        </w:rPr>
      </w:pPr>
      <w:r w:rsidRPr="004836BE">
        <w:rPr>
          <w:rFonts w:ascii="Times New Roman" w:hAnsi="Times New Roman" w:cs="Times New Roman"/>
        </w:rPr>
        <w:t>WHO </w:t>
      </w:r>
      <w:r w:rsidR="0037244D" w:rsidRPr="00A41E66">
        <w:rPr>
          <w:rFonts w:ascii="Times New Roman" w:hAnsi="Times New Roman" w:cs="Times New Roman"/>
        </w:rPr>
        <w:t xml:space="preserve"> </w:t>
      </w:r>
      <w:r w:rsidRPr="004836BE">
        <w:rPr>
          <w:rFonts w:ascii="Times New Roman" w:hAnsi="Times New Roman" w:cs="Times New Roman"/>
        </w:rPr>
        <w:t xml:space="preserve"> World Health Organization</w:t>
      </w:r>
    </w:p>
    <w:p w14:paraId="31735B83" w14:textId="3DD06E12" w:rsidR="00450B9B" w:rsidRDefault="004836BE" w:rsidP="00702417">
      <w:pPr>
        <w:jc w:val="both"/>
        <w:rPr>
          <w:rFonts w:ascii="Times New Roman" w:hAnsi="Times New Roman" w:cs="Times New Roman"/>
        </w:rPr>
      </w:pPr>
      <w:r w:rsidRPr="00A41E66">
        <w:rPr>
          <w:rFonts w:ascii="Times New Roman" w:hAnsi="Times New Roman" w:cs="Times New Roman"/>
        </w:rPr>
        <w:t xml:space="preserve"> </w:t>
      </w:r>
    </w:p>
    <w:p w14:paraId="210E6DD2" w14:textId="77777777" w:rsidR="001C779C" w:rsidRDefault="001C779C" w:rsidP="001C779C">
      <w:pPr>
        <w:rPr>
          <w:rFonts w:ascii="Arial" w:eastAsiaTheme="minorEastAsia" w:hAnsi="Arial" w:cs="Arial"/>
          <w:sz w:val="20"/>
          <w:szCs w:val="20"/>
        </w:rPr>
      </w:pPr>
      <w:bookmarkStart w:id="1" w:name="_Hlk223955456"/>
    </w:p>
    <w:p w14:paraId="4197D446" w14:textId="77777777" w:rsidR="001C779C" w:rsidRPr="00005ED1" w:rsidRDefault="001C779C" w:rsidP="001C779C">
      <w:pPr>
        <w:pStyle w:val="NoSpacing"/>
        <w:rPr>
          <w:rFonts w:ascii="Arial" w:hAnsi="Arial" w:cs="Arial"/>
          <w:highlight w:val="yellow"/>
        </w:rPr>
      </w:pPr>
      <w:bookmarkStart w:id="2" w:name="_Hlk198031404"/>
      <w:r w:rsidRPr="00005ED1">
        <w:rPr>
          <w:rFonts w:ascii="Arial" w:hAnsi="Arial" w:cs="Arial"/>
          <w:highlight w:val="yellow"/>
        </w:rPr>
        <w:t>Disclaimer (Artificial intelligence)</w:t>
      </w:r>
    </w:p>
    <w:p w14:paraId="78B76A1A" w14:textId="77777777" w:rsidR="001C779C" w:rsidRPr="00005ED1" w:rsidRDefault="001C779C" w:rsidP="001C779C">
      <w:pPr>
        <w:pStyle w:val="NoSpacing"/>
        <w:rPr>
          <w:rFonts w:ascii="Arial" w:hAnsi="Arial" w:cs="Arial"/>
          <w:highlight w:val="yellow"/>
        </w:rPr>
      </w:pPr>
    </w:p>
    <w:p w14:paraId="2F6E5E22" w14:textId="77777777" w:rsidR="001C779C" w:rsidRPr="00005ED1" w:rsidRDefault="001C779C" w:rsidP="001C779C">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bookmarkEnd w:id="2"/>
    <w:p w14:paraId="4411EF58" w14:textId="77777777" w:rsidR="00997C24" w:rsidRDefault="00997C24" w:rsidP="00702417">
      <w:pPr>
        <w:jc w:val="both"/>
        <w:rPr>
          <w:rFonts w:ascii="Times New Roman" w:hAnsi="Times New Roman" w:cs="Times New Roman"/>
        </w:rPr>
      </w:pPr>
    </w:p>
    <w:p w14:paraId="62078A46" w14:textId="5E1BC223" w:rsidR="00344E41" w:rsidRPr="00997C24" w:rsidRDefault="00344E41" w:rsidP="00997C24">
      <w:pPr>
        <w:jc w:val="both"/>
        <w:rPr>
          <w:rFonts w:ascii="Times New Roman" w:hAnsi="Times New Roman" w:cs="Times New Roman"/>
          <w:noProof/>
        </w:rPr>
      </w:pPr>
      <w:r>
        <w:rPr>
          <w:rFonts w:ascii="Times New Roman" w:hAnsi="Times New Roman" w:cs="Times New Roman"/>
          <w:noProof/>
        </w:rPr>
        <w:t xml:space="preserve">Refercnes – </w:t>
      </w:r>
    </w:p>
    <w:p w14:paraId="6BC6880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w:t>
      </w:r>
      <w:r>
        <w:rPr>
          <w:rFonts w:ascii="Times New Roman" w:hAnsi="Times New Roman" w:cs="Times New Roman"/>
          <w:kern w:val="0"/>
        </w:rPr>
        <w:tab/>
        <w:t xml:space="preserve">Khan R, Khan M. Use of collagen as a biomaterial: An update. J Indian Soc </w:t>
      </w:r>
      <w:proofErr w:type="spellStart"/>
      <w:r>
        <w:rPr>
          <w:rFonts w:ascii="Times New Roman" w:hAnsi="Times New Roman" w:cs="Times New Roman"/>
          <w:kern w:val="0"/>
        </w:rPr>
        <w:t>Periodontol</w:t>
      </w:r>
      <w:proofErr w:type="spellEnd"/>
      <w:r>
        <w:rPr>
          <w:rFonts w:ascii="Times New Roman" w:hAnsi="Times New Roman" w:cs="Times New Roman"/>
          <w:kern w:val="0"/>
        </w:rPr>
        <w:t>. 2013;17(4):539. doi:10.4103/0972-124X.118333</w:t>
      </w:r>
    </w:p>
    <w:p w14:paraId="3A5D9BA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ab/>
      </w:r>
      <w:proofErr w:type="spellStart"/>
      <w:r>
        <w:rPr>
          <w:rFonts w:ascii="Times New Roman" w:hAnsi="Times New Roman" w:cs="Times New Roman"/>
          <w:kern w:val="0"/>
        </w:rPr>
        <w:t>Nabili</w:t>
      </w:r>
      <w:proofErr w:type="spellEnd"/>
      <w:r>
        <w:rPr>
          <w:rFonts w:ascii="Times New Roman" w:hAnsi="Times New Roman" w:cs="Times New Roman"/>
          <w:kern w:val="0"/>
        </w:rPr>
        <w:t xml:space="preserve"> M, Patel H, Mahesh SP, Liu J, Geist C, </w:t>
      </w:r>
      <w:proofErr w:type="spellStart"/>
      <w:r>
        <w:rPr>
          <w:rFonts w:ascii="Times New Roman" w:hAnsi="Times New Roman" w:cs="Times New Roman"/>
          <w:kern w:val="0"/>
        </w:rPr>
        <w:t>Zderic</w:t>
      </w:r>
      <w:proofErr w:type="spellEnd"/>
      <w:r>
        <w:rPr>
          <w:rFonts w:ascii="Times New Roman" w:hAnsi="Times New Roman" w:cs="Times New Roman"/>
          <w:kern w:val="0"/>
        </w:rPr>
        <w:t xml:space="preserve"> V. Ultrasound-Enhanced Delivery of Antibiotics and Anti-Inflammatory Drugs </w:t>
      </w:r>
      <w:proofErr w:type="gramStart"/>
      <w:r>
        <w:rPr>
          <w:rFonts w:ascii="Times New Roman" w:hAnsi="Times New Roman" w:cs="Times New Roman"/>
          <w:kern w:val="0"/>
        </w:rPr>
        <w:t>Into</w:t>
      </w:r>
      <w:proofErr w:type="gramEnd"/>
      <w:r>
        <w:rPr>
          <w:rFonts w:ascii="Times New Roman" w:hAnsi="Times New Roman" w:cs="Times New Roman"/>
          <w:kern w:val="0"/>
        </w:rPr>
        <w:t xml:space="preserve"> the Eye. Ultrasound in Medicine &amp; Biology. 2013 Apr;39(4):638–46. </w:t>
      </w:r>
      <w:proofErr w:type="gramStart"/>
      <w:r>
        <w:rPr>
          <w:rFonts w:ascii="Times New Roman" w:hAnsi="Times New Roman" w:cs="Times New Roman"/>
          <w:kern w:val="0"/>
        </w:rPr>
        <w:t>doi:10.1016/j.ultrasmedbio</w:t>
      </w:r>
      <w:proofErr w:type="gramEnd"/>
      <w:r>
        <w:rPr>
          <w:rFonts w:ascii="Times New Roman" w:hAnsi="Times New Roman" w:cs="Times New Roman"/>
          <w:kern w:val="0"/>
        </w:rPr>
        <w:t>.2012.11.010</w:t>
      </w:r>
    </w:p>
    <w:p w14:paraId="3428721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ab/>
        <w:t xml:space="preserve">Bhandari P, </w:t>
      </w:r>
      <w:proofErr w:type="spellStart"/>
      <w:r>
        <w:rPr>
          <w:rFonts w:ascii="Times New Roman" w:hAnsi="Times New Roman" w:cs="Times New Roman"/>
          <w:kern w:val="0"/>
        </w:rPr>
        <w:t>Novikova</w:t>
      </w:r>
      <w:proofErr w:type="spellEnd"/>
      <w:r>
        <w:rPr>
          <w:rFonts w:ascii="Times New Roman" w:hAnsi="Times New Roman" w:cs="Times New Roman"/>
          <w:kern w:val="0"/>
        </w:rPr>
        <w:t xml:space="preserve"> G, </w:t>
      </w:r>
      <w:proofErr w:type="spellStart"/>
      <w:r>
        <w:rPr>
          <w:rFonts w:ascii="Times New Roman" w:hAnsi="Times New Roman" w:cs="Times New Roman"/>
          <w:kern w:val="0"/>
        </w:rPr>
        <w:t>Goergen</w:t>
      </w:r>
      <w:proofErr w:type="spellEnd"/>
      <w:r>
        <w:rPr>
          <w:rFonts w:ascii="Times New Roman" w:hAnsi="Times New Roman" w:cs="Times New Roman"/>
          <w:kern w:val="0"/>
        </w:rPr>
        <w:t xml:space="preserve"> CJ, Irudayaraj J. Ultrasound beam steering of oxygen nanobubbles for enhanced bladder cancer therapy. Sci Rep. 2018 Feb 15;8(1):3112. doi:10.1038/s41598-018-20363-8</w:t>
      </w:r>
    </w:p>
    <w:p w14:paraId="0EADA6D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ab/>
        <w:t xml:space="preserve">Cheng YH, Tsai TH, </w:t>
      </w:r>
      <w:proofErr w:type="spellStart"/>
      <w:r>
        <w:rPr>
          <w:rFonts w:ascii="Times New Roman" w:hAnsi="Times New Roman" w:cs="Times New Roman"/>
          <w:kern w:val="0"/>
        </w:rPr>
        <w:t>Jhan</w:t>
      </w:r>
      <w:proofErr w:type="spellEnd"/>
      <w:r>
        <w:rPr>
          <w:rFonts w:ascii="Times New Roman" w:hAnsi="Times New Roman" w:cs="Times New Roman"/>
          <w:kern w:val="0"/>
        </w:rPr>
        <w:t xml:space="preserve"> YY, Chiu AW </w:t>
      </w:r>
      <w:proofErr w:type="spellStart"/>
      <w:r>
        <w:rPr>
          <w:rFonts w:ascii="Times New Roman" w:hAnsi="Times New Roman" w:cs="Times New Roman"/>
          <w:kern w:val="0"/>
        </w:rPr>
        <w:t>hsiang</w:t>
      </w:r>
      <w:proofErr w:type="spellEnd"/>
      <w:r>
        <w:rPr>
          <w:rFonts w:ascii="Times New Roman" w:hAnsi="Times New Roman" w:cs="Times New Roman"/>
          <w:kern w:val="0"/>
        </w:rPr>
        <w:t xml:space="preserve">, Tsai KL, </w:t>
      </w:r>
      <w:proofErr w:type="spellStart"/>
      <w:r>
        <w:rPr>
          <w:rFonts w:ascii="Times New Roman" w:hAnsi="Times New Roman" w:cs="Times New Roman"/>
          <w:kern w:val="0"/>
        </w:rPr>
        <w:t>Chien</w:t>
      </w:r>
      <w:proofErr w:type="spellEnd"/>
      <w:r>
        <w:rPr>
          <w:rFonts w:ascii="Times New Roman" w:hAnsi="Times New Roman" w:cs="Times New Roman"/>
          <w:kern w:val="0"/>
        </w:rPr>
        <w:t xml:space="preserve"> CS, et al. Thermosensitive chitosan-based hydrogel as a topical ocular drug delivery system of latanoprost for glaucoma treatment. Carbohydrate Polymers. 2016 </w:t>
      </w:r>
      <w:proofErr w:type="gramStart"/>
      <w:r>
        <w:rPr>
          <w:rFonts w:ascii="Times New Roman" w:hAnsi="Times New Roman" w:cs="Times New Roman"/>
          <w:kern w:val="0"/>
        </w:rPr>
        <w:t>Jun;144:390</w:t>
      </w:r>
      <w:proofErr w:type="gramEnd"/>
      <w:r>
        <w:rPr>
          <w:rFonts w:ascii="Times New Roman" w:hAnsi="Times New Roman" w:cs="Times New Roman"/>
          <w:kern w:val="0"/>
        </w:rPr>
        <w:t xml:space="preserve">–9. </w:t>
      </w:r>
      <w:proofErr w:type="gramStart"/>
      <w:r>
        <w:rPr>
          <w:rFonts w:ascii="Times New Roman" w:hAnsi="Times New Roman" w:cs="Times New Roman"/>
          <w:kern w:val="0"/>
        </w:rPr>
        <w:t>doi:10.1016/j.carbpol</w:t>
      </w:r>
      <w:proofErr w:type="gramEnd"/>
      <w:r>
        <w:rPr>
          <w:rFonts w:ascii="Times New Roman" w:hAnsi="Times New Roman" w:cs="Times New Roman"/>
          <w:kern w:val="0"/>
        </w:rPr>
        <w:t>.2016.02.080</w:t>
      </w:r>
    </w:p>
    <w:p w14:paraId="36E6285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w:t>
      </w:r>
      <w:r>
        <w:rPr>
          <w:rFonts w:ascii="Times New Roman" w:hAnsi="Times New Roman" w:cs="Times New Roman"/>
          <w:kern w:val="0"/>
        </w:rPr>
        <w:tab/>
      </w:r>
      <w:proofErr w:type="spellStart"/>
      <w:r>
        <w:rPr>
          <w:rFonts w:ascii="Times New Roman" w:hAnsi="Times New Roman" w:cs="Times New Roman"/>
          <w:kern w:val="0"/>
        </w:rPr>
        <w:t>Hamcerencu</w:t>
      </w:r>
      <w:proofErr w:type="spellEnd"/>
      <w:r>
        <w:rPr>
          <w:rFonts w:ascii="Times New Roman" w:hAnsi="Times New Roman" w:cs="Times New Roman"/>
          <w:kern w:val="0"/>
        </w:rPr>
        <w:t xml:space="preserve"> M, </w:t>
      </w:r>
      <w:proofErr w:type="spellStart"/>
      <w:r>
        <w:rPr>
          <w:rFonts w:ascii="Times New Roman" w:hAnsi="Times New Roman" w:cs="Times New Roman"/>
          <w:kern w:val="0"/>
        </w:rPr>
        <w:t>Desbrieres</w:t>
      </w:r>
      <w:proofErr w:type="spellEnd"/>
      <w:r>
        <w:rPr>
          <w:rFonts w:ascii="Times New Roman" w:hAnsi="Times New Roman" w:cs="Times New Roman"/>
          <w:kern w:val="0"/>
        </w:rPr>
        <w:t xml:space="preserve"> J, Popa M, </w:t>
      </w:r>
      <w:proofErr w:type="spellStart"/>
      <w:r>
        <w:rPr>
          <w:rFonts w:ascii="Times New Roman" w:hAnsi="Times New Roman" w:cs="Times New Roman"/>
          <w:kern w:val="0"/>
        </w:rPr>
        <w:t>Riess</w:t>
      </w:r>
      <w:proofErr w:type="spellEnd"/>
      <w:r>
        <w:rPr>
          <w:rFonts w:ascii="Times New Roman" w:hAnsi="Times New Roman" w:cs="Times New Roman"/>
          <w:kern w:val="0"/>
        </w:rPr>
        <w:t xml:space="preserve"> G. Thermo-sensitive </w:t>
      </w:r>
      <w:proofErr w:type="spellStart"/>
      <w:r>
        <w:rPr>
          <w:rFonts w:ascii="Times New Roman" w:hAnsi="Times New Roman" w:cs="Times New Roman"/>
          <w:kern w:val="0"/>
        </w:rPr>
        <w:t>gellan</w:t>
      </w:r>
      <w:proofErr w:type="spellEnd"/>
      <w:r>
        <w:rPr>
          <w:rFonts w:ascii="Times New Roman" w:hAnsi="Times New Roman" w:cs="Times New Roman"/>
          <w:kern w:val="0"/>
        </w:rPr>
        <w:t xml:space="preserve"> maleate/N-isopropylacrylamide hydrogels: initial “in vitro” and “in vivo” evaluation as ocular inserts. </w:t>
      </w:r>
      <w:proofErr w:type="spellStart"/>
      <w:r>
        <w:rPr>
          <w:rFonts w:ascii="Times New Roman" w:hAnsi="Times New Roman" w:cs="Times New Roman"/>
          <w:kern w:val="0"/>
        </w:rPr>
        <w:t>Polym</w:t>
      </w:r>
      <w:proofErr w:type="spellEnd"/>
      <w:r>
        <w:rPr>
          <w:rFonts w:ascii="Times New Roman" w:hAnsi="Times New Roman" w:cs="Times New Roman"/>
          <w:kern w:val="0"/>
        </w:rPr>
        <w:t xml:space="preserve"> Bull. 2020 Feb;77(2):741–55. doi:10.1007/s00289-019-02772-5</w:t>
      </w:r>
    </w:p>
    <w:p w14:paraId="36A6B88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w:t>
      </w:r>
      <w:r>
        <w:rPr>
          <w:rFonts w:ascii="Times New Roman" w:hAnsi="Times New Roman" w:cs="Times New Roman"/>
          <w:kern w:val="0"/>
        </w:rPr>
        <w:tab/>
      </w:r>
      <w:proofErr w:type="spellStart"/>
      <w:r>
        <w:rPr>
          <w:rFonts w:ascii="Times New Roman" w:hAnsi="Times New Roman" w:cs="Times New Roman"/>
          <w:kern w:val="0"/>
        </w:rPr>
        <w:t>Nabili</w:t>
      </w:r>
      <w:proofErr w:type="spellEnd"/>
      <w:r>
        <w:rPr>
          <w:rFonts w:ascii="Times New Roman" w:hAnsi="Times New Roman" w:cs="Times New Roman"/>
          <w:kern w:val="0"/>
        </w:rPr>
        <w:t xml:space="preserve"> M, Geist C, </w:t>
      </w:r>
      <w:proofErr w:type="spellStart"/>
      <w:r>
        <w:rPr>
          <w:rFonts w:ascii="Times New Roman" w:hAnsi="Times New Roman" w:cs="Times New Roman"/>
          <w:kern w:val="0"/>
        </w:rPr>
        <w:t>Zderic</w:t>
      </w:r>
      <w:proofErr w:type="spellEnd"/>
      <w:r>
        <w:rPr>
          <w:rFonts w:ascii="Times New Roman" w:hAnsi="Times New Roman" w:cs="Times New Roman"/>
          <w:kern w:val="0"/>
        </w:rPr>
        <w:t xml:space="preserve"> V. Thermal safety of ultrasound‐enhanced ocular drug delivery: A modeling study. Medical Physics. 2015 Oct;42(10):5604–15. doi:10.1118/1.4929553</w:t>
      </w:r>
    </w:p>
    <w:p w14:paraId="3502A103"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w:t>
      </w:r>
      <w:r>
        <w:rPr>
          <w:rFonts w:ascii="Times New Roman" w:hAnsi="Times New Roman" w:cs="Times New Roman"/>
          <w:kern w:val="0"/>
        </w:rPr>
        <w:tab/>
        <w:t xml:space="preserve">Ludwig A. The use of mucoadhesive polymers in ocular drug delivery. Advanced Drug Delivery Reviews. 2005 Nov 3;57(11):1595–639. </w:t>
      </w:r>
      <w:proofErr w:type="gramStart"/>
      <w:r>
        <w:rPr>
          <w:rFonts w:ascii="Times New Roman" w:hAnsi="Times New Roman" w:cs="Times New Roman"/>
          <w:kern w:val="0"/>
        </w:rPr>
        <w:t>doi:10.1016/j.addr</w:t>
      </w:r>
      <w:proofErr w:type="gramEnd"/>
      <w:r>
        <w:rPr>
          <w:rFonts w:ascii="Times New Roman" w:hAnsi="Times New Roman" w:cs="Times New Roman"/>
          <w:kern w:val="0"/>
        </w:rPr>
        <w:t>.2005.07.005</w:t>
      </w:r>
    </w:p>
    <w:p w14:paraId="40E7B4E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8.</w:t>
      </w:r>
      <w:r>
        <w:rPr>
          <w:rFonts w:ascii="Times New Roman" w:hAnsi="Times New Roman" w:cs="Times New Roman"/>
          <w:kern w:val="0"/>
        </w:rPr>
        <w:tab/>
        <w:t>Chen J, Li Q, Xu J, Huang Y, Ding Y, Deng H, et al. Study on Biocompatibility of Complexes of Collagen–Chitosan–Sodium Hyaluronate and Cornea. Artificial Organs. 2005 Feb;29(2):104–13. doi:10.1111/j.1525-1594.</w:t>
      </w:r>
      <w:proofErr w:type="gramStart"/>
      <w:r>
        <w:rPr>
          <w:rFonts w:ascii="Times New Roman" w:hAnsi="Times New Roman" w:cs="Times New Roman"/>
          <w:kern w:val="0"/>
        </w:rPr>
        <w:t>2005.29021.x</w:t>
      </w:r>
      <w:proofErr w:type="gramEnd"/>
    </w:p>
    <w:p w14:paraId="1412C57A"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9.</w:t>
      </w:r>
      <w:r>
        <w:rPr>
          <w:rFonts w:ascii="Times New Roman" w:hAnsi="Times New Roman" w:cs="Times New Roman"/>
          <w:kern w:val="0"/>
        </w:rPr>
        <w:tab/>
        <w:t xml:space="preserve">Liu Z, Li J, </w:t>
      </w:r>
      <w:proofErr w:type="spellStart"/>
      <w:r>
        <w:rPr>
          <w:rFonts w:ascii="Times New Roman" w:hAnsi="Times New Roman" w:cs="Times New Roman"/>
          <w:kern w:val="0"/>
        </w:rPr>
        <w:t>Nie</w:t>
      </w:r>
      <w:proofErr w:type="spellEnd"/>
      <w:r>
        <w:rPr>
          <w:rFonts w:ascii="Times New Roman" w:hAnsi="Times New Roman" w:cs="Times New Roman"/>
          <w:kern w:val="0"/>
        </w:rPr>
        <w:t xml:space="preserve"> S, Liu H, Ding P, Pan W. Study of an alginate/HPMC-based in situ gelling ophthalmic delivery system for </w:t>
      </w:r>
      <w:proofErr w:type="spellStart"/>
      <w:r>
        <w:rPr>
          <w:rFonts w:ascii="Times New Roman" w:hAnsi="Times New Roman" w:cs="Times New Roman"/>
          <w:kern w:val="0"/>
        </w:rPr>
        <w:t>gatifloxacin</w:t>
      </w:r>
      <w:proofErr w:type="spellEnd"/>
      <w:r>
        <w:rPr>
          <w:rFonts w:ascii="Times New Roman" w:hAnsi="Times New Roman" w:cs="Times New Roman"/>
          <w:kern w:val="0"/>
        </w:rPr>
        <w:t xml:space="preserve">. International Journal of Pharmaceutics. 2006 Jun;315(1–2):12–7. </w:t>
      </w:r>
      <w:proofErr w:type="gramStart"/>
      <w:r>
        <w:rPr>
          <w:rFonts w:ascii="Times New Roman" w:hAnsi="Times New Roman" w:cs="Times New Roman"/>
          <w:kern w:val="0"/>
        </w:rPr>
        <w:t>doi:10.1016/j.ijpharm</w:t>
      </w:r>
      <w:proofErr w:type="gramEnd"/>
      <w:r>
        <w:rPr>
          <w:rFonts w:ascii="Times New Roman" w:hAnsi="Times New Roman" w:cs="Times New Roman"/>
          <w:kern w:val="0"/>
        </w:rPr>
        <w:t>.2006.01.029</w:t>
      </w:r>
    </w:p>
    <w:p w14:paraId="2F2E937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10.</w:t>
      </w:r>
      <w:r>
        <w:rPr>
          <w:rFonts w:ascii="Times New Roman" w:hAnsi="Times New Roman" w:cs="Times New Roman"/>
          <w:kern w:val="0"/>
        </w:rPr>
        <w:tab/>
        <w:t xml:space="preserve">Wang Y, Shim MS, Levinson NS, Sung H, Xia Y. Stimuli‐Responsive Materials for </w:t>
      </w:r>
      <w:r>
        <w:rPr>
          <w:rFonts w:ascii="Times New Roman" w:hAnsi="Times New Roman" w:cs="Times New Roman"/>
          <w:kern w:val="0"/>
        </w:rPr>
        <w:lastRenderedPageBreak/>
        <w:t xml:space="preserve">Controlled Release of </w:t>
      </w:r>
      <w:proofErr w:type="spellStart"/>
      <w:r>
        <w:rPr>
          <w:rFonts w:ascii="Times New Roman" w:hAnsi="Times New Roman" w:cs="Times New Roman"/>
          <w:kern w:val="0"/>
        </w:rPr>
        <w:t>Theranostic</w:t>
      </w:r>
      <w:proofErr w:type="spellEnd"/>
      <w:r>
        <w:rPr>
          <w:rFonts w:ascii="Times New Roman" w:hAnsi="Times New Roman" w:cs="Times New Roman"/>
          <w:kern w:val="0"/>
        </w:rPr>
        <w:t xml:space="preserve"> Agents. Adv </w:t>
      </w:r>
      <w:proofErr w:type="spellStart"/>
      <w:r>
        <w:rPr>
          <w:rFonts w:ascii="Times New Roman" w:hAnsi="Times New Roman" w:cs="Times New Roman"/>
          <w:kern w:val="0"/>
        </w:rPr>
        <w:t>Funct</w:t>
      </w:r>
      <w:proofErr w:type="spellEnd"/>
      <w:r>
        <w:rPr>
          <w:rFonts w:ascii="Times New Roman" w:hAnsi="Times New Roman" w:cs="Times New Roman"/>
          <w:kern w:val="0"/>
        </w:rPr>
        <w:t xml:space="preserve"> Materials. 2014 Jul;24(27):4206–20. doi:10.1002/adfm.201400279</w:t>
      </w:r>
    </w:p>
    <w:p w14:paraId="28DC144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11.</w:t>
      </w:r>
      <w:r>
        <w:rPr>
          <w:rFonts w:ascii="Times New Roman" w:hAnsi="Times New Roman" w:cs="Times New Roman"/>
          <w:kern w:val="0"/>
        </w:rPr>
        <w:tab/>
      </w:r>
      <w:proofErr w:type="spellStart"/>
      <w:r>
        <w:rPr>
          <w:rFonts w:ascii="Times New Roman" w:hAnsi="Times New Roman" w:cs="Times New Roman"/>
          <w:kern w:val="0"/>
        </w:rPr>
        <w:t>Mahlumba</w:t>
      </w:r>
      <w:proofErr w:type="spellEnd"/>
      <w:r>
        <w:rPr>
          <w:rFonts w:ascii="Times New Roman" w:hAnsi="Times New Roman" w:cs="Times New Roman"/>
          <w:kern w:val="0"/>
        </w:rPr>
        <w:t xml:space="preserve"> P, </w:t>
      </w:r>
      <w:proofErr w:type="spellStart"/>
      <w:r>
        <w:rPr>
          <w:rFonts w:ascii="Times New Roman" w:hAnsi="Times New Roman" w:cs="Times New Roman"/>
          <w:kern w:val="0"/>
        </w:rPr>
        <w:t>Choonara</w:t>
      </w:r>
      <w:proofErr w:type="spellEnd"/>
      <w:r>
        <w:rPr>
          <w:rFonts w:ascii="Times New Roman" w:hAnsi="Times New Roman" w:cs="Times New Roman"/>
          <w:kern w:val="0"/>
        </w:rPr>
        <w:t xml:space="preserve"> Y, Kumar P, Du Toit L, Pillay V. Stimuli-Responsive Polymeric Systems for Controlled Protein and Peptide Delivery: Future Implications for Ocular Delivery. Molecules. 2016 Jul 30;21(8):1002. doi:10.3390/molecules21081002</w:t>
      </w:r>
    </w:p>
    <w:p w14:paraId="1E02855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12.</w:t>
      </w:r>
      <w:r>
        <w:rPr>
          <w:rFonts w:ascii="Times New Roman" w:hAnsi="Times New Roman" w:cs="Times New Roman"/>
          <w:kern w:val="0"/>
        </w:rPr>
        <w:tab/>
        <w:t xml:space="preserve">Mura S, Nicolas J, </w:t>
      </w:r>
      <w:proofErr w:type="spellStart"/>
      <w:r>
        <w:rPr>
          <w:rFonts w:ascii="Times New Roman" w:hAnsi="Times New Roman" w:cs="Times New Roman"/>
          <w:kern w:val="0"/>
        </w:rPr>
        <w:t>Couvreur</w:t>
      </w:r>
      <w:proofErr w:type="spellEnd"/>
      <w:r>
        <w:rPr>
          <w:rFonts w:ascii="Times New Roman" w:hAnsi="Times New Roman" w:cs="Times New Roman"/>
          <w:kern w:val="0"/>
        </w:rPr>
        <w:t xml:space="preserve"> P. Stimuli-responsive nanocarriers for drug delivery. Nature Mater. 2013 Nov;12(11):991–1003. doi:10.1038/nmat3776</w:t>
      </w:r>
    </w:p>
    <w:p w14:paraId="61C13DA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13.</w:t>
      </w:r>
      <w:r>
        <w:rPr>
          <w:rFonts w:ascii="Times New Roman" w:hAnsi="Times New Roman" w:cs="Times New Roman"/>
          <w:kern w:val="0"/>
        </w:rPr>
        <w:tab/>
        <w:t xml:space="preserve">Kushwaha S, Rai A, Saxena P. Stimuli sensitive hydrogels for ophthalmic drug delivery: A review. Int J Pharma </w:t>
      </w:r>
      <w:proofErr w:type="spellStart"/>
      <w:r>
        <w:rPr>
          <w:rFonts w:ascii="Times New Roman" w:hAnsi="Times New Roman" w:cs="Times New Roman"/>
          <w:kern w:val="0"/>
        </w:rPr>
        <w:t>Investig</w:t>
      </w:r>
      <w:proofErr w:type="spellEnd"/>
      <w:r>
        <w:rPr>
          <w:rFonts w:ascii="Times New Roman" w:hAnsi="Times New Roman" w:cs="Times New Roman"/>
          <w:kern w:val="0"/>
        </w:rPr>
        <w:t>. 2012;2(2):54. doi:10.4103/2230-973X.100036</w:t>
      </w:r>
    </w:p>
    <w:p w14:paraId="4D66351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14.</w:t>
      </w:r>
      <w:r>
        <w:rPr>
          <w:rFonts w:ascii="Times New Roman" w:hAnsi="Times New Roman" w:cs="Times New Roman"/>
          <w:kern w:val="0"/>
        </w:rPr>
        <w:tab/>
        <w:t xml:space="preserve">Myles M, Neumann D, Hill J. Recent progress in ocular drug delivery for posterior segment disease: Emphasis on transscleral iontophoresis. Advanced Drug Delivery Reviews. 2005 Dec 13;57(14):2063–79. </w:t>
      </w:r>
      <w:proofErr w:type="gramStart"/>
      <w:r>
        <w:rPr>
          <w:rFonts w:ascii="Times New Roman" w:hAnsi="Times New Roman" w:cs="Times New Roman"/>
          <w:kern w:val="0"/>
        </w:rPr>
        <w:t>doi:10.1016/j.addr</w:t>
      </w:r>
      <w:proofErr w:type="gramEnd"/>
      <w:r>
        <w:rPr>
          <w:rFonts w:ascii="Times New Roman" w:hAnsi="Times New Roman" w:cs="Times New Roman"/>
          <w:kern w:val="0"/>
        </w:rPr>
        <w:t>.2005.08.006</w:t>
      </w:r>
    </w:p>
    <w:p w14:paraId="650F608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ab/>
      </w:r>
      <w:proofErr w:type="spellStart"/>
      <w:r>
        <w:rPr>
          <w:rFonts w:ascii="Times New Roman" w:hAnsi="Times New Roman" w:cs="Times New Roman"/>
          <w:kern w:val="0"/>
        </w:rPr>
        <w:t>Gaudana</w:t>
      </w:r>
      <w:proofErr w:type="spellEnd"/>
      <w:r>
        <w:rPr>
          <w:rFonts w:ascii="Times New Roman" w:hAnsi="Times New Roman" w:cs="Times New Roman"/>
          <w:kern w:val="0"/>
        </w:rPr>
        <w:t xml:space="preserve"> R, </w:t>
      </w:r>
      <w:proofErr w:type="spellStart"/>
      <w:r>
        <w:rPr>
          <w:rFonts w:ascii="Times New Roman" w:hAnsi="Times New Roman" w:cs="Times New Roman"/>
          <w:kern w:val="0"/>
        </w:rPr>
        <w:t>Jwala</w:t>
      </w:r>
      <w:proofErr w:type="spellEnd"/>
      <w:r>
        <w:rPr>
          <w:rFonts w:ascii="Times New Roman" w:hAnsi="Times New Roman" w:cs="Times New Roman"/>
          <w:kern w:val="0"/>
        </w:rPr>
        <w:t xml:space="preserve"> J, </w:t>
      </w:r>
      <w:proofErr w:type="spellStart"/>
      <w:r>
        <w:rPr>
          <w:rFonts w:ascii="Times New Roman" w:hAnsi="Times New Roman" w:cs="Times New Roman"/>
          <w:kern w:val="0"/>
        </w:rPr>
        <w:t>Boddu</w:t>
      </w:r>
      <w:proofErr w:type="spellEnd"/>
      <w:r>
        <w:rPr>
          <w:rFonts w:ascii="Times New Roman" w:hAnsi="Times New Roman" w:cs="Times New Roman"/>
          <w:kern w:val="0"/>
        </w:rPr>
        <w:t xml:space="preserve"> SHS, Mitra AK. Recent Perspectives in Ocular Drug Delivery. Pharm Res. 2009 May;26(5):1197. doi:10.1007/s11095-008-9694-0</w:t>
      </w:r>
    </w:p>
    <w:p w14:paraId="19F755E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16.</w:t>
      </w:r>
      <w:r>
        <w:rPr>
          <w:rFonts w:ascii="Times New Roman" w:hAnsi="Times New Roman" w:cs="Times New Roman"/>
          <w:kern w:val="0"/>
        </w:rPr>
        <w:tab/>
      </w:r>
      <w:proofErr w:type="spellStart"/>
      <w:r>
        <w:rPr>
          <w:rFonts w:ascii="Times New Roman" w:hAnsi="Times New Roman" w:cs="Times New Roman"/>
          <w:kern w:val="0"/>
        </w:rPr>
        <w:t>Vigani</w:t>
      </w:r>
      <w:proofErr w:type="spellEnd"/>
      <w:r>
        <w:rPr>
          <w:rFonts w:ascii="Times New Roman" w:hAnsi="Times New Roman" w:cs="Times New Roman"/>
          <w:kern w:val="0"/>
        </w:rPr>
        <w:t xml:space="preserve"> B, Rossi S, Sandri G, </w:t>
      </w:r>
      <w:proofErr w:type="spellStart"/>
      <w:r>
        <w:rPr>
          <w:rFonts w:ascii="Times New Roman" w:hAnsi="Times New Roman" w:cs="Times New Roman"/>
          <w:kern w:val="0"/>
        </w:rPr>
        <w:t>Bonferoni</w:t>
      </w:r>
      <w:proofErr w:type="spellEnd"/>
      <w:r>
        <w:rPr>
          <w:rFonts w:ascii="Times New Roman" w:hAnsi="Times New Roman" w:cs="Times New Roman"/>
          <w:kern w:val="0"/>
        </w:rPr>
        <w:t xml:space="preserve"> MC, </w:t>
      </w:r>
      <w:proofErr w:type="spellStart"/>
      <w:r>
        <w:rPr>
          <w:rFonts w:ascii="Times New Roman" w:hAnsi="Times New Roman" w:cs="Times New Roman"/>
          <w:kern w:val="0"/>
        </w:rPr>
        <w:t>Caramella</w:t>
      </w:r>
      <w:proofErr w:type="spellEnd"/>
      <w:r>
        <w:rPr>
          <w:rFonts w:ascii="Times New Roman" w:hAnsi="Times New Roman" w:cs="Times New Roman"/>
          <w:kern w:val="0"/>
        </w:rPr>
        <w:t xml:space="preserve"> CM, Ferrari F. Recent Advances in the Development of In Situ Gelling Drug Delivery Systems for Non-Parenteral Administration Routes. Pharmaceutics. 2020 Sep 10;12(9):859. doi:10.3390/pharmaceutics12090859</w:t>
      </w:r>
    </w:p>
    <w:p w14:paraId="40A7CC4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17.</w:t>
      </w:r>
      <w:r>
        <w:rPr>
          <w:rFonts w:ascii="Times New Roman" w:hAnsi="Times New Roman" w:cs="Times New Roman"/>
          <w:kern w:val="0"/>
        </w:rPr>
        <w:tab/>
      </w:r>
      <w:proofErr w:type="spellStart"/>
      <w:r>
        <w:rPr>
          <w:rFonts w:ascii="Times New Roman" w:hAnsi="Times New Roman" w:cs="Times New Roman"/>
          <w:kern w:val="0"/>
        </w:rPr>
        <w:t>Barbu</w:t>
      </w:r>
      <w:proofErr w:type="spellEnd"/>
      <w:r>
        <w:rPr>
          <w:rFonts w:ascii="Times New Roman" w:hAnsi="Times New Roman" w:cs="Times New Roman"/>
          <w:kern w:val="0"/>
        </w:rPr>
        <w:t xml:space="preserve"> E, </w:t>
      </w:r>
      <w:proofErr w:type="spellStart"/>
      <w:r>
        <w:rPr>
          <w:rFonts w:ascii="Times New Roman" w:hAnsi="Times New Roman" w:cs="Times New Roman"/>
          <w:kern w:val="0"/>
        </w:rPr>
        <w:t>Verestiuc</w:t>
      </w:r>
      <w:proofErr w:type="spellEnd"/>
      <w:r>
        <w:rPr>
          <w:rFonts w:ascii="Times New Roman" w:hAnsi="Times New Roman" w:cs="Times New Roman"/>
          <w:kern w:val="0"/>
        </w:rPr>
        <w:t xml:space="preserve"> L, </w:t>
      </w:r>
      <w:proofErr w:type="spellStart"/>
      <w:r>
        <w:rPr>
          <w:rFonts w:ascii="Times New Roman" w:hAnsi="Times New Roman" w:cs="Times New Roman"/>
          <w:kern w:val="0"/>
        </w:rPr>
        <w:t>Nevell</w:t>
      </w:r>
      <w:proofErr w:type="spellEnd"/>
      <w:r>
        <w:rPr>
          <w:rFonts w:ascii="Times New Roman" w:hAnsi="Times New Roman" w:cs="Times New Roman"/>
          <w:kern w:val="0"/>
        </w:rPr>
        <w:t xml:space="preserve"> TG, </w:t>
      </w:r>
      <w:proofErr w:type="spellStart"/>
      <w:r>
        <w:rPr>
          <w:rFonts w:ascii="Times New Roman" w:hAnsi="Times New Roman" w:cs="Times New Roman"/>
          <w:kern w:val="0"/>
        </w:rPr>
        <w:t>Tsibouklis</w:t>
      </w:r>
      <w:proofErr w:type="spellEnd"/>
      <w:r>
        <w:rPr>
          <w:rFonts w:ascii="Times New Roman" w:hAnsi="Times New Roman" w:cs="Times New Roman"/>
          <w:kern w:val="0"/>
        </w:rPr>
        <w:t xml:space="preserve"> J. Polymeric materials for ophthalmic drug delivery: trends and perspectives. J Mater Chem. 2006;16(34):3439. doi:10.1039/b605640g</w:t>
      </w:r>
    </w:p>
    <w:p w14:paraId="005554B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18.</w:t>
      </w:r>
      <w:r>
        <w:rPr>
          <w:rFonts w:ascii="Times New Roman" w:hAnsi="Times New Roman" w:cs="Times New Roman"/>
          <w:kern w:val="0"/>
        </w:rPr>
        <w:tab/>
        <w:t xml:space="preserve">Cao Y, Zhang C, Shen W, Cheng Z, Yu L (Lucy), Ping Q. Poly(N-isopropylacrylamide)–chitosan as thermosensitive in situ gel-forming system for ocular drug delivery. Journal of Controlled Release. 2007 Jul;120(3):186–94. </w:t>
      </w:r>
      <w:proofErr w:type="gramStart"/>
      <w:r>
        <w:rPr>
          <w:rFonts w:ascii="Times New Roman" w:hAnsi="Times New Roman" w:cs="Times New Roman"/>
          <w:kern w:val="0"/>
        </w:rPr>
        <w:t>doi:10.1016/j.jconrel</w:t>
      </w:r>
      <w:proofErr w:type="gramEnd"/>
      <w:r>
        <w:rPr>
          <w:rFonts w:ascii="Times New Roman" w:hAnsi="Times New Roman" w:cs="Times New Roman"/>
          <w:kern w:val="0"/>
        </w:rPr>
        <w:t>.2007.05.009</w:t>
      </w:r>
    </w:p>
    <w:p w14:paraId="64A04A9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19.</w:t>
      </w:r>
      <w:r>
        <w:rPr>
          <w:rFonts w:ascii="Times New Roman" w:hAnsi="Times New Roman" w:cs="Times New Roman"/>
          <w:kern w:val="0"/>
        </w:rPr>
        <w:tab/>
        <w:t xml:space="preserve">Mi S, Chen B, Wright B, </w:t>
      </w:r>
      <w:proofErr w:type="spellStart"/>
      <w:r>
        <w:rPr>
          <w:rFonts w:ascii="Times New Roman" w:hAnsi="Times New Roman" w:cs="Times New Roman"/>
          <w:kern w:val="0"/>
        </w:rPr>
        <w:t>Connon</w:t>
      </w:r>
      <w:proofErr w:type="spellEnd"/>
      <w:r>
        <w:rPr>
          <w:rFonts w:ascii="Times New Roman" w:hAnsi="Times New Roman" w:cs="Times New Roman"/>
          <w:kern w:val="0"/>
        </w:rPr>
        <w:t xml:space="preserve"> CJ. Plastic compression of a collagen gel forms a </w:t>
      </w:r>
      <w:proofErr w:type="gramStart"/>
      <w:r>
        <w:rPr>
          <w:rFonts w:ascii="Times New Roman" w:hAnsi="Times New Roman" w:cs="Times New Roman"/>
          <w:kern w:val="0"/>
        </w:rPr>
        <w:t>much improved</w:t>
      </w:r>
      <w:proofErr w:type="gramEnd"/>
      <w:r>
        <w:rPr>
          <w:rFonts w:ascii="Times New Roman" w:hAnsi="Times New Roman" w:cs="Times New Roman"/>
          <w:kern w:val="0"/>
        </w:rPr>
        <w:t xml:space="preserve"> scaffold for ocular surface tissue engineering over conventional collagen gels. J Biomedical Materials Res. 2010 Nov;95</w:t>
      </w:r>
      <w:proofErr w:type="gramStart"/>
      <w:r>
        <w:rPr>
          <w:rFonts w:ascii="Times New Roman" w:hAnsi="Times New Roman" w:cs="Times New Roman"/>
          <w:kern w:val="0"/>
        </w:rPr>
        <w:t>A(</w:t>
      </w:r>
      <w:proofErr w:type="gramEnd"/>
      <w:r>
        <w:rPr>
          <w:rFonts w:ascii="Times New Roman" w:hAnsi="Times New Roman" w:cs="Times New Roman"/>
          <w:kern w:val="0"/>
        </w:rPr>
        <w:t>2):447–53. doi:10.1002/jbm.a.32861</w:t>
      </w:r>
    </w:p>
    <w:p w14:paraId="745AA00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20.</w:t>
      </w:r>
      <w:r>
        <w:rPr>
          <w:rFonts w:ascii="Times New Roman" w:hAnsi="Times New Roman" w:cs="Times New Roman"/>
          <w:kern w:val="0"/>
        </w:rPr>
        <w:tab/>
        <w:t xml:space="preserve">Bao Q, Jog R, Shen J, Newman B, Wang Y, Choi S, et al. Physicochemical attributes and dissolution testing of ophthalmic ointments. International Journal of Pharmaceutics. 2017 May;523(1):310–9. </w:t>
      </w:r>
      <w:proofErr w:type="gramStart"/>
      <w:r>
        <w:rPr>
          <w:rFonts w:ascii="Times New Roman" w:hAnsi="Times New Roman" w:cs="Times New Roman"/>
          <w:kern w:val="0"/>
        </w:rPr>
        <w:t>doi:10.1016/j.ijpharm</w:t>
      </w:r>
      <w:proofErr w:type="gramEnd"/>
      <w:r>
        <w:rPr>
          <w:rFonts w:ascii="Times New Roman" w:hAnsi="Times New Roman" w:cs="Times New Roman"/>
          <w:kern w:val="0"/>
        </w:rPr>
        <w:t>.2017.03.039</w:t>
      </w:r>
    </w:p>
    <w:p w14:paraId="53BB247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21.</w:t>
      </w:r>
      <w:r>
        <w:rPr>
          <w:rFonts w:ascii="Times New Roman" w:hAnsi="Times New Roman" w:cs="Times New Roman"/>
          <w:kern w:val="0"/>
        </w:rPr>
        <w:tab/>
        <w:t>S KI, F R, I S. pH Triggered In-situ Gelling Ophthalmic Drug Delivery System. IJDDT. 2018 Apr 20;8(01). doi:10.25258/</w:t>
      </w:r>
      <w:proofErr w:type="gramStart"/>
      <w:r>
        <w:rPr>
          <w:rFonts w:ascii="Times New Roman" w:hAnsi="Times New Roman" w:cs="Times New Roman"/>
          <w:kern w:val="0"/>
        </w:rPr>
        <w:t>ijddt.v</w:t>
      </w:r>
      <w:proofErr w:type="gramEnd"/>
      <w:r>
        <w:rPr>
          <w:rFonts w:ascii="Times New Roman" w:hAnsi="Times New Roman" w:cs="Times New Roman"/>
          <w:kern w:val="0"/>
        </w:rPr>
        <w:t>8i01.11900</w:t>
      </w:r>
    </w:p>
    <w:p w14:paraId="4D72819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22.</w:t>
      </w:r>
      <w:r>
        <w:rPr>
          <w:rFonts w:ascii="Times New Roman" w:hAnsi="Times New Roman" w:cs="Times New Roman"/>
          <w:kern w:val="0"/>
        </w:rPr>
        <w:tab/>
      </w:r>
      <w:proofErr w:type="spellStart"/>
      <w:r>
        <w:rPr>
          <w:rFonts w:ascii="Times New Roman" w:hAnsi="Times New Roman" w:cs="Times New Roman"/>
          <w:kern w:val="0"/>
        </w:rPr>
        <w:t>Moiseev</w:t>
      </w:r>
      <w:proofErr w:type="spellEnd"/>
      <w:r>
        <w:rPr>
          <w:rFonts w:ascii="Times New Roman" w:hAnsi="Times New Roman" w:cs="Times New Roman"/>
          <w:kern w:val="0"/>
        </w:rPr>
        <w:t xml:space="preserve"> RV, Morrison PWJ, Steele F, </w:t>
      </w:r>
      <w:proofErr w:type="spellStart"/>
      <w:r>
        <w:rPr>
          <w:rFonts w:ascii="Times New Roman" w:hAnsi="Times New Roman" w:cs="Times New Roman"/>
          <w:kern w:val="0"/>
        </w:rPr>
        <w:t>Khutoryanskiy</w:t>
      </w:r>
      <w:proofErr w:type="spellEnd"/>
      <w:r>
        <w:rPr>
          <w:rFonts w:ascii="Times New Roman" w:hAnsi="Times New Roman" w:cs="Times New Roman"/>
          <w:kern w:val="0"/>
        </w:rPr>
        <w:t xml:space="preserve"> VV. Penetration Enhancers in Ocular Drug Delivery. Pharmaceutics. 2019 Jul 9;11(7):321. doi:10.3390/pharmaceutics11070321</w:t>
      </w:r>
    </w:p>
    <w:p w14:paraId="3CE20C3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23.</w:t>
      </w:r>
      <w:r>
        <w:rPr>
          <w:rFonts w:ascii="Times New Roman" w:hAnsi="Times New Roman" w:cs="Times New Roman"/>
          <w:kern w:val="0"/>
        </w:rPr>
        <w:tab/>
        <w:t xml:space="preserve">Huang D, Chen YS, </w:t>
      </w:r>
      <w:proofErr w:type="spellStart"/>
      <w:r>
        <w:rPr>
          <w:rFonts w:ascii="Times New Roman" w:hAnsi="Times New Roman" w:cs="Times New Roman"/>
          <w:kern w:val="0"/>
        </w:rPr>
        <w:t>Rupenthal</w:t>
      </w:r>
      <w:proofErr w:type="spellEnd"/>
      <w:r>
        <w:rPr>
          <w:rFonts w:ascii="Times New Roman" w:hAnsi="Times New Roman" w:cs="Times New Roman"/>
          <w:kern w:val="0"/>
        </w:rPr>
        <w:t xml:space="preserve"> ID. Overcoming ocular drug delivery barriers through the use of physical forces. Advanced Drug Delivery Reviews. 2018 </w:t>
      </w:r>
      <w:proofErr w:type="gramStart"/>
      <w:r>
        <w:rPr>
          <w:rFonts w:ascii="Times New Roman" w:hAnsi="Times New Roman" w:cs="Times New Roman"/>
          <w:kern w:val="0"/>
        </w:rPr>
        <w:t>Feb;126:96</w:t>
      </w:r>
      <w:proofErr w:type="gramEnd"/>
      <w:r>
        <w:rPr>
          <w:rFonts w:ascii="Times New Roman" w:hAnsi="Times New Roman" w:cs="Times New Roman"/>
          <w:kern w:val="0"/>
        </w:rPr>
        <w:t xml:space="preserve">–112. </w:t>
      </w:r>
      <w:proofErr w:type="gramStart"/>
      <w:r>
        <w:rPr>
          <w:rFonts w:ascii="Times New Roman" w:hAnsi="Times New Roman" w:cs="Times New Roman"/>
          <w:kern w:val="0"/>
        </w:rPr>
        <w:t>doi:10.1016/j.addr</w:t>
      </w:r>
      <w:proofErr w:type="gramEnd"/>
      <w:r>
        <w:rPr>
          <w:rFonts w:ascii="Times New Roman" w:hAnsi="Times New Roman" w:cs="Times New Roman"/>
          <w:kern w:val="0"/>
        </w:rPr>
        <w:t>.2017.09.008</w:t>
      </w:r>
    </w:p>
    <w:p w14:paraId="46FC7B9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24.</w:t>
      </w:r>
      <w:r>
        <w:rPr>
          <w:rFonts w:ascii="Times New Roman" w:hAnsi="Times New Roman" w:cs="Times New Roman"/>
          <w:kern w:val="0"/>
        </w:rPr>
        <w:tab/>
        <w:t xml:space="preserve">Jung JH, Chiang B, </w:t>
      </w:r>
      <w:proofErr w:type="spellStart"/>
      <w:r>
        <w:rPr>
          <w:rFonts w:ascii="Times New Roman" w:hAnsi="Times New Roman" w:cs="Times New Roman"/>
          <w:kern w:val="0"/>
        </w:rPr>
        <w:t>Grossniklaus</w:t>
      </w:r>
      <w:proofErr w:type="spellEnd"/>
      <w:r>
        <w:rPr>
          <w:rFonts w:ascii="Times New Roman" w:hAnsi="Times New Roman" w:cs="Times New Roman"/>
          <w:kern w:val="0"/>
        </w:rPr>
        <w:t xml:space="preserve"> HE, </w:t>
      </w:r>
      <w:proofErr w:type="spellStart"/>
      <w:r>
        <w:rPr>
          <w:rFonts w:ascii="Times New Roman" w:hAnsi="Times New Roman" w:cs="Times New Roman"/>
          <w:kern w:val="0"/>
        </w:rPr>
        <w:t>Prausnitz</w:t>
      </w:r>
      <w:proofErr w:type="spellEnd"/>
      <w:r>
        <w:rPr>
          <w:rFonts w:ascii="Times New Roman" w:hAnsi="Times New Roman" w:cs="Times New Roman"/>
          <w:kern w:val="0"/>
        </w:rPr>
        <w:t xml:space="preserve"> MR. Ocular drug delivery targeted by iontophoresis in the suprachoroidal space using a microneedle. Journal of Controlled Release. 2018 </w:t>
      </w:r>
      <w:proofErr w:type="gramStart"/>
      <w:r>
        <w:rPr>
          <w:rFonts w:ascii="Times New Roman" w:hAnsi="Times New Roman" w:cs="Times New Roman"/>
          <w:kern w:val="0"/>
        </w:rPr>
        <w:t>May;277:14</w:t>
      </w:r>
      <w:proofErr w:type="gramEnd"/>
      <w:r>
        <w:rPr>
          <w:rFonts w:ascii="Times New Roman" w:hAnsi="Times New Roman" w:cs="Times New Roman"/>
          <w:kern w:val="0"/>
        </w:rPr>
        <w:t xml:space="preserve">–22. </w:t>
      </w:r>
      <w:proofErr w:type="gramStart"/>
      <w:r>
        <w:rPr>
          <w:rFonts w:ascii="Times New Roman" w:hAnsi="Times New Roman" w:cs="Times New Roman"/>
          <w:kern w:val="0"/>
        </w:rPr>
        <w:t>doi:10.1016/j.jconrel</w:t>
      </w:r>
      <w:proofErr w:type="gramEnd"/>
      <w:r>
        <w:rPr>
          <w:rFonts w:ascii="Times New Roman" w:hAnsi="Times New Roman" w:cs="Times New Roman"/>
          <w:kern w:val="0"/>
        </w:rPr>
        <w:t>.2018.03.001</w:t>
      </w:r>
    </w:p>
    <w:p w14:paraId="5F1D49B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C07AD4">
        <w:rPr>
          <w:rFonts w:ascii="Times New Roman" w:hAnsi="Times New Roman" w:cs="Times New Roman"/>
          <w:kern w:val="0"/>
          <w:lang w:val="nb-NO"/>
        </w:rPr>
        <w:t>25.</w:t>
      </w:r>
      <w:r w:rsidRPr="00C07AD4">
        <w:rPr>
          <w:rFonts w:ascii="Times New Roman" w:hAnsi="Times New Roman" w:cs="Times New Roman"/>
          <w:kern w:val="0"/>
          <w:lang w:val="nb-NO"/>
        </w:rPr>
        <w:tab/>
        <w:t xml:space="preserve">Lai JY, Ma DHK, Cheng HY, Sun CC, Huang SJ, Li YT, et al. </w:t>
      </w:r>
      <w:r>
        <w:rPr>
          <w:rFonts w:ascii="Times New Roman" w:hAnsi="Times New Roman" w:cs="Times New Roman"/>
          <w:kern w:val="0"/>
        </w:rPr>
        <w:t>Ocular Biocompatibility of Carbodiimide Cross-Linked Hyaluronic Acid Hydrogels for Cell Sheet Delivery Carriers. Journal of Biomaterials Science, Polymer Edition. 2010 Jan;21(3):359–76. doi:10.1163/156856209X416980</w:t>
      </w:r>
    </w:p>
    <w:p w14:paraId="01A285E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C07AD4">
        <w:rPr>
          <w:rFonts w:ascii="Times New Roman" w:hAnsi="Times New Roman" w:cs="Times New Roman"/>
          <w:kern w:val="0"/>
          <w:lang w:val="nb-NO"/>
        </w:rPr>
        <w:t>26.</w:t>
      </w:r>
      <w:r w:rsidRPr="00C07AD4">
        <w:rPr>
          <w:rFonts w:ascii="Times New Roman" w:hAnsi="Times New Roman" w:cs="Times New Roman"/>
          <w:kern w:val="0"/>
          <w:lang w:val="nb-NO"/>
        </w:rPr>
        <w:tab/>
        <w:t xml:space="preserve">Huang L, Huang XH, Yang X, Hu JQ, Zhu YZ, Yan PY, et al. </w:t>
      </w:r>
      <w:r>
        <w:rPr>
          <w:rFonts w:ascii="Times New Roman" w:hAnsi="Times New Roman" w:cs="Times New Roman"/>
          <w:kern w:val="0"/>
        </w:rPr>
        <w:t xml:space="preserve">Novel </w:t>
      </w:r>
      <w:proofErr w:type="spellStart"/>
      <w:r>
        <w:rPr>
          <w:rFonts w:ascii="Times New Roman" w:hAnsi="Times New Roman" w:cs="Times New Roman"/>
          <w:kern w:val="0"/>
        </w:rPr>
        <w:t>nano</w:t>
      </w:r>
      <w:proofErr w:type="spellEnd"/>
      <w:r>
        <w:rPr>
          <w:rFonts w:ascii="Times New Roman" w:hAnsi="Times New Roman" w:cs="Times New Roman"/>
          <w:kern w:val="0"/>
        </w:rPr>
        <w:t xml:space="preserve">-drug delivery system for natural products and their application. Pharmacological Research. 2024 </w:t>
      </w:r>
      <w:proofErr w:type="gramStart"/>
      <w:r>
        <w:rPr>
          <w:rFonts w:ascii="Times New Roman" w:hAnsi="Times New Roman" w:cs="Times New Roman"/>
          <w:kern w:val="0"/>
        </w:rPr>
        <w:t>Mar;201:107100</w:t>
      </w:r>
      <w:proofErr w:type="gramEnd"/>
      <w:r>
        <w:rPr>
          <w:rFonts w:ascii="Times New Roman" w:hAnsi="Times New Roman" w:cs="Times New Roman"/>
          <w:kern w:val="0"/>
        </w:rPr>
        <w:t xml:space="preserve">. </w:t>
      </w:r>
      <w:proofErr w:type="gramStart"/>
      <w:r>
        <w:rPr>
          <w:rFonts w:ascii="Times New Roman" w:hAnsi="Times New Roman" w:cs="Times New Roman"/>
          <w:kern w:val="0"/>
        </w:rPr>
        <w:t>doi:10.1016/j.phrs</w:t>
      </w:r>
      <w:proofErr w:type="gramEnd"/>
      <w:r>
        <w:rPr>
          <w:rFonts w:ascii="Times New Roman" w:hAnsi="Times New Roman" w:cs="Times New Roman"/>
          <w:kern w:val="0"/>
        </w:rPr>
        <w:t>.2024.107100</w:t>
      </w:r>
    </w:p>
    <w:p w14:paraId="52F7587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27.</w:t>
      </w:r>
      <w:r>
        <w:rPr>
          <w:rFonts w:ascii="Times New Roman" w:hAnsi="Times New Roman" w:cs="Times New Roman"/>
          <w:kern w:val="0"/>
        </w:rPr>
        <w:tab/>
      </w:r>
      <w:proofErr w:type="spellStart"/>
      <w:r>
        <w:rPr>
          <w:rFonts w:ascii="Times New Roman" w:hAnsi="Times New Roman" w:cs="Times New Roman"/>
          <w:kern w:val="0"/>
        </w:rPr>
        <w:t>Fulgêncio</w:t>
      </w:r>
      <w:proofErr w:type="spellEnd"/>
      <w:r>
        <w:rPr>
          <w:rFonts w:ascii="Times New Roman" w:hAnsi="Times New Roman" w:cs="Times New Roman"/>
          <w:kern w:val="0"/>
        </w:rPr>
        <w:t xml:space="preserve"> GDO, Viana FAB, Ribeiro RR, Yoshida MI, </w:t>
      </w:r>
      <w:proofErr w:type="spellStart"/>
      <w:r>
        <w:rPr>
          <w:rFonts w:ascii="Times New Roman" w:hAnsi="Times New Roman" w:cs="Times New Roman"/>
          <w:kern w:val="0"/>
        </w:rPr>
        <w:t>Faraco</w:t>
      </w:r>
      <w:proofErr w:type="spellEnd"/>
      <w:r>
        <w:rPr>
          <w:rFonts w:ascii="Times New Roman" w:hAnsi="Times New Roman" w:cs="Times New Roman"/>
          <w:kern w:val="0"/>
        </w:rPr>
        <w:t xml:space="preserve"> AG, Cunha-Júnior ADS. New </w:t>
      </w:r>
      <w:r>
        <w:rPr>
          <w:rFonts w:ascii="Times New Roman" w:hAnsi="Times New Roman" w:cs="Times New Roman"/>
          <w:kern w:val="0"/>
        </w:rPr>
        <w:lastRenderedPageBreak/>
        <w:t xml:space="preserve">Mucoadhesive Chitosan Film for Ophthalmic Drug Delivery of Timolol Maleate: </w:t>
      </w:r>
      <w:r>
        <w:rPr>
          <w:rFonts w:ascii="Times New Roman" w:hAnsi="Times New Roman" w:cs="Times New Roman"/>
          <w:i/>
          <w:iCs/>
          <w:kern w:val="0"/>
        </w:rPr>
        <w:t>In Vivo</w:t>
      </w:r>
      <w:r>
        <w:rPr>
          <w:rFonts w:ascii="Times New Roman" w:hAnsi="Times New Roman" w:cs="Times New Roman"/>
          <w:kern w:val="0"/>
        </w:rPr>
        <w:t xml:space="preserve"> Evaluation. Journal of Ocular Pharmacology and Therapeutics. 2012 Aug;28(4):350–8. doi:10.1089/jop.2011.0174</w:t>
      </w:r>
    </w:p>
    <w:p w14:paraId="7608AE0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28.</w:t>
      </w:r>
      <w:r>
        <w:rPr>
          <w:rFonts w:ascii="Times New Roman" w:hAnsi="Times New Roman" w:cs="Times New Roman"/>
          <w:kern w:val="0"/>
        </w:rPr>
        <w:tab/>
      </w:r>
      <w:proofErr w:type="spellStart"/>
      <w:r>
        <w:rPr>
          <w:rFonts w:ascii="Times New Roman" w:hAnsi="Times New Roman" w:cs="Times New Roman"/>
          <w:kern w:val="0"/>
        </w:rPr>
        <w:t>Chavhan</w:t>
      </w:r>
      <w:proofErr w:type="spellEnd"/>
      <w:r>
        <w:rPr>
          <w:rFonts w:ascii="Times New Roman" w:hAnsi="Times New Roman" w:cs="Times New Roman"/>
          <w:kern w:val="0"/>
        </w:rPr>
        <w:t xml:space="preserve"> R. Nanosuspensions: Enhancing drug bioavailability through </w:t>
      </w:r>
      <w:proofErr w:type="spellStart"/>
      <w:r>
        <w:rPr>
          <w:rFonts w:ascii="Times New Roman" w:hAnsi="Times New Roman" w:cs="Times New Roman"/>
          <w:kern w:val="0"/>
        </w:rPr>
        <w:t>nanonization</w:t>
      </w:r>
      <w:proofErr w:type="spellEnd"/>
      <w:r>
        <w:rPr>
          <w:rFonts w:ascii="Times New Roman" w:hAnsi="Times New Roman" w:cs="Times New Roman"/>
          <w:kern w:val="0"/>
        </w:rPr>
        <w:t xml:space="preserve">. Annales </w:t>
      </w:r>
      <w:proofErr w:type="spellStart"/>
      <w:r>
        <w:rPr>
          <w:rFonts w:ascii="Times New Roman" w:hAnsi="Times New Roman" w:cs="Times New Roman"/>
          <w:kern w:val="0"/>
        </w:rPr>
        <w:t>Pharmaceutiques</w:t>
      </w:r>
      <w:proofErr w:type="spellEnd"/>
      <w:r>
        <w:rPr>
          <w:rFonts w:ascii="Times New Roman" w:hAnsi="Times New Roman" w:cs="Times New Roman"/>
          <w:kern w:val="0"/>
        </w:rPr>
        <w:t xml:space="preserve"> </w:t>
      </w:r>
      <w:proofErr w:type="spellStart"/>
      <w:r>
        <w:rPr>
          <w:rFonts w:ascii="Times New Roman" w:hAnsi="Times New Roman" w:cs="Times New Roman"/>
          <w:kern w:val="0"/>
        </w:rPr>
        <w:t>Françaises</w:t>
      </w:r>
      <w:proofErr w:type="spellEnd"/>
      <w:r>
        <w:rPr>
          <w:rFonts w:ascii="Times New Roman" w:hAnsi="Times New Roman" w:cs="Times New Roman"/>
          <w:kern w:val="0"/>
        </w:rPr>
        <w:t xml:space="preserve">. 2025 Mar;83(2):251–71. </w:t>
      </w:r>
      <w:proofErr w:type="gramStart"/>
      <w:r>
        <w:rPr>
          <w:rFonts w:ascii="Times New Roman" w:hAnsi="Times New Roman" w:cs="Times New Roman"/>
          <w:kern w:val="0"/>
        </w:rPr>
        <w:t>doi:10.1016/j.pharma</w:t>
      </w:r>
      <w:proofErr w:type="gramEnd"/>
      <w:r>
        <w:rPr>
          <w:rFonts w:ascii="Times New Roman" w:hAnsi="Times New Roman" w:cs="Times New Roman"/>
          <w:kern w:val="0"/>
        </w:rPr>
        <w:t>.2024.06.003</w:t>
      </w:r>
    </w:p>
    <w:p w14:paraId="4608688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29.</w:t>
      </w:r>
      <w:r>
        <w:rPr>
          <w:rFonts w:ascii="Times New Roman" w:hAnsi="Times New Roman" w:cs="Times New Roman"/>
          <w:kern w:val="0"/>
        </w:rPr>
        <w:tab/>
        <w:t xml:space="preserve">Ma Y, Cong Z, Gao P, Wang Y. Nanosuspensions technology as a master key for nature products drug delivery and In vivo fate. European Journal of Pharmaceutical Sciences. 2023 </w:t>
      </w:r>
      <w:proofErr w:type="gramStart"/>
      <w:r>
        <w:rPr>
          <w:rFonts w:ascii="Times New Roman" w:hAnsi="Times New Roman" w:cs="Times New Roman"/>
          <w:kern w:val="0"/>
        </w:rPr>
        <w:t>Jun;185:106425</w:t>
      </w:r>
      <w:proofErr w:type="gramEnd"/>
      <w:r>
        <w:rPr>
          <w:rFonts w:ascii="Times New Roman" w:hAnsi="Times New Roman" w:cs="Times New Roman"/>
          <w:kern w:val="0"/>
        </w:rPr>
        <w:t xml:space="preserve">. </w:t>
      </w:r>
      <w:proofErr w:type="gramStart"/>
      <w:r>
        <w:rPr>
          <w:rFonts w:ascii="Times New Roman" w:hAnsi="Times New Roman" w:cs="Times New Roman"/>
          <w:kern w:val="0"/>
        </w:rPr>
        <w:t>doi:10.1016/j.ejps</w:t>
      </w:r>
      <w:proofErr w:type="gramEnd"/>
      <w:r>
        <w:rPr>
          <w:rFonts w:ascii="Times New Roman" w:hAnsi="Times New Roman" w:cs="Times New Roman"/>
          <w:kern w:val="0"/>
        </w:rPr>
        <w:t>.2023.106425</w:t>
      </w:r>
    </w:p>
    <w:p w14:paraId="4B9FE3B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30.</w:t>
      </w:r>
      <w:r>
        <w:rPr>
          <w:rFonts w:ascii="Times New Roman" w:hAnsi="Times New Roman" w:cs="Times New Roman"/>
          <w:kern w:val="0"/>
        </w:rPr>
        <w:tab/>
        <w:t>Patel V, Agrawal Y. Nanosuspension: An approach to enhance solubility of drugs. J Adv Pharm Technol Res. 2011;2(2):81. doi:10.4103/2231-4040.82950</w:t>
      </w:r>
    </w:p>
    <w:p w14:paraId="4FF0561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31.</w:t>
      </w:r>
      <w:r>
        <w:rPr>
          <w:rFonts w:ascii="Times New Roman" w:hAnsi="Times New Roman" w:cs="Times New Roman"/>
          <w:kern w:val="0"/>
        </w:rPr>
        <w:tab/>
        <w:t xml:space="preserve">Kumar D, Jain N, Gulati N, </w:t>
      </w:r>
      <w:proofErr w:type="spellStart"/>
      <w:r>
        <w:rPr>
          <w:rFonts w:ascii="Times New Roman" w:hAnsi="Times New Roman" w:cs="Times New Roman"/>
          <w:kern w:val="0"/>
        </w:rPr>
        <w:t>Nagaich</w:t>
      </w:r>
      <w:proofErr w:type="spellEnd"/>
      <w:r>
        <w:rPr>
          <w:rFonts w:ascii="Times New Roman" w:hAnsi="Times New Roman" w:cs="Times New Roman"/>
          <w:kern w:val="0"/>
        </w:rPr>
        <w:t xml:space="preserve"> U. Nanoparticles laden in situ gelling system for ocular drug targeting. J Adv Pharm Technol Res. 2013;4(1):9. doi:10.4103/2231-4040.107495</w:t>
      </w:r>
    </w:p>
    <w:p w14:paraId="5223DCC4"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32.</w:t>
      </w:r>
      <w:r>
        <w:rPr>
          <w:rFonts w:ascii="Times New Roman" w:hAnsi="Times New Roman" w:cs="Times New Roman"/>
          <w:kern w:val="0"/>
        </w:rPr>
        <w:tab/>
        <w:t xml:space="preserve">Gupta H, Aqil M, </w:t>
      </w:r>
      <w:proofErr w:type="spellStart"/>
      <w:r>
        <w:rPr>
          <w:rFonts w:ascii="Times New Roman" w:hAnsi="Times New Roman" w:cs="Times New Roman"/>
          <w:kern w:val="0"/>
        </w:rPr>
        <w:t>Khar</w:t>
      </w:r>
      <w:proofErr w:type="spellEnd"/>
      <w:r>
        <w:rPr>
          <w:rFonts w:ascii="Times New Roman" w:hAnsi="Times New Roman" w:cs="Times New Roman"/>
          <w:kern w:val="0"/>
        </w:rPr>
        <w:t xml:space="preserve"> R, Ali A, Bhatnagar A, Mittal G. Nanoparticles laden in situ gel for sustained ocular drug delivery. J Pharm </w:t>
      </w:r>
      <w:proofErr w:type="spellStart"/>
      <w:r>
        <w:rPr>
          <w:rFonts w:ascii="Times New Roman" w:hAnsi="Times New Roman" w:cs="Times New Roman"/>
          <w:kern w:val="0"/>
        </w:rPr>
        <w:t>Bioall</w:t>
      </w:r>
      <w:proofErr w:type="spellEnd"/>
      <w:r>
        <w:rPr>
          <w:rFonts w:ascii="Times New Roman" w:hAnsi="Times New Roman" w:cs="Times New Roman"/>
          <w:kern w:val="0"/>
        </w:rPr>
        <w:t xml:space="preserve"> Sci. 2013;5(2):162. doi:10.4103/0975-7406.111824</w:t>
      </w:r>
    </w:p>
    <w:p w14:paraId="44D9235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33.</w:t>
      </w:r>
      <w:r>
        <w:rPr>
          <w:rFonts w:ascii="Times New Roman" w:hAnsi="Times New Roman" w:cs="Times New Roman"/>
          <w:kern w:val="0"/>
        </w:rPr>
        <w:tab/>
      </w:r>
      <w:proofErr w:type="spellStart"/>
      <w:r>
        <w:rPr>
          <w:rFonts w:ascii="Times New Roman" w:hAnsi="Times New Roman" w:cs="Times New Roman"/>
          <w:kern w:val="0"/>
        </w:rPr>
        <w:t>Jamard</w:t>
      </w:r>
      <w:proofErr w:type="spellEnd"/>
      <w:r>
        <w:rPr>
          <w:rFonts w:ascii="Times New Roman" w:hAnsi="Times New Roman" w:cs="Times New Roman"/>
          <w:kern w:val="0"/>
        </w:rPr>
        <w:t xml:space="preserve"> M, Hoare T, </w:t>
      </w:r>
      <w:proofErr w:type="spellStart"/>
      <w:r>
        <w:rPr>
          <w:rFonts w:ascii="Times New Roman" w:hAnsi="Times New Roman" w:cs="Times New Roman"/>
          <w:kern w:val="0"/>
        </w:rPr>
        <w:t>Sheardown</w:t>
      </w:r>
      <w:proofErr w:type="spellEnd"/>
      <w:r>
        <w:rPr>
          <w:rFonts w:ascii="Times New Roman" w:hAnsi="Times New Roman" w:cs="Times New Roman"/>
          <w:kern w:val="0"/>
        </w:rPr>
        <w:t xml:space="preserve"> H. Nanogels of methylcellulose hydrophobized with N-tert-</w:t>
      </w:r>
      <w:proofErr w:type="spellStart"/>
      <w:r>
        <w:rPr>
          <w:rFonts w:ascii="Times New Roman" w:hAnsi="Times New Roman" w:cs="Times New Roman"/>
          <w:kern w:val="0"/>
        </w:rPr>
        <w:t>butylacrylamide</w:t>
      </w:r>
      <w:proofErr w:type="spellEnd"/>
      <w:r>
        <w:rPr>
          <w:rFonts w:ascii="Times New Roman" w:hAnsi="Times New Roman" w:cs="Times New Roman"/>
          <w:kern w:val="0"/>
        </w:rPr>
        <w:t xml:space="preserve"> for ocular drug delivery. Drug </w:t>
      </w:r>
      <w:proofErr w:type="spellStart"/>
      <w:r>
        <w:rPr>
          <w:rFonts w:ascii="Times New Roman" w:hAnsi="Times New Roman" w:cs="Times New Roman"/>
          <w:kern w:val="0"/>
        </w:rPr>
        <w:t>Deliv</w:t>
      </w:r>
      <w:proofErr w:type="spellEnd"/>
      <w:r>
        <w:rPr>
          <w:rFonts w:ascii="Times New Roman" w:hAnsi="Times New Roman" w:cs="Times New Roman"/>
          <w:kern w:val="0"/>
        </w:rPr>
        <w:t xml:space="preserve"> and </w:t>
      </w:r>
      <w:proofErr w:type="spellStart"/>
      <w:r>
        <w:rPr>
          <w:rFonts w:ascii="Times New Roman" w:hAnsi="Times New Roman" w:cs="Times New Roman"/>
          <w:kern w:val="0"/>
        </w:rPr>
        <w:t>Transl</w:t>
      </w:r>
      <w:proofErr w:type="spellEnd"/>
      <w:r>
        <w:rPr>
          <w:rFonts w:ascii="Times New Roman" w:hAnsi="Times New Roman" w:cs="Times New Roman"/>
          <w:kern w:val="0"/>
        </w:rPr>
        <w:t xml:space="preserve"> Res. 2016 Dec;6(6):648–59. doi:10.1007/s13346-016-0337-4</w:t>
      </w:r>
    </w:p>
    <w:p w14:paraId="592CCBA4"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34.</w:t>
      </w:r>
      <w:r>
        <w:rPr>
          <w:rFonts w:ascii="Times New Roman" w:hAnsi="Times New Roman" w:cs="Times New Roman"/>
          <w:kern w:val="0"/>
        </w:rPr>
        <w:tab/>
        <w:t xml:space="preserve">El </w:t>
      </w:r>
      <w:proofErr w:type="spellStart"/>
      <w:r>
        <w:rPr>
          <w:rFonts w:ascii="Times New Roman" w:hAnsi="Times New Roman" w:cs="Times New Roman"/>
          <w:kern w:val="0"/>
        </w:rPr>
        <w:t>Bejjaji</w:t>
      </w:r>
      <w:proofErr w:type="spellEnd"/>
      <w:r>
        <w:rPr>
          <w:rFonts w:ascii="Times New Roman" w:hAnsi="Times New Roman" w:cs="Times New Roman"/>
          <w:kern w:val="0"/>
        </w:rPr>
        <w:t xml:space="preserve"> S, Ramos-</w:t>
      </w:r>
      <w:proofErr w:type="spellStart"/>
      <w:r>
        <w:rPr>
          <w:rFonts w:ascii="Times New Roman" w:hAnsi="Times New Roman" w:cs="Times New Roman"/>
          <w:kern w:val="0"/>
        </w:rPr>
        <w:t>Yacasi</w:t>
      </w:r>
      <w:proofErr w:type="spellEnd"/>
      <w:r>
        <w:rPr>
          <w:rFonts w:ascii="Times New Roman" w:hAnsi="Times New Roman" w:cs="Times New Roman"/>
          <w:kern w:val="0"/>
        </w:rPr>
        <w:t xml:space="preserve"> G, </w:t>
      </w:r>
      <w:proofErr w:type="spellStart"/>
      <w:r>
        <w:rPr>
          <w:rFonts w:ascii="Times New Roman" w:hAnsi="Times New Roman" w:cs="Times New Roman"/>
          <w:kern w:val="0"/>
        </w:rPr>
        <w:t>Suñer-Carbó</w:t>
      </w:r>
      <w:proofErr w:type="spellEnd"/>
      <w:r>
        <w:rPr>
          <w:rFonts w:ascii="Times New Roman" w:hAnsi="Times New Roman" w:cs="Times New Roman"/>
          <w:kern w:val="0"/>
        </w:rPr>
        <w:t xml:space="preserve"> J, </w:t>
      </w:r>
      <w:proofErr w:type="spellStart"/>
      <w:r>
        <w:rPr>
          <w:rFonts w:ascii="Times New Roman" w:hAnsi="Times New Roman" w:cs="Times New Roman"/>
          <w:kern w:val="0"/>
        </w:rPr>
        <w:t>Mallandrich</w:t>
      </w:r>
      <w:proofErr w:type="spellEnd"/>
      <w:r>
        <w:rPr>
          <w:rFonts w:ascii="Times New Roman" w:hAnsi="Times New Roman" w:cs="Times New Roman"/>
          <w:kern w:val="0"/>
        </w:rPr>
        <w:t xml:space="preserve"> M, </w:t>
      </w:r>
      <w:proofErr w:type="spellStart"/>
      <w:r>
        <w:rPr>
          <w:rFonts w:ascii="Times New Roman" w:hAnsi="Times New Roman" w:cs="Times New Roman"/>
          <w:kern w:val="0"/>
        </w:rPr>
        <w:t>Goršek</w:t>
      </w:r>
      <w:proofErr w:type="spellEnd"/>
      <w:r>
        <w:rPr>
          <w:rFonts w:ascii="Times New Roman" w:hAnsi="Times New Roman" w:cs="Times New Roman"/>
          <w:kern w:val="0"/>
        </w:rPr>
        <w:t xml:space="preserve"> L, </w:t>
      </w:r>
      <w:proofErr w:type="spellStart"/>
      <w:r>
        <w:rPr>
          <w:rFonts w:ascii="Times New Roman" w:hAnsi="Times New Roman" w:cs="Times New Roman"/>
          <w:kern w:val="0"/>
        </w:rPr>
        <w:t>Quilchez</w:t>
      </w:r>
      <w:proofErr w:type="spellEnd"/>
      <w:r>
        <w:rPr>
          <w:rFonts w:ascii="Times New Roman" w:hAnsi="Times New Roman" w:cs="Times New Roman"/>
          <w:kern w:val="0"/>
        </w:rPr>
        <w:t xml:space="preserve"> C, et al. Nanocomposite Gels Loaded with Flurbiprofen: Characterization and Skin Permeability Assessment in Different Skin Species. Gels. 2024 May 24;10(6):362. doi:10.3390/gels10060362</w:t>
      </w:r>
    </w:p>
    <w:p w14:paraId="268D3E0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35.</w:t>
      </w:r>
      <w:r>
        <w:rPr>
          <w:rFonts w:ascii="Times New Roman" w:hAnsi="Times New Roman" w:cs="Times New Roman"/>
          <w:kern w:val="0"/>
        </w:rPr>
        <w:tab/>
        <w:t xml:space="preserve">Patra JK, Das G, </w:t>
      </w:r>
      <w:proofErr w:type="spellStart"/>
      <w:r>
        <w:rPr>
          <w:rFonts w:ascii="Times New Roman" w:hAnsi="Times New Roman" w:cs="Times New Roman"/>
          <w:kern w:val="0"/>
        </w:rPr>
        <w:t>Fraceto</w:t>
      </w:r>
      <w:proofErr w:type="spellEnd"/>
      <w:r>
        <w:rPr>
          <w:rFonts w:ascii="Times New Roman" w:hAnsi="Times New Roman" w:cs="Times New Roman"/>
          <w:kern w:val="0"/>
        </w:rPr>
        <w:t xml:space="preserve"> LF, Campos EVR, Rodriguez-Torres MDP, Acosta-Torres LS, et al. Nano based drug delivery systems: recent developments and future prospects. J </w:t>
      </w:r>
      <w:proofErr w:type="spellStart"/>
      <w:r>
        <w:rPr>
          <w:rFonts w:ascii="Times New Roman" w:hAnsi="Times New Roman" w:cs="Times New Roman"/>
          <w:kern w:val="0"/>
        </w:rPr>
        <w:t>Nanobiotechnol</w:t>
      </w:r>
      <w:proofErr w:type="spellEnd"/>
      <w:r>
        <w:rPr>
          <w:rFonts w:ascii="Times New Roman" w:hAnsi="Times New Roman" w:cs="Times New Roman"/>
          <w:kern w:val="0"/>
        </w:rPr>
        <w:t>. 2018 Dec;16(1):71. doi:10.1186/s12951-018-0392-8</w:t>
      </w:r>
    </w:p>
    <w:p w14:paraId="1391582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36.</w:t>
      </w:r>
      <w:r>
        <w:rPr>
          <w:rFonts w:ascii="Times New Roman" w:hAnsi="Times New Roman" w:cs="Times New Roman"/>
          <w:kern w:val="0"/>
        </w:rPr>
        <w:tab/>
        <w:t>Kumar S, Himmelstein KJ. Modification of in Situ Gelling Behavior of Carbopol Solutions by Hydroxypropyl Methylcellulose. Journal of Pharmaceutical Sciences. 1995 Mar;84(3):344–8. doi:10.1002/jps.2600840315</w:t>
      </w:r>
    </w:p>
    <w:p w14:paraId="49EFA03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37.</w:t>
      </w:r>
      <w:r>
        <w:rPr>
          <w:rFonts w:ascii="Times New Roman" w:hAnsi="Times New Roman" w:cs="Times New Roman"/>
          <w:kern w:val="0"/>
        </w:rPr>
        <w:tab/>
      </w:r>
      <w:proofErr w:type="spellStart"/>
      <w:r>
        <w:rPr>
          <w:rFonts w:ascii="Times New Roman" w:hAnsi="Times New Roman" w:cs="Times New Roman"/>
          <w:kern w:val="0"/>
        </w:rPr>
        <w:t>Eljarrat-Binstock</w:t>
      </w:r>
      <w:proofErr w:type="spellEnd"/>
      <w:r>
        <w:rPr>
          <w:rFonts w:ascii="Times New Roman" w:hAnsi="Times New Roman" w:cs="Times New Roman"/>
          <w:kern w:val="0"/>
        </w:rPr>
        <w:t xml:space="preserve"> E, </w:t>
      </w:r>
      <w:proofErr w:type="spellStart"/>
      <w:r>
        <w:rPr>
          <w:rFonts w:ascii="Times New Roman" w:hAnsi="Times New Roman" w:cs="Times New Roman"/>
          <w:kern w:val="0"/>
        </w:rPr>
        <w:t>Domb</w:t>
      </w:r>
      <w:proofErr w:type="spellEnd"/>
      <w:r>
        <w:rPr>
          <w:rFonts w:ascii="Times New Roman" w:hAnsi="Times New Roman" w:cs="Times New Roman"/>
          <w:kern w:val="0"/>
        </w:rPr>
        <w:t xml:space="preserve"> AJ. Iontophoresis: A non-invasive ocular drug delivery. Journal of Controlled Release. 2006 Feb;110(3):479–89. </w:t>
      </w:r>
      <w:proofErr w:type="gramStart"/>
      <w:r>
        <w:rPr>
          <w:rFonts w:ascii="Times New Roman" w:hAnsi="Times New Roman" w:cs="Times New Roman"/>
          <w:kern w:val="0"/>
        </w:rPr>
        <w:t>doi:10.1016/j.jconrel</w:t>
      </w:r>
      <w:proofErr w:type="gramEnd"/>
      <w:r>
        <w:rPr>
          <w:rFonts w:ascii="Times New Roman" w:hAnsi="Times New Roman" w:cs="Times New Roman"/>
          <w:kern w:val="0"/>
        </w:rPr>
        <w:t>.2005.09.049</w:t>
      </w:r>
    </w:p>
    <w:p w14:paraId="08E1515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38.</w:t>
      </w:r>
      <w:r>
        <w:rPr>
          <w:rFonts w:ascii="Times New Roman" w:hAnsi="Times New Roman" w:cs="Times New Roman"/>
          <w:kern w:val="0"/>
        </w:rPr>
        <w:tab/>
      </w:r>
      <w:proofErr w:type="spellStart"/>
      <w:r>
        <w:rPr>
          <w:rFonts w:ascii="Times New Roman" w:hAnsi="Times New Roman" w:cs="Times New Roman"/>
          <w:kern w:val="0"/>
        </w:rPr>
        <w:t>Bonfioli</w:t>
      </w:r>
      <w:proofErr w:type="spellEnd"/>
      <w:r>
        <w:rPr>
          <w:rFonts w:ascii="Times New Roman" w:hAnsi="Times New Roman" w:cs="Times New Roman"/>
          <w:kern w:val="0"/>
        </w:rPr>
        <w:t xml:space="preserve"> AA, Damico FM, </w:t>
      </w:r>
      <w:proofErr w:type="spellStart"/>
      <w:r>
        <w:rPr>
          <w:rFonts w:ascii="Times New Roman" w:hAnsi="Times New Roman" w:cs="Times New Roman"/>
          <w:kern w:val="0"/>
        </w:rPr>
        <w:t>Curi</w:t>
      </w:r>
      <w:proofErr w:type="spellEnd"/>
      <w:r>
        <w:rPr>
          <w:rFonts w:ascii="Times New Roman" w:hAnsi="Times New Roman" w:cs="Times New Roman"/>
          <w:kern w:val="0"/>
        </w:rPr>
        <w:t xml:space="preserve"> ALL, </w:t>
      </w:r>
      <w:proofErr w:type="spellStart"/>
      <w:r>
        <w:rPr>
          <w:rFonts w:ascii="Times New Roman" w:hAnsi="Times New Roman" w:cs="Times New Roman"/>
          <w:kern w:val="0"/>
        </w:rPr>
        <w:t>Orefice</w:t>
      </w:r>
      <w:proofErr w:type="spellEnd"/>
      <w:r>
        <w:rPr>
          <w:rFonts w:ascii="Times New Roman" w:hAnsi="Times New Roman" w:cs="Times New Roman"/>
          <w:kern w:val="0"/>
        </w:rPr>
        <w:t xml:space="preserve"> F. Intermediate Uveitis. Seminars in Ophthalmology. 2005 Jan;20(3):147–54. doi:10.1080/08820530500232035</w:t>
      </w:r>
    </w:p>
    <w:p w14:paraId="46FA52C4"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39.</w:t>
      </w:r>
      <w:r>
        <w:rPr>
          <w:rFonts w:ascii="Times New Roman" w:hAnsi="Times New Roman" w:cs="Times New Roman"/>
          <w:kern w:val="0"/>
        </w:rPr>
        <w:tab/>
        <w:t xml:space="preserve">Du Toit LC, Carmichael T, Govender T, Kumar P, </w:t>
      </w:r>
      <w:proofErr w:type="spellStart"/>
      <w:r>
        <w:rPr>
          <w:rFonts w:ascii="Times New Roman" w:hAnsi="Times New Roman" w:cs="Times New Roman"/>
          <w:kern w:val="0"/>
        </w:rPr>
        <w:t>Choonara</w:t>
      </w:r>
      <w:proofErr w:type="spellEnd"/>
      <w:r>
        <w:rPr>
          <w:rFonts w:ascii="Times New Roman" w:hAnsi="Times New Roman" w:cs="Times New Roman"/>
          <w:kern w:val="0"/>
        </w:rPr>
        <w:t xml:space="preserve"> YE, Pillay V. In Vitro, In Vivo, and In Silico Evaluation of the </w:t>
      </w:r>
      <w:proofErr w:type="spellStart"/>
      <w:r>
        <w:rPr>
          <w:rFonts w:ascii="Times New Roman" w:hAnsi="Times New Roman" w:cs="Times New Roman"/>
          <w:kern w:val="0"/>
        </w:rPr>
        <w:t>Bioresponsive</w:t>
      </w:r>
      <w:proofErr w:type="spellEnd"/>
      <w:r>
        <w:rPr>
          <w:rFonts w:ascii="Times New Roman" w:hAnsi="Times New Roman" w:cs="Times New Roman"/>
          <w:kern w:val="0"/>
        </w:rPr>
        <w:t xml:space="preserve"> Behavior of an Intelligent Intraocular Implant. Pharm Res. 2014 Mar;31(3):607–34. doi:10.1007/s11095-013-1184-3</w:t>
      </w:r>
    </w:p>
    <w:p w14:paraId="0C46131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40.</w:t>
      </w:r>
      <w:r>
        <w:rPr>
          <w:rFonts w:ascii="Times New Roman" w:hAnsi="Times New Roman" w:cs="Times New Roman"/>
          <w:kern w:val="0"/>
        </w:rPr>
        <w:tab/>
      </w:r>
      <w:proofErr w:type="spellStart"/>
      <w:r>
        <w:rPr>
          <w:rFonts w:ascii="Times New Roman" w:hAnsi="Times New Roman" w:cs="Times New Roman"/>
          <w:kern w:val="0"/>
        </w:rPr>
        <w:t>Huhtala</w:t>
      </w:r>
      <w:proofErr w:type="spellEnd"/>
      <w:r>
        <w:rPr>
          <w:rFonts w:ascii="Times New Roman" w:hAnsi="Times New Roman" w:cs="Times New Roman"/>
          <w:kern w:val="0"/>
        </w:rPr>
        <w:t xml:space="preserve"> A, </w:t>
      </w:r>
      <w:proofErr w:type="spellStart"/>
      <w:r>
        <w:rPr>
          <w:rFonts w:ascii="Times New Roman" w:hAnsi="Times New Roman" w:cs="Times New Roman"/>
          <w:kern w:val="0"/>
        </w:rPr>
        <w:t>Pohjonen</w:t>
      </w:r>
      <w:proofErr w:type="spellEnd"/>
      <w:r>
        <w:rPr>
          <w:rFonts w:ascii="Times New Roman" w:hAnsi="Times New Roman" w:cs="Times New Roman"/>
          <w:kern w:val="0"/>
        </w:rPr>
        <w:t xml:space="preserve"> T, </w:t>
      </w:r>
      <w:proofErr w:type="spellStart"/>
      <w:r>
        <w:rPr>
          <w:rFonts w:ascii="Times New Roman" w:hAnsi="Times New Roman" w:cs="Times New Roman"/>
          <w:kern w:val="0"/>
        </w:rPr>
        <w:t>Salminen</w:t>
      </w:r>
      <w:proofErr w:type="spellEnd"/>
      <w:r>
        <w:rPr>
          <w:rFonts w:ascii="Times New Roman" w:hAnsi="Times New Roman" w:cs="Times New Roman"/>
          <w:kern w:val="0"/>
        </w:rPr>
        <w:t xml:space="preserve"> L, </w:t>
      </w:r>
      <w:proofErr w:type="spellStart"/>
      <w:r>
        <w:rPr>
          <w:rFonts w:ascii="Times New Roman" w:hAnsi="Times New Roman" w:cs="Times New Roman"/>
          <w:kern w:val="0"/>
        </w:rPr>
        <w:t>Salminen</w:t>
      </w:r>
      <w:proofErr w:type="spellEnd"/>
      <w:r>
        <w:rPr>
          <w:rFonts w:ascii="Times New Roman" w:hAnsi="Times New Roman" w:cs="Times New Roman"/>
          <w:kern w:val="0"/>
        </w:rPr>
        <w:t xml:space="preserve"> A, </w:t>
      </w:r>
      <w:proofErr w:type="spellStart"/>
      <w:r>
        <w:rPr>
          <w:rFonts w:ascii="Times New Roman" w:hAnsi="Times New Roman" w:cs="Times New Roman"/>
          <w:kern w:val="0"/>
        </w:rPr>
        <w:t>Kaarniranta</w:t>
      </w:r>
      <w:proofErr w:type="spellEnd"/>
      <w:r>
        <w:rPr>
          <w:rFonts w:ascii="Times New Roman" w:hAnsi="Times New Roman" w:cs="Times New Roman"/>
          <w:kern w:val="0"/>
        </w:rPr>
        <w:t xml:space="preserve"> K, </w:t>
      </w:r>
      <w:proofErr w:type="spellStart"/>
      <w:r>
        <w:rPr>
          <w:rFonts w:ascii="Times New Roman" w:hAnsi="Times New Roman" w:cs="Times New Roman"/>
          <w:kern w:val="0"/>
        </w:rPr>
        <w:t>Uusitalo</w:t>
      </w:r>
      <w:proofErr w:type="spellEnd"/>
      <w:r>
        <w:rPr>
          <w:rFonts w:ascii="Times New Roman" w:hAnsi="Times New Roman" w:cs="Times New Roman"/>
          <w:kern w:val="0"/>
        </w:rPr>
        <w:t xml:space="preserve"> H. </w:t>
      </w:r>
      <w:r>
        <w:rPr>
          <w:rFonts w:ascii="Times New Roman" w:hAnsi="Times New Roman" w:cs="Times New Roman"/>
          <w:i/>
          <w:iCs/>
          <w:kern w:val="0"/>
        </w:rPr>
        <w:t>In vitro</w:t>
      </w:r>
      <w:r>
        <w:rPr>
          <w:rFonts w:ascii="Times New Roman" w:hAnsi="Times New Roman" w:cs="Times New Roman"/>
          <w:kern w:val="0"/>
        </w:rPr>
        <w:t xml:space="preserve"> biocompatibility of degradable biopolymers in cell line cultures from various ocular tissues: Direct contact studies. J Biomedical Materials Res. 2007 Nov;83</w:t>
      </w:r>
      <w:proofErr w:type="gramStart"/>
      <w:r>
        <w:rPr>
          <w:rFonts w:ascii="Times New Roman" w:hAnsi="Times New Roman" w:cs="Times New Roman"/>
          <w:kern w:val="0"/>
        </w:rPr>
        <w:t>A(</w:t>
      </w:r>
      <w:proofErr w:type="gramEnd"/>
      <w:r>
        <w:rPr>
          <w:rFonts w:ascii="Times New Roman" w:hAnsi="Times New Roman" w:cs="Times New Roman"/>
          <w:kern w:val="0"/>
        </w:rPr>
        <w:t>2):407–13. doi:10.1002/jbm.a.31319</w:t>
      </w:r>
    </w:p>
    <w:p w14:paraId="7756B2FD"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41.</w:t>
      </w:r>
      <w:r>
        <w:rPr>
          <w:rFonts w:ascii="Times New Roman" w:hAnsi="Times New Roman" w:cs="Times New Roman"/>
          <w:kern w:val="0"/>
        </w:rPr>
        <w:tab/>
        <w:t xml:space="preserve">Oishi N, Montes-Moreno S, Feldman AL. In situ neoplasia in lymph node pathology. Seminars in Diagnostic Pathology. 2018 Jan;35(1):76–83. </w:t>
      </w:r>
      <w:proofErr w:type="gramStart"/>
      <w:r>
        <w:rPr>
          <w:rFonts w:ascii="Times New Roman" w:hAnsi="Times New Roman" w:cs="Times New Roman"/>
          <w:kern w:val="0"/>
        </w:rPr>
        <w:t>doi:10.1053/j.semdp</w:t>
      </w:r>
      <w:proofErr w:type="gramEnd"/>
      <w:r>
        <w:rPr>
          <w:rFonts w:ascii="Times New Roman" w:hAnsi="Times New Roman" w:cs="Times New Roman"/>
          <w:kern w:val="0"/>
        </w:rPr>
        <w:t>.2017.11.001</w:t>
      </w:r>
    </w:p>
    <w:p w14:paraId="541D941D"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42.</w:t>
      </w:r>
      <w:r>
        <w:rPr>
          <w:rFonts w:ascii="Times New Roman" w:hAnsi="Times New Roman" w:cs="Times New Roman"/>
          <w:kern w:val="0"/>
        </w:rPr>
        <w:tab/>
        <w:t xml:space="preserve">Ahmed B, Jaiswal S, </w:t>
      </w:r>
      <w:proofErr w:type="spellStart"/>
      <w:r>
        <w:rPr>
          <w:rFonts w:ascii="Times New Roman" w:hAnsi="Times New Roman" w:cs="Times New Roman"/>
          <w:kern w:val="0"/>
        </w:rPr>
        <w:t>Naryal</w:t>
      </w:r>
      <w:proofErr w:type="spellEnd"/>
      <w:r>
        <w:rPr>
          <w:rFonts w:ascii="Times New Roman" w:hAnsi="Times New Roman" w:cs="Times New Roman"/>
          <w:kern w:val="0"/>
        </w:rPr>
        <w:t xml:space="preserve"> S, Shah RM, </w:t>
      </w:r>
      <w:proofErr w:type="spellStart"/>
      <w:r>
        <w:rPr>
          <w:rFonts w:ascii="Times New Roman" w:hAnsi="Times New Roman" w:cs="Times New Roman"/>
          <w:kern w:val="0"/>
        </w:rPr>
        <w:t>Alany</w:t>
      </w:r>
      <w:proofErr w:type="spellEnd"/>
      <w:r>
        <w:rPr>
          <w:rFonts w:ascii="Times New Roman" w:hAnsi="Times New Roman" w:cs="Times New Roman"/>
          <w:kern w:val="0"/>
        </w:rPr>
        <w:t xml:space="preserve"> RG, Kaur IP. In situ gelling systems for ocular drug delivery. Journal of Controlled Release. 2024 </w:t>
      </w:r>
      <w:proofErr w:type="gramStart"/>
      <w:r>
        <w:rPr>
          <w:rFonts w:ascii="Times New Roman" w:hAnsi="Times New Roman" w:cs="Times New Roman"/>
          <w:kern w:val="0"/>
        </w:rPr>
        <w:t>Jul;371:67</w:t>
      </w:r>
      <w:proofErr w:type="gramEnd"/>
      <w:r>
        <w:rPr>
          <w:rFonts w:ascii="Times New Roman" w:hAnsi="Times New Roman" w:cs="Times New Roman"/>
          <w:kern w:val="0"/>
        </w:rPr>
        <w:t xml:space="preserve">–84. </w:t>
      </w:r>
      <w:proofErr w:type="gramStart"/>
      <w:r>
        <w:rPr>
          <w:rFonts w:ascii="Times New Roman" w:hAnsi="Times New Roman" w:cs="Times New Roman"/>
          <w:kern w:val="0"/>
        </w:rPr>
        <w:t>doi:10.1016/j.jconrel</w:t>
      </w:r>
      <w:proofErr w:type="gramEnd"/>
      <w:r>
        <w:rPr>
          <w:rFonts w:ascii="Times New Roman" w:hAnsi="Times New Roman" w:cs="Times New Roman"/>
          <w:kern w:val="0"/>
        </w:rPr>
        <w:t>.2024.05.031</w:t>
      </w:r>
    </w:p>
    <w:p w14:paraId="0DC7EE4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43.</w:t>
      </w:r>
      <w:r>
        <w:rPr>
          <w:rFonts w:ascii="Times New Roman" w:hAnsi="Times New Roman" w:cs="Times New Roman"/>
          <w:kern w:val="0"/>
        </w:rPr>
        <w:tab/>
        <w:t xml:space="preserve">Al </w:t>
      </w:r>
      <w:proofErr w:type="spellStart"/>
      <w:r>
        <w:rPr>
          <w:rFonts w:ascii="Times New Roman" w:hAnsi="Times New Roman" w:cs="Times New Roman"/>
          <w:kern w:val="0"/>
        </w:rPr>
        <w:t>Khateb</w:t>
      </w:r>
      <w:proofErr w:type="spellEnd"/>
      <w:r>
        <w:rPr>
          <w:rFonts w:ascii="Times New Roman" w:hAnsi="Times New Roman" w:cs="Times New Roman"/>
          <w:kern w:val="0"/>
        </w:rPr>
        <w:t xml:space="preserve"> K, </w:t>
      </w:r>
      <w:proofErr w:type="spellStart"/>
      <w:r>
        <w:rPr>
          <w:rFonts w:ascii="Times New Roman" w:hAnsi="Times New Roman" w:cs="Times New Roman"/>
          <w:kern w:val="0"/>
        </w:rPr>
        <w:t>Ozhmukhametova</w:t>
      </w:r>
      <w:proofErr w:type="spellEnd"/>
      <w:r>
        <w:rPr>
          <w:rFonts w:ascii="Times New Roman" w:hAnsi="Times New Roman" w:cs="Times New Roman"/>
          <w:kern w:val="0"/>
        </w:rPr>
        <w:t xml:space="preserve"> EK, </w:t>
      </w:r>
      <w:proofErr w:type="spellStart"/>
      <w:r>
        <w:rPr>
          <w:rFonts w:ascii="Times New Roman" w:hAnsi="Times New Roman" w:cs="Times New Roman"/>
          <w:kern w:val="0"/>
        </w:rPr>
        <w:t>Mussin</w:t>
      </w:r>
      <w:proofErr w:type="spellEnd"/>
      <w:r>
        <w:rPr>
          <w:rFonts w:ascii="Times New Roman" w:hAnsi="Times New Roman" w:cs="Times New Roman"/>
          <w:kern w:val="0"/>
        </w:rPr>
        <w:t xml:space="preserve"> MN, </w:t>
      </w:r>
      <w:proofErr w:type="spellStart"/>
      <w:r>
        <w:rPr>
          <w:rFonts w:ascii="Times New Roman" w:hAnsi="Times New Roman" w:cs="Times New Roman"/>
          <w:kern w:val="0"/>
        </w:rPr>
        <w:t>Seilkhanov</w:t>
      </w:r>
      <w:proofErr w:type="spellEnd"/>
      <w:r>
        <w:rPr>
          <w:rFonts w:ascii="Times New Roman" w:hAnsi="Times New Roman" w:cs="Times New Roman"/>
          <w:kern w:val="0"/>
        </w:rPr>
        <w:t xml:space="preserve"> SK, </w:t>
      </w:r>
      <w:proofErr w:type="spellStart"/>
      <w:r>
        <w:rPr>
          <w:rFonts w:ascii="Times New Roman" w:hAnsi="Times New Roman" w:cs="Times New Roman"/>
          <w:kern w:val="0"/>
        </w:rPr>
        <w:t>Rakhypbekov</w:t>
      </w:r>
      <w:proofErr w:type="spellEnd"/>
      <w:r>
        <w:rPr>
          <w:rFonts w:ascii="Times New Roman" w:hAnsi="Times New Roman" w:cs="Times New Roman"/>
          <w:kern w:val="0"/>
        </w:rPr>
        <w:t xml:space="preserve"> TK, Lau WM, et al. In situ gelling systems based on Pluronic F127/Pluronic F68 formulations for ocular </w:t>
      </w:r>
      <w:r>
        <w:rPr>
          <w:rFonts w:ascii="Times New Roman" w:hAnsi="Times New Roman" w:cs="Times New Roman"/>
          <w:kern w:val="0"/>
        </w:rPr>
        <w:lastRenderedPageBreak/>
        <w:t xml:space="preserve">drug delivery. International Journal of Pharmaceutics. 2016 Apr;502(1–2):70–9. </w:t>
      </w:r>
      <w:proofErr w:type="gramStart"/>
      <w:r>
        <w:rPr>
          <w:rFonts w:ascii="Times New Roman" w:hAnsi="Times New Roman" w:cs="Times New Roman"/>
          <w:kern w:val="0"/>
        </w:rPr>
        <w:t>doi:10.1016/j.ijpharm</w:t>
      </w:r>
      <w:proofErr w:type="gramEnd"/>
      <w:r>
        <w:rPr>
          <w:rFonts w:ascii="Times New Roman" w:hAnsi="Times New Roman" w:cs="Times New Roman"/>
          <w:kern w:val="0"/>
        </w:rPr>
        <w:t>.2016.02.027</w:t>
      </w:r>
    </w:p>
    <w:p w14:paraId="4A0D2084"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44.</w:t>
      </w:r>
      <w:r>
        <w:rPr>
          <w:rFonts w:ascii="Times New Roman" w:hAnsi="Times New Roman" w:cs="Times New Roman"/>
          <w:kern w:val="0"/>
        </w:rPr>
        <w:tab/>
        <w:t xml:space="preserve">Lin HR, Sung KC, </w:t>
      </w:r>
      <w:proofErr w:type="spellStart"/>
      <w:r>
        <w:rPr>
          <w:rFonts w:ascii="Times New Roman" w:hAnsi="Times New Roman" w:cs="Times New Roman"/>
          <w:kern w:val="0"/>
        </w:rPr>
        <w:t>Vong</w:t>
      </w:r>
      <w:proofErr w:type="spellEnd"/>
      <w:r>
        <w:rPr>
          <w:rFonts w:ascii="Times New Roman" w:hAnsi="Times New Roman" w:cs="Times New Roman"/>
          <w:kern w:val="0"/>
        </w:rPr>
        <w:t xml:space="preserve"> WJ. In Situ Gelling of Alginate/Pluronic Solutions for Ophthalmic Delivery of Pilocarpine. Biomacromolecules. 2004 Nov 1;5(6):2358–65. doi:10.1021/bm0496965</w:t>
      </w:r>
    </w:p>
    <w:p w14:paraId="74A5320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45.</w:t>
      </w:r>
      <w:r>
        <w:rPr>
          <w:rFonts w:ascii="Times New Roman" w:hAnsi="Times New Roman" w:cs="Times New Roman"/>
          <w:kern w:val="0"/>
        </w:rPr>
        <w:tab/>
        <w:t xml:space="preserve">Liu Y, Liu J, Zhang X, Zhang R, Huang Y, Wu C. In Situ Gelling </w:t>
      </w:r>
      <w:proofErr w:type="spellStart"/>
      <w:r>
        <w:rPr>
          <w:rFonts w:ascii="Times New Roman" w:hAnsi="Times New Roman" w:cs="Times New Roman"/>
          <w:kern w:val="0"/>
        </w:rPr>
        <w:t>Gelrite</w:t>
      </w:r>
      <w:proofErr w:type="spellEnd"/>
      <w:r>
        <w:rPr>
          <w:rFonts w:ascii="Times New Roman" w:hAnsi="Times New Roman" w:cs="Times New Roman"/>
          <w:kern w:val="0"/>
        </w:rPr>
        <w:t xml:space="preserve">/Alginate Formulations as Vehicles for Ophthalmic Drug Delivery. AAPS </w:t>
      </w:r>
      <w:proofErr w:type="spellStart"/>
      <w:r>
        <w:rPr>
          <w:rFonts w:ascii="Times New Roman" w:hAnsi="Times New Roman" w:cs="Times New Roman"/>
          <w:kern w:val="0"/>
        </w:rPr>
        <w:t>PharmSciTech</w:t>
      </w:r>
      <w:proofErr w:type="spellEnd"/>
      <w:r>
        <w:rPr>
          <w:rFonts w:ascii="Times New Roman" w:hAnsi="Times New Roman" w:cs="Times New Roman"/>
          <w:kern w:val="0"/>
        </w:rPr>
        <w:t>. 2010 Jun;11(2):610–20. doi:10.1208/s12249-010-9413-0</w:t>
      </w:r>
    </w:p>
    <w:p w14:paraId="007E359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46.</w:t>
      </w:r>
      <w:r>
        <w:rPr>
          <w:rFonts w:ascii="Times New Roman" w:hAnsi="Times New Roman" w:cs="Times New Roman"/>
          <w:kern w:val="0"/>
        </w:rPr>
        <w:tab/>
        <w:t xml:space="preserve">Kolawole OM, Cook MT. In situ gelling drug delivery systems for topical drug delivery. European Journal of Pharmaceutics and Biopharmaceutics. 2023 </w:t>
      </w:r>
      <w:proofErr w:type="gramStart"/>
      <w:r>
        <w:rPr>
          <w:rFonts w:ascii="Times New Roman" w:hAnsi="Times New Roman" w:cs="Times New Roman"/>
          <w:kern w:val="0"/>
        </w:rPr>
        <w:t>Mar;184:36</w:t>
      </w:r>
      <w:proofErr w:type="gramEnd"/>
      <w:r>
        <w:rPr>
          <w:rFonts w:ascii="Times New Roman" w:hAnsi="Times New Roman" w:cs="Times New Roman"/>
          <w:kern w:val="0"/>
        </w:rPr>
        <w:t xml:space="preserve">–49. </w:t>
      </w:r>
      <w:proofErr w:type="gramStart"/>
      <w:r>
        <w:rPr>
          <w:rFonts w:ascii="Times New Roman" w:hAnsi="Times New Roman" w:cs="Times New Roman"/>
          <w:kern w:val="0"/>
        </w:rPr>
        <w:t>doi:10.1016/j.ejpb</w:t>
      </w:r>
      <w:proofErr w:type="gramEnd"/>
      <w:r>
        <w:rPr>
          <w:rFonts w:ascii="Times New Roman" w:hAnsi="Times New Roman" w:cs="Times New Roman"/>
          <w:kern w:val="0"/>
        </w:rPr>
        <w:t>.2023.01.007</w:t>
      </w:r>
    </w:p>
    <w:p w14:paraId="04DA373A"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47.</w:t>
      </w:r>
      <w:r>
        <w:rPr>
          <w:rFonts w:ascii="Times New Roman" w:hAnsi="Times New Roman" w:cs="Times New Roman"/>
          <w:kern w:val="0"/>
        </w:rPr>
        <w:tab/>
        <w:t xml:space="preserve">Agrawal AK, Das M, Jain S. </w:t>
      </w:r>
      <w:r>
        <w:rPr>
          <w:rFonts w:ascii="Times New Roman" w:hAnsi="Times New Roman" w:cs="Times New Roman"/>
          <w:i/>
          <w:iCs/>
          <w:kern w:val="0"/>
        </w:rPr>
        <w:t>In situ</w:t>
      </w:r>
      <w:r>
        <w:rPr>
          <w:rFonts w:ascii="Times New Roman" w:hAnsi="Times New Roman" w:cs="Times New Roman"/>
          <w:kern w:val="0"/>
        </w:rPr>
        <w:t xml:space="preserve"> gel systems as ‘smart’ carriers for sustained ocular drug delivery. Expert Opinion on Drug Delivery. 2012 Apr;9(4):383–402. doi:10.1517/17425247.2012.665367</w:t>
      </w:r>
    </w:p>
    <w:p w14:paraId="428551F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48.</w:t>
      </w:r>
      <w:r>
        <w:rPr>
          <w:rFonts w:ascii="Times New Roman" w:hAnsi="Times New Roman" w:cs="Times New Roman"/>
          <w:kern w:val="0"/>
        </w:rPr>
        <w:tab/>
        <w:t xml:space="preserve">Bain MK, Bhowmik M, Ghosh SN, Chattopadhyay D. </w:t>
      </w:r>
      <w:r>
        <w:rPr>
          <w:rFonts w:ascii="Times New Roman" w:hAnsi="Times New Roman" w:cs="Times New Roman"/>
          <w:i/>
          <w:iCs/>
          <w:kern w:val="0"/>
        </w:rPr>
        <w:t>In situ</w:t>
      </w:r>
      <w:r>
        <w:rPr>
          <w:rFonts w:ascii="Times New Roman" w:hAnsi="Times New Roman" w:cs="Times New Roman"/>
          <w:kern w:val="0"/>
        </w:rPr>
        <w:t xml:space="preserve"> fast gelling formulation of methyl cellulose for </w:t>
      </w:r>
      <w:r>
        <w:rPr>
          <w:rFonts w:ascii="Times New Roman" w:hAnsi="Times New Roman" w:cs="Times New Roman"/>
          <w:i/>
          <w:iCs/>
          <w:kern w:val="0"/>
        </w:rPr>
        <w:t>in vitro</w:t>
      </w:r>
      <w:r>
        <w:rPr>
          <w:rFonts w:ascii="Times New Roman" w:hAnsi="Times New Roman" w:cs="Times New Roman"/>
          <w:kern w:val="0"/>
        </w:rPr>
        <w:t xml:space="preserve"> ophthalmic controlled delivery of ketorolac tromethamine. J of Applied Polymer Sci. 2009 Jul 15;113(2):1241–6. doi:10.1002/app.30040</w:t>
      </w:r>
    </w:p>
    <w:p w14:paraId="0FA7127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49.</w:t>
      </w:r>
      <w:r>
        <w:rPr>
          <w:rFonts w:ascii="Times New Roman" w:hAnsi="Times New Roman" w:cs="Times New Roman"/>
          <w:kern w:val="0"/>
        </w:rPr>
        <w:tab/>
        <w:t xml:space="preserve">Keino H, </w:t>
      </w:r>
      <w:proofErr w:type="spellStart"/>
      <w:r>
        <w:rPr>
          <w:rFonts w:ascii="Times New Roman" w:hAnsi="Times New Roman" w:cs="Times New Roman"/>
          <w:kern w:val="0"/>
        </w:rPr>
        <w:t>Horie</w:t>
      </w:r>
      <w:proofErr w:type="spellEnd"/>
      <w:r>
        <w:rPr>
          <w:rFonts w:ascii="Times New Roman" w:hAnsi="Times New Roman" w:cs="Times New Roman"/>
          <w:kern w:val="0"/>
        </w:rPr>
        <w:t xml:space="preserve"> S, Sugita S. Immune Privilege and Eye-Derived T-Regulatory Cells. Journal of Immunology Research. </w:t>
      </w:r>
      <w:proofErr w:type="gramStart"/>
      <w:r>
        <w:rPr>
          <w:rFonts w:ascii="Times New Roman" w:hAnsi="Times New Roman" w:cs="Times New Roman"/>
          <w:kern w:val="0"/>
        </w:rPr>
        <w:t>2018;2018:1</w:t>
      </w:r>
      <w:proofErr w:type="gramEnd"/>
      <w:r>
        <w:rPr>
          <w:rFonts w:ascii="Times New Roman" w:hAnsi="Times New Roman" w:cs="Times New Roman"/>
          <w:kern w:val="0"/>
        </w:rPr>
        <w:t>–12. doi:10.1155/2018/1679197</w:t>
      </w:r>
    </w:p>
    <w:p w14:paraId="177B1DC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50.</w:t>
      </w:r>
      <w:r>
        <w:rPr>
          <w:rFonts w:ascii="Times New Roman" w:hAnsi="Times New Roman" w:cs="Times New Roman"/>
          <w:kern w:val="0"/>
        </w:rPr>
        <w:tab/>
      </w:r>
      <w:proofErr w:type="spellStart"/>
      <w:r>
        <w:rPr>
          <w:rFonts w:ascii="Times New Roman" w:hAnsi="Times New Roman" w:cs="Times New Roman"/>
          <w:kern w:val="0"/>
        </w:rPr>
        <w:t>Kirchhof</w:t>
      </w:r>
      <w:proofErr w:type="spellEnd"/>
      <w:r>
        <w:rPr>
          <w:rFonts w:ascii="Times New Roman" w:hAnsi="Times New Roman" w:cs="Times New Roman"/>
          <w:kern w:val="0"/>
        </w:rPr>
        <w:t xml:space="preserve"> S, </w:t>
      </w:r>
      <w:proofErr w:type="spellStart"/>
      <w:r>
        <w:rPr>
          <w:rFonts w:ascii="Times New Roman" w:hAnsi="Times New Roman" w:cs="Times New Roman"/>
          <w:kern w:val="0"/>
        </w:rPr>
        <w:t>Goepferich</w:t>
      </w:r>
      <w:proofErr w:type="spellEnd"/>
      <w:r>
        <w:rPr>
          <w:rFonts w:ascii="Times New Roman" w:hAnsi="Times New Roman" w:cs="Times New Roman"/>
          <w:kern w:val="0"/>
        </w:rPr>
        <w:t xml:space="preserve"> AM, </w:t>
      </w:r>
      <w:proofErr w:type="spellStart"/>
      <w:r>
        <w:rPr>
          <w:rFonts w:ascii="Times New Roman" w:hAnsi="Times New Roman" w:cs="Times New Roman"/>
          <w:kern w:val="0"/>
        </w:rPr>
        <w:t>Brandl</w:t>
      </w:r>
      <w:proofErr w:type="spellEnd"/>
      <w:r>
        <w:rPr>
          <w:rFonts w:ascii="Times New Roman" w:hAnsi="Times New Roman" w:cs="Times New Roman"/>
          <w:kern w:val="0"/>
        </w:rPr>
        <w:t xml:space="preserve"> FP. Hydrogels in ophthalmic applications. European Journal of Pharmaceutics and Biopharmaceutics. 2015 </w:t>
      </w:r>
      <w:proofErr w:type="gramStart"/>
      <w:r>
        <w:rPr>
          <w:rFonts w:ascii="Times New Roman" w:hAnsi="Times New Roman" w:cs="Times New Roman"/>
          <w:kern w:val="0"/>
        </w:rPr>
        <w:t>Sep;95:227</w:t>
      </w:r>
      <w:proofErr w:type="gramEnd"/>
      <w:r>
        <w:rPr>
          <w:rFonts w:ascii="Times New Roman" w:hAnsi="Times New Roman" w:cs="Times New Roman"/>
          <w:kern w:val="0"/>
        </w:rPr>
        <w:t xml:space="preserve">–38. </w:t>
      </w:r>
      <w:proofErr w:type="gramStart"/>
      <w:r>
        <w:rPr>
          <w:rFonts w:ascii="Times New Roman" w:hAnsi="Times New Roman" w:cs="Times New Roman"/>
          <w:kern w:val="0"/>
        </w:rPr>
        <w:t>doi:10.1016/j.ejpb</w:t>
      </w:r>
      <w:proofErr w:type="gramEnd"/>
      <w:r>
        <w:rPr>
          <w:rFonts w:ascii="Times New Roman" w:hAnsi="Times New Roman" w:cs="Times New Roman"/>
          <w:kern w:val="0"/>
        </w:rPr>
        <w:t>.2015.05.016</w:t>
      </w:r>
    </w:p>
    <w:p w14:paraId="6931C23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51.</w:t>
      </w:r>
      <w:r>
        <w:rPr>
          <w:rFonts w:ascii="Times New Roman" w:hAnsi="Times New Roman" w:cs="Times New Roman"/>
          <w:kern w:val="0"/>
        </w:rPr>
        <w:tab/>
        <w:t xml:space="preserve">Hoare TR, </w:t>
      </w:r>
      <w:proofErr w:type="spellStart"/>
      <w:r>
        <w:rPr>
          <w:rFonts w:ascii="Times New Roman" w:hAnsi="Times New Roman" w:cs="Times New Roman"/>
          <w:kern w:val="0"/>
        </w:rPr>
        <w:t>Kohane</w:t>
      </w:r>
      <w:proofErr w:type="spellEnd"/>
      <w:r>
        <w:rPr>
          <w:rFonts w:ascii="Times New Roman" w:hAnsi="Times New Roman" w:cs="Times New Roman"/>
          <w:kern w:val="0"/>
        </w:rPr>
        <w:t xml:space="preserve"> DS. Hydrogels in drug delivery: Progress and challenges. Polymer. 2008 Apr;49(8):1993–2007. </w:t>
      </w:r>
      <w:proofErr w:type="gramStart"/>
      <w:r>
        <w:rPr>
          <w:rFonts w:ascii="Times New Roman" w:hAnsi="Times New Roman" w:cs="Times New Roman"/>
          <w:kern w:val="0"/>
        </w:rPr>
        <w:t>doi:10.1016/j.polymer</w:t>
      </w:r>
      <w:proofErr w:type="gramEnd"/>
      <w:r>
        <w:rPr>
          <w:rFonts w:ascii="Times New Roman" w:hAnsi="Times New Roman" w:cs="Times New Roman"/>
          <w:kern w:val="0"/>
        </w:rPr>
        <w:t>.2008.01.027</w:t>
      </w:r>
    </w:p>
    <w:p w14:paraId="34F3B16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52.</w:t>
      </w:r>
      <w:r>
        <w:rPr>
          <w:rFonts w:ascii="Times New Roman" w:hAnsi="Times New Roman" w:cs="Times New Roman"/>
          <w:kern w:val="0"/>
        </w:rPr>
        <w:tab/>
        <w:t xml:space="preserve">Chang D, Park K, </w:t>
      </w:r>
      <w:proofErr w:type="spellStart"/>
      <w:r>
        <w:rPr>
          <w:rFonts w:ascii="Times New Roman" w:hAnsi="Times New Roman" w:cs="Times New Roman"/>
          <w:kern w:val="0"/>
        </w:rPr>
        <w:t>Famili</w:t>
      </w:r>
      <w:proofErr w:type="spellEnd"/>
      <w:r>
        <w:rPr>
          <w:rFonts w:ascii="Times New Roman" w:hAnsi="Times New Roman" w:cs="Times New Roman"/>
          <w:kern w:val="0"/>
        </w:rPr>
        <w:t xml:space="preserve"> A. Hydrogels for sustained delivery of biologics to the back of the eye. Drug Discovery Today. 2019 Aug;24(8):1470–82. </w:t>
      </w:r>
      <w:proofErr w:type="gramStart"/>
      <w:r>
        <w:rPr>
          <w:rFonts w:ascii="Times New Roman" w:hAnsi="Times New Roman" w:cs="Times New Roman"/>
          <w:kern w:val="0"/>
        </w:rPr>
        <w:t>doi:10.1016/j.drudis</w:t>
      </w:r>
      <w:proofErr w:type="gramEnd"/>
      <w:r>
        <w:rPr>
          <w:rFonts w:ascii="Times New Roman" w:hAnsi="Times New Roman" w:cs="Times New Roman"/>
          <w:kern w:val="0"/>
        </w:rPr>
        <w:t>.2019.05.037</w:t>
      </w:r>
    </w:p>
    <w:p w14:paraId="03E9DA4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53.</w:t>
      </w:r>
      <w:r>
        <w:rPr>
          <w:rFonts w:ascii="Times New Roman" w:hAnsi="Times New Roman" w:cs="Times New Roman"/>
          <w:kern w:val="0"/>
        </w:rPr>
        <w:tab/>
      </w:r>
      <w:proofErr w:type="spellStart"/>
      <w:r>
        <w:rPr>
          <w:rFonts w:ascii="Times New Roman" w:hAnsi="Times New Roman" w:cs="Times New Roman"/>
          <w:kern w:val="0"/>
        </w:rPr>
        <w:t>Fathi</w:t>
      </w:r>
      <w:proofErr w:type="spellEnd"/>
      <w:r>
        <w:rPr>
          <w:rFonts w:ascii="Times New Roman" w:hAnsi="Times New Roman" w:cs="Times New Roman"/>
          <w:kern w:val="0"/>
        </w:rPr>
        <w:t xml:space="preserve"> M, </w:t>
      </w:r>
      <w:proofErr w:type="spellStart"/>
      <w:r>
        <w:rPr>
          <w:rFonts w:ascii="Times New Roman" w:hAnsi="Times New Roman" w:cs="Times New Roman"/>
          <w:kern w:val="0"/>
        </w:rPr>
        <w:t>Barar</w:t>
      </w:r>
      <w:proofErr w:type="spellEnd"/>
      <w:r>
        <w:rPr>
          <w:rFonts w:ascii="Times New Roman" w:hAnsi="Times New Roman" w:cs="Times New Roman"/>
          <w:kern w:val="0"/>
        </w:rPr>
        <w:t xml:space="preserve"> J, </w:t>
      </w:r>
      <w:proofErr w:type="spellStart"/>
      <w:r>
        <w:rPr>
          <w:rFonts w:ascii="Times New Roman" w:hAnsi="Times New Roman" w:cs="Times New Roman"/>
          <w:kern w:val="0"/>
        </w:rPr>
        <w:t>Aghanejad</w:t>
      </w:r>
      <w:proofErr w:type="spellEnd"/>
      <w:r>
        <w:rPr>
          <w:rFonts w:ascii="Times New Roman" w:hAnsi="Times New Roman" w:cs="Times New Roman"/>
          <w:kern w:val="0"/>
        </w:rPr>
        <w:t xml:space="preserve"> A, </w:t>
      </w:r>
      <w:proofErr w:type="spellStart"/>
      <w:r>
        <w:rPr>
          <w:rFonts w:ascii="Times New Roman" w:hAnsi="Times New Roman" w:cs="Times New Roman"/>
          <w:kern w:val="0"/>
        </w:rPr>
        <w:t>Omidi</w:t>
      </w:r>
      <w:proofErr w:type="spellEnd"/>
      <w:r>
        <w:rPr>
          <w:rFonts w:ascii="Times New Roman" w:hAnsi="Times New Roman" w:cs="Times New Roman"/>
          <w:kern w:val="0"/>
        </w:rPr>
        <w:t xml:space="preserve"> Y. Hydrogels for ocular drug delivery and tissue engineering. </w:t>
      </w:r>
      <w:proofErr w:type="spellStart"/>
      <w:r>
        <w:rPr>
          <w:rFonts w:ascii="Times New Roman" w:hAnsi="Times New Roman" w:cs="Times New Roman"/>
          <w:kern w:val="0"/>
        </w:rPr>
        <w:t>Bioimpacts</w:t>
      </w:r>
      <w:proofErr w:type="spellEnd"/>
      <w:r>
        <w:rPr>
          <w:rFonts w:ascii="Times New Roman" w:hAnsi="Times New Roman" w:cs="Times New Roman"/>
          <w:kern w:val="0"/>
        </w:rPr>
        <w:t>. 2015 Dec 28;5(4):159–64. doi:10.15171/bi.2015.31</w:t>
      </w:r>
    </w:p>
    <w:p w14:paraId="3D683E39"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54.</w:t>
      </w:r>
      <w:r>
        <w:rPr>
          <w:rFonts w:ascii="Times New Roman" w:hAnsi="Times New Roman" w:cs="Times New Roman"/>
          <w:kern w:val="0"/>
        </w:rPr>
        <w:tab/>
        <w:t xml:space="preserve">Hamidi M, Azadi A, </w:t>
      </w:r>
      <w:proofErr w:type="spellStart"/>
      <w:r>
        <w:rPr>
          <w:rFonts w:ascii="Times New Roman" w:hAnsi="Times New Roman" w:cs="Times New Roman"/>
          <w:kern w:val="0"/>
        </w:rPr>
        <w:t>Rafiei</w:t>
      </w:r>
      <w:proofErr w:type="spellEnd"/>
      <w:r>
        <w:rPr>
          <w:rFonts w:ascii="Times New Roman" w:hAnsi="Times New Roman" w:cs="Times New Roman"/>
          <w:kern w:val="0"/>
        </w:rPr>
        <w:t xml:space="preserve"> P. Hydrogel nanoparticles in drug delivery. Advanced Drug Delivery Reviews. 2008 Dec;60(15):1638–49. </w:t>
      </w:r>
      <w:proofErr w:type="gramStart"/>
      <w:r>
        <w:rPr>
          <w:rFonts w:ascii="Times New Roman" w:hAnsi="Times New Roman" w:cs="Times New Roman"/>
          <w:kern w:val="0"/>
        </w:rPr>
        <w:t>doi:10.1016/j.addr</w:t>
      </w:r>
      <w:proofErr w:type="gramEnd"/>
      <w:r>
        <w:rPr>
          <w:rFonts w:ascii="Times New Roman" w:hAnsi="Times New Roman" w:cs="Times New Roman"/>
          <w:kern w:val="0"/>
        </w:rPr>
        <w:t>.2008.08.002</w:t>
      </w:r>
    </w:p>
    <w:p w14:paraId="6327D56A"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55.</w:t>
      </w:r>
      <w:r>
        <w:rPr>
          <w:rFonts w:ascii="Times New Roman" w:hAnsi="Times New Roman" w:cs="Times New Roman"/>
          <w:kern w:val="0"/>
        </w:rPr>
        <w:tab/>
      </w:r>
      <w:proofErr w:type="spellStart"/>
      <w:r>
        <w:rPr>
          <w:rFonts w:ascii="Times New Roman" w:hAnsi="Times New Roman" w:cs="Times New Roman"/>
          <w:kern w:val="0"/>
        </w:rPr>
        <w:t>Dua</w:t>
      </w:r>
      <w:proofErr w:type="spellEnd"/>
      <w:r>
        <w:rPr>
          <w:rFonts w:ascii="Times New Roman" w:hAnsi="Times New Roman" w:cs="Times New Roman"/>
          <w:kern w:val="0"/>
        </w:rPr>
        <w:t xml:space="preserve"> HS, Faraj LA, Said DG, Gray T, Lowe J. Human Corneal Anatomy Redefined. Ophthalmology. 2013 Sep;120(9):1778–85. </w:t>
      </w:r>
      <w:proofErr w:type="gramStart"/>
      <w:r>
        <w:rPr>
          <w:rFonts w:ascii="Times New Roman" w:hAnsi="Times New Roman" w:cs="Times New Roman"/>
          <w:kern w:val="0"/>
        </w:rPr>
        <w:t>doi:10.1016/j.ophtha</w:t>
      </w:r>
      <w:proofErr w:type="gramEnd"/>
      <w:r>
        <w:rPr>
          <w:rFonts w:ascii="Times New Roman" w:hAnsi="Times New Roman" w:cs="Times New Roman"/>
          <w:kern w:val="0"/>
        </w:rPr>
        <w:t>.2013.01.018</w:t>
      </w:r>
    </w:p>
    <w:p w14:paraId="0A33330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56.</w:t>
      </w:r>
      <w:r>
        <w:rPr>
          <w:rFonts w:ascii="Times New Roman" w:hAnsi="Times New Roman" w:cs="Times New Roman"/>
          <w:kern w:val="0"/>
        </w:rPr>
        <w:tab/>
        <w:t xml:space="preserve">Jung HJ, </w:t>
      </w:r>
      <w:proofErr w:type="spellStart"/>
      <w:r>
        <w:rPr>
          <w:rFonts w:ascii="Times New Roman" w:hAnsi="Times New Roman" w:cs="Times New Roman"/>
          <w:kern w:val="0"/>
        </w:rPr>
        <w:t>Abou-Jaoude</w:t>
      </w:r>
      <w:proofErr w:type="spellEnd"/>
      <w:r>
        <w:rPr>
          <w:rFonts w:ascii="Times New Roman" w:hAnsi="Times New Roman" w:cs="Times New Roman"/>
          <w:kern w:val="0"/>
        </w:rPr>
        <w:t xml:space="preserve"> M, </w:t>
      </w:r>
      <w:proofErr w:type="spellStart"/>
      <w:r>
        <w:rPr>
          <w:rFonts w:ascii="Times New Roman" w:hAnsi="Times New Roman" w:cs="Times New Roman"/>
          <w:kern w:val="0"/>
        </w:rPr>
        <w:t>Carbia</w:t>
      </w:r>
      <w:proofErr w:type="spellEnd"/>
      <w:r>
        <w:rPr>
          <w:rFonts w:ascii="Times New Roman" w:hAnsi="Times New Roman" w:cs="Times New Roman"/>
          <w:kern w:val="0"/>
        </w:rPr>
        <w:t xml:space="preserve"> BE, Plummer C, Chauhan A. Glaucoma therapy by extended release of timolol from nanoparticle loaded silicone-hydrogel contact lenses. Journal of Controlled Release. 2013 Jan;165(1):82–9. </w:t>
      </w:r>
      <w:proofErr w:type="gramStart"/>
      <w:r>
        <w:rPr>
          <w:rFonts w:ascii="Times New Roman" w:hAnsi="Times New Roman" w:cs="Times New Roman"/>
          <w:kern w:val="0"/>
        </w:rPr>
        <w:t>doi:10.1016/j.jconrel</w:t>
      </w:r>
      <w:proofErr w:type="gramEnd"/>
      <w:r>
        <w:rPr>
          <w:rFonts w:ascii="Times New Roman" w:hAnsi="Times New Roman" w:cs="Times New Roman"/>
          <w:kern w:val="0"/>
        </w:rPr>
        <w:t>.2012.10.010</w:t>
      </w:r>
    </w:p>
    <w:p w14:paraId="69386BA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57.</w:t>
      </w:r>
      <w:r>
        <w:rPr>
          <w:rFonts w:ascii="Times New Roman" w:hAnsi="Times New Roman" w:cs="Times New Roman"/>
          <w:kern w:val="0"/>
        </w:rPr>
        <w:tab/>
        <w:t xml:space="preserve">Mandal S, </w:t>
      </w:r>
      <w:proofErr w:type="spellStart"/>
      <w:r>
        <w:rPr>
          <w:rFonts w:ascii="Times New Roman" w:hAnsi="Times New Roman" w:cs="Times New Roman"/>
          <w:kern w:val="0"/>
        </w:rPr>
        <w:t>Prabhushankar</w:t>
      </w:r>
      <w:proofErr w:type="spellEnd"/>
      <w:r>
        <w:rPr>
          <w:rFonts w:ascii="Times New Roman" w:hAnsi="Times New Roman" w:cs="Times New Roman"/>
          <w:kern w:val="0"/>
        </w:rPr>
        <w:t xml:space="preserve"> G, </w:t>
      </w:r>
      <w:proofErr w:type="spellStart"/>
      <w:r>
        <w:rPr>
          <w:rFonts w:ascii="Times New Roman" w:hAnsi="Times New Roman" w:cs="Times New Roman"/>
          <w:kern w:val="0"/>
        </w:rPr>
        <w:t>Thimmasetty</w:t>
      </w:r>
      <w:proofErr w:type="spellEnd"/>
      <w:r>
        <w:rPr>
          <w:rFonts w:ascii="Times New Roman" w:hAnsi="Times New Roman" w:cs="Times New Roman"/>
          <w:kern w:val="0"/>
        </w:rPr>
        <w:t xml:space="preserve"> M, Geetha M. Formulation and evaluation of an </w:t>
      </w:r>
      <w:proofErr w:type="gramStart"/>
      <w:r>
        <w:rPr>
          <w:rFonts w:ascii="Times New Roman" w:hAnsi="Times New Roman" w:cs="Times New Roman"/>
          <w:kern w:val="0"/>
        </w:rPr>
        <w:t>in situ</w:t>
      </w:r>
      <w:proofErr w:type="gramEnd"/>
      <w:r>
        <w:rPr>
          <w:rFonts w:ascii="Times New Roman" w:hAnsi="Times New Roman" w:cs="Times New Roman"/>
          <w:kern w:val="0"/>
        </w:rPr>
        <w:t xml:space="preserve"> gel-forming ophthalmic formulation of moxifloxacin hydrochloride. Int J Pharma </w:t>
      </w:r>
      <w:proofErr w:type="spellStart"/>
      <w:r>
        <w:rPr>
          <w:rFonts w:ascii="Times New Roman" w:hAnsi="Times New Roman" w:cs="Times New Roman"/>
          <w:kern w:val="0"/>
        </w:rPr>
        <w:t>Investig</w:t>
      </w:r>
      <w:proofErr w:type="spellEnd"/>
      <w:r>
        <w:rPr>
          <w:rFonts w:ascii="Times New Roman" w:hAnsi="Times New Roman" w:cs="Times New Roman"/>
          <w:kern w:val="0"/>
        </w:rPr>
        <w:t>. 2012;2(2):78. doi:10.4103/2230-973X.100042</w:t>
      </w:r>
    </w:p>
    <w:p w14:paraId="3485D72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58.</w:t>
      </w:r>
      <w:r>
        <w:rPr>
          <w:rFonts w:ascii="Times New Roman" w:hAnsi="Times New Roman" w:cs="Times New Roman"/>
          <w:kern w:val="0"/>
        </w:rPr>
        <w:tab/>
        <w:t xml:space="preserve">Oh DH, Din FU, Kim DW, Kim JO, Yong CS, Choi HG. Flurbiprofen-loaded nanoparticles prepared with polyvinylpyrrolidone using </w:t>
      </w:r>
      <w:proofErr w:type="spellStart"/>
      <w:r>
        <w:rPr>
          <w:rFonts w:ascii="Times New Roman" w:hAnsi="Times New Roman" w:cs="Times New Roman"/>
          <w:kern w:val="0"/>
        </w:rPr>
        <w:t>Shirasu</w:t>
      </w:r>
      <w:proofErr w:type="spellEnd"/>
      <w:r>
        <w:rPr>
          <w:rFonts w:ascii="Times New Roman" w:hAnsi="Times New Roman" w:cs="Times New Roman"/>
          <w:kern w:val="0"/>
        </w:rPr>
        <w:t xml:space="preserve"> porous glass membranes and a spray-drying technique: </w:t>
      </w:r>
      <w:proofErr w:type="spellStart"/>
      <w:r>
        <w:rPr>
          <w:rFonts w:ascii="Times New Roman" w:hAnsi="Times New Roman" w:cs="Times New Roman"/>
          <w:kern w:val="0"/>
        </w:rPr>
        <w:t>nano</w:t>
      </w:r>
      <w:proofErr w:type="spellEnd"/>
      <w:r>
        <w:rPr>
          <w:rFonts w:ascii="Times New Roman" w:hAnsi="Times New Roman" w:cs="Times New Roman"/>
          <w:kern w:val="0"/>
        </w:rPr>
        <w:t>-sized formation and improved bioavailability. Journal of Microencapsulation. 2013 Nov;30(7):674–80. doi:10.3109/02652048.2013.774447</w:t>
      </w:r>
    </w:p>
    <w:p w14:paraId="0D9BE0F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59.</w:t>
      </w:r>
      <w:r>
        <w:rPr>
          <w:rFonts w:ascii="Times New Roman" w:hAnsi="Times New Roman" w:cs="Times New Roman"/>
          <w:kern w:val="0"/>
        </w:rPr>
        <w:tab/>
      </w:r>
      <w:proofErr w:type="spellStart"/>
      <w:r>
        <w:rPr>
          <w:rFonts w:ascii="Times New Roman" w:hAnsi="Times New Roman" w:cs="Times New Roman"/>
          <w:kern w:val="0"/>
        </w:rPr>
        <w:t>Pignatello</w:t>
      </w:r>
      <w:proofErr w:type="spellEnd"/>
      <w:r>
        <w:rPr>
          <w:rFonts w:ascii="Times New Roman" w:hAnsi="Times New Roman" w:cs="Times New Roman"/>
          <w:kern w:val="0"/>
        </w:rPr>
        <w:t xml:space="preserve"> R, </w:t>
      </w:r>
      <w:proofErr w:type="spellStart"/>
      <w:r>
        <w:rPr>
          <w:rFonts w:ascii="Times New Roman" w:hAnsi="Times New Roman" w:cs="Times New Roman"/>
          <w:kern w:val="0"/>
        </w:rPr>
        <w:t>Bucolo</w:t>
      </w:r>
      <w:proofErr w:type="spellEnd"/>
      <w:r>
        <w:rPr>
          <w:rFonts w:ascii="Times New Roman" w:hAnsi="Times New Roman" w:cs="Times New Roman"/>
          <w:kern w:val="0"/>
        </w:rPr>
        <w:t xml:space="preserve"> C, </w:t>
      </w:r>
      <w:proofErr w:type="spellStart"/>
      <w:r>
        <w:rPr>
          <w:rFonts w:ascii="Times New Roman" w:hAnsi="Times New Roman" w:cs="Times New Roman"/>
          <w:kern w:val="0"/>
        </w:rPr>
        <w:t>Spedalieri</w:t>
      </w:r>
      <w:proofErr w:type="spellEnd"/>
      <w:r>
        <w:rPr>
          <w:rFonts w:ascii="Times New Roman" w:hAnsi="Times New Roman" w:cs="Times New Roman"/>
          <w:kern w:val="0"/>
        </w:rPr>
        <w:t xml:space="preserve"> G, Maltese A, Puglisi G. Flurbiprofen-loaded acrylate polymer nanosuspensions for ophthalmic application. Biomaterials. 2002 Aug;23(15):3247–55. doi:10.1016/S0142-9612(02)00080-7</w:t>
      </w:r>
    </w:p>
    <w:p w14:paraId="3011350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60.</w:t>
      </w:r>
      <w:r>
        <w:rPr>
          <w:rFonts w:ascii="Times New Roman" w:hAnsi="Times New Roman" w:cs="Times New Roman"/>
          <w:kern w:val="0"/>
        </w:rPr>
        <w:tab/>
        <w:t xml:space="preserve">Dewan M, </w:t>
      </w:r>
      <w:proofErr w:type="spellStart"/>
      <w:r>
        <w:rPr>
          <w:rFonts w:ascii="Times New Roman" w:hAnsi="Times New Roman" w:cs="Times New Roman"/>
          <w:kern w:val="0"/>
        </w:rPr>
        <w:t>Bhowmick</w:t>
      </w:r>
      <w:proofErr w:type="spellEnd"/>
      <w:r>
        <w:rPr>
          <w:rFonts w:ascii="Times New Roman" w:hAnsi="Times New Roman" w:cs="Times New Roman"/>
          <w:kern w:val="0"/>
        </w:rPr>
        <w:t xml:space="preserve"> B, Sarkar G, Rana D, Bain MK, Bhowmik M, et al. Effect of methyl </w:t>
      </w:r>
      <w:r>
        <w:rPr>
          <w:rFonts w:ascii="Times New Roman" w:hAnsi="Times New Roman" w:cs="Times New Roman"/>
          <w:kern w:val="0"/>
        </w:rPr>
        <w:lastRenderedPageBreak/>
        <w:t xml:space="preserve">cellulose on gelation behavior and drug release from poloxamer based ophthalmic formulations. International Journal of Biological Macromolecules. 2015 </w:t>
      </w:r>
      <w:proofErr w:type="gramStart"/>
      <w:r>
        <w:rPr>
          <w:rFonts w:ascii="Times New Roman" w:hAnsi="Times New Roman" w:cs="Times New Roman"/>
          <w:kern w:val="0"/>
        </w:rPr>
        <w:t>Jan;72:706</w:t>
      </w:r>
      <w:proofErr w:type="gramEnd"/>
      <w:r>
        <w:rPr>
          <w:rFonts w:ascii="Times New Roman" w:hAnsi="Times New Roman" w:cs="Times New Roman"/>
          <w:kern w:val="0"/>
        </w:rPr>
        <w:t xml:space="preserve">–10. </w:t>
      </w:r>
      <w:proofErr w:type="gramStart"/>
      <w:r>
        <w:rPr>
          <w:rFonts w:ascii="Times New Roman" w:hAnsi="Times New Roman" w:cs="Times New Roman"/>
          <w:kern w:val="0"/>
        </w:rPr>
        <w:t>doi:10.1016/j.ijbiomac</w:t>
      </w:r>
      <w:proofErr w:type="gramEnd"/>
      <w:r>
        <w:rPr>
          <w:rFonts w:ascii="Times New Roman" w:hAnsi="Times New Roman" w:cs="Times New Roman"/>
          <w:kern w:val="0"/>
        </w:rPr>
        <w:t>.2014.09.021</w:t>
      </w:r>
    </w:p>
    <w:p w14:paraId="1F2B045D"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61.</w:t>
      </w:r>
      <w:r>
        <w:rPr>
          <w:rFonts w:ascii="Times New Roman" w:hAnsi="Times New Roman" w:cs="Times New Roman"/>
          <w:kern w:val="0"/>
        </w:rPr>
        <w:tab/>
      </w:r>
      <w:proofErr w:type="spellStart"/>
      <w:r>
        <w:rPr>
          <w:rFonts w:ascii="Times New Roman" w:hAnsi="Times New Roman" w:cs="Times New Roman"/>
          <w:kern w:val="0"/>
        </w:rPr>
        <w:t>Kaji</w:t>
      </w:r>
      <w:proofErr w:type="spellEnd"/>
      <w:r>
        <w:rPr>
          <w:rFonts w:ascii="Times New Roman" w:hAnsi="Times New Roman" w:cs="Times New Roman"/>
          <w:kern w:val="0"/>
        </w:rPr>
        <w:t xml:space="preserve"> H, Nagai N, Nishizawa M, Abe T. Drug delivery devices for retinal diseases. Advanced Drug Delivery Reviews. 2018 </w:t>
      </w:r>
      <w:proofErr w:type="gramStart"/>
      <w:r>
        <w:rPr>
          <w:rFonts w:ascii="Times New Roman" w:hAnsi="Times New Roman" w:cs="Times New Roman"/>
          <w:kern w:val="0"/>
        </w:rPr>
        <w:t>Mar;128:148</w:t>
      </w:r>
      <w:proofErr w:type="gramEnd"/>
      <w:r>
        <w:rPr>
          <w:rFonts w:ascii="Times New Roman" w:hAnsi="Times New Roman" w:cs="Times New Roman"/>
          <w:kern w:val="0"/>
        </w:rPr>
        <w:t xml:space="preserve">–57. </w:t>
      </w:r>
      <w:proofErr w:type="gramStart"/>
      <w:r>
        <w:rPr>
          <w:rFonts w:ascii="Times New Roman" w:hAnsi="Times New Roman" w:cs="Times New Roman"/>
          <w:kern w:val="0"/>
        </w:rPr>
        <w:t>doi:10.1016/j.addr</w:t>
      </w:r>
      <w:proofErr w:type="gramEnd"/>
      <w:r>
        <w:rPr>
          <w:rFonts w:ascii="Times New Roman" w:hAnsi="Times New Roman" w:cs="Times New Roman"/>
          <w:kern w:val="0"/>
        </w:rPr>
        <w:t>.2017.07.002</w:t>
      </w:r>
    </w:p>
    <w:p w14:paraId="50532293"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62.</w:t>
      </w:r>
      <w:r>
        <w:rPr>
          <w:rFonts w:ascii="Times New Roman" w:hAnsi="Times New Roman" w:cs="Times New Roman"/>
          <w:kern w:val="0"/>
        </w:rPr>
        <w:tab/>
      </w:r>
      <w:proofErr w:type="spellStart"/>
      <w:r>
        <w:rPr>
          <w:rFonts w:ascii="Times New Roman" w:hAnsi="Times New Roman" w:cs="Times New Roman"/>
          <w:kern w:val="0"/>
        </w:rPr>
        <w:t>Attama</w:t>
      </w:r>
      <w:proofErr w:type="spellEnd"/>
      <w:r>
        <w:rPr>
          <w:rFonts w:ascii="Times New Roman" w:hAnsi="Times New Roman" w:cs="Times New Roman"/>
          <w:kern w:val="0"/>
        </w:rPr>
        <w:t xml:space="preserve"> AA, </w:t>
      </w:r>
      <w:proofErr w:type="spellStart"/>
      <w:r>
        <w:rPr>
          <w:rFonts w:ascii="Times New Roman" w:hAnsi="Times New Roman" w:cs="Times New Roman"/>
          <w:kern w:val="0"/>
        </w:rPr>
        <w:t>Reichl</w:t>
      </w:r>
      <w:proofErr w:type="spellEnd"/>
      <w:r>
        <w:rPr>
          <w:rFonts w:ascii="Times New Roman" w:hAnsi="Times New Roman" w:cs="Times New Roman"/>
          <w:kern w:val="0"/>
        </w:rPr>
        <w:t xml:space="preserve"> S, Müller-</w:t>
      </w:r>
      <w:proofErr w:type="spellStart"/>
      <w:r>
        <w:rPr>
          <w:rFonts w:ascii="Times New Roman" w:hAnsi="Times New Roman" w:cs="Times New Roman"/>
          <w:kern w:val="0"/>
        </w:rPr>
        <w:t>Goymann</w:t>
      </w:r>
      <w:proofErr w:type="spellEnd"/>
      <w:r>
        <w:rPr>
          <w:rFonts w:ascii="Times New Roman" w:hAnsi="Times New Roman" w:cs="Times New Roman"/>
          <w:kern w:val="0"/>
        </w:rPr>
        <w:t xml:space="preserve"> CC. Diclofenac sodium delivery to the eye: In vitro evaluation of novel solid lipid nanoparticle formulation using human cornea construct. International Journal of Pharmaceutics. 2008 May 1;355(1–2):307–13. </w:t>
      </w:r>
      <w:proofErr w:type="gramStart"/>
      <w:r>
        <w:rPr>
          <w:rFonts w:ascii="Times New Roman" w:hAnsi="Times New Roman" w:cs="Times New Roman"/>
          <w:kern w:val="0"/>
        </w:rPr>
        <w:t>doi:10.1016/j.ijpharm</w:t>
      </w:r>
      <w:proofErr w:type="gramEnd"/>
      <w:r>
        <w:rPr>
          <w:rFonts w:ascii="Times New Roman" w:hAnsi="Times New Roman" w:cs="Times New Roman"/>
          <w:kern w:val="0"/>
        </w:rPr>
        <w:t>.2007.12.007</w:t>
      </w:r>
    </w:p>
    <w:p w14:paraId="2062437C"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63.</w:t>
      </w:r>
      <w:r>
        <w:rPr>
          <w:rFonts w:ascii="Times New Roman" w:hAnsi="Times New Roman" w:cs="Times New Roman"/>
          <w:kern w:val="0"/>
        </w:rPr>
        <w:tab/>
        <w:t xml:space="preserve">Li X, Zhang Z, Chen H. Development and evaluation of fast forming </w:t>
      </w:r>
      <w:proofErr w:type="spellStart"/>
      <w:r>
        <w:rPr>
          <w:rFonts w:ascii="Times New Roman" w:hAnsi="Times New Roman" w:cs="Times New Roman"/>
          <w:kern w:val="0"/>
        </w:rPr>
        <w:t>nano</w:t>
      </w:r>
      <w:proofErr w:type="spellEnd"/>
      <w:r>
        <w:rPr>
          <w:rFonts w:ascii="Times New Roman" w:hAnsi="Times New Roman" w:cs="Times New Roman"/>
          <w:kern w:val="0"/>
        </w:rPr>
        <w:t xml:space="preserve">-composite hydrogel for ocular delivery of diclofenac. International Journal of Pharmaceutics. 2013 May;448(1):96–100. </w:t>
      </w:r>
      <w:proofErr w:type="gramStart"/>
      <w:r>
        <w:rPr>
          <w:rFonts w:ascii="Times New Roman" w:hAnsi="Times New Roman" w:cs="Times New Roman"/>
          <w:kern w:val="0"/>
        </w:rPr>
        <w:t>doi:10.1016/j.ijpharm</w:t>
      </w:r>
      <w:proofErr w:type="gramEnd"/>
      <w:r>
        <w:rPr>
          <w:rFonts w:ascii="Times New Roman" w:hAnsi="Times New Roman" w:cs="Times New Roman"/>
          <w:kern w:val="0"/>
        </w:rPr>
        <w:t>.2013.03.024</w:t>
      </w:r>
    </w:p>
    <w:p w14:paraId="74C3BCF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64.</w:t>
      </w:r>
      <w:r>
        <w:rPr>
          <w:rFonts w:ascii="Times New Roman" w:hAnsi="Times New Roman" w:cs="Times New Roman"/>
          <w:kern w:val="0"/>
        </w:rPr>
        <w:tab/>
        <w:t xml:space="preserve">Makwana SB, Patel VA, Parmar SJ. Development and characterization of in-situ gel for ophthalmic formulation containing ciprofloxacin hydrochloride. Results in Pharma Sciences. </w:t>
      </w:r>
      <w:proofErr w:type="gramStart"/>
      <w:r>
        <w:rPr>
          <w:rFonts w:ascii="Times New Roman" w:hAnsi="Times New Roman" w:cs="Times New Roman"/>
          <w:kern w:val="0"/>
        </w:rPr>
        <w:t>2016;6:1</w:t>
      </w:r>
      <w:proofErr w:type="gramEnd"/>
      <w:r>
        <w:rPr>
          <w:rFonts w:ascii="Times New Roman" w:hAnsi="Times New Roman" w:cs="Times New Roman"/>
          <w:kern w:val="0"/>
        </w:rPr>
        <w:t xml:space="preserve">–6. </w:t>
      </w:r>
      <w:proofErr w:type="gramStart"/>
      <w:r>
        <w:rPr>
          <w:rFonts w:ascii="Times New Roman" w:hAnsi="Times New Roman" w:cs="Times New Roman"/>
          <w:kern w:val="0"/>
        </w:rPr>
        <w:t>doi:10.1016/j.rinphs</w:t>
      </w:r>
      <w:proofErr w:type="gramEnd"/>
      <w:r>
        <w:rPr>
          <w:rFonts w:ascii="Times New Roman" w:hAnsi="Times New Roman" w:cs="Times New Roman"/>
          <w:kern w:val="0"/>
        </w:rPr>
        <w:t>.2015.06.001</w:t>
      </w:r>
    </w:p>
    <w:p w14:paraId="14355688"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65.</w:t>
      </w:r>
      <w:r>
        <w:rPr>
          <w:rFonts w:ascii="Times New Roman" w:hAnsi="Times New Roman" w:cs="Times New Roman"/>
          <w:kern w:val="0"/>
        </w:rPr>
        <w:tab/>
      </w:r>
      <w:proofErr w:type="spellStart"/>
      <w:r>
        <w:rPr>
          <w:rFonts w:ascii="Times New Roman" w:hAnsi="Times New Roman" w:cs="Times New Roman"/>
          <w:kern w:val="0"/>
        </w:rPr>
        <w:t>Bíró</w:t>
      </w:r>
      <w:proofErr w:type="spellEnd"/>
      <w:r>
        <w:rPr>
          <w:rFonts w:ascii="Times New Roman" w:hAnsi="Times New Roman" w:cs="Times New Roman"/>
          <w:kern w:val="0"/>
        </w:rPr>
        <w:t xml:space="preserve"> T, Aigner Z. Current Approaches to Use Cyclodextrins and Mucoadhesive Polymers in Ocular Drug Delivery—A Mini-Review. Sci Pharm. 2019 Jun 28;87(3):15. doi:10.3390/scipharm87030015</w:t>
      </w:r>
    </w:p>
    <w:p w14:paraId="5D454A30"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66.</w:t>
      </w:r>
      <w:r>
        <w:rPr>
          <w:rFonts w:ascii="Times New Roman" w:hAnsi="Times New Roman" w:cs="Times New Roman"/>
          <w:kern w:val="0"/>
        </w:rPr>
        <w:tab/>
      </w:r>
      <w:proofErr w:type="spellStart"/>
      <w:r>
        <w:rPr>
          <w:rFonts w:ascii="Times New Roman" w:hAnsi="Times New Roman" w:cs="Times New Roman"/>
          <w:kern w:val="0"/>
        </w:rPr>
        <w:t>Natu</w:t>
      </w:r>
      <w:proofErr w:type="spellEnd"/>
      <w:r>
        <w:rPr>
          <w:rFonts w:ascii="Times New Roman" w:hAnsi="Times New Roman" w:cs="Times New Roman"/>
          <w:kern w:val="0"/>
        </w:rPr>
        <w:t xml:space="preserve"> MV, </w:t>
      </w:r>
      <w:proofErr w:type="spellStart"/>
      <w:r>
        <w:rPr>
          <w:rFonts w:ascii="Times New Roman" w:hAnsi="Times New Roman" w:cs="Times New Roman"/>
          <w:kern w:val="0"/>
        </w:rPr>
        <w:t>Sardinha</w:t>
      </w:r>
      <w:proofErr w:type="spellEnd"/>
      <w:r>
        <w:rPr>
          <w:rFonts w:ascii="Times New Roman" w:hAnsi="Times New Roman" w:cs="Times New Roman"/>
          <w:kern w:val="0"/>
        </w:rPr>
        <w:t xml:space="preserve"> JP, Correia IJ, Gil MH. Controlled release gelatin hydrogels and </w:t>
      </w:r>
      <w:proofErr w:type="spellStart"/>
      <w:r>
        <w:rPr>
          <w:rFonts w:ascii="Times New Roman" w:hAnsi="Times New Roman" w:cs="Times New Roman"/>
          <w:kern w:val="0"/>
        </w:rPr>
        <w:t>lyophilisates</w:t>
      </w:r>
      <w:proofErr w:type="spellEnd"/>
      <w:r>
        <w:rPr>
          <w:rFonts w:ascii="Times New Roman" w:hAnsi="Times New Roman" w:cs="Times New Roman"/>
          <w:kern w:val="0"/>
        </w:rPr>
        <w:t xml:space="preserve"> with potential application as ocular inserts. Biomed Mater. 2007 Dec;2(4):241–9. doi:10.1088/1748-6041/2/4/006</w:t>
      </w:r>
    </w:p>
    <w:p w14:paraId="463C08C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67.</w:t>
      </w:r>
      <w:r>
        <w:rPr>
          <w:rFonts w:ascii="Times New Roman" w:hAnsi="Times New Roman" w:cs="Times New Roman"/>
          <w:kern w:val="0"/>
        </w:rPr>
        <w:tab/>
      </w:r>
      <w:proofErr w:type="spellStart"/>
      <w:r>
        <w:rPr>
          <w:rFonts w:ascii="Times New Roman" w:hAnsi="Times New Roman" w:cs="Times New Roman"/>
          <w:kern w:val="0"/>
        </w:rPr>
        <w:t>Adepu</w:t>
      </w:r>
      <w:proofErr w:type="spellEnd"/>
      <w:r>
        <w:rPr>
          <w:rFonts w:ascii="Times New Roman" w:hAnsi="Times New Roman" w:cs="Times New Roman"/>
          <w:kern w:val="0"/>
        </w:rPr>
        <w:t xml:space="preserve"> S, Ramakrishna S. Controlled Drug Delivery Systems: Current Status and Future Directions. Molecules. 2021 Sep 29;26(19):5905. doi:10.3390/molecules26195905</w:t>
      </w:r>
    </w:p>
    <w:p w14:paraId="08297F0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C07AD4">
        <w:rPr>
          <w:rFonts w:ascii="Times New Roman" w:hAnsi="Times New Roman" w:cs="Times New Roman"/>
          <w:kern w:val="0"/>
          <w:lang w:val="nb-NO"/>
        </w:rPr>
        <w:t>68.</w:t>
      </w:r>
      <w:r w:rsidRPr="00C07AD4">
        <w:rPr>
          <w:rFonts w:ascii="Times New Roman" w:hAnsi="Times New Roman" w:cs="Times New Roman"/>
          <w:kern w:val="0"/>
          <w:lang w:val="nb-NO"/>
        </w:rPr>
        <w:tab/>
        <w:t xml:space="preserve">Yang H, Zhao M, Xing D, Zhang J, Fang T, Zhang F, et al. </w:t>
      </w:r>
      <w:r>
        <w:rPr>
          <w:rFonts w:ascii="Times New Roman" w:hAnsi="Times New Roman" w:cs="Times New Roman"/>
          <w:kern w:val="0"/>
        </w:rPr>
        <w:t xml:space="preserve">Contact lens as an emerging platform for ophthalmic drug delivery: A systematic review. Asian Journal of Pharmaceutical Sciences. 2023 Sep;18(5):100847. </w:t>
      </w:r>
      <w:proofErr w:type="gramStart"/>
      <w:r>
        <w:rPr>
          <w:rFonts w:ascii="Times New Roman" w:hAnsi="Times New Roman" w:cs="Times New Roman"/>
          <w:kern w:val="0"/>
        </w:rPr>
        <w:t>doi:10.1016/j.ajps</w:t>
      </w:r>
      <w:proofErr w:type="gramEnd"/>
      <w:r>
        <w:rPr>
          <w:rFonts w:ascii="Times New Roman" w:hAnsi="Times New Roman" w:cs="Times New Roman"/>
          <w:kern w:val="0"/>
        </w:rPr>
        <w:t>.2023.100847</w:t>
      </w:r>
    </w:p>
    <w:p w14:paraId="3AFA127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69.</w:t>
      </w:r>
      <w:r>
        <w:rPr>
          <w:rFonts w:ascii="Times New Roman" w:hAnsi="Times New Roman" w:cs="Times New Roman"/>
          <w:kern w:val="0"/>
        </w:rPr>
        <w:tab/>
      </w:r>
      <w:proofErr w:type="spellStart"/>
      <w:r>
        <w:rPr>
          <w:rFonts w:ascii="Times New Roman" w:hAnsi="Times New Roman" w:cs="Times New Roman"/>
          <w:kern w:val="0"/>
        </w:rPr>
        <w:t>Ameeduzzafar</w:t>
      </w:r>
      <w:proofErr w:type="spellEnd"/>
      <w:r>
        <w:rPr>
          <w:rFonts w:ascii="Times New Roman" w:hAnsi="Times New Roman" w:cs="Times New Roman"/>
          <w:kern w:val="0"/>
        </w:rPr>
        <w:t xml:space="preserve">, Ali J, </w:t>
      </w:r>
      <w:proofErr w:type="spellStart"/>
      <w:r>
        <w:rPr>
          <w:rFonts w:ascii="Times New Roman" w:hAnsi="Times New Roman" w:cs="Times New Roman"/>
          <w:kern w:val="0"/>
        </w:rPr>
        <w:t>Fazil</w:t>
      </w:r>
      <w:proofErr w:type="spellEnd"/>
      <w:r>
        <w:rPr>
          <w:rFonts w:ascii="Times New Roman" w:hAnsi="Times New Roman" w:cs="Times New Roman"/>
          <w:kern w:val="0"/>
        </w:rPr>
        <w:t xml:space="preserve"> M, </w:t>
      </w:r>
      <w:proofErr w:type="spellStart"/>
      <w:r>
        <w:rPr>
          <w:rFonts w:ascii="Times New Roman" w:hAnsi="Times New Roman" w:cs="Times New Roman"/>
          <w:kern w:val="0"/>
        </w:rPr>
        <w:t>Qumbar</w:t>
      </w:r>
      <w:proofErr w:type="spellEnd"/>
      <w:r>
        <w:rPr>
          <w:rFonts w:ascii="Times New Roman" w:hAnsi="Times New Roman" w:cs="Times New Roman"/>
          <w:kern w:val="0"/>
        </w:rPr>
        <w:t xml:space="preserve"> M, Khan N, Ali A. Colloidal drug delivery system: amplify the ocular delivery. Drug Delivery. 2016 Mar 23;23(3):700–16. doi:10.3109/10717544.2014.923065</w:t>
      </w:r>
    </w:p>
    <w:p w14:paraId="26A45067"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70.</w:t>
      </w:r>
      <w:r>
        <w:rPr>
          <w:rFonts w:ascii="Times New Roman" w:hAnsi="Times New Roman" w:cs="Times New Roman"/>
          <w:kern w:val="0"/>
        </w:rPr>
        <w:tab/>
        <w:t xml:space="preserve">Martens TF, </w:t>
      </w:r>
      <w:proofErr w:type="spellStart"/>
      <w:r>
        <w:rPr>
          <w:rFonts w:ascii="Times New Roman" w:hAnsi="Times New Roman" w:cs="Times New Roman"/>
          <w:kern w:val="0"/>
        </w:rPr>
        <w:t>Remaut</w:t>
      </w:r>
      <w:proofErr w:type="spellEnd"/>
      <w:r>
        <w:rPr>
          <w:rFonts w:ascii="Times New Roman" w:hAnsi="Times New Roman" w:cs="Times New Roman"/>
          <w:kern w:val="0"/>
        </w:rPr>
        <w:t xml:space="preserve"> K, </w:t>
      </w:r>
      <w:proofErr w:type="spellStart"/>
      <w:r>
        <w:rPr>
          <w:rFonts w:ascii="Times New Roman" w:hAnsi="Times New Roman" w:cs="Times New Roman"/>
          <w:kern w:val="0"/>
        </w:rPr>
        <w:t>Deschout</w:t>
      </w:r>
      <w:proofErr w:type="spellEnd"/>
      <w:r>
        <w:rPr>
          <w:rFonts w:ascii="Times New Roman" w:hAnsi="Times New Roman" w:cs="Times New Roman"/>
          <w:kern w:val="0"/>
        </w:rPr>
        <w:t xml:space="preserve"> H, </w:t>
      </w:r>
      <w:proofErr w:type="spellStart"/>
      <w:r>
        <w:rPr>
          <w:rFonts w:ascii="Times New Roman" w:hAnsi="Times New Roman" w:cs="Times New Roman"/>
          <w:kern w:val="0"/>
        </w:rPr>
        <w:t>Engbersen</w:t>
      </w:r>
      <w:proofErr w:type="spellEnd"/>
      <w:r>
        <w:rPr>
          <w:rFonts w:ascii="Times New Roman" w:hAnsi="Times New Roman" w:cs="Times New Roman"/>
          <w:kern w:val="0"/>
        </w:rPr>
        <w:t xml:space="preserve"> JFJ, </w:t>
      </w:r>
      <w:proofErr w:type="spellStart"/>
      <w:r>
        <w:rPr>
          <w:rFonts w:ascii="Times New Roman" w:hAnsi="Times New Roman" w:cs="Times New Roman"/>
          <w:kern w:val="0"/>
        </w:rPr>
        <w:t>Hennink</w:t>
      </w:r>
      <w:proofErr w:type="spellEnd"/>
      <w:r>
        <w:rPr>
          <w:rFonts w:ascii="Times New Roman" w:hAnsi="Times New Roman" w:cs="Times New Roman"/>
          <w:kern w:val="0"/>
        </w:rPr>
        <w:t xml:space="preserve"> WE, Van </w:t>
      </w:r>
      <w:proofErr w:type="spellStart"/>
      <w:r>
        <w:rPr>
          <w:rFonts w:ascii="Times New Roman" w:hAnsi="Times New Roman" w:cs="Times New Roman"/>
          <w:kern w:val="0"/>
        </w:rPr>
        <w:t>Steenbergen</w:t>
      </w:r>
      <w:proofErr w:type="spellEnd"/>
      <w:r>
        <w:rPr>
          <w:rFonts w:ascii="Times New Roman" w:hAnsi="Times New Roman" w:cs="Times New Roman"/>
          <w:kern w:val="0"/>
        </w:rPr>
        <w:t xml:space="preserve"> MJ, et al. Coating nanocarriers with hyaluronic acid facilitates intravitreal drug delivery for retinal gene therapy. Journal of Controlled Release. 2015 </w:t>
      </w:r>
      <w:proofErr w:type="gramStart"/>
      <w:r>
        <w:rPr>
          <w:rFonts w:ascii="Times New Roman" w:hAnsi="Times New Roman" w:cs="Times New Roman"/>
          <w:kern w:val="0"/>
        </w:rPr>
        <w:t>Mar;202:83</w:t>
      </w:r>
      <w:proofErr w:type="gramEnd"/>
      <w:r>
        <w:rPr>
          <w:rFonts w:ascii="Times New Roman" w:hAnsi="Times New Roman" w:cs="Times New Roman"/>
          <w:kern w:val="0"/>
        </w:rPr>
        <w:t xml:space="preserve">–92. </w:t>
      </w:r>
      <w:proofErr w:type="gramStart"/>
      <w:r>
        <w:rPr>
          <w:rFonts w:ascii="Times New Roman" w:hAnsi="Times New Roman" w:cs="Times New Roman"/>
          <w:kern w:val="0"/>
        </w:rPr>
        <w:t>doi:10.1016/j.jconrel</w:t>
      </w:r>
      <w:proofErr w:type="gramEnd"/>
      <w:r>
        <w:rPr>
          <w:rFonts w:ascii="Times New Roman" w:hAnsi="Times New Roman" w:cs="Times New Roman"/>
          <w:kern w:val="0"/>
        </w:rPr>
        <w:t>.2015.01.030</w:t>
      </w:r>
    </w:p>
    <w:p w14:paraId="08AD571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71.</w:t>
      </w:r>
      <w:r>
        <w:rPr>
          <w:rFonts w:ascii="Times New Roman" w:hAnsi="Times New Roman" w:cs="Times New Roman"/>
          <w:kern w:val="0"/>
        </w:rPr>
        <w:tab/>
      </w:r>
      <w:proofErr w:type="spellStart"/>
      <w:r>
        <w:rPr>
          <w:rFonts w:ascii="Times New Roman" w:hAnsi="Times New Roman" w:cs="Times New Roman"/>
          <w:kern w:val="0"/>
        </w:rPr>
        <w:t>Duttagupta</w:t>
      </w:r>
      <w:proofErr w:type="spellEnd"/>
      <w:r>
        <w:rPr>
          <w:rFonts w:ascii="Times New Roman" w:hAnsi="Times New Roman" w:cs="Times New Roman"/>
          <w:kern w:val="0"/>
        </w:rPr>
        <w:t xml:space="preserve"> D, Jadhav V, Kadam V. Chitosan: A Propitious Biopolymer for Drug Delivery. CDD. 2015 Jul 29;12(4):369–81. doi:10.2174/1567201812666150310151657</w:t>
      </w:r>
    </w:p>
    <w:p w14:paraId="7CF2AE65"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72.</w:t>
      </w:r>
      <w:r>
        <w:rPr>
          <w:rFonts w:ascii="Times New Roman" w:hAnsi="Times New Roman" w:cs="Times New Roman"/>
          <w:kern w:val="0"/>
        </w:rPr>
        <w:tab/>
        <w:t xml:space="preserve">Chen X, Li X, Zhou Y, Wang X, Zhang Y, Fan Y, et al. Chitosan-based thermosensitive hydrogel as a promising ocular drug delivery system: Preparation, characterization, and </w:t>
      </w:r>
      <w:r>
        <w:rPr>
          <w:rFonts w:ascii="Times New Roman" w:hAnsi="Times New Roman" w:cs="Times New Roman"/>
          <w:i/>
          <w:iCs/>
          <w:kern w:val="0"/>
        </w:rPr>
        <w:t>in vivo</w:t>
      </w:r>
      <w:r>
        <w:rPr>
          <w:rFonts w:ascii="Times New Roman" w:hAnsi="Times New Roman" w:cs="Times New Roman"/>
          <w:kern w:val="0"/>
        </w:rPr>
        <w:t xml:space="preserve"> evaluation. J </w:t>
      </w:r>
      <w:proofErr w:type="spellStart"/>
      <w:r>
        <w:rPr>
          <w:rFonts w:ascii="Times New Roman" w:hAnsi="Times New Roman" w:cs="Times New Roman"/>
          <w:kern w:val="0"/>
        </w:rPr>
        <w:t>Biomater</w:t>
      </w:r>
      <w:proofErr w:type="spellEnd"/>
      <w:r>
        <w:rPr>
          <w:rFonts w:ascii="Times New Roman" w:hAnsi="Times New Roman" w:cs="Times New Roman"/>
          <w:kern w:val="0"/>
        </w:rPr>
        <w:t xml:space="preserve"> Appl. 2012 Nov;27(4):391–402. doi:10.1177/0885328211406563</w:t>
      </w:r>
    </w:p>
    <w:p w14:paraId="05195CDE"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73.</w:t>
      </w:r>
      <w:r>
        <w:rPr>
          <w:rFonts w:ascii="Times New Roman" w:hAnsi="Times New Roman" w:cs="Times New Roman"/>
          <w:kern w:val="0"/>
        </w:rPr>
        <w:tab/>
        <w:t xml:space="preserve">Bhattarai N, Gunn J, Zhang M. Chitosan-based hydrogels for controlled, localized drug delivery. Advanced Drug Delivery Reviews. 2010 Jan;62(1):83–99. </w:t>
      </w:r>
      <w:proofErr w:type="gramStart"/>
      <w:r>
        <w:rPr>
          <w:rFonts w:ascii="Times New Roman" w:hAnsi="Times New Roman" w:cs="Times New Roman"/>
          <w:kern w:val="0"/>
        </w:rPr>
        <w:t>doi:10.1016/j.addr</w:t>
      </w:r>
      <w:proofErr w:type="gramEnd"/>
      <w:r>
        <w:rPr>
          <w:rFonts w:ascii="Times New Roman" w:hAnsi="Times New Roman" w:cs="Times New Roman"/>
          <w:kern w:val="0"/>
        </w:rPr>
        <w:t>.2009.07.019</w:t>
      </w:r>
    </w:p>
    <w:p w14:paraId="390C740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74.</w:t>
      </w:r>
      <w:r>
        <w:rPr>
          <w:rFonts w:ascii="Times New Roman" w:hAnsi="Times New Roman" w:cs="Times New Roman"/>
          <w:kern w:val="0"/>
        </w:rPr>
        <w:tab/>
      </w:r>
      <w:proofErr w:type="spellStart"/>
      <w:r>
        <w:rPr>
          <w:rFonts w:ascii="Times New Roman" w:hAnsi="Times New Roman" w:cs="Times New Roman"/>
          <w:kern w:val="0"/>
        </w:rPr>
        <w:t>Eljarrat-Binstock</w:t>
      </w:r>
      <w:proofErr w:type="spellEnd"/>
      <w:r>
        <w:rPr>
          <w:rFonts w:ascii="Times New Roman" w:hAnsi="Times New Roman" w:cs="Times New Roman"/>
          <w:kern w:val="0"/>
        </w:rPr>
        <w:t xml:space="preserve"> E, </w:t>
      </w:r>
      <w:proofErr w:type="spellStart"/>
      <w:r>
        <w:rPr>
          <w:rFonts w:ascii="Times New Roman" w:hAnsi="Times New Roman" w:cs="Times New Roman"/>
          <w:kern w:val="0"/>
        </w:rPr>
        <w:t>Orucov</w:t>
      </w:r>
      <w:proofErr w:type="spellEnd"/>
      <w:r>
        <w:rPr>
          <w:rFonts w:ascii="Times New Roman" w:hAnsi="Times New Roman" w:cs="Times New Roman"/>
          <w:kern w:val="0"/>
        </w:rPr>
        <w:t xml:space="preserve"> F, </w:t>
      </w:r>
      <w:proofErr w:type="spellStart"/>
      <w:r>
        <w:rPr>
          <w:rFonts w:ascii="Times New Roman" w:hAnsi="Times New Roman" w:cs="Times New Roman"/>
          <w:kern w:val="0"/>
        </w:rPr>
        <w:t>Aldouby</w:t>
      </w:r>
      <w:proofErr w:type="spellEnd"/>
      <w:r>
        <w:rPr>
          <w:rFonts w:ascii="Times New Roman" w:hAnsi="Times New Roman" w:cs="Times New Roman"/>
          <w:kern w:val="0"/>
        </w:rPr>
        <w:t xml:space="preserve"> Y, </w:t>
      </w:r>
      <w:proofErr w:type="spellStart"/>
      <w:r>
        <w:rPr>
          <w:rFonts w:ascii="Times New Roman" w:hAnsi="Times New Roman" w:cs="Times New Roman"/>
          <w:kern w:val="0"/>
        </w:rPr>
        <w:t>Frucht-Pery</w:t>
      </w:r>
      <w:proofErr w:type="spellEnd"/>
      <w:r>
        <w:rPr>
          <w:rFonts w:ascii="Times New Roman" w:hAnsi="Times New Roman" w:cs="Times New Roman"/>
          <w:kern w:val="0"/>
        </w:rPr>
        <w:t xml:space="preserve"> J, </w:t>
      </w:r>
      <w:proofErr w:type="spellStart"/>
      <w:r>
        <w:rPr>
          <w:rFonts w:ascii="Times New Roman" w:hAnsi="Times New Roman" w:cs="Times New Roman"/>
          <w:kern w:val="0"/>
        </w:rPr>
        <w:t>Domb</w:t>
      </w:r>
      <w:proofErr w:type="spellEnd"/>
      <w:r>
        <w:rPr>
          <w:rFonts w:ascii="Times New Roman" w:hAnsi="Times New Roman" w:cs="Times New Roman"/>
          <w:kern w:val="0"/>
        </w:rPr>
        <w:t xml:space="preserve"> AJ. Charged nanoparticles delivery to the eye using hydrogel iontophoresis. Journal of Controlled Release. 2008 Mar;126(2):156–61. </w:t>
      </w:r>
      <w:proofErr w:type="gramStart"/>
      <w:r>
        <w:rPr>
          <w:rFonts w:ascii="Times New Roman" w:hAnsi="Times New Roman" w:cs="Times New Roman"/>
          <w:kern w:val="0"/>
        </w:rPr>
        <w:t>doi:10.1016/j.jconrel</w:t>
      </w:r>
      <w:proofErr w:type="gramEnd"/>
      <w:r>
        <w:rPr>
          <w:rFonts w:ascii="Times New Roman" w:hAnsi="Times New Roman" w:cs="Times New Roman"/>
          <w:kern w:val="0"/>
        </w:rPr>
        <w:t>.2007.11.016</w:t>
      </w:r>
    </w:p>
    <w:p w14:paraId="2DCB55E2"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75.</w:t>
      </w:r>
      <w:r>
        <w:rPr>
          <w:rFonts w:ascii="Times New Roman" w:hAnsi="Times New Roman" w:cs="Times New Roman"/>
          <w:kern w:val="0"/>
        </w:rPr>
        <w:tab/>
        <w:t xml:space="preserve">Bhattacharya S. Central Composite Design for Response Surface Methodology and Its Application in Pharmacy. In: </w:t>
      </w:r>
      <w:proofErr w:type="spellStart"/>
      <w:r>
        <w:rPr>
          <w:rFonts w:ascii="Times New Roman" w:hAnsi="Times New Roman" w:cs="Times New Roman"/>
          <w:kern w:val="0"/>
        </w:rPr>
        <w:t>Kayaroganam</w:t>
      </w:r>
      <w:proofErr w:type="spellEnd"/>
      <w:r>
        <w:rPr>
          <w:rFonts w:ascii="Times New Roman" w:hAnsi="Times New Roman" w:cs="Times New Roman"/>
          <w:kern w:val="0"/>
        </w:rPr>
        <w:t xml:space="preserve"> P, editor. Response Surface Methodology in </w:t>
      </w:r>
      <w:r>
        <w:rPr>
          <w:rFonts w:ascii="Times New Roman" w:hAnsi="Times New Roman" w:cs="Times New Roman"/>
          <w:kern w:val="0"/>
        </w:rPr>
        <w:lastRenderedPageBreak/>
        <w:t xml:space="preserve">Engineering Science [Internet]. </w:t>
      </w:r>
      <w:proofErr w:type="spellStart"/>
      <w:r>
        <w:rPr>
          <w:rFonts w:ascii="Times New Roman" w:hAnsi="Times New Roman" w:cs="Times New Roman"/>
          <w:kern w:val="0"/>
        </w:rPr>
        <w:t>IntechOpen</w:t>
      </w:r>
      <w:proofErr w:type="spellEnd"/>
      <w:r>
        <w:rPr>
          <w:rFonts w:ascii="Times New Roman" w:hAnsi="Times New Roman" w:cs="Times New Roman"/>
          <w:kern w:val="0"/>
        </w:rPr>
        <w:t>; 2021 [cited 2026 Mar 23]. Available from: https://www.intechopen.com/books/response-surface-methodology-in-engineering-science/central-composite-design-for-response-surface-methodology-and-its-application-in-pharmacy doi:10.5772/intechopen.95835</w:t>
      </w:r>
    </w:p>
    <w:p w14:paraId="6CAA7AD1"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76.</w:t>
      </w:r>
      <w:r>
        <w:rPr>
          <w:rFonts w:ascii="Times New Roman" w:hAnsi="Times New Roman" w:cs="Times New Roman"/>
          <w:kern w:val="0"/>
        </w:rPr>
        <w:tab/>
        <w:t xml:space="preserve">Hassan H, Adam SK, Alias E, </w:t>
      </w:r>
      <w:proofErr w:type="spellStart"/>
      <w:r>
        <w:rPr>
          <w:rFonts w:ascii="Times New Roman" w:hAnsi="Times New Roman" w:cs="Times New Roman"/>
          <w:kern w:val="0"/>
        </w:rPr>
        <w:t>Meor</w:t>
      </w:r>
      <w:proofErr w:type="spellEnd"/>
      <w:r>
        <w:rPr>
          <w:rFonts w:ascii="Times New Roman" w:hAnsi="Times New Roman" w:cs="Times New Roman"/>
          <w:kern w:val="0"/>
        </w:rPr>
        <w:t xml:space="preserve"> </w:t>
      </w:r>
      <w:proofErr w:type="spellStart"/>
      <w:r>
        <w:rPr>
          <w:rFonts w:ascii="Times New Roman" w:hAnsi="Times New Roman" w:cs="Times New Roman"/>
          <w:kern w:val="0"/>
        </w:rPr>
        <w:t>Mohd</w:t>
      </w:r>
      <w:proofErr w:type="spellEnd"/>
      <w:r>
        <w:rPr>
          <w:rFonts w:ascii="Times New Roman" w:hAnsi="Times New Roman" w:cs="Times New Roman"/>
          <w:kern w:val="0"/>
        </w:rPr>
        <w:t xml:space="preserve"> </w:t>
      </w:r>
      <w:proofErr w:type="spellStart"/>
      <w:r>
        <w:rPr>
          <w:rFonts w:ascii="Times New Roman" w:hAnsi="Times New Roman" w:cs="Times New Roman"/>
          <w:kern w:val="0"/>
        </w:rPr>
        <w:t>Affandi</w:t>
      </w:r>
      <w:proofErr w:type="spellEnd"/>
      <w:r>
        <w:rPr>
          <w:rFonts w:ascii="Times New Roman" w:hAnsi="Times New Roman" w:cs="Times New Roman"/>
          <w:kern w:val="0"/>
        </w:rPr>
        <w:t xml:space="preserve"> MMR, Shamsuddin AF, </w:t>
      </w:r>
      <w:proofErr w:type="spellStart"/>
      <w:r>
        <w:rPr>
          <w:rFonts w:ascii="Times New Roman" w:hAnsi="Times New Roman" w:cs="Times New Roman"/>
          <w:kern w:val="0"/>
        </w:rPr>
        <w:t>Basir</w:t>
      </w:r>
      <w:proofErr w:type="spellEnd"/>
      <w:r>
        <w:rPr>
          <w:rFonts w:ascii="Times New Roman" w:hAnsi="Times New Roman" w:cs="Times New Roman"/>
          <w:kern w:val="0"/>
        </w:rPr>
        <w:t xml:space="preserve"> R. Central Composite Design for Formulation and Optimization of Solid Lipid Nanoparticles to Enhance Oral Bioavailability of Acyclovir. Molecules. 2021 Sep 7;26(18):5432. doi:10.3390/molecules26185432</w:t>
      </w:r>
    </w:p>
    <w:p w14:paraId="63369B36"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77.</w:t>
      </w:r>
      <w:r>
        <w:rPr>
          <w:rFonts w:ascii="Times New Roman" w:hAnsi="Times New Roman" w:cs="Times New Roman"/>
          <w:kern w:val="0"/>
        </w:rPr>
        <w:tab/>
      </w:r>
      <w:proofErr w:type="spellStart"/>
      <w:r>
        <w:rPr>
          <w:rFonts w:ascii="Times New Roman" w:hAnsi="Times New Roman" w:cs="Times New Roman"/>
          <w:kern w:val="0"/>
        </w:rPr>
        <w:t>Yessentayeva</w:t>
      </w:r>
      <w:proofErr w:type="spellEnd"/>
      <w:r>
        <w:rPr>
          <w:rFonts w:ascii="Times New Roman" w:hAnsi="Times New Roman" w:cs="Times New Roman"/>
          <w:kern w:val="0"/>
        </w:rPr>
        <w:t xml:space="preserve"> NA, </w:t>
      </w:r>
      <w:proofErr w:type="spellStart"/>
      <w:r>
        <w:rPr>
          <w:rFonts w:ascii="Times New Roman" w:hAnsi="Times New Roman" w:cs="Times New Roman"/>
          <w:kern w:val="0"/>
        </w:rPr>
        <w:t>Galiyeva</w:t>
      </w:r>
      <w:proofErr w:type="spellEnd"/>
      <w:r>
        <w:rPr>
          <w:rFonts w:ascii="Times New Roman" w:hAnsi="Times New Roman" w:cs="Times New Roman"/>
          <w:kern w:val="0"/>
        </w:rPr>
        <w:t xml:space="preserve"> AR, </w:t>
      </w:r>
      <w:proofErr w:type="spellStart"/>
      <w:r>
        <w:rPr>
          <w:rFonts w:ascii="Times New Roman" w:hAnsi="Times New Roman" w:cs="Times New Roman"/>
          <w:kern w:val="0"/>
        </w:rPr>
        <w:t>Sadyrbekov</w:t>
      </w:r>
      <w:proofErr w:type="spellEnd"/>
      <w:r>
        <w:rPr>
          <w:rFonts w:ascii="Times New Roman" w:hAnsi="Times New Roman" w:cs="Times New Roman"/>
          <w:kern w:val="0"/>
        </w:rPr>
        <w:t xml:space="preserve"> DT, </w:t>
      </w:r>
      <w:proofErr w:type="spellStart"/>
      <w:r>
        <w:rPr>
          <w:rFonts w:ascii="Times New Roman" w:hAnsi="Times New Roman" w:cs="Times New Roman"/>
          <w:kern w:val="0"/>
        </w:rPr>
        <w:t>Daribay</w:t>
      </w:r>
      <w:proofErr w:type="spellEnd"/>
      <w:r>
        <w:rPr>
          <w:rFonts w:ascii="Times New Roman" w:hAnsi="Times New Roman" w:cs="Times New Roman"/>
          <w:kern w:val="0"/>
        </w:rPr>
        <w:t xml:space="preserve"> AT, </w:t>
      </w:r>
      <w:proofErr w:type="spellStart"/>
      <w:r>
        <w:rPr>
          <w:rFonts w:ascii="Times New Roman" w:hAnsi="Times New Roman" w:cs="Times New Roman"/>
          <w:kern w:val="0"/>
        </w:rPr>
        <w:t>Tazhbayev</w:t>
      </w:r>
      <w:proofErr w:type="spellEnd"/>
      <w:r>
        <w:rPr>
          <w:rFonts w:ascii="Times New Roman" w:hAnsi="Times New Roman" w:cs="Times New Roman"/>
          <w:kern w:val="0"/>
        </w:rPr>
        <w:t xml:space="preserve"> YM. Central Composite Design for Formulation and Optimization of Rifampicin Loaded Polylactide-Co-</w:t>
      </w:r>
      <w:proofErr w:type="spellStart"/>
      <w:r>
        <w:rPr>
          <w:rFonts w:ascii="Times New Roman" w:hAnsi="Times New Roman" w:cs="Times New Roman"/>
          <w:kern w:val="0"/>
        </w:rPr>
        <w:t>Glycolide</w:t>
      </w:r>
      <w:proofErr w:type="spellEnd"/>
      <w:r>
        <w:rPr>
          <w:rFonts w:ascii="Times New Roman" w:hAnsi="Times New Roman" w:cs="Times New Roman"/>
          <w:kern w:val="0"/>
        </w:rPr>
        <w:t xml:space="preserve"> Nanoparticles [Internet]. Chemistry and Materials Science; 2024 [cited 2026 Mar 23]. Available from: https://www.preprints.org/manuscript/202406.1644/v1 doi:10.20944/preprints</w:t>
      </w:r>
      <w:proofErr w:type="gramStart"/>
      <w:r>
        <w:rPr>
          <w:rFonts w:ascii="Times New Roman" w:hAnsi="Times New Roman" w:cs="Times New Roman"/>
          <w:kern w:val="0"/>
        </w:rPr>
        <w:t>202406.1644.v</w:t>
      </w:r>
      <w:proofErr w:type="gramEnd"/>
      <w:r>
        <w:rPr>
          <w:rFonts w:ascii="Times New Roman" w:hAnsi="Times New Roman" w:cs="Times New Roman"/>
          <w:kern w:val="0"/>
        </w:rPr>
        <w:t>1</w:t>
      </w:r>
    </w:p>
    <w:p w14:paraId="40ED470D"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78.</w:t>
      </w:r>
      <w:r>
        <w:rPr>
          <w:rFonts w:ascii="Times New Roman" w:hAnsi="Times New Roman" w:cs="Times New Roman"/>
          <w:kern w:val="0"/>
        </w:rPr>
        <w:tab/>
        <w:t xml:space="preserve">Jacob J, </w:t>
      </w:r>
      <w:proofErr w:type="spellStart"/>
      <w:r>
        <w:rPr>
          <w:rFonts w:ascii="Times New Roman" w:hAnsi="Times New Roman" w:cs="Times New Roman"/>
          <w:kern w:val="0"/>
        </w:rPr>
        <w:t>Haponiuk</w:t>
      </w:r>
      <w:proofErr w:type="spellEnd"/>
      <w:r>
        <w:rPr>
          <w:rFonts w:ascii="Times New Roman" w:hAnsi="Times New Roman" w:cs="Times New Roman"/>
          <w:kern w:val="0"/>
        </w:rPr>
        <w:t xml:space="preserve"> JT, Thomas S, Gopi S. Biopolymer based nanomaterials in drug delivery systems: A review. Materials Today Chemistry. 2018 </w:t>
      </w:r>
      <w:proofErr w:type="gramStart"/>
      <w:r>
        <w:rPr>
          <w:rFonts w:ascii="Times New Roman" w:hAnsi="Times New Roman" w:cs="Times New Roman"/>
          <w:kern w:val="0"/>
        </w:rPr>
        <w:t>Sep;9:43</w:t>
      </w:r>
      <w:proofErr w:type="gramEnd"/>
      <w:r>
        <w:rPr>
          <w:rFonts w:ascii="Times New Roman" w:hAnsi="Times New Roman" w:cs="Times New Roman"/>
          <w:kern w:val="0"/>
        </w:rPr>
        <w:t xml:space="preserve">–55. </w:t>
      </w:r>
      <w:proofErr w:type="gramStart"/>
      <w:r>
        <w:rPr>
          <w:rFonts w:ascii="Times New Roman" w:hAnsi="Times New Roman" w:cs="Times New Roman"/>
          <w:kern w:val="0"/>
        </w:rPr>
        <w:t>doi:10.1016/j.mtchem</w:t>
      </w:r>
      <w:proofErr w:type="gramEnd"/>
      <w:r>
        <w:rPr>
          <w:rFonts w:ascii="Times New Roman" w:hAnsi="Times New Roman" w:cs="Times New Roman"/>
          <w:kern w:val="0"/>
        </w:rPr>
        <w:t>.2018.05.002</w:t>
      </w:r>
    </w:p>
    <w:p w14:paraId="69CB8ECB" w14:textId="77777777"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79.</w:t>
      </w:r>
      <w:r>
        <w:rPr>
          <w:rFonts w:ascii="Times New Roman" w:hAnsi="Times New Roman" w:cs="Times New Roman"/>
          <w:kern w:val="0"/>
        </w:rPr>
        <w:tab/>
        <w:t>Lee SS, Hughes P, Ross AD, Robinson MR. Biodegradable Implants for Sustained Drug Release in the Eye. Pharm Res. 2010 Oct;27(10):2043–53. doi:10.1007/s11095-010-0159-x</w:t>
      </w:r>
    </w:p>
    <w:p w14:paraId="653F0437" w14:textId="4E41210C" w:rsidR="00383324" w:rsidRDefault="00383324" w:rsidP="0038332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Pr>
          <w:rFonts w:ascii="Times New Roman" w:hAnsi="Times New Roman" w:cs="Times New Roman"/>
          <w:kern w:val="0"/>
        </w:rPr>
        <w:t>80.</w:t>
      </w:r>
      <w:r>
        <w:rPr>
          <w:rFonts w:ascii="Times New Roman" w:hAnsi="Times New Roman" w:cs="Times New Roman"/>
          <w:kern w:val="0"/>
        </w:rPr>
        <w:tab/>
        <w:t xml:space="preserve">Jain D, Carvalho E, Banerjee R. Biodegradable hybrid polymeric membranes for ocular drug delivery. Acta </w:t>
      </w:r>
      <w:proofErr w:type="spellStart"/>
      <w:r>
        <w:rPr>
          <w:rFonts w:ascii="Times New Roman" w:hAnsi="Times New Roman" w:cs="Times New Roman"/>
          <w:kern w:val="0"/>
        </w:rPr>
        <w:t>Biomaterialia</w:t>
      </w:r>
      <w:proofErr w:type="spellEnd"/>
      <w:r>
        <w:rPr>
          <w:rFonts w:ascii="Times New Roman" w:hAnsi="Times New Roman" w:cs="Times New Roman"/>
          <w:kern w:val="0"/>
        </w:rPr>
        <w:t xml:space="preserve">. 2010 Apr;6(4):1370–9. </w:t>
      </w:r>
      <w:proofErr w:type="gramStart"/>
      <w:r>
        <w:rPr>
          <w:rFonts w:ascii="Times New Roman" w:hAnsi="Times New Roman" w:cs="Times New Roman"/>
          <w:kern w:val="0"/>
        </w:rPr>
        <w:t>doi:10.1016/j.actbio</w:t>
      </w:r>
      <w:proofErr w:type="gramEnd"/>
      <w:r>
        <w:rPr>
          <w:rFonts w:ascii="Times New Roman" w:hAnsi="Times New Roman" w:cs="Times New Roman"/>
          <w:kern w:val="0"/>
        </w:rPr>
        <w:t>.2009.11.001</w:t>
      </w:r>
    </w:p>
    <w:p w14:paraId="50D52A80" w14:textId="77777777" w:rsidR="00997C24" w:rsidRPr="00A41E66" w:rsidRDefault="00997C24" w:rsidP="00702417">
      <w:pPr>
        <w:jc w:val="both"/>
        <w:rPr>
          <w:rFonts w:ascii="Times New Roman" w:hAnsi="Times New Roman" w:cs="Times New Roman"/>
        </w:rPr>
      </w:pPr>
    </w:p>
    <w:sectPr w:rsidR="00997C24" w:rsidRPr="00A41E6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E60D2" w14:textId="77777777" w:rsidR="00A21BD9" w:rsidRDefault="00A21BD9" w:rsidP="001714EE">
      <w:pPr>
        <w:spacing w:after="0" w:line="240" w:lineRule="auto"/>
      </w:pPr>
      <w:r>
        <w:separator/>
      </w:r>
    </w:p>
  </w:endnote>
  <w:endnote w:type="continuationSeparator" w:id="0">
    <w:p w14:paraId="0B23D3AF" w14:textId="77777777" w:rsidR="00A21BD9" w:rsidRDefault="00A21BD9" w:rsidP="0017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9504" w14:textId="77777777" w:rsidR="001714EE" w:rsidRDefault="00171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279C5" w14:textId="77777777" w:rsidR="001714EE" w:rsidRDefault="001714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F7865" w14:textId="77777777" w:rsidR="001714EE" w:rsidRDefault="00171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49F8D" w14:textId="77777777" w:rsidR="00A21BD9" w:rsidRDefault="00A21BD9" w:rsidP="001714EE">
      <w:pPr>
        <w:spacing w:after="0" w:line="240" w:lineRule="auto"/>
      </w:pPr>
      <w:r>
        <w:separator/>
      </w:r>
    </w:p>
  </w:footnote>
  <w:footnote w:type="continuationSeparator" w:id="0">
    <w:p w14:paraId="37CAE8B9" w14:textId="77777777" w:rsidR="00A21BD9" w:rsidRDefault="00A21BD9" w:rsidP="00171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6F170" w14:textId="70B9DC40" w:rsidR="001714EE" w:rsidRDefault="00A21BD9">
    <w:pPr>
      <w:pStyle w:val="Header"/>
    </w:pPr>
    <w:r>
      <w:rPr>
        <w:noProof/>
      </w:rPr>
      <w:pict w14:anchorId="53D6C1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161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B6621" w14:textId="3837B383" w:rsidR="001714EE" w:rsidRDefault="00A21BD9">
    <w:pPr>
      <w:pStyle w:val="Header"/>
    </w:pPr>
    <w:r>
      <w:rPr>
        <w:noProof/>
      </w:rPr>
      <w:pict w14:anchorId="6B305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161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C1E51" w14:textId="5F215A1B" w:rsidR="001714EE" w:rsidRDefault="00A21BD9">
    <w:pPr>
      <w:pStyle w:val="Header"/>
    </w:pPr>
    <w:r>
      <w:rPr>
        <w:noProof/>
      </w:rPr>
      <w:pict w14:anchorId="48FAF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161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A0A1D"/>
    <w:multiLevelType w:val="multilevel"/>
    <w:tmpl w:val="353E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1736EDB"/>
    <w:multiLevelType w:val="multilevel"/>
    <w:tmpl w:val="1A5EE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DA2491"/>
    <w:multiLevelType w:val="multilevel"/>
    <w:tmpl w:val="F054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8C74FB9"/>
    <w:multiLevelType w:val="multilevel"/>
    <w:tmpl w:val="75B04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9F5"/>
    <w:rsid w:val="0015728C"/>
    <w:rsid w:val="001714EE"/>
    <w:rsid w:val="001C779C"/>
    <w:rsid w:val="001D0FD4"/>
    <w:rsid w:val="00241F44"/>
    <w:rsid w:val="0026093B"/>
    <w:rsid w:val="00274F01"/>
    <w:rsid w:val="002E0227"/>
    <w:rsid w:val="00342182"/>
    <w:rsid w:val="00344E41"/>
    <w:rsid w:val="0037244D"/>
    <w:rsid w:val="00383324"/>
    <w:rsid w:val="003834F5"/>
    <w:rsid w:val="003D548A"/>
    <w:rsid w:val="00450B9B"/>
    <w:rsid w:val="004836BE"/>
    <w:rsid w:val="0059516C"/>
    <w:rsid w:val="00702417"/>
    <w:rsid w:val="007F2429"/>
    <w:rsid w:val="00897382"/>
    <w:rsid w:val="009419F5"/>
    <w:rsid w:val="009458A7"/>
    <w:rsid w:val="00997C24"/>
    <w:rsid w:val="00A21BD9"/>
    <w:rsid w:val="00A41E66"/>
    <w:rsid w:val="00A707B7"/>
    <w:rsid w:val="00B3263D"/>
    <w:rsid w:val="00BB6B7B"/>
    <w:rsid w:val="00BD3A36"/>
    <w:rsid w:val="00C07AD4"/>
    <w:rsid w:val="00C36063"/>
    <w:rsid w:val="00C742DA"/>
    <w:rsid w:val="00CB020B"/>
    <w:rsid w:val="00DA4CA2"/>
    <w:rsid w:val="00DA7893"/>
    <w:rsid w:val="00DE709A"/>
    <w:rsid w:val="00FA03C1"/>
    <w:rsid w:val="00FA3AE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561A20"/>
  <w15:chartTrackingRefBased/>
  <w15:docId w15:val="{515E454F-51AA-4192-A1D1-39228DC06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9F5"/>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9419F5"/>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9419F5"/>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9419F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19F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19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9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9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9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9F5"/>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9419F5"/>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9419F5"/>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9419F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19F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19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9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9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9F5"/>
    <w:rPr>
      <w:rFonts w:eastAsiaTheme="majorEastAsia" w:cstheme="majorBidi"/>
      <w:color w:val="272727" w:themeColor="text1" w:themeTint="D8"/>
    </w:rPr>
  </w:style>
  <w:style w:type="paragraph" w:styleId="Title">
    <w:name w:val="Title"/>
    <w:basedOn w:val="Normal"/>
    <w:next w:val="Normal"/>
    <w:link w:val="TitleChar"/>
    <w:uiPriority w:val="10"/>
    <w:qFormat/>
    <w:rsid w:val="009419F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9419F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9419F5"/>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9419F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9419F5"/>
    <w:pPr>
      <w:spacing w:before="160"/>
      <w:jc w:val="center"/>
    </w:pPr>
    <w:rPr>
      <w:i/>
      <w:iCs/>
      <w:color w:val="404040" w:themeColor="text1" w:themeTint="BF"/>
    </w:rPr>
  </w:style>
  <w:style w:type="character" w:customStyle="1" w:styleId="QuoteChar">
    <w:name w:val="Quote Char"/>
    <w:basedOn w:val="DefaultParagraphFont"/>
    <w:link w:val="Quote"/>
    <w:uiPriority w:val="29"/>
    <w:rsid w:val="009419F5"/>
    <w:rPr>
      <w:i/>
      <w:iCs/>
      <w:color w:val="404040" w:themeColor="text1" w:themeTint="BF"/>
    </w:rPr>
  </w:style>
  <w:style w:type="paragraph" w:styleId="ListParagraph">
    <w:name w:val="List Paragraph"/>
    <w:basedOn w:val="Normal"/>
    <w:uiPriority w:val="34"/>
    <w:qFormat/>
    <w:rsid w:val="009419F5"/>
    <w:pPr>
      <w:ind w:left="720"/>
      <w:contextualSpacing/>
    </w:pPr>
  </w:style>
  <w:style w:type="character" w:styleId="IntenseEmphasis">
    <w:name w:val="Intense Emphasis"/>
    <w:basedOn w:val="DefaultParagraphFont"/>
    <w:uiPriority w:val="21"/>
    <w:qFormat/>
    <w:rsid w:val="009419F5"/>
    <w:rPr>
      <w:i/>
      <w:iCs/>
      <w:color w:val="2F5496" w:themeColor="accent1" w:themeShade="BF"/>
    </w:rPr>
  </w:style>
  <w:style w:type="paragraph" w:styleId="IntenseQuote">
    <w:name w:val="Intense Quote"/>
    <w:basedOn w:val="Normal"/>
    <w:next w:val="Normal"/>
    <w:link w:val="IntenseQuoteChar"/>
    <w:uiPriority w:val="30"/>
    <w:qFormat/>
    <w:rsid w:val="009419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19F5"/>
    <w:rPr>
      <w:i/>
      <w:iCs/>
      <w:color w:val="2F5496" w:themeColor="accent1" w:themeShade="BF"/>
    </w:rPr>
  </w:style>
  <w:style w:type="character" w:styleId="IntenseReference">
    <w:name w:val="Intense Reference"/>
    <w:basedOn w:val="DefaultParagraphFont"/>
    <w:uiPriority w:val="32"/>
    <w:qFormat/>
    <w:rsid w:val="009419F5"/>
    <w:rPr>
      <w:b/>
      <w:bCs/>
      <w:smallCaps/>
      <w:color w:val="2F5496" w:themeColor="accent1" w:themeShade="BF"/>
      <w:spacing w:val="5"/>
    </w:rPr>
  </w:style>
  <w:style w:type="character" w:styleId="Hyperlink">
    <w:name w:val="Hyperlink"/>
    <w:basedOn w:val="DefaultParagraphFont"/>
    <w:uiPriority w:val="99"/>
    <w:unhideWhenUsed/>
    <w:rsid w:val="00702417"/>
    <w:rPr>
      <w:color w:val="0563C1" w:themeColor="hyperlink"/>
      <w:u w:val="single"/>
    </w:rPr>
  </w:style>
  <w:style w:type="character" w:styleId="UnresolvedMention">
    <w:name w:val="Unresolved Mention"/>
    <w:basedOn w:val="DefaultParagraphFont"/>
    <w:uiPriority w:val="99"/>
    <w:semiHidden/>
    <w:unhideWhenUsed/>
    <w:rsid w:val="00702417"/>
    <w:rPr>
      <w:color w:val="605E5C"/>
      <w:shd w:val="clear" w:color="auto" w:fill="E1DFDD"/>
    </w:rPr>
  </w:style>
  <w:style w:type="table" w:styleId="TableGrid">
    <w:name w:val="Table Grid"/>
    <w:basedOn w:val="TableNormal"/>
    <w:uiPriority w:val="39"/>
    <w:rsid w:val="00C36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1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EE"/>
  </w:style>
  <w:style w:type="paragraph" w:styleId="Footer">
    <w:name w:val="footer"/>
    <w:basedOn w:val="Normal"/>
    <w:link w:val="FooterChar"/>
    <w:uiPriority w:val="99"/>
    <w:unhideWhenUsed/>
    <w:rsid w:val="00171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EE"/>
  </w:style>
  <w:style w:type="paragraph" w:styleId="NoSpacing">
    <w:name w:val="No Spacing"/>
    <w:uiPriority w:val="1"/>
    <w:qFormat/>
    <w:rsid w:val="001C779C"/>
    <w:pPr>
      <w:spacing w:after="0" w:line="240" w:lineRule="auto"/>
    </w:pPr>
    <w:rPr>
      <w:kern w:val="0"/>
      <w:sz w:val="22"/>
      <w:szCs w:val="22"/>
      <w:lang w:val="en-GB"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tandfonline.com/doi/full/10.3109/10717544.2014.987333"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pubmed.ncbi.nlm.nih.gov/38768662/"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38</Pages>
  <Words>14334</Words>
  <Characters>81706</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1179</cp:lastModifiedBy>
  <cp:revision>17</cp:revision>
  <dcterms:created xsi:type="dcterms:W3CDTF">2026-03-22T13:47:00Z</dcterms:created>
  <dcterms:modified xsi:type="dcterms:W3CDTF">2026-03-31T11:34:00Z</dcterms:modified>
</cp:coreProperties>
</file>