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592" w:rsidRPr="004D7592" w:rsidRDefault="004D7592" w:rsidP="004D7592">
      <w:pPr>
        <w:tabs>
          <w:tab w:val="center" w:pos="4680"/>
          <w:tab w:val="left" w:pos="8267"/>
        </w:tabs>
        <w:spacing w:after="0" w:line="360" w:lineRule="auto"/>
        <w:jc w:val="center"/>
        <w:rPr>
          <w:rFonts w:ascii="Times New Roman" w:hAnsi="Times New Roman" w:cs="Times New Roman"/>
          <w:b/>
          <w:bCs/>
          <w:i/>
          <w:iCs/>
          <w:sz w:val="32"/>
          <w:szCs w:val="32"/>
          <w:u w:val="single"/>
        </w:rPr>
      </w:pPr>
      <w:r w:rsidRPr="004D7592">
        <w:rPr>
          <w:rFonts w:ascii="Times New Roman" w:hAnsi="Times New Roman" w:cs="Times New Roman"/>
          <w:b/>
          <w:bCs/>
          <w:i/>
          <w:iCs/>
          <w:sz w:val="32"/>
          <w:szCs w:val="32"/>
          <w:u w:val="single"/>
        </w:rPr>
        <w:t>Original Research Article</w:t>
      </w:r>
    </w:p>
    <w:p w:rsidR="00364EF8" w:rsidRPr="0067352A" w:rsidRDefault="0077197D" w:rsidP="00795513">
      <w:pPr>
        <w:tabs>
          <w:tab w:val="center" w:pos="4680"/>
          <w:tab w:val="left" w:pos="8267"/>
        </w:tabs>
        <w:spacing w:after="0" w:line="360" w:lineRule="auto"/>
        <w:jc w:val="center"/>
        <w:rPr>
          <w:rFonts w:ascii="Times New Roman" w:hAnsi="Times New Roman" w:cs="Times New Roman"/>
          <w:b/>
          <w:sz w:val="32"/>
          <w:szCs w:val="32"/>
        </w:rPr>
      </w:pPr>
      <w:r w:rsidRPr="0067352A">
        <w:rPr>
          <w:rFonts w:ascii="Times New Roman" w:hAnsi="Times New Roman" w:cs="Times New Roman"/>
          <w:b/>
          <w:sz w:val="32"/>
          <w:szCs w:val="32"/>
        </w:rPr>
        <w:t>DRIVING INDIA’</w:t>
      </w:r>
      <w:r w:rsidR="00795513" w:rsidRPr="0067352A">
        <w:rPr>
          <w:rFonts w:ascii="Times New Roman" w:hAnsi="Times New Roman" w:cs="Times New Roman"/>
          <w:b/>
          <w:sz w:val="32"/>
          <w:szCs w:val="32"/>
        </w:rPr>
        <w:t>S GREEN FUTURE: CHALLENGES IN ELECTRIC VEHICLE ADOPTION</w:t>
      </w:r>
    </w:p>
    <w:p w:rsidR="0067352A" w:rsidRDefault="0067352A" w:rsidP="00364EF8">
      <w:pPr>
        <w:spacing w:after="0" w:line="240" w:lineRule="auto"/>
        <w:jc w:val="center"/>
        <w:rPr>
          <w:rFonts w:ascii="Times New Roman" w:hAnsi="Times New Roman" w:cs="Times New Roman"/>
          <w:sz w:val="24"/>
          <w:szCs w:val="24"/>
        </w:rPr>
      </w:pPr>
    </w:p>
    <w:p w:rsidR="009B351F" w:rsidRPr="0067352A" w:rsidRDefault="009B351F" w:rsidP="00364EF8">
      <w:pPr>
        <w:spacing w:after="0" w:line="240" w:lineRule="auto"/>
        <w:jc w:val="center"/>
        <w:rPr>
          <w:rFonts w:ascii="Times New Roman" w:hAnsi="Times New Roman" w:cs="Times New Roman"/>
          <w:sz w:val="24"/>
          <w:szCs w:val="24"/>
        </w:rPr>
      </w:pPr>
    </w:p>
    <w:p w:rsidR="00364EF8" w:rsidRPr="0067352A" w:rsidRDefault="00364EF8" w:rsidP="00364EF8">
      <w:pPr>
        <w:spacing w:after="0" w:line="360" w:lineRule="auto"/>
        <w:jc w:val="both"/>
        <w:outlineLvl w:val="1"/>
        <w:rPr>
          <w:rFonts w:ascii="Times New Roman" w:eastAsia="Times New Roman" w:hAnsi="Times New Roman" w:cs="Times New Roman"/>
          <w:b/>
          <w:bCs/>
          <w:sz w:val="28"/>
          <w:szCs w:val="28"/>
        </w:rPr>
      </w:pPr>
      <w:r w:rsidRPr="0067352A">
        <w:rPr>
          <w:rFonts w:ascii="Times New Roman" w:eastAsia="Times New Roman" w:hAnsi="Times New Roman" w:cs="Times New Roman"/>
          <w:b/>
          <w:bCs/>
          <w:sz w:val="28"/>
          <w:szCs w:val="28"/>
        </w:rPr>
        <w:t>ABSTRACT</w:t>
      </w:r>
    </w:p>
    <w:p w:rsidR="00364EF8" w:rsidRPr="0067352A" w:rsidRDefault="00364EF8" w:rsidP="00364EF8">
      <w:pPr>
        <w:spacing w:after="0" w:line="360" w:lineRule="auto"/>
        <w:jc w:val="both"/>
        <w:outlineLvl w:val="1"/>
        <w:rPr>
          <w:rFonts w:ascii="Times New Roman" w:hAnsi="Times New Roman" w:cs="Times New Roman"/>
          <w:bCs/>
          <w:sz w:val="24"/>
          <w:szCs w:val="24"/>
        </w:rPr>
      </w:pPr>
      <w:r w:rsidRPr="0067352A">
        <w:rPr>
          <w:rFonts w:ascii="Times New Roman" w:eastAsia="Times New Roman" w:hAnsi="Times New Roman" w:cs="Times New Roman"/>
          <w:bCs/>
          <w:sz w:val="24"/>
          <w:szCs w:val="24"/>
        </w:rPr>
        <w:t xml:space="preserve">     Transportation plays a vital role in the economic development, trade and connectivity. The traditional transport system which is based on petrol and diesel vehicles contributes significantly to greenhouse gas emissions and urban air pollution. This transition towards sustainable transportation has become a major policy priority in India due to the rising environmental concerns, increasing fuel consumption and the need to reduce carbon emissions. Electric Vehicles (EVs) are considered as a key solution for promoting clean and energy efficient mobility. To accelerate the adoption of EVs, the Government of India has introduced many schemes among them the Faster Adoption and Manufacturing of Hybrid and Electric Vehicles (FAME) India Scheme under the National Electric Mobility Mission Plan plays a key role. This study</w:t>
      </w:r>
      <w:r w:rsidRPr="0067352A">
        <w:rPr>
          <w:rFonts w:ascii="Times New Roman" w:hAnsi="Times New Roman" w:cs="Times New Roman"/>
          <w:bCs/>
          <w:sz w:val="24"/>
          <w:szCs w:val="24"/>
        </w:rPr>
        <w:t xml:space="preserve"> analyzes the current status and growth trends of electric vehicles adoption, role of government policies and initiatives in promoting electric mobility in India, and to identify the major infrastructural challenges, economic and technological barriers. This study is completely based on secondary data and focuses on EV adoption trends, development of charging infrastructure and growth of domestic EV manufacturing. The findings reveal that the FAME II scheme significantly contributed to the rapid growth of EV adoption particularly in the two wheeler and three wheeler segments while also supporting the expansion of charging infrastructure across major cities and highways. However, challenges such as high initial costs, infrastructure gaps remains. This study concludes that continued policy support and integrated ecosystem development are essential for accelerating mobility in India. </w:t>
      </w:r>
    </w:p>
    <w:p w:rsidR="00364EF8" w:rsidRPr="0067352A" w:rsidRDefault="00364EF8" w:rsidP="00364EF8">
      <w:pPr>
        <w:tabs>
          <w:tab w:val="left" w:pos="2160"/>
          <w:tab w:val="left" w:pos="7240"/>
        </w:tabs>
        <w:spacing w:after="0" w:line="360" w:lineRule="auto"/>
        <w:jc w:val="both"/>
        <w:outlineLvl w:val="1"/>
        <w:rPr>
          <w:rFonts w:ascii="Times New Roman" w:hAnsi="Times New Roman" w:cs="Times New Roman"/>
          <w:b/>
          <w:bCs/>
          <w:sz w:val="28"/>
          <w:szCs w:val="28"/>
        </w:rPr>
      </w:pPr>
      <w:r w:rsidRPr="0067352A">
        <w:rPr>
          <w:rFonts w:ascii="Times New Roman" w:hAnsi="Times New Roman" w:cs="Times New Roman"/>
          <w:b/>
          <w:bCs/>
          <w:sz w:val="28"/>
          <w:szCs w:val="28"/>
        </w:rPr>
        <w:t>KEY WORDS</w:t>
      </w:r>
      <w:r w:rsidRPr="0067352A">
        <w:rPr>
          <w:rFonts w:ascii="Times New Roman" w:hAnsi="Times New Roman" w:cs="Times New Roman"/>
          <w:b/>
          <w:bCs/>
          <w:sz w:val="28"/>
          <w:szCs w:val="28"/>
        </w:rPr>
        <w:tab/>
      </w:r>
      <w:r w:rsidRPr="0067352A">
        <w:rPr>
          <w:rFonts w:ascii="Times New Roman" w:hAnsi="Times New Roman" w:cs="Times New Roman"/>
          <w:b/>
          <w:bCs/>
          <w:sz w:val="28"/>
          <w:szCs w:val="28"/>
        </w:rPr>
        <w:tab/>
      </w:r>
    </w:p>
    <w:p w:rsidR="00364EF8" w:rsidRPr="0067352A" w:rsidRDefault="00364EF8" w:rsidP="00364EF8">
      <w:pPr>
        <w:tabs>
          <w:tab w:val="left" w:pos="2160"/>
        </w:tabs>
        <w:spacing w:after="0" w:line="360" w:lineRule="auto"/>
        <w:jc w:val="both"/>
        <w:outlineLvl w:val="1"/>
        <w:rPr>
          <w:rFonts w:ascii="Times New Roman" w:hAnsi="Times New Roman" w:cs="Times New Roman"/>
          <w:sz w:val="24"/>
          <w:szCs w:val="24"/>
        </w:rPr>
      </w:pPr>
      <w:r w:rsidRPr="0067352A">
        <w:rPr>
          <w:rFonts w:ascii="Times New Roman" w:hAnsi="Times New Roman" w:cs="Times New Roman"/>
          <w:sz w:val="24"/>
          <w:szCs w:val="24"/>
        </w:rPr>
        <w:t>Electric Vehicles (EVs), Sustainable Transportation, EV Adoption, Charging Infrastructure, EV Ecosystem Development</w:t>
      </w:r>
    </w:p>
    <w:p w:rsidR="00A64D35" w:rsidRPr="0067352A" w:rsidRDefault="005D2BA8" w:rsidP="00A64D35">
      <w:pPr>
        <w:tabs>
          <w:tab w:val="left" w:pos="2160"/>
        </w:tabs>
        <w:spacing w:after="0" w:line="360" w:lineRule="auto"/>
        <w:jc w:val="both"/>
        <w:outlineLvl w:val="1"/>
        <w:rPr>
          <w:rFonts w:ascii="Times New Roman" w:hAnsi="Times New Roman" w:cs="Times New Roman"/>
          <w:b/>
          <w:sz w:val="28"/>
          <w:szCs w:val="28"/>
        </w:rPr>
      </w:pPr>
      <w:r w:rsidRPr="0067352A">
        <w:rPr>
          <w:rFonts w:ascii="Times New Roman" w:hAnsi="Times New Roman" w:cs="Times New Roman"/>
          <w:b/>
          <w:sz w:val="28"/>
          <w:szCs w:val="28"/>
        </w:rPr>
        <w:t xml:space="preserve">I </w:t>
      </w:r>
      <w:r w:rsidR="00364EF8" w:rsidRPr="0067352A">
        <w:rPr>
          <w:rFonts w:ascii="Times New Roman" w:hAnsi="Times New Roman" w:cs="Times New Roman"/>
          <w:b/>
          <w:sz w:val="28"/>
          <w:szCs w:val="28"/>
        </w:rPr>
        <w:t>INTRODUCTION</w:t>
      </w:r>
    </w:p>
    <w:p w:rsidR="00A64D35" w:rsidRPr="0067352A" w:rsidRDefault="00A64D35" w:rsidP="00A64D35">
      <w:pPr>
        <w:tabs>
          <w:tab w:val="left" w:pos="2160"/>
        </w:tabs>
        <w:spacing w:after="0" w:line="360" w:lineRule="auto"/>
        <w:jc w:val="both"/>
        <w:outlineLvl w:val="1"/>
        <w:rPr>
          <w:rFonts w:ascii="Times New Roman" w:hAnsi="Times New Roman" w:cs="Times New Roman"/>
          <w:b/>
          <w:bCs/>
          <w:sz w:val="24"/>
          <w:szCs w:val="24"/>
        </w:rPr>
      </w:pPr>
      <w:r w:rsidRPr="0067352A">
        <w:rPr>
          <w:rFonts w:ascii="Times New Roman" w:hAnsi="Times New Roman" w:cs="Times New Roman"/>
          <w:sz w:val="24"/>
          <w:szCs w:val="24"/>
        </w:rPr>
        <w:lastRenderedPageBreak/>
        <w:t>The transportation sector is a key driver of economic growth; however, it is also a significant source of environmental degradation and greenhouse gas emissions. In the Indian context, the rapid expansion of motorized vehicles has resulted in higher fuel consumption, deteriorating air quality, and an increased dependence on fossil fuels. These issues have intensified the need for sustainable and energy-efficient transportation alternatives. Electric vehicles (EVs) have gained prominence as a viable substitute for conventional internal combustion engine vehicles, as they contribute to the reduction of carbon emissions, enhancement of air quality, and decreased reliance on imported petroleum.</w:t>
      </w:r>
    </w:p>
    <w:p w:rsidR="00A64D35" w:rsidRPr="0067352A" w:rsidRDefault="00A64D35" w:rsidP="00A64D35">
      <w:pPr>
        <w:pStyle w:val="NormalWeb"/>
        <w:spacing w:line="360" w:lineRule="auto"/>
        <w:jc w:val="both"/>
      </w:pPr>
      <w:r w:rsidRPr="0067352A">
        <w:t>In response to the growing importance of electric mobility, the Government of India introduced the Faster Adoption and Manufacturing of Hybrid and Electric Vehicles (FAME) India Scheme under the National Electric Mobility Mission Plan. This initiative focuses on accelerating EV adoption through financial incentives, expansion of charging infrastructure, technological advancements, and the promotion of domestic manufacturing capabilities. The implementation of FAME Phase I and Phase II has played a vital role in strengthening India’s EV ecosystem by facilitating vehicle adoption and supporting the development of charging infrastructure.</w:t>
      </w:r>
    </w:p>
    <w:p w:rsidR="0082074E" w:rsidRPr="0067352A" w:rsidRDefault="00A64D35" w:rsidP="00885A7E">
      <w:pPr>
        <w:pStyle w:val="NormalWeb"/>
        <w:spacing w:line="360" w:lineRule="auto"/>
        <w:jc w:val="both"/>
      </w:pPr>
      <w:r w:rsidRPr="0067352A">
        <w:t>In recent years, India has experienced a notable rise in EV adoption, particularly in the two-wheeler and three-wheeler segments. Despite this progress, challenges such as inadequate charging infrastructure, high initial costs, and limited consumer awareness continue to hinder widespread adoption. Against this backdrop, the present study examines the impact of the FAME India Scheme on the growth and development of the electric vehicle ecosystem in India.</w:t>
      </w:r>
      <w:r w:rsidRPr="0067352A">
        <w:tab/>
      </w:r>
    </w:p>
    <w:p w:rsidR="00FE265B" w:rsidRPr="0067352A" w:rsidRDefault="005D2BA8" w:rsidP="00CD6C4F">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67352A">
        <w:rPr>
          <w:rFonts w:ascii="Times New Roman" w:eastAsia="Times New Roman" w:hAnsi="Times New Roman" w:cs="Times New Roman"/>
          <w:b/>
          <w:bCs/>
          <w:sz w:val="28"/>
          <w:szCs w:val="28"/>
        </w:rPr>
        <w:t xml:space="preserve">II </w:t>
      </w:r>
      <w:r w:rsidR="00364EF8" w:rsidRPr="0067352A">
        <w:rPr>
          <w:rFonts w:ascii="Times New Roman" w:eastAsia="Times New Roman" w:hAnsi="Times New Roman" w:cs="Times New Roman"/>
          <w:b/>
          <w:bCs/>
          <w:sz w:val="28"/>
          <w:szCs w:val="28"/>
        </w:rPr>
        <w:t>REVIEW OF LITERATURE</w:t>
      </w:r>
    </w:p>
    <w:p w:rsidR="00CE3A13" w:rsidRDefault="00CE3A13" w:rsidP="00CE3A13">
      <w:pPr>
        <w:pStyle w:val="NormalWeb"/>
        <w:spacing w:line="360" w:lineRule="auto"/>
        <w:jc w:val="both"/>
      </w:pPr>
      <w:r>
        <w:rPr>
          <w:rStyle w:val="Strong"/>
        </w:rPr>
        <w:t>1. Zaino et al. (2024)</w:t>
      </w:r>
      <w:r>
        <w:t xml:space="preserve"> conducted a systematic review on electric vehicle (EV) adoption and identified that government incentives, technological advancements, and environmental concerns are the major drivers of EV growth. However, the study also highlighted key challenges such as limited charging infrastructure and battery-related constraints that hinder large-scale adoption.</w:t>
      </w:r>
    </w:p>
    <w:p w:rsidR="00CE3A13" w:rsidRDefault="00CE3A13" w:rsidP="00CE3A13">
      <w:pPr>
        <w:pStyle w:val="NormalWeb"/>
        <w:spacing w:line="360" w:lineRule="auto"/>
        <w:jc w:val="both"/>
      </w:pPr>
      <w:r>
        <w:rPr>
          <w:rStyle w:val="Strong"/>
        </w:rPr>
        <w:t>2. Higueras-Castillo et al. (2024)</w:t>
      </w:r>
      <w:r>
        <w:t xml:space="preserve"> examined factors influencing EV adoption across different countries and found that consumer perception, environmental awareness, and policy support </w:t>
      </w:r>
      <w:r>
        <w:lastRenderedPageBreak/>
        <w:t>significantly affect adoption intentions. The study emphasizes the importance of socio-economic factors in shaping EV demand.</w:t>
      </w:r>
    </w:p>
    <w:p w:rsidR="00CE3A13" w:rsidRDefault="00CE3A13" w:rsidP="00CE3A13">
      <w:pPr>
        <w:pStyle w:val="NormalWeb"/>
        <w:spacing w:line="360" w:lineRule="auto"/>
        <w:jc w:val="both"/>
      </w:pPr>
      <w:r>
        <w:rPr>
          <w:rStyle w:val="Strong"/>
        </w:rPr>
        <w:t>3. Sakshi et al. (2025)</w:t>
      </w:r>
      <w:r>
        <w:t xml:space="preserve"> analyzed behavioral aspects of EV adoption and concluded that factors such as green self-identity, technological compatibility, and brand engagement influence consumer willingness to adopt EVs. The study highlights the role of psychological and behavioral factors in EV adoption.</w:t>
      </w:r>
    </w:p>
    <w:p w:rsidR="00CE3A13" w:rsidRDefault="00CE3A13" w:rsidP="00CE3A13">
      <w:pPr>
        <w:pStyle w:val="NormalWeb"/>
        <w:spacing w:line="360" w:lineRule="auto"/>
        <w:jc w:val="both"/>
      </w:pPr>
      <w:r>
        <w:rPr>
          <w:rStyle w:val="Strong"/>
        </w:rPr>
        <w:t>4. Dhairiyasamy and Gabriel (2025)</w:t>
      </w:r>
      <w:r>
        <w:t xml:space="preserve"> focused on sustainable mobility in India and found that domestic production and policy support are essential for strengthening the EV ecosystem. The study suggests that reducing import dependence and promoting local manufacturing can accelerate EV growth.</w:t>
      </w:r>
    </w:p>
    <w:p w:rsidR="00CE3A13" w:rsidRDefault="00CE3A13" w:rsidP="00CE3A13">
      <w:pPr>
        <w:pStyle w:val="NormalWeb"/>
        <w:spacing w:line="360" w:lineRule="auto"/>
        <w:jc w:val="both"/>
      </w:pPr>
      <w:r>
        <w:rPr>
          <w:b/>
        </w:rPr>
        <w:t>5.</w:t>
      </w:r>
      <w:r>
        <w:t xml:space="preserve">An </w:t>
      </w:r>
      <w:r>
        <w:rPr>
          <w:rStyle w:val="Strong"/>
        </w:rPr>
        <w:t>empirical study published in Transport Policy (2024)</w:t>
      </w:r>
      <w:r>
        <w:t xml:space="preserve"> highlighted that EV adoption is influenced by cost, infrastructure availability, and government incentives. The study concluded that improving charging infrastructure and reducing vehicle costs are critical for increasing EV penetration.</w:t>
      </w:r>
    </w:p>
    <w:p w:rsidR="00CE3A13" w:rsidRPr="00CE3A13" w:rsidRDefault="00CE3A13" w:rsidP="00CE3A13">
      <w:pPr>
        <w:pStyle w:val="NormalWeb"/>
        <w:spacing w:line="360" w:lineRule="auto"/>
        <w:jc w:val="both"/>
      </w:pPr>
      <w:r>
        <w:rPr>
          <w:b/>
        </w:rPr>
        <w:t>4.</w:t>
      </w:r>
      <w:r>
        <w:t xml:space="preserve"> </w:t>
      </w:r>
      <w:r w:rsidRPr="00C050F2">
        <w:rPr>
          <w:rStyle w:val="Strong"/>
        </w:rPr>
        <w:t>Attri &amp; Kushwaha (2024)</w:t>
      </w:r>
      <w:r w:rsidRPr="00C050F2">
        <w:t xml:space="preserve"> studied consumer behavior and factors influencing EV adoption in India using the UTAUT2 model. The findings revealed that performance expectancy, social influence, and facilitating conditions significantly impact consumers’ intention to adopt EVs, while cost and infrastructure limitations remain key barriers</w:t>
      </w:r>
    </w:p>
    <w:p w:rsidR="005D2BA8" w:rsidRPr="0067352A" w:rsidRDefault="005D2BA8" w:rsidP="00CD6C4F">
      <w:pPr>
        <w:spacing w:before="100" w:beforeAutospacing="1" w:after="100" w:afterAutospacing="1" w:line="360" w:lineRule="auto"/>
        <w:jc w:val="both"/>
        <w:rPr>
          <w:rFonts w:ascii="Times New Roman" w:eastAsia="Times New Roman" w:hAnsi="Times New Roman" w:cs="Times New Roman"/>
          <w:b/>
          <w:sz w:val="28"/>
          <w:szCs w:val="28"/>
        </w:rPr>
      </w:pPr>
      <w:r w:rsidRPr="0067352A">
        <w:rPr>
          <w:rFonts w:ascii="Times New Roman" w:eastAsia="Times New Roman" w:hAnsi="Times New Roman" w:cs="Times New Roman"/>
          <w:b/>
          <w:sz w:val="28"/>
          <w:szCs w:val="28"/>
        </w:rPr>
        <w:t>III NEED FOR THE STUDY</w:t>
      </w:r>
    </w:p>
    <w:p w:rsidR="00885A7E" w:rsidRPr="0067352A" w:rsidRDefault="00885A7E" w:rsidP="00885A7E">
      <w:pPr>
        <w:pStyle w:val="NormalWeb"/>
        <w:spacing w:line="360" w:lineRule="auto"/>
        <w:jc w:val="both"/>
      </w:pPr>
      <w:r w:rsidRPr="0067352A">
        <w:t>The transportation sector in India is one of the major contributors to rising air pollution levels and greenhouse gas emissions, primarily due to the extensive use of conventional fuel-based vehicles. Rapid urbanization, population growth, and increasing vehicle ownership have further intensified environmental concerns, making sustainable mobility a critical policy priority. In this context, electric vehicles (EVs) have emerged as a key solution for enabling a transition toward cleaner and more energy-efficient transportation systems. EVs not only reduce tailpipe emissions but also help in minimizing dependence on fossil fuels and enhancing energy security.</w:t>
      </w:r>
    </w:p>
    <w:p w:rsidR="00885A7E" w:rsidRPr="0067352A" w:rsidRDefault="00885A7E" w:rsidP="00885A7E">
      <w:pPr>
        <w:pStyle w:val="NormalWeb"/>
        <w:spacing w:line="360" w:lineRule="auto"/>
        <w:jc w:val="both"/>
      </w:pPr>
      <w:r w:rsidRPr="0067352A">
        <w:lastRenderedPageBreak/>
        <w:t>Recognizing these benefits, the Government of India has undertaken several initiatives to accelerate the adoption of electric mobility, notably the Faster Adoption and Manufacturing of Electric Vehicles (FAME) India Scheme. The scheme aims to promote EV usage through financial incentives, infrastructure development, and support for domestic manufacturing. Despite these policy efforts, the adoption of EVs in India remains uneven and relatively limited when compared to the potential demand and global trends.</w:t>
      </w:r>
    </w:p>
    <w:p w:rsidR="00885A7E" w:rsidRPr="0067352A" w:rsidRDefault="00885A7E" w:rsidP="00885A7E">
      <w:pPr>
        <w:pStyle w:val="NormalWeb"/>
        <w:spacing w:line="360" w:lineRule="auto"/>
        <w:jc w:val="both"/>
      </w:pPr>
      <w:r w:rsidRPr="0067352A">
        <w:t>A number of structural and operational challenges continue to impede the widespread diffusion of electric vehicles. High upfront costs associated with EV purchase, inadequate and unevenly distributed charging infrastructure, concerns related to battery performance and lifespan, and limited technological readiness pose significant barriers. Additionally, low levels of consumer awareness, range anxiety, and insufficient private sector participation further slow down the transition process.</w:t>
      </w:r>
    </w:p>
    <w:p w:rsidR="00885A7E" w:rsidRPr="0067352A" w:rsidRDefault="00885A7E" w:rsidP="00885A7E">
      <w:pPr>
        <w:pStyle w:val="NormalWeb"/>
        <w:spacing w:line="360" w:lineRule="auto"/>
        <w:jc w:val="both"/>
      </w:pPr>
      <w:r w:rsidRPr="0067352A">
        <w:t>In light of these challenges, there is a clear need for a comprehensive assessment of the current status of EV adoption in India. This study is therefore undertaken to critically examine the progress of electric mobility, evaluate the effectiveness of existing policy measures, and identify the key economic, technological, and infrastructural constraints affecting the growth of the EV ecosystem. The findings of the study are expected to provide valuable insights for policymakers, industry stakeholders, and researchers in facilitating a smoother transition toward sustainable transportation.</w:t>
      </w:r>
      <w:r w:rsidRPr="0067352A">
        <w:tab/>
      </w:r>
    </w:p>
    <w:p w:rsidR="00FE265B" w:rsidRPr="0067352A" w:rsidRDefault="005D2BA8" w:rsidP="00364EF8">
      <w:pPr>
        <w:spacing w:before="100" w:beforeAutospacing="1" w:after="100" w:afterAutospacing="1" w:line="360" w:lineRule="auto"/>
        <w:jc w:val="both"/>
        <w:rPr>
          <w:rFonts w:ascii="Times New Roman" w:hAnsi="Times New Roman" w:cs="Times New Roman"/>
          <w:b/>
          <w:sz w:val="28"/>
          <w:szCs w:val="28"/>
        </w:rPr>
      </w:pPr>
      <w:r w:rsidRPr="0067352A">
        <w:rPr>
          <w:rFonts w:ascii="Times New Roman" w:hAnsi="Times New Roman" w:cs="Times New Roman"/>
          <w:b/>
          <w:sz w:val="28"/>
          <w:szCs w:val="28"/>
        </w:rPr>
        <w:t xml:space="preserve">IV </w:t>
      </w:r>
      <w:r w:rsidR="00364EF8" w:rsidRPr="0067352A">
        <w:rPr>
          <w:rFonts w:ascii="Times New Roman" w:hAnsi="Times New Roman" w:cs="Times New Roman"/>
          <w:b/>
          <w:sz w:val="28"/>
          <w:szCs w:val="28"/>
        </w:rPr>
        <w:t>OBJECTIVES OF THE STUDY</w:t>
      </w:r>
    </w:p>
    <w:p w:rsidR="00FE265B" w:rsidRPr="0067352A" w:rsidRDefault="00364EF8" w:rsidP="00CD6C4F">
      <w:pPr>
        <w:pStyle w:val="NormalWeb"/>
        <w:spacing w:line="360" w:lineRule="auto"/>
        <w:jc w:val="both"/>
      </w:pPr>
      <w:r w:rsidRPr="0067352A">
        <w:t xml:space="preserve">The </w:t>
      </w:r>
      <w:r w:rsidR="00FE265B" w:rsidRPr="0067352A">
        <w:t>objectives of the study are as follows:</w:t>
      </w:r>
    </w:p>
    <w:p w:rsidR="00FE265B" w:rsidRPr="0067352A" w:rsidRDefault="00FE265B" w:rsidP="003E44A8">
      <w:pPr>
        <w:pStyle w:val="NormalWeb"/>
        <w:numPr>
          <w:ilvl w:val="0"/>
          <w:numId w:val="12"/>
        </w:numPr>
        <w:spacing w:line="360" w:lineRule="auto"/>
        <w:jc w:val="both"/>
        <w:rPr>
          <w:b/>
        </w:rPr>
      </w:pPr>
      <w:r w:rsidRPr="0067352A">
        <w:rPr>
          <w:rStyle w:val="Strong"/>
          <w:b w:val="0"/>
        </w:rPr>
        <w:t>To analyze the current status and growth trends of electric vehicle adoption in India</w:t>
      </w:r>
      <w:r w:rsidR="00C37B4A" w:rsidRPr="0067352A">
        <w:rPr>
          <w:rStyle w:val="Strong"/>
          <w:b w:val="0"/>
        </w:rPr>
        <w:t>,</w:t>
      </w:r>
    </w:p>
    <w:p w:rsidR="00364EF8" w:rsidRPr="0067352A" w:rsidRDefault="00FE265B" w:rsidP="003E44A8">
      <w:pPr>
        <w:pStyle w:val="NormalWeb"/>
        <w:numPr>
          <w:ilvl w:val="0"/>
          <w:numId w:val="12"/>
        </w:numPr>
        <w:spacing w:line="360" w:lineRule="auto"/>
        <w:jc w:val="both"/>
        <w:rPr>
          <w:b/>
        </w:rPr>
      </w:pPr>
      <w:r w:rsidRPr="0067352A">
        <w:rPr>
          <w:rStyle w:val="Strong"/>
          <w:b w:val="0"/>
        </w:rPr>
        <w:t>To examine the role of government policies and initiatives</w:t>
      </w:r>
      <w:r w:rsidR="00C37B4A" w:rsidRPr="0067352A">
        <w:rPr>
          <w:b/>
        </w:rPr>
        <w:t xml:space="preserve">, </w:t>
      </w:r>
      <w:r w:rsidR="00C37B4A" w:rsidRPr="0067352A">
        <w:t>and;</w:t>
      </w:r>
    </w:p>
    <w:p w:rsidR="00364EF8" w:rsidRPr="0067352A" w:rsidRDefault="00FE265B" w:rsidP="00885A7E">
      <w:pPr>
        <w:pStyle w:val="NormalWeb"/>
        <w:numPr>
          <w:ilvl w:val="0"/>
          <w:numId w:val="12"/>
        </w:numPr>
        <w:spacing w:line="360" w:lineRule="auto"/>
        <w:jc w:val="both"/>
        <w:rPr>
          <w:b/>
          <w:sz w:val="28"/>
          <w:szCs w:val="28"/>
        </w:rPr>
      </w:pPr>
      <w:r w:rsidRPr="0067352A">
        <w:rPr>
          <w:rStyle w:val="Strong"/>
          <w:b w:val="0"/>
        </w:rPr>
        <w:t>To ide</w:t>
      </w:r>
      <w:r w:rsidR="00795513" w:rsidRPr="0067352A">
        <w:rPr>
          <w:rStyle w:val="Strong"/>
          <w:b w:val="0"/>
        </w:rPr>
        <w:t xml:space="preserve">ntify the major </w:t>
      </w:r>
      <w:r w:rsidRPr="0067352A">
        <w:rPr>
          <w:rStyle w:val="Strong"/>
          <w:b w:val="0"/>
        </w:rPr>
        <w:t>challenges</w:t>
      </w:r>
      <w:r w:rsidR="00C37B4A" w:rsidRPr="0067352A">
        <w:rPr>
          <w:rStyle w:val="Strong"/>
          <w:b w:val="0"/>
        </w:rPr>
        <w:t xml:space="preserve"> in electric vehicle adoption</w:t>
      </w:r>
      <w:r w:rsidR="00364EF8" w:rsidRPr="0067352A">
        <w:rPr>
          <w:rStyle w:val="Strong"/>
          <w:b w:val="0"/>
        </w:rPr>
        <w:t>.</w:t>
      </w:r>
    </w:p>
    <w:p w:rsidR="00FE265B" w:rsidRPr="0067352A" w:rsidRDefault="005D2BA8" w:rsidP="00364EF8">
      <w:pPr>
        <w:pStyle w:val="NormalWeb"/>
        <w:spacing w:line="360" w:lineRule="auto"/>
        <w:jc w:val="both"/>
        <w:rPr>
          <w:b/>
          <w:sz w:val="28"/>
          <w:szCs w:val="28"/>
        </w:rPr>
      </w:pPr>
      <w:r w:rsidRPr="0067352A">
        <w:rPr>
          <w:b/>
          <w:sz w:val="28"/>
          <w:szCs w:val="28"/>
        </w:rPr>
        <w:t xml:space="preserve">V </w:t>
      </w:r>
      <w:r w:rsidR="00364EF8" w:rsidRPr="0067352A">
        <w:rPr>
          <w:b/>
          <w:sz w:val="28"/>
          <w:szCs w:val="28"/>
        </w:rPr>
        <w:t>RESEARCH METHODOLOGY</w:t>
      </w:r>
    </w:p>
    <w:p w:rsidR="00B96C58" w:rsidRPr="0067352A" w:rsidRDefault="00B96C58" w:rsidP="00CD6C4F">
      <w:pPr>
        <w:pStyle w:val="NormalWeb"/>
        <w:spacing w:line="360" w:lineRule="auto"/>
        <w:jc w:val="both"/>
      </w:pPr>
      <w:r w:rsidRPr="0067352A">
        <w:lastRenderedPageBreak/>
        <w:t xml:space="preserve">The present study is based on </w:t>
      </w:r>
      <w:r w:rsidRPr="0067352A">
        <w:rPr>
          <w:rStyle w:val="Strong"/>
          <w:b w:val="0"/>
        </w:rPr>
        <w:t>secondary data</w:t>
      </w:r>
      <w:r w:rsidRPr="0067352A">
        <w:t xml:space="preserve"> collected from various reliable sources such as reports and publications of the </w:t>
      </w:r>
      <w:r w:rsidRPr="0067352A">
        <w:rPr>
          <w:rStyle w:val="whitespace-normal"/>
        </w:rPr>
        <w:t>Ministry of Road Transport and Highways</w:t>
      </w:r>
      <w:r w:rsidRPr="0067352A">
        <w:t xml:space="preserve">, </w:t>
      </w:r>
      <w:r w:rsidRPr="0067352A">
        <w:rPr>
          <w:rStyle w:val="whitespace-normal"/>
        </w:rPr>
        <w:t>Ministry of Heavy Industries (India)</w:t>
      </w:r>
      <w:r w:rsidRPr="0067352A">
        <w:t xml:space="preserve">, </w:t>
      </w:r>
      <w:r w:rsidRPr="0067352A">
        <w:rPr>
          <w:rStyle w:val="whitespace-normal"/>
        </w:rPr>
        <w:t>NITI Aayog</w:t>
      </w:r>
      <w:r w:rsidRPr="0067352A">
        <w:t xml:space="preserve">, and the </w:t>
      </w:r>
      <w:r w:rsidRPr="0067352A">
        <w:rPr>
          <w:rStyle w:val="whitespace-normal"/>
        </w:rPr>
        <w:t>Society of Indian Automobile Manufacturers</w:t>
      </w:r>
      <w:r w:rsidRPr="0067352A">
        <w:t xml:space="preserve">. The study covers the period from </w:t>
      </w:r>
      <w:r w:rsidRPr="0067352A">
        <w:rPr>
          <w:rStyle w:val="Strong"/>
          <w:b w:val="0"/>
        </w:rPr>
        <w:t>2019–20 to 2024–25</w:t>
      </w:r>
      <w:r w:rsidRPr="0067352A">
        <w:t xml:space="preserve"> to analyze the growth trends of electric vehicle adoption in India. The collected data were analyzed to examine EV registrations, market penetration, government initiatives, and infrastructural challenges related to EV adoption.</w:t>
      </w:r>
    </w:p>
    <w:p w:rsidR="00CD6C4F" w:rsidRPr="0067352A" w:rsidRDefault="005D2BA8" w:rsidP="00CD6C4F">
      <w:pPr>
        <w:pStyle w:val="NormalWeb"/>
        <w:spacing w:line="360" w:lineRule="auto"/>
        <w:jc w:val="both"/>
        <w:rPr>
          <w:b/>
          <w:sz w:val="28"/>
          <w:szCs w:val="28"/>
        </w:rPr>
      </w:pPr>
      <w:r w:rsidRPr="0067352A">
        <w:rPr>
          <w:b/>
          <w:sz w:val="28"/>
          <w:szCs w:val="28"/>
        </w:rPr>
        <w:t xml:space="preserve">VI </w:t>
      </w:r>
      <w:r w:rsidR="00CD6C4F" w:rsidRPr="0067352A">
        <w:rPr>
          <w:b/>
          <w:sz w:val="28"/>
          <w:szCs w:val="28"/>
        </w:rPr>
        <w:t>ANALYSIS AND INTERPRETATION</w:t>
      </w:r>
    </w:p>
    <w:p w:rsidR="00CD6C4F" w:rsidRPr="0067352A" w:rsidRDefault="003E44A8" w:rsidP="003E44A8">
      <w:pPr>
        <w:pStyle w:val="Heading2"/>
        <w:spacing w:line="360" w:lineRule="auto"/>
        <w:jc w:val="both"/>
        <w:rPr>
          <w:sz w:val="28"/>
          <w:szCs w:val="28"/>
        </w:rPr>
      </w:pPr>
      <w:r w:rsidRPr="0067352A">
        <w:rPr>
          <w:sz w:val="28"/>
          <w:szCs w:val="28"/>
        </w:rPr>
        <w:t>i. ANALYSIS OF THE CURRENT STATUS AND GROWTH TRENDS OF ELECTRIC VEHICLE ADOPTION IN INDIA</w:t>
      </w:r>
    </w:p>
    <w:p w:rsidR="00544730" w:rsidRPr="0067352A" w:rsidRDefault="003E44A8" w:rsidP="006D70C6">
      <w:pPr>
        <w:spacing w:before="100" w:beforeAutospacing="1" w:after="100" w:afterAutospacing="1" w:line="360" w:lineRule="auto"/>
        <w:jc w:val="both"/>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The adoption of electric vehicles (EVs) in India has increased significantly during the past few years due to supportive government policies, rising fuel prices, technological advancements, and increasing environmental awareness. The Indian government has introduced several initiatives such as the Faster Adoption and Manufacturing of Electric Vehicles (FAME) India Scheme to promote electric mobility and reduce dependence on fossil fuels.</w:t>
      </w:r>
    </w:p>
    <w:p w:rsidR="00304A8E" w:rsidRPr="0067352A" w:rsidRDefault="00544730" w:rsidP="00544730">
      <w:pPr>
        <w:spacing w:before="100" w:beforeAutospacing="1" w:after="100" w:afterAutospacing="1" w:line="240" w:lineRule="auto"/>
        <w:rPr>
          <w:rFonts w:ascii="Times New Roman" w:eastAsia="Times New Roman" w:hAnsi="Times New Roman" w:cs="Times New Roman"/>
          <w:b/>
          <w:sz w:val="28"/>
          <w:szCs w:val="28"/>
        </w:rPr>
      </w:pPr>
      <w:r w:rsidRPr="0067352A">
        <w:rPr>
          <w:rFonts w:ascii="Times New Roman" w:hAnsi="Times New Roman" w:cs="Times New Roman"/>
          <w:b/>
          <w:sz w:val="28"/>
          <w:szCs w:val="28"/>
        </w:rPr>
        <w:t>a.</w:t>
      </w:r>
      <w:r w:rsidR="00304A8E" w:rsidRPr="0067352A">
        <w:rPr>
          <w:rFonts w:ascii="Times New Roman" w:hAnsi="Times New Roman" w:cs="Times New Roman"/>
          <w:b/>
          <w:sz w:val="28"/>
          <w:szCs w:val="28"/>
        </w:rPr>
        <w:t>Electric Vehicle Registration and Market Penetration in India</w:t>
      </w:r>
    </w:p>
    <w:p w:rsidR="00137F28" w:rsidRPr="0067352A" w:rsidRDefault="00304A8E" w:rsidP="00511CA6">
      <w:pPr>
        <w:pStyle w:val="NormalWeb"/>
        <w:spacing w:line="360" w:lineRule="auto"/>
        <w:jc w:val="both"/>
      </w:pPr>
      <w:r w:rsidRPr="0067352A">
        <w:t xml:space="preserve">Electric vehicle (EV) adoption in India has grown rapidly in recent years due to increasing environmental awareness, rising fuel prices, and strong government support. Policy initiatives such as the </w:t>
      </w:r>
      <w:r w:rsidRPr="0067352A">
        <w:rPr>
          <w:rStyle w:val="whitespace-normal"/>
        </w:rPr>
        <w:t>Faster Adoption and Manufacturing of Electric Vehicles (FAME) India Scheme</w:t>
      </w:r>
      <w:r w:rsidRPr="0067352A">
        <w:t xml:space="preserve"> introduced by the </w:t>
      </w:r>
      <w:r w:rsidRPr="0067352A">
        <w:rPr>
          <w:rStyle w:val="whitespace-normal"/>
        </w:rPr>
        <w:t>Ministry of Heavy Industries (India)</w:t>
      </w:r>
      <w:r w:rsidRPr="0067352A">
        <w:t xml:space="preserve"> have played a major ro</w:t>
      </w:r>
      <w:r w:rsidR="006D70C6" w:rsidRPr="0067352A">
        <w:t xml:space="preserve">le in accelerating EV adoption. </w:t>
      </w:r>
      <w:r w:rsidRPr="0067352A">
        <w:t>Vehicle registration data and market penetration rates provide a clear understanding of the current status and growth trends of EV adoption in the country.</w:t>
      </w:r>
    </w:p>
    <w:p w:rsidR="00304A8E" w:rsidRPr="0067352A" w:rsidRDefault="00304A8E" w:rsidP="006D70C6">
      <w:pPr>
        <w:pStyle w:val="Heading2"/>
        <w:jc w:val="center"/>
        <w:rPr>
          <w:sz w:val="24"/>
          <w:szCs w:val="24"/>
        </w:rPr>
      </w:pPr>
      <w:r w:rsidRPr="0067352A">
        <w:rPr>
          <w:sz w:val="24"/>
          <w:szCs w:val="24"/>
        </w:rPr>
        <w:t>Table</w:t>
      </w:r>
      <w:r w:rsidR="00137F28" w:rsidRPr="0067352A">
        <w:rPr>
          <w:sz w:val="24"/>
          <w:szCs w:val="24"/>
        </w:rPr>
        <w:t xml:space="preserve"> 1</w:t>
      </w:r>
      <w:r w:rsidRPr="0067352A">
        <w:rPr>
          <w:sz w:val="24"/>
          <w:szCs w:val="24"/>
        </w:rPr>
        <w:t>: EV Registrations and Market Penetration in India (2019–20 to 2024–25)</w:t>
      </w:r>
    </w:p>
    <w:tbl>
      <w:tblPr>
        <w:tblStyle w:val="TableGrid"/>
        <w:tblW w:w="9489" w:type="dxa"/>
        <w:tblLook w:val="04A0"/>
      </w:tblPr>
      <w:tblGrid>
        <w:gridCol w:w="1124"/>
        <w:gridCol w:w="2914"/>
        <w:gridCol w:w="2147"/>
        <w:gridCol w:w="3304"/>
      </w:tblGrid>
      <w:tr w:rsidR="00304A8E" w:rsidRPr="0067352A" w:rsidTr="00B75A0F">
        <w:trPr>
          <w:trHeight w:val="234"/>
        </w:trPr>
        <w:tc>
          <w:tcPr>
            <w:tcW w:w="0" w:type="auto"/>
            <w:hideMark/>
          </w:tcPr>
          <w:p w:rsidR="00304A8E" w:rsidRPr="0067352A" w:rsidRDefault="00304A8E" w:rsidP="00304A8E">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Year</w:t>
            </w:r>
          </w:p>
        </w:tc>
        <w:tc>
          <w:tcPr>
            <w:tcW w:w="0" w:type="auto"/>
            <w:hideMark/>
          </w:tcPr>
          <w:p w:rsidR="00304A8E" w:rsidRPr="0067352A" w:rsidRDefault="00304A8E" w:rsidP="00304A8E">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EV Registrations (Units)</w:t>
            </w:r>
          </w:p>
        </w:tc>
        <w:tc>
          <w:tcPr>
            <w:tcW w:w="0" w:type="auto"/>
            <w:hideMark/>
          </w:tcPr>
          <w:p w:rsidR="00304A8E" w:rsidRPr="0067352A" w:rsidRDefault="00304A8E" w:rsidP="00304A8E">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Growth Rate (%)</w:t>
            </w:r>
          </w:p>
        </w:tc>
        <w:tc>
          <w:tcPr>
            <w:tcW w:w="0" w:type="auto"/>
            <w:hideMark/>
          </w:tcPr>
          <w:p w:rsidR="00304A8E" w:rsidRPr="0067352A" w:rsidRDefault="00304A8E" w:rsidP="00304A8E">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EV Market Penetration (%)</w:t>
            </w:r>
          </w:p>
        </w:tc>
      </w:tr>
      <w:tr w:rsidR="00304A8E" w:rsidRPr="0067352A" w:rsidTr="00B75A0F">
        <w:trPr>
          <w:trHeight w:val="234"/>
        </w:trPr>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2019–20</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1,67,000</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0.7</w:t>
            </w:r>
          </w:p>
        </w:tc>
      </w:tr>
      <w:tr w:rsidR="00304A8E" w:rsidRPr="0067352A" w:rsidTr="00B75A0F">
        <w:trPr>
          <w:trHeight w:val="225"/>
        </w:trPr>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2020–21</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2,36,000</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41</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1.2</w:t>
            </w:r>
          </w:p>
        </w:tc>
      </w:tr>
      <w:tr w:rsidR="00304A8E" w:rsidRPr="0067352A" w:rsidTr="00B75A0F">
        <w:trPr>
          <w:trHeight w:val="234"/>
        </w:trPr>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2021–22</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10,39,000</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340</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2.6</w:t>
            </w:r>
          </w:p>
        </w:tc>
      </w:tr>
      <w:tr w:rsidR="00304A8E" w:rsidRPr="0067352A" w:rsidTr="00B75A0F">
        <w:trPr>
          <w:trHeight w:val="225"/>
        </w:trPr>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2022–23</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15,29,000</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47</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4.7</w:t>
            </w:r>
          </w:p>
        </w:tc>
      </w:tr>
      <w:tr w:rsidR="00304A8E" w:rsidRPr="0067352A" w:rsidTr="00B75A0F">
        <w:trPr>
          <w:trHeight w:val="234"/>
        </w:trPr>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2023–24</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16,79,000</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10</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6.9</w:t>
            </w:r>
          </w:p>
        </w:tc>
      </w:tr>
      <w:tr w:rsidR="00304A8E" w:rsidRPr="0067352A" w:rsidTr="00B75A0F">
        <w:trPr>
          <w:trHeight w:val="234"/>
        </w:trPr>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lastRenderedPageBreak/>
              <w:t>2024–25</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19,50,000</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16</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7.5</w:t>
            </w:r>
          </w:p>
        </w:tc>
      </w:tr>
    </w:tbl>
    <w:p w:rsidR="00F047FF" w:rsidRPr="00374BFE" w:rsidRDefault="00F047FF" w:rsidP="00F047FF">
      <w:pPr>
        <w:spacing w:line="360" w:lineRule="auto"/>
        <w:jc w:val="both"/>
        <w:rPr>
          <w:rFonts w:ascii="Times New Roman" w:hAnsi="Times New Roman" w:cs="Times New Roman"/>
          <w:sz w:val="24"/>
          <w:szCs w:val="24"/>
        </w:rPr>
      </w:pPr>
      <w:r w:rsidRPr="00374BFE">
        <w:rPr>
          <w:rFonts w:ascii="Times New Roman" w:eastAsia="Times New Roman" w:hAnsi="Times New Roman" w:cs="Times New Roman"/>
          <w:b/>
          <w:bCs/>
          <w:sz w:val="24"/>
          <w:szCs w:val="24"/>
        </w:rPr>
        <w:t xml:space="preserve">Source: </w:t>
      </w:r>
      <w:r w:rsidRPr="00374BFE">
        <w:rPr>
          <w:rFonts w:ascii="Times New Roman" w:hAnsi="Times New Roman" w:cs="Times New Roman"/>
          <w:sz w:val="24"/>
          <w:szCs w:val="24"/>
        </w:rPr>
        <w:t xml:space="preserve">Compiled from data published by the </w:t>
      </w:r>
      <w:r w:rsidRPr="00374BFE">
        <w:rPr>
          <w:rStyle w:val="whitespace-normal"/>
          <w:rFonts w:ascii="Times New Roman" w:hAnsi="Times New Roman" w:cs="Times New Roman"/>
          <w:sz w:val="24"/>
          <w:szCs w:val="24"/>
        </w:rPr>
        <w:t>Ministry of Road Transport and Highways</w:t>
      </w:r>
      <w:r w:rsidRPr="00374BFE">
        <w:rPr>
          <w:rFonts w:ascii="Times New Roman" w:hAnsi="Times New Roman" w:cs="Times New Roman"/>
          <w:sz w:val="24"/>
          <w:szCs w:val="24"/>
        </w:rPr>
        <w:t xml:space="preserve"> (2024), </w:t>
      </w:r>
      <w:r w:rsidRPr="00374BFE">
        <w:rPr>
          <w:rStyle w:val="whitespace-normal"/>
          <w:rFonts w:ascii="Times New Roman" w:hAnsi="Times New Roman" w:cs="Times New Roman"/>
          <w:sz w:val="24"/>
          <w:szCs w:val="24"/>
        </w:rPr>
        <w:t>Society of Indian Automobile Manufacturers</w:t>
      </w:r>
      <w:r w:rsidRPr="00374BFE">
        <w:rPr>
          <w:rFonts w:ascii="Times New Roman" w:hAnsi="Times New Roman" w:cs="Times New Roman"/>
          <w:sz w:val="24"/>
          <w:szCs w:val="24"/>
        </w:rPr>
        <w:t xml:space="preserve"> (2024), and </w:t>
      </w:r>
      <w:r w:rsidRPr="00374BFE">
        <w:rPr>
          <w:rStyle w:val="whitespace-normal"/>
          <w:rFonts w:ascii="Times New Roman" w:hAnsi="Times New Roman" w:cs="Times New Roman"/>
          <w:sz w:val="24"/>
          <w:szCs w:val="24"/>
        </w:rPr>
        <w:t>International Energy Agency</w:t>
      </w:r>
      <w:r w:rsidRPr="00374BFE">
        <w:rPr>
          <w:rFonts w:ascii="Times New Roman" w:hAnsi="Times New Roman" w:cs="Times New Roman"/>
          <w:sz w:val="24"/>
          <w:szCs w:val="24"/>
        </w:rPr>
        <w:t xml:space="preserve"> (2023).</w:t>
      </w:r>
    </w:p>
    <w:p w:rsidR="00F047FF" w:rsidRDefault="00F047FF" w:rsidP="00F047F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Chart:1</w:t>
      </w:r>
    </w:p>
    <w:p w:rsidR="00F047FF" w:rsidRDefault="00F047FF" w:rsidP="00F047F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EV </w:t>
      </w:r>
      <w:r w:rsidR="009063E8">
        <w:rPr>
          <w:rFonts w:ascii="Times New Roman" w:hAnsi="Times New Roman" w:cs="Times New Roman"/>
          <w:b/>
          <w:sz w:val="24"/>
          <w:szCs w:val="24"/>
        </w:rPr>
        <w:t xml:space="preserve">Registration and </w:t>
      </w:r>
      <w:r>
        <w:rPr>
          <w:rFonts w:ascii="Times New Roman" w:hAnsi="Times New Roman" w:cs="Times New Roman"/>
          <w:b/>
          <w:sz w:val="24"/>
          <w:szCs w:val="24"/>
        </w:rPr>
        <w:t xml:space="preserve">Market Penetration in India for the period from 2019-20 to 2024-25 </w:t>
      </w:r>
    </w:p>
    <w:p w:rsidR="00907192" w:rsidRPr="009063E8" w:rsidRDefault="009063E8" w:rsidP="009063E8">
      <w:pPr>
        <w:spacing w:line="360" w:lineRule="auto"/>
        <w:jc w:val="center"/>
        <w:rPr>
          <w:rFonts w:ascii="Times New Roman" w:eastAsia="Times New Roman" w:hAnsi="Times New Roman" w:cs="Times New Roman"/>
          <w:i/>
          <w:sz w:val="24"/>
          <w:szCs w:val="24"/>
        </w:rPr>
      </w:pPr>
      <w:r w:rsidRPr="009063E8">
        <w:rPr>
          <w:rFonts w:ascii="Times New Roman" w:eastAsia="Times New Roman" w:hAnsi="Times New Roman" w:cs="Times New Roman"/>
          <w:b/>
          <w:bCs/>
          <w:sz w:val="24"/>
          <w:szCs w:val="24"/>
        </w:rPr>
        <w:drawing>
          <wp:inline distT="0" distB="0" distL="0" distR="0">
            <wp:extent cx="2901950" cy="2743200"/>
            <wp:effectExtent l="19050" t="0" r="1270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F047FF" w:rsidRPr="00F047FF">
        <w:rPr>
          <w:rFonts w:ascii="Times New Roman" w:eastAsia="Times New Roman" w:hAnsi="Times New Roman" w:cs="Times New Roman"/>
          <w:b/>
          <w:bCs/>
          <w:noProof/>
          <w:sz w:val="24"/>
          <w:szCs w:val="24"/>
        </w:rPr>
        <w:drawing>
          <wp:anchor distT="0" distB="0" distL="114300" distR="114300" simplePos="0" relativeHeight="251660288" behindDoc="0" locked="0" layoutInCell="1" allowOverlap="1">
            <wp:simplePos x="0" y="0"/>
            <wp:positionH relativeFrom="column">
              <wp:align>right</wp:align>
            </wp:positionH>
            <wp:positionV relativeFrom="paragraph">
              <wp:align>top</wp:align>
            </wp:positionV>
            <wp:extent cx="2858770" cy="2743200"/>
            <wp:effectExtent l="19050" t="0" r="1778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Times New Roman" w:eastAsia="Times New Roman" w:hAnsi="Times New Roman" w:cs="Times New Roman"/>
          <w:b/>
          <w:bCs/>
          <w:sz w:val="24"/>
          <w:szCs w:val="24"/>
        </w:rPr>
        <w:br w:type="textWrapping" w:clear="all"/>
      </w:r>
      <w:r w:rsidR="00907192" w:rsidRPr="009063E8">
        <w:rPr>
          <w:rFonts w:ascii="Times New Roman" w:eastAsia="Times New Roman" w:hAnsi="Times New Roman" w:cs="Times New Roman"/>
          <w:b/>
          <w:i/>
          <w:sz w:val="24"/>
          <w:szCs w:val="24"/>
        </w:rPr>
        <w:t xml:space="preserve">Source: </w:t>
      </w:r>
      <w:r w:rsidR="00907192" w:rsidRPr="009063E8">
        <w:rPr>
          <w:rFonts w:ascii="Times New Roman" w:eastAsia="Times New Roman" w:hAnsi="Times New Roman" w:cs="Times New Roman"/>
          <w:i/>
          <w:sz w:val="24"/>
          <w:szCs w:val="24"/>
        </w:rPr>
        <w:t>Table:1</w:t>
      </w:r>
    </w:p>
    <w:p w:rsidR="00304A8E" w:rsidRPr="0067352A" w:rsidRDefault="00CE3A13" w:rsidP="00511CA6">
      <w:pPr>
        <w:spacing w:line="360" w:lineRule="auto"/>
        <w:jc w:val="both"/>
        <w:rPr>
          <w:rFonts w:ascii="Times New Roman" w:hAnsi="Times New Roman" w:cs="Times New Roman"/>
          <w:sz w:val="24"/>
          <w:szCs w:val="24"/>
        </w:rPr>
      </w:pPr>
      <w:r w:rsidRPr="0067352A">
        <w:rPr>
          <w:rFonts w:ascii="Times New Roman" w:eastAsia="Times New Roman" w:hAnsi="Times New Roman" w:cs="Times New Roman"/>
          <w:sz w:val="24"/>
          <w:szCs w:val="24"/>
        </w:rPr>
        <w:t xml:space="preserve"> </w:t>
      </w:r>
      <w:r w:rsidR="00304A8E" w:rsidRPr="0067352A">
        <w:rPr>
          <w:rFonts w:ascii="Times New Roman" w:eastAsia="Times New Roman" w:hAnsi="Times New Roman" w:cs="Times New Roman"/>
          <w:sz w:val="24"/>
          <w:szCs w:val="24"/>
        </w:rPr>
        <w:t xml:space="preserve">The </w:t>
      </w:r>
      <w:r w:rsidR="00F047FF">
        <w:rPr>
          <w:rFonts w:ascii="Times New Roman" w:eastAsia="Times New Roman" w:hAnsi="Times New Roman" w:cs="Times New Roman"/>
          <w:sz w:val="24"/>
          <w:szCs w:val="24"/>
        </w:rPr>
        <w:t xml:space="preserve">table:1 and Chart:1 shows </w:t>
      </w:r>
      <w:r w:rsidR="00304A8E" w:rsidRPr="0067352A">
        <w:rPr>
          <w:rFonts w:ascii="Times New Roman" w:eastAsia="Times New Roman" w:hAnsi="Times New Roman" w:cs="Times New Roman"/>
          <w:sz w:val="24"/>
          <w:szCs w:val="24"/>
        </w:rPr>
        <w:t xml:space="preserve">increasing trend in EV registrations and market penetration demonstrates the growing acceptance of electric vehicles among Indian consumers. The EV penetration rate increased </w:t>
      </w:r>
      <w:r w:rsidR="00F047FF">
        <w:rPr>
          <w:rFonts w:ascii="Times New Roman" w:eastAsia="Times New Roman" w:hAnsi="Times New Roman" w:cs="Times New Roman"/>
          <w:sz w:val="24"/>
          <w:szCs w:val="24"/>
        </w:rPr>
        <w:t xml:space="preserve">as shown in the chart:1 </w:t>
      </w:r>
      <w:r w:rsidR="00304A8E" w:rsidRPr="0067352A">
        <w:rPr>
          <w:rFonts w:ascii="Times New Roman" w:eastAsia="Times New Roman" w:hAnsi="Times New Roman" w:cs="Times New Roman"/>
          <w:sz w:val="24"/>
          <w:szCs w:val="24"/>
        </w:rPr>
        <w:t xml:space="preserve">from </w:t>
      </w:r>
      <w:r w:rsidR="00511CA6" w:rsidRPr="0067352A">
        <w:rPr>
          <w:rFonts w:ascii="Times New Roman" w:eastAsia="Times New Roman" w:hAnsi="Times New Roman" w:cs="Times New Roman"/>
          <w:bCs/>
          <w:sz w:val="24"/>
          <w:szCs w:val="24"/>
        </w:rPr>
        <w:t xml:space="preserve">0.7 percent in 2019–20 to </w:t>
      </w:r>
      <w:r w:rsidR="00304A8E" w:rsidRPr="0067352A">
        <w:rPr>
          <w:rFonts w:ascii="Times New Roman" w:eastAsia="Times New Roman" w:hAnsi="Times New Roman" w:cs="Times New Roman"/>
          <w:bCs/>
          <w:sz w:val="24"/>
          <w:szCs w:val="24"/>
        </w:rPr>
        <w:t>7.5 percent in 2024–25</w:t>
      </w:r>
      <w:r w:rsidR="00304A8E" w:rsidRPr="0067352A">
        <w:rPr>
          <w:rFonts w:ascii="Times New Roman" w:eastAsia="Times New Roman" w:hAnsi="Times New Roman" w:cs="Times New Roman"/>
          <w:sz w:val="24"/>
          <w:szCs w:val="24"/>
        </w:rPr>
        <w:t>, indicating gradual expansion of electric mobility i</w:t>
      </w:r>
      <w:r w:rsidR="00544730" w:rsidRPr="0067352A">
        <w:rPr>
          <w:rFonts w:ascii="Times New Roman" w:eastAsia="Times New Roman" w:hAnsi="Times New Roman" w:cs="Times New Roman"/>
          <w:sz w:val="24"/>
          <w:szCs w:val="24"/>
        </w:rPr>
        <w:t xml:space="preserve">n the overall automobile market. </w:t>
      </w:r>
      <w:r w:rsidR="00304A8E" w:rsidRPr="0067352A">
        <w:rPr>
          <w:rFonts w:ascii="Times New Roman" w:hAnsi="Times New Roman" w:cs="Times New Roman"/>
          <w:sz w:val="24"/>
          <w:szCs w:val="24"/>
        </w:rPr>
        <w:t>However, despite this progress, EV penetration remains relatively low compared to the total vehicle market in India. This suggests that there is still significant potential for future growth. Further development of charging infrastructure, reduction in battery costs, and strengthening domestic manufacturing capabilities will be essential to accelerate EV adoption in the coming years.</w:t>
      </w:r>
    </w:p>
    <w:p w:rsidR="00304A8E" w:rsidRPr="0067352A" w:rsidRDefault="00137F28" w:rsidP="00304A8E">
      <w:pPr>
        <w:pStyle w:val="Heading1"/>
        <w:rPr>
          <w:rFonts w:ascii="Times New Roman" w:hAnsi="Times New Roman" w:cs="Times New Roman"/>
          <w:color w:val="auto"/>
        </w:rPr>
      </w:pPr>
      <w:r w:rsidRPr="0067352A">
        <w:rPr>
          <w:rFonts w:ascii="Times New Roman" w:hAnsi="Times New Roman" w:cs="Times New Roman"/>
          <w:color w:val="auto"/>
        </w:rPr>
        <w:lastRenderedPageBreak/>
        <w:t>b.</w:t>
      </w:r>
      <w:r w:rsidR="006D70C6" w:rsidRPr="0067352A">
        <w:rPr>
          <w:rFonts w:ascii="Times New Roman" w:hAnsi="Times New Roman" w:cs="Times New Roman"/>
          <w:color w:val="auto"/>
        </w:rPr>
        <w:t>Segment</w:t>
      </w:r>
      <w:r w:rsidR="00F047FF">
        <w:rPr>
          <w:rFonts w:ascii="Times New Roman" w:hAnsi="Times New Roman" w:cs="Times New Roman"/>
          <w:color w:val="auto"/>
        </w:rPr>
        <w:t xml:space="preserve"> </w:t>
      </w:r>
      <w:r w:rsidR="00304A8E" w:rsidRPr="0067352A">
        <w:rPr>
          <w:rFonts w:ascii="Times New Roman" w:hAnsi="Times New Roman" w:cs="Times New Roman"/>
          <w:color w:val="auto"/>
        </w:rPr>
        <w:t>wise Electric Vehicle Adoption in India</w:t>
      </w:r>
    </w:p>
    <w:p w:rsidR="006D70C6" w:rsidRPr="0067352A" w:rsidRDefault="00304A8E" w:rsidP="006D70C6">
      <w:pPr>
        <w:pStyle w:val="NormalWeb"/>
        <w:spacing w:line="360" w:lineRule="auto"/>
        <w:jc w:val="both"/>
      </w:pPr>
      <w:r w:rsidRPr="0067352A">
        <w:t>Electric vehicle adoption in India varies significantly across different vehicle segments. The growth pattern shows that</w:t>
      </w:r>
      <w:r w:rsidR="006D70C6" w:rsidRPr="0067352A">
        <w:t xml:space="preserve"> certain categories such as two wheelers and three </w:t>
      </w:r>
      <w:r w:rsidRPr="0067352A">
        <w:t>wheelers dominate the EV market due to affordability, lower operating costs, and suita</w:t>
      </w:r>
      <w:r w:rsidR="006D70C6" w:rsidRPr="0067352A">
        <w:t xml:space="preserve">bility for short distance travel. The segment </w:t>
      </w:r>
      <w:r w:rsidRPr="0067352A">
        <w:t>wise distribution of EV registrations provides insights into how electrification is progressing within the Indian transport sector.</w:t>
      </w:r>
    </w:p>
    <w:p w:rsidR="00304A8E" w:rsidRPr="0067352A" w:rsidRDefault="00304A8E" w:rsidP="00544730">
      <w:pPr>
        <w:pStyle w:val="Heading2"/>
        <w:jc w:val="center"/>
        <w:rPr>
          <w:sz w:val="24"/>
          <w:szCs w:val="24"/>
        </w:rPr>
      </w:pPr>
      <w:r w:rsidRPr="0067352A">
        <w:rPr>
          <w:sz w:val="24"/>
          <w:szCs w:val="24"/>
        </w:rPr>
        <w:t>Table</w:t>
      </w:r>
      <w:r w:rsidR="00544730" w:rsidRPr="0067352A">
        <w:rPr>
          <w:sz w:val="24"/>
          <w:szCs w:val="24"/>
        </w:rPr>
        <w:t>2:</w:t>
      </w:r>
      <w:r w:rsidR="006D70C6" w:rsidRPr="0067352A">
        <w:rPr>
          <w:sz w:val="24"/>
          <w:szCs w:val="24"/>
        </w:rPr>
        <w:t xml:space="preserve"> Segment </w:t>
      </w:r>
      <w:r w:rsidRPr="0067352A">
        <w:rPr>
          <w:sz w:val="24"/>
          <w:szCs w:val="24"/>
        </w:rPr>
        <w:t>wise EV Registrations in India (2024–25)</w:t>
      </w:r>
    </w:p>
    <w:tbl>
      <w:tblPr>
        <w:tblStyle w:val="TableGrid"/>
        <w:tblW w:w="9445" w:type="dxa"/>
        <w:tblLook w:val="04A0"/>
      </w:tblPr>
      <w:tblGrid>
        <w:gridCol w:w="2796"/>
        <w:gridCol w:w="2979"/>
        <w:gridCol w:w="3670"/>
      </w:tblGrid>
      <w:tr w:rsidR="00304A8E" w:rsidRPr="0067352A" w:rsidTr="00B75A0F">
        <w:trPr>
          <w:trHeight w:val="297"/>
        </w:trPr>
        <w:tc>
          <w:tcPr>
            <w:tcW w:w="0" w:type="auto"/>
            <w:hideMark/>
          </w:tcPr>
          <w:p w:rsidR="00304A8E" w:rsidRPr="0067352A" w:rsidRDefault="00304A8E" w:rsidP="00304A8E">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Vehicle Segment</w:t>
            </w:r>
          </w:p>
        </w:tc>
        <w:tc>
          <w:tcPr>
            <w:tcW w:w="0" w:type="auto"/>
            <w:hideMark/>
          </w:tcPr>
          <w:p w:rsidR="00304A8E" w:rsidRPr="0067352A" w:rsidRDefault="00304A8E" w:rsidP="00304A8E">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EV Registrations (Units)</w:t>
            </w:r>
          </w:p>
        </w:tc>
        <w:tc>
          <w:tcPr>
            <w:tcW w:w="0" w:type="auto"/>
            <w:hideMark/>
          </w:tcPr>
          <w:p w:rsidR="00304A8E" w:rsidRPr="0067352A" w:rsidRDefault="00304A8E" w:rsidP="00304A8E">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Share in Total EV Market (%)</w:t>
            </w:r>
          </w:p>
        </w:tc>
      </w:tr>
      <w:tr w:rsidR="00304A8E" w:rsidRPr="0067352A" w:rsidTr="00B75A0F">
        <w:trPr>
          <w:trHeight w:val="297"/>
        </w:trPr>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Electric Two-Wheelers</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11,50,000</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59</w:t>
            </w:r>
          </w:p>
        </w:tc>
      </w:tr>
      <w:tr w:rsidR="00304A8E" w:rsidRPr="0067352A" w:rsidTr="00B75A0F">
        <w:trPr>
          <w:trHeight w:val="285"/>
        </w:trPr>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Electric Three-Wheelers</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6,80,000</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35</w:t>
            </w:r>
          </w:p>
        </w:tc>
      </w:tr>
      <w:tr w:rsidR="00304A8E" w:rsidRPr="0067352A" w:rsidTr="00B75A0F">
        <w:trPr>
          <w:trHeight w:val="297"/>
        </w:trPr>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Electric Passenger Cars</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1,00,000</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5</w:t>
            </w:r>
          </w:p>
        </w:tc>
      </w:tr>
      <w:tr w:rsidR="00304A8E" w:rsidRPr="0067352A" w:rsidTr="00B75A0F">
        <w:trPr>
          <w:trHeight w:val="285"/>
        </w:trPr>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Electric Buses</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20,000</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w:t>
            </w:r>
          </w:p>
        </w:tc>
      </w:tr>
      <w:tr w:rsidR="00304A8E" w:rsidRPr="0067352A" w:rsidTr="00B75A0F">
        <w:trPr>
          <w:trHeight w:val="297"/>
        </w:trPr>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b/>
                <w:bCs/>
                <w:sz w:val="24"/>
                <w:szCs w:val="24"/>
              </w:rPr>
              <w:t>Total</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b/>
                <w:bCs/>
                <w:sz w:val="24"/>
                <w:szCs w:val="24"/>
              </w:rPr>
              <w:t>19,50,000</w:t>
            </w:r>
          </w:p>
        </w:tc>
        <w:tc>
          <w:tcPr>
            <w:tcW w:w="0" w:type="auto"/>
            <w:hideMark/>
          </w:tcPr>
          <w:p w:rsidR="00304A8E" w:rsidRPr="0067352A" w:rsidRDefault="00304A8E" w:rsidP="00304A8E">
            <w:pPr>
              <w:rPr>
                <w:rFonts w:ascii="Times New Roman" w:eastAsia="Times New Roman" w:hAnsi="Times New Roman" w:cs="Times New Roman"/>
                <w:sz w:val="24"/>
                <w:szCs w:val="24"/>
              </w:rPr>
            </w:pPr>
            <w:r w:rsidRPr="0067352A">
              <w:rPr>
                <w:rFonts w:ascii="Times New Roman" w:eastAsia="Times New Roman" w:hAnsi="Times New Roman" w:cs="Times New Roman"/>
                <w:b/>
                <w:bCs/>
                <w:sz w:val="24"/>
                <w:szCs w:val="24"/>
              </w:rPr>
              <w:t>100</w:t>
            </w:r>
          </w:p>
        </w:tc>
      </w:tr>
    </w:tbl>
    <w:p w:rsidR="00304A8E" w:rsidRPr="00374BFE" w:rsidRDefault="00304A8E" w:rsidP="00F047FF">
      <w:pPr>
        <w:pStyle w:val="NormalWeb"/>
        <w:spacing w:line="360" w:lineRule="auto"/>
        <w:jc w:val="both"/>
        <w:rPr>
          <w:i/>
        </w:rPr>
      </w:pPr>
      <w:r w:rsidRPr="00374BFE">
        <w:rPr>
          <w:rStyle w:val="Strong"/>
          <w:i/>
        </w:rPr>
        <w:t>Source:</w:t>
      </w:r>
      <w:r w:rsidR="00F047FF" w:rsidRPr="00374BFE">
        <w:rPr>
          <w:i/>
        </w:rPr>
        <w:t xml:space="preserve"> Compiled from reports of the </w:t>
      </w:r>
      <w:r w:rsidR="00F047FF" w:rsidRPr="00374BFE">
        <w:rPr>
          <w:rStyle w:val="whitespace-normal"/>
          <w:i/>
        </w:rPr>
        <w:t>Society of Indian Automobile Manufacturers</w:t>
      </w:r>
      <w:r w:rsidR="00F047FF" w:rsidRPr="00374BFE">
        <w:rPr>
          <w:i/>
        </w:rPr>
        <w:t xml:space="preserve"> (2024), </w:t>
      </w:r>
      <w:r w:rsidR="00F047FF" w:rsidRPr="00374BFE">
        <w:rPr>
          <w:rStyle w:val="whitespace-normal"/>
          <w:i/>
        </w:rPr>
        <w:t>Ministry of Road Transport and Highways</w:t>
      </w:r>
      <w:r w:rsidR="00F047FF" w:rsidRPr="00374BFE">
        <w:rPr>
          <w:i/>
        </w:rPr>
        <w:t xml:space="preserve"> (2024).</w:t>
      </w:r>
    </w:p>
    <w:p w:rsidR="00304A8E" w:rsidRDefault="00511CA6" w:rsidP="006D70C6">
      <w:pPr>
        <w:pStyle w:val="Heading2"/>
        <w:spacing w:before="0" w:beforeAutospacing="0" w:line="360" w:lineRule="auto"/>
        <w:jc w:val="both"/>
        <w:rPr>
          <w:b w:val="0"/>
          <w:sz w:val="24"/>
          <w:szCs w:val="24"/>
        </w:rPr>
      </w:pPr>
      <w:r w:rsidRPr="0067352A">
        <w:rPr>
          <w:b w:val="0"/>
          <w:sz w:val="24"/>
          <w:szCs w:val="24"/>
        </w:rPr>
        <w:t>The table</w:t>
      </w:r>
      <w:r w:rsidR="00D71A1B">
        <w:rPr>
          <w:b w:val="0"/>
          <w:sz w:val="24"/>
          <w:szCs w:val="24"/>
        </w:rPr>
        <w:t>:2 shows</w:t>
      </w:r>
      <w:r w:rsidR="00304A8E" w:rsidRPr="0067352A">
        <w:rPr>
          <w:b w:val="0"/>
          <w:sz w:val="24"/>
          <w:szCs w:val="24"/>
        </w:rPr>
        <w:t xml:space="preserve"> that </w:t>
      </w:r>
      <w:r w:rsidR="00304A8E" w:rsidRPr="0067352A">
        <w:rPr>
          <w:rStyle w:val="Strong"/>
          <w:sz w:val="24"/>
          <w:szCs w:val="24"/>
        </w:rPr>
        <w:t>electric two-wheelers and three-wheelers dominate EV adoption in India</w:t>
      </w:r>
      <w:r w:rsidR="00304A8E" w:rsidRPr="0067352A">
        <w:rPr>
          <w:b w:val="0"/>
          <w:sz w:val="24"/>
          <w:szCs w:val="24"/>
        </w:rPr>
        <w:t xml:space="preserve">, mainly due to their lower cost and suitability for short-distance travel and commercial use. In contrast, </w:t>
      </w:r>
      <w:r w:rsidR="00304A8E" w:rsidRPr="0067352A">
        <w:rPr>
          <w:rStyle w:val="Strong"/>
          <w:sz w:val="24"/>
          <w:szCs w:val="24"/>
        </w:rPr>
        <w:t>electric passenger cars and buses have lower adoption rates</w:t>
      </w:r>
      <w:r w:rsidR="00304A8E" w:rsidRPr="0067352A">
        <w:rPr>
          <w:b w:val="0"/>
          <w:sz w:val="24"/>
          <w:szCs w:val="24"/>
        </w:rPr>
        <w:t xml:space="preserve"> because of higher vehicle costs and limited charging infrastructure. This suggests that future growth in these segments will depend on improvements in battery technology, charging infrastructure, and continued policy support.</w:t>
      </w:r>
    </w:p>
    <w:p w:rsidR="00F047FF" w:rsidRPr="002974BF" w:rsidRDefault="00F047FF" w:rsidP="00F047FF">
      <w:pPr>
        <w:pStyle w:val="Heading2"/>
        <w:spacing w:before="0" w:beforeAutospacing="0" w:line="360" w:lineRule="auto"/>
        <w:jc w:val="center"/>
        <w:rPr>
          <w:b w:val="0"/>
          <w:sz w:val="24"/>
          <w:szCs w:val="24"/>
        </w:rPr>
      </w:pPr>
      <w:r>
        <w:rPr>
          <w:sz w:val="24"/>
          <w:szCs w:val="24"/>
        </w:rPr>
        <w:t>Chart:2</w:t>
      </w:r>
    </w:p>
    <w:p w:rsidR="00F047FF" w:rsidRDefault="00F047FF" w:rsidP="00F047FF">
      <w:pPr>
        <w:pStyle w:val="Heading2"/>
        <w:spacing w:before="0" w:beforeAutospacing="0" w:line="360" w:lineRule="auto"/>
        <w:jc w:val="center"/>
        <w:rPr>
          <w:sz w:val="24"/>
          <w:szCs w:val="24"/>
        </w:rPr>
      </w:pPr>
      <w:r>
        <w:rPr>
          <w:sz w:val="24"/>
          <w:szCs w:val="24"/>
        </w:rPr>
        <w:t>Pie chart showing segment wise share in total EV market in 2024-25</w:t>
      </w:r>
    </w:p>
    <w:p w:rsidR="00F047FF" w:rsidRDefault="00F047FF" w:rsidP="006D70C6">
      <w:pPr>
        <w:pStyle w:val="Heading2"/>
        <w:spacing w:before="0" w:beforeAutospacing="0" w:line="360" w:lineRule="auto"/>
        <w:jc w:val="both"/>
        <w:rPr>
          <w:b w:val="0"/>
          <w:sz w:val="24"/>
          <w:szCs w:val="24"/>
        </w:rPr>
      </w:pPr>
      <w:r w:rsidRPr="00F047FF">
        <w:rPr>
          <w:b w:val="0"/>
          <w:noProof/>
          <w:sz w:val="24"/>
          <w:szCs w:val="24"/>
        </w:rPr>
        <w:lastRenderedPageBreak/>
        <w:drawing>
          <wp:anchor distT="0" distB="0" distL="114300" distR="114300" simplePos="0" relativeHeight="251659264" behindDoc="0" locked="0" layoutInCell="1" allowOverlap="1">
            <wp:simplePos x="0" y="0"/>
            <wp:positionH relativeFrom="column">
              <wp:posOffset>899583</wp:posOffset>
            </wp:positionH>
            <wp:positionV relativeFrom="paragraph">
              <wp:posOffset>118533</wp:posOffset>
            </wp:positionV>
            <wp:extent cx="4580044" cy="2743200"/>
            <wp:effectExtent l="19050" t="0" r="15240" b="0"/>
            <wp:wrapSquare wrapText="bothSides"/>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F047FF" w:rsidRDefault="00F047FF" w:rsidP="006D70C6">
      <w:pPr>
        <w:pStyle w:val="Heading2"/>
        <w:spacing w:before="0" w:beforeAutospacing="0" w:line="360" w:lineRule="auto"/>
        <w:jc w:val="both"/>
        <w:rPr>
          <w:b w:val="0"/>
          <w:sz w:val="24"/>
          <w:szCs w:val="24"/>
        </w:rPr>
      </w:pPr>
    </w:p>
    <w:p w:rsidR="00F047FF" w:rsidRDefault="00F047FF" w:rsidP="006D70C6">
      <w:pPr>
        <w:pStyle w:val="Heading2"/>
        <w:spacing w:before="0" w:beforeAutospacing="0" w:line="360" w:lineRule="auto"/>
        <w:jc w:val="both"/>
        <w:rPr>
          <w:b w:val="0"/>
          <w:sz w:val="24"/>
          <w:szCs w:val="24"/>
        </w:rPr>
      </w:pPr>
    </w:p>
    <w:p w:rsidR="00F047FF" w:rsidRDefault="00F047FF" w:rsidP="006D70C6">
      <w:pPr>
        <w:pStyle w:val="Heading2"/>
        <w:spacing w:before="0" w:beforeAutospacing="0" w:line="360" w:lineRule="auto"/>
        <w:jc w:val="both"/>
        <w:rPr>
          <w:b w:val="0"/>
          <w:sz w:val="24"/>
          <w:szCs w:val="24"/>
        </w:rPr>
      </w:pPr>
    </w:p>
    <w:p w:rsidR="00F047FF" w:rsidRDefault="00F047FF" w:rsidP="006D70C6">
      <w:pPr>
        <w:pStyle w:val="Heading2"/>
        <w:spacing w:before="0" w:beforeAutospacing="0" w:line="360" w:lineRule="auto"/>
        <w:jc w:val="both"/>
        <w:rPr>
          <w:b w:val="0"/>
          <w:sz w:val="24"/>
          <w:szCs w:val="24"/>
        </w:rPr>
      </w:pPr>
    </w:p>
    <w:p w:rsidR="00F047FF" w:rsidRDefault="00F047FF" w:rsidP="006D70C6">
      <w:pPr>
        <w:pStyle w:val="Heading2"/>
        <w:spacing w:before="0" w:beforeAutospacing="0" w:line="360" w:lineRule="auto"/>
        <w:jc w:val="both"/>
        <w:rPr>
          <w:b w:val="0"/>
          <w:sz w:val="24"/>
          <w:szCs w:val="24"/>
        </w:rPr>
      </w:pPr>
    </w:p>
    <w:p w:rsidR="00374BFE" w:rsidRDefault="00374BFE" w:rsidP="00374BFE">
      <w:pPr>
        <w:pStyle w:val="NormalWeb"/>
        <w:spacing w:line="360" w:lineRule="auto"/>
        <w:rPr>
          <w:bCs/>
        </w:rPr>
      </w:pPr>
    </w:p>
    <w:p w:rsidR="00907192" w:rsidRPr="00374BFE" w:rsidRDefault="00907192" w:rsidP="00374BFE">
      <w:pPr>
        <w:pStyle w:val="NormalWeb"/>
        <w:spacing w:before="0" w:beforeAutospacing="0" w:line="360" w:lineRule="auto"/>
        <w:jc w:val="center"/>
        <w:rPr>
          <w:i/>
        </w:rPr>
      </w:pPr>
      <w:r w:rsidRPr="00374BFE">
        <w:rPr>
          <w:b/>
          <w:i/>
        </w:rPr>
        <w:t xml:space="preserve">Source: </w:t>
      </w:r>
      <w:r w:rsidRPr="00374BFE">
        <w:rPr>
          <w:i/>
        </w:rPr>
        <w:t>Table:2</w:t>
      </w:r>
    </w:p>
    <w:p w:rsidR="00F047FF" w:rsidRPr="00BF1E1C" w:rsidRDefault="00F047FF" w:rsidP="00374BFE">
      <w:pPr>
        <w:pStyle w:val="NormalWeb"/>
        <w:spacing w:before="0" w:beforeAutospacing="0" w:line="360" w:lineRule="auto"/>
        <w:jc w:val="both"/>
      </w:pPr>
      <w:r>
        <w:t xml:space="preserve">The chart:2 indicates </w:t>
      </w:r>
      <w:r w:rsidRPr="00BF1E1C">
        <w:t xml:space="preserve">that </w:t>
      </w:r>
      <w:r w:rsidRPr="00BF1E1C">
        <w:rPr>
          <w:rStyle w:val="Strong"/>
          <w:b w:val="0"/>
        </w:rPr>
        <w:t>electric two-wheelers dominate the EV market in India</w:t>
      </w:r>
      <w:r w:rsidRPr="00BF1E1C">
        <w:t xml:space="preserve">, accounting for </w:t>
      </w:r>
      <w:r w:rsidRPr="00BF1E1C">
        <w:rPr>
          <w:rStyle w:val="Strong"/>
          <w:b w:val="0"/>
        </w:rPr>
        <w:t>59% of the total EV share</w:t>
      </w:r>
      <w:r w:rsidRPr="00BF1E1C">
        <w:t>. This reflects their affordability, lower operating costs, and suitability for daily commuting, making them the most preferred segment among consumers.</w:t>
      </w:r>
    </w:p>
    <w:p w:rsidR="00F047FF" w:rsidRPr="00BF1E1C" w:rsidRDefault="00F047FF" w:rsidP="00F047FF">
      <w:pPr>
        <w:pStyle w:val="NormalWeb"/>
        <w:spacing w:line="360" w:lineRule="auto"/>
        <w:jc w:val="both"/>
      </w:pPr>
      <w:r w:rsidRPr="00BF1E1C">
        <w:rPr>
          <w:rStyle w:val="Strong"/>
          <w:b w:val="0"/>
        </w:rPr>
        <w:t>Electric three-wheelers hold the second-largest share (35%)</w:t>
      </w:r>
      <w:r w:rsidRPr="00BF1E1C">
        <w:t>, highlighting their widespread use in commercial applications such as passenger transport and last-mile delivery services, especially in urban and semi-urban areas.</w:t>
      </w:r>
    </w:p>
    <w:p w:rsidR="00F047FF" w:rsidRPr="00BF1E1C" w:rsidRDefault="00F047FF" w:rsidP="00F047FF">
      <w:pPr>
        <w:pStyle w:val="NormalWeb"/>
        <w:spacing w:line="360" w:lineRule="auto"/>
        <w:jc w:val="both"/>
      </w:pPr>
      <w:r w:rsidRPr="00BF1E1C">
        <w:t xml:space="preserve">In contrast, </w:t>
      </w:r>
      <w:r w:rsidRPr="00BF1E1C">
        <w:rPr>
          <w:rStyle w:val="Strong"/>
          <w:b w:val="0"/>
        </w:rPr>
        <w:t>electric passenger cars account for only 5%</w:t>
      </w:r>
      <w:r w:rsidRPr="00BF1E1C">
        <w:t xml:space="preserve">, indicating slower adoption due to higher purchase costs, limited charging infrastructure, and range concerns. Similarly, </w:t>
      </w:r>
      <w:r w:rsidRPr="00BF1E1C">
        <w:rPr>
          <w:rStyle w:val="Strong"/>
          <w:b w:val="0"/>
        </w:rPr>
        <w:t>electric buses represent just 1% of the market</w:t>
      </w:r>
      <w:r w:rsidRPr="00BF1E1C">
        <w:t>, suggesting that electrification in public transport is still at an early stage.</w:t>
      </w:r>
    </w:p>
    <w:p w:rsidR="00F047FF" w:rsidRPr="00BF7031" w:rsidRDefault="00F047FF" w:rsidP="00F047FF">
      <w:pPr>
        <w:pStyle w:val="NormalWeb"/>
        <w:spacing w:line="360" w:lineRule="auto"/>
        <w:jc w:val="both"/>
      </w:pPr>
      <w:r w:rsidRPr="00BF1E1C">
        <w:t xml:space="preserve">Overall, the distribution shows that EV adoption in India is currently driven by </w:t>
      </w:r>
      <w:r w:rsidRPr="00BF1E1C">
        <w:rPr>
          <w:rStyle w:val="Strong"/>
          <w:b w:val="0"/>
        </w:rPr>
        <w:t>low-cost and short-distance transport segments</w:t>
      </w:r>
      <w:r w:rsidRPr="00BF1E1C">
        <w:t>, while high-cost segments like cars and buses require stronger policy support, infrastructure development, and technological advancements for wider adoption.</w:t>
      </w:r>
    </w:p>
    <w:p w:rsidR="00F047FF" w:rsidRPr="0067352A" w:rsidRDefault="00F047FF" w:rsidP="006D70C6">
      <w:pPr>
        <w:pStyle w:val="Heading2"/>
        <w:spacing w:before="0" w:beforeAutospacing="0" w:line="360" w:lineRule="auto"/>
        <w:jc w:val="both"/>
        <w:rPr>
          <w:b w:val="0"/>
          <w:sz w:val="24"/>
          <w:szCs w:val="24"/>
        </w:rPr>
      </w:pPr>
    </w:p>
    <w:p w:rsidR="00CD6C4F" w:rsidRPr="0067352A" w:rsidRDefault="00544730" w:rsidP="00CD6C4F">
      <w:pPr>
        <w:pStyle w:val="Heading2"/>
        <w:spacing w:line="360" w:lineRule="auto"/>
        <w:jc w:val="both"/>
        <w:rPr>
          <w:sz w:val="28"/>
          <w:szCs w:val="28"/>
        </w:rPr>
      </w:pPr>
      <w:r w:rsidRPr="0067352A">
        <w:rPr>
          <w:sz w:val="28"/>
          <w:szCs w:val="28"/>
        </w:rPr>
        <w:lastRenderedPageBreak/>
        <w:t xml:space="preserve">ii.ROLE OF GOVERNMENT POLICIES AND INITIATIVES </w:t>
      </w:r>
    </w:p>
    <w:p w:rsidR="00544730" w:rsidRPr="0067352A" w:rsidRDefault="00CD6C4F" w:rsidP="00CD6C4F">
      <w:pPr>
        <w:pStyle w:val="NormalWeb"/>
        <w:spacing w:line="360" w:lineRule="auto"/>
        <w:jc w:val="both"/>
      </w:pPr>
      <w:r w:rsidRPr="0067352A">
        <w:t>Government policies have played a crucial role in accelerating the adoption of electric vehicles (EVs) and supporting the development of a sustainable electric mobility ecosystem in India</w:t>
      </w:r>
      <w:r w:rsidR="00544730" w:rsidRPr="0067352A">
        <w:t>.</w:t>
      </w:r>
    </w:p>
    <w:p w:rsidR="00544730" w:rsidRPr="0067352A" w:rsidRDefault="00544730" w:rsidP="006D70C6">
      <w:pPr>
        <w:pStyle w:val="NormalWeb"/>
        <w:spacing w:before="0" w:beforeAutospacing="0" w:after="0" w:afterAutospacing="0" w:line="360" w:lineRule="auto"/>
        <w:jc w:val="center"/>
        <w:rPr>
          <w:b/>
        </w:rPr>
      </w:pPr>
      <w:r w:rsidRPr="0067352A">
        <w:rPr>
          <w:b/>
        </w:rPr>
        <w:t>Table 3: Major Government Initiatives Supporting EV Adoption in India</w:t>
      </w:r>
    </w:p>
    <w:tbl>
      <w:tblPr>
        <w:tblStyle w:val="TableGrid"/>
        <w:tblW w:w="10356" w:type="dxa"/>
        <w:tblLook w:val="04A0"/>
      </w:tblPr>
      <w:tblGrid>
        <w:gridCol w:w="4258"/>
        <w:gridCol w:w="1404"/>
        <w:gridCol w:w="4694"/>
      </w:tblGrid>
      <w:tr w:rsidR="00544730" w:rsidRPr="0067352A" w:rsidTr="00B75A0F">
        <w:trPr>
          <w:trHeight w:val="339"/>
        </w:trPr>
        <w:tc>
          <w:tcPr>
            <w:tcW w:w="4208" w:type="dxa"/>
            <w:hideMark/>
          </w:tcPr>
          <w:p w:rsidR="00544730" w:rsidRPr="0067352A" w:rsidRDefault="00544730" w:rsidP="006D70C6">
            <w:pPr>
              <w:jc w:val="center"/>
              <w:rPr>
                <w:rFonts w:ascii="Times New Roman" w:eastAsia="Times New Roman" w:hAnsi="Times New Roman" w:cs="Times New Roman"/>
                <w:b/>
                <w:bCs/>
              </w:rPr>
            </w:pPr>
            <w:r w:rsidRPr="0067352A">
              <w:rPr>
                <w:rFonts w:ascii="Times New Roman" w:eastAsia="Times New Roman" w:hAnsi="Times New Roman" w:cs="Times New Roman"/>
                <w:b/>
                <w:bCs/>
              </w:rPr>
              <w:t>Policy / Initiative</w:t>
            </w:r>
          </w:p>
        </w:tc>
        <w:tc>
          <w:tcPr>
            <w:tcW w:w="1388" w:type="dxa"/>
            <w:hideMark/>
          </w:tcPr>
          <w:p w:rsidR="00544730" w:rsidRPr="0067352A" w:rsidRDefault="00544730" w:rsidP="00544730">
            <w:pPr>
              <w:jc w:val="center"/>
              <w:rPr>
                <w:rFonts w:ascii="Times New Roman" w:eastAsia="Times New Roman" w:hAnsi="Times New Roman" w:cs="Times New Roman"/>
                <w:b/>
                <w:bCs/>
              </w:rPr>
            </w:pPr>
            <w:r w:rsidRPr="0067352A">
              <w:rPr>
                <w:rFonts w:ascii="Times New Roman" w:eastAsia="Times New Roman" w:hAnsi="Times New Roman" w:cs="Times New Roman"/>
                <w:b/>
                <w:bCs/>
              </w:rPr>
              <w:t>Year Introduced</w:t>
            </w:r>
          </w:p>
        </w:tc>
        <w:tc>
          <w:tcPr>
            <w:tcW w:w="4640" w:type="dxa"/>
            <w:hideMark/>
          </w:tcPr>
          <w:p w:rsidR="00544730" w:rsidRPr="0067352A" w:rsidRDefault="00544730" w:rsidP="00544730">
            <w:pPr>
              <w:jc w:val="center"/>
              <w:rPr>
                <w:rFonts w:ascii="Times New Roman" w:eastAsia="Times New Roman" w:hAnsi="Times New Roman" w:cs="Times New Roman"/>
                <w:b/>
                <w:bCs/>
              </w:rPr>
            </w:pPr>
            <w:r w:rsidRPr="0067352A">
              <w:rPr>
                <w:rFonts w:ascii="Times New Roman" w:eastAsia="Times New Roman" w:hAnsi="Times New Roman" w:cs="Times New Roman"/>
                <w:b/>
                <w:bCs/>
              </w:rPr>
              <w:t>Key Objective</w:t>
            </w:r>
          </w:p>
        </w:tc>
      </w:tr>
      <w:tr w:rsidR="00544730" w:rsidRPr="0067352A" w:rsidTr="00B75A0F">
        <w:trPr>
          <w:trHeight w:val="332"/>
        </w:trPr>
        <w:tc>
          <w:tcPr>
            <w:tcW w:w="4208" w:type="dxa"/>
            <w:hideMark/>
          </w:tcPr>
          <w:p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National Electric Mobility Mission Plan (NEMMP)</w:t>
            </w:r>
          </w:p>
        </w:tc>
        <w:tc>
          <w:tcPr>
            <w:tcW w:w="1388" w:type="dxa"/>
            <w:hideMark/>
          </w:tcPr>
          <w:p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2013</w:t>
            </w:r>
          </w:p>
        </w:tc>
        <w:tc>
          <w:tcPr>
            <w:tcW w:w="4640" w:type="dxa"/>
            <w:hideMark/>
          </w:tcPr>
          <w:p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Promote electric mobility and reduce dependence on fossil fuels</w:t>
            </w:r>
          </w:p>
        </w:tc>
      </w:tr>
      <w:tr w:rsidR="00544730" w:rsidRPr="0067352A" w:rsidTr="00B75A0F">
        <w:trPr>
          <w:trHeight w:val="332"/>
        </w:trPr>
        <w:tc>
          <w:tcPr>
            <w:tcW w:w="4208" w:type="dxa"/>
            <w:hideMark/>
          </w:tcPr>
          <w:p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FAME India Scheme – Phase I</w:t>
            </w:r>
          </w:p>
        </w:tc>
        <w:tc>
          <w:tcPr>
            <w:tcW w:w="1388" w:type="dxa"/>
            <w:hideMark/>
          </w:tcPr>
          <w:p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2015</w:t>
            </w:r>
          </w:p>
        </w:tc>
        <w:tc>
          <w:tcPr>
            <w:tcW w:w="4640" w:type="dxa"/>
            <w:hideMark/>
          </w:tcPr>
          <w:p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Provide financial incentives for EV adoption</w:t>
            </w:r>
          </w:p>
        </w:tc>
      </w:tr>
      <w:tr w:rsidR="00544730" w:rsidRPr="0067352A" w:rsidTr="00B75A0F">
        <w:trPr>
          <w:trHeight w:val="326"/>
        </w:trPr>
        <w:tc>
          <w:tcPr>
            <w:tcW w:w="4208" w:type="dxa"/>
            <w:hideMark/>
          </w:tcPr>
          <w:p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FAME India Scheme – Phase II</w:t>
            </w:r>
          </w:p>
        </w:tc>
        <w:tc>
          <w:tcPr>
            <w:tcW w:w="1388" w:type="dxa"/>
            <w:hideMark/>
          </w:tcPr>
          <w:p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2019</w:t>
            </w:r>
          </w:p>
        </w:tc>
        <w:tc>
          <w:tcPr>
            <w:tcW w:w="4640" w:type="dxa"/>
            <w:hideMark/>
          </w:tcPr>
          <w:p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Expand EV adoption and develop charging infrastructure</w:t>
            </w:r>
          </w:p>
        </w:tc>
      </w:tr>
      <w:tr w:rsidR="00544730" w:rsidRPr="0067352A" w:rsidTr="00B75A0F">
        <w:trPr>
          <w:trHeight w:val="332"/>
        </w:trPr>
        <w:tc>
          <w:tcPr>
            <w:tcW w:w="4208" w:type="dxa"/>
            <w:hideMark/>
          </w:tcPr>
          <w:p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Production Linked Incentive (PLI) Scheme for ACC Batteries</w:t>
            </w:r>
          </w:p>
        </w:tc>
        <w:tc>
          <w:tcPr>
            <w:tcW w:w="1388" w:type="dxa"/>
            <w:hideMark/>
          </w:tcPr>
          <w:p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2021</w:t>
            </w:r>
          </w:p>
        </w:tc>
        <w:tc>
          <w:tcPr>
            <w:tcW w:w="4640" w:type="dxa"/>
            <w:hideMark/>
          </w:tcPr>
          <w:p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Encourage domestic battery manufacturing</w:t>
            </w:r>
          </w:p>
        </w:tc>
      </w:tr>
      <w:tr w:rsidR="00544730" w:rsidRPr="0067352A" w:rsidTr="00B75A0F">
        <w:trPr>
          <w:trHeight w:val="339"/>
        </w:trPr>
        <w:tc>
          <w:tcPr>
            <w:tcW w:w="4208" w:type="dxa"/>
            <w:hideMark/>
          </w:tcPr>
          <w:p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State Electric Vehicle Policies</w:t>
            </w:r>
          </w:p>
        </w:tc>
        <w:tc>
          <w:tcPr>
            <w:tcW w:w="1388" w:type="dxa"/>
            <w:hideMark/>
          </w:tcPr>
          <w:p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2019 onwards</w:t>
            </w:r>
          </w:p>
        </w:tc>
        <w:tc>
          <w:tcPr>
            <w:tcW w:w="4640" w:type="dxa"/>
            <w:hideMark/>
          </w:tcPr>
          <w:p w:rsidR="00544730" w:rsidRPr="0067352A" w:rsidRDefault="00544730" w:rsidP="00544730">
            <w:pPr>
              <w:rPr>
                <w:rFonts w:ascii="Times New Roman" w:eastAsia="Times New Roman" w:hAnsi="Times New Roman" w:cs="Times New Roman"/>
              </w:rPr>
            </w:pPr>
            <w:r w:rsidRPr="0067352A">
              <w:rPr>
                <w:rFonts w:ascii="Times New Roman" w:eastAsia="Times New Roman" w:hAnsi="Times New Roman" w:cs="Times New Roman"/>
              </w:rPr>
              <w:t>Provide subsidies, tax exemptions, and infrastructure support</w:t>
            </w:r>
          </w:p>
        </w:tc>
      </w:tr>
    </w:tbl>
    <w:p w:rsidR="00F047FF" w:rsidRPr="00374BFE" w:rsidRDefault="00544730" w:rsidP="00374BFE">
      <w:pPr>
        <w:pStyle w:val="NormalWeb"/>
        <w:spacing w:before="0" w:beforeAutospacing="0" w:line="360" w:lineRule="auto"/>
        <w:jc w:val="both"/>
        <w:rPr>
          <w:i/>
        </w:rPr>
      </w:pPr>
      <w:r w:rsidRPr="00374BFE">
        <w:rPr>
          <w:rStyle w:val="Strong"/>
          <w:i/>
        </w:rPr>
        <w:t>Source:</w:t>
      </w:r>
      <w:r w:rsidR="00F047FF" w:rsidRPr="00374BFE">
        <w:rPr>
          <w:i/>
        </w:rPr>
        <w:t xml:space="preserve"> Compiled from reports and policy documents of the </w:t>
      </w:r>
      <w:r w:rsidR="00F047FF" w:rsidRPr="00374BFE">
        <w:rPr>
          <w:rStyle w:val="whitespace-normal"/>
          <w:i/>
        </w:rPr>
        <w:t>Ministry of Heavy Industries (India)</w:t>
      </w:r>
      <w:r w:rsidR="00F047FF" w:rsidRPr="00374BFE">
        <w:rPr>
          <w:i/>
        </w:rPr>
        <w:t xml:space="preserve">, </w:t>
      </w:r>
      <w:r w:rsidR="00F047FF" w:rsidRPr="00374BFE">
        <w:rPr>
          <w:rStyle w:val="whitespace-normal"/>
          <w:i/>
        </w:rPr>
        <w:t>Press Information Bureau (India)(2025)</w:t>
      </w:r>
      <w:r w:rsidR="00F047FF" w:rsidRPr="00374BFE">
        <w:rPr>
          <w:i/>
        </w:rPr>
        <w:t xml:space="preserve">, </w:t>
      </w:r>
      <w:r w:rsidR="00F047FF" w:rsidRPr="00374BFE">
        <w:rPr>
          <w:rStyle w:val="whitespace-normal"/>
          <w:i/>
        </w:rPr>
        <w:t>NITI Aayog</w:t>
      </w:r>
      <w:r w:rsidR="00F047FF" w:rsidRPr="00374BFE">
        <w:rPr>
          <w:i/>
        </w:rPr>
        <w:t xml:space="preserve">, and the </w:t>
      </w:r>
      <w:r w:rsidR="00F047FF" w:rsidRPr="00374BFE">
        <w:rPr>
          <w:rStyle w:val="whitespace-normal"/>
          <w:i/>
        </w:rPr>
        <w:t>International Energy Agency(2024)</w:t>
      </w:r>
      <w:r w:rsidR="00F047FF" w:rsidRPr="00374BFE">
        <w:rPr>
          <w:i/>
        </w:rPr>
        <w:t>.</w:t>
      </w:r>
    </w:p>
    <w:p w:rsidR="000E2B73" w:rsidRPr="0067352A" w:rsidRDefault="00F047FF" w:rsidP="006D70C6">
      <w:pPr>
        <w:pStyle w:val="NormalWeb"/>
        <w:spacing w:before="0" w:beforeAutospacing="0" w:line="360" w:lineRule="auto"/>
        <w:jc w:val="both"/>
      </w:pPr>
      <w:r>
        <w:t xml:space="preserve">Table:3 shows </w:t>
      </w:r>
      <w:r w:rsidR="00CD6C4F" w:rsidRPr="0067352A">
        <w:t xml:space="preserve">the various initiatives introduced by the Government of India, the </w:t>
      </w:r>
      <w:r w:rsidR="00CD6C4F" w:rsidRPr="0067352A">
        <w:rPr>
          <w:rStyle w:val="whitespace-normal"/>
          <w:bCs/>
        </w:rPr>
        <w:t>Faster Adoption and Manufacturing of Electric Vehicles (FAME) India Scheme</w:t>
      </w:r>
      <w:r w:rsidR="00CD6C4F" w:rsidRPr="0067352A">
        <w:t xml:space="preserve"> is one of the most significant policies aimed at promoting electric mobility. The scheme was launched in </w:t>
      </w:r>
      <w:r w:rsidR="00CD6C4F" w:rsidRPr="0067352A">
        <w:rPr>
          <w:rStyle w:val="Strong"/>
          <w:b w:val="0"/>
        </w:rPr>
        <w:t>2015</w:t>
      </w:r>
      <w:r w:rsidR="00CD6C4F" w:rsidRPr="0067352A">
        <w:t xml:space="preserve"> under the </w:t>
      </w:r>
      <w:r w:rsidR="00CD6C4F" w:rsidRPr="0067352A">
        <w:rPr>
          <w:rStyle w:val="Strong"/>
          <w:b w:val="0"/>
        </w:rPr>
        <w:t>National Electric Mobility Mission Plan</w:t>
      </w:r>
      <w:r w:rsidR="00CD6C4F" w:rsidRPr="0067352A">
        <w:t xml:space="preserve"> with the objective of encouraging the adoption of electric and hybrid vehicles, reducing vehicular pollution, and decreasing dependence on fossil fuels. </w:t>
      </w:r>
      <w:r w:rsidR="000E2B73" w:rsidRPr="0067352A">
        <w:t xml:space="preserve">The main </w:t>
      </w:r>
      <w:r w:rsidRPr="0067352A">
        <w:t>objective of the scheme is</w:t>
      </w:r>
      <w:r w:rsidR="000E2B73" w:rsidRPr="0067352A">
        <w:t xml:space="preserve"> as follows: </w:t>
      </w:r>
    </w:p>
    <w:p w:rsidR="000E2B73" w:rsidRPr="0067352A" w:rsidRDefault="000E2B73" w:rsidP="000E2B73">
      <w:pPr>
        <w:pStyle w:val="NormalWeb"/>
        <w:numPr>
          <w:ilvl w:val="0"/>
          <w:numId w:val="16"/>
        </w:numPr>
        <w:spacing w:line="360" w:lineRule="auto"/>
        <w:jc w:val="both"/>
      </w:pPr>
      <w:r w:rsidRPr="0067352A">
        <w:rPr>
          <w:rStyle w:val="Strong"/>
          <w:b w:val="0"/>
        </w:rPr>
        <w:t>Promote the adoption of electric vehicles</w:t>
      </w:r>
      <w:r w:rsidRPr="0067352A">
        <w:t xml:space="preserve"> by providing financial incentives and subsidies to consumers purchasing EVs.</w:t>
      </w:r>
    </w:p>
    <w:p w:rsidR="000E2B73" w:rsidRPr="0067352A" w:rsidRDefault="000E2B73" w:rsidP="000E2B73">
      <w:pPr>
        <w:pStyle w:val="NormalWeb"/>
        <w:numPr>
          <w:ilvl w:val="0"/>
          <w:numId w:val="16"/>
        </w:numPr>
        <w:spacing w:line="360" w:lineRule="auto"/>
        <w:jc w:val="both"/>
      </w:pPr>
      <w:r w:rsidRPr="0067352A">
        <w:rPr>
          <w:rStyle w:val="Strong"/>
          <w:b w:val="0"/>
        </w:rPr>
        <w:t>Reduce dependence on fossil fuels</w:t>
      </w:r>
      <w:r w:rsidRPr="0067352A">
        <w:t xml:space="preserve"> and promote cleaner and more sustainable transportation systems.</w:t>
      </w:r>
    </w:p>
    <w:p w:rsidR="000E2B73" w:rsidRPr="0067352A" w:rsidRDefault="000E2B73" w:rsidP="000E2B73">
      <w:pPr>
        <w:pStyle w:val="NormalWeb"/>
        <w:numPr>
          <w:ilvl w:val="0"/>
          <w:numId w:val="16"/>
        </w:numPr>
        <w:spacing w:line="360" w:lineRule="auto"/>
        <w:jc w:val="both"/>
      </w:pPr>
      <w:r w:rsidRPr="0067352A">
        <w:rPr>
          <w:rStyle w:val="Strong"/>
          <w:b w:val="0"/>
        </w:rPr>
        <w:t>Encourage domestic manufacturing of EV components</w:t>
      </w:r>
      <w:r w:rsidRPr="0067352A">
        <w:t>, including batteries, motors, and power electronics.</w:t>
      </w:r>
    </w:p>
    <w:p w:rsidR="000E2B73" w:rsidRPr="0067352A" w:rsidRDefault="000E2B73" w:rsidP="000E2B73">
      <w:pPr>
        <w:pStyle w:val="NormalWeb"/>
        <w:numPr>
          <w:ilvl w:val="0"/>
          <w:numId w:val="16"/>
        </w:numPr>
        <w:spacing w:line="360" w:lineRule="auto"/>
        <w:jc w:val="both"/>
      </w:pPr>
      <w:r w:rsidRPr="0067352A">
        <w:rPr>
          <w:rStyle w:val="Strong"/>
          <w:b w:val="0"/>
        </w:rPr>
        <w:t>Develop EV charging infrastructure</w:t>
      </w:r>
      <w:r w:rsidRPr="0067352A">
        <w:t xml:space="preserve"> across the country to support large-scale adoption of electric vehicles.</w:t>
      </w:r>
    </w:p>
    <w:p w:rsidR="000E2B73" w:rsidRPr="0067352A" w:rsidRDefault="000E2B73" w:rsidP="000E2B73">
      <w:pPr>
        <w:pStyle w:val="NormalWeb"/>
        <w:numPr>
          <w:ilvl w:val="0"/>
          <w:numId w:val="16"/>
        </w:numPr>
        <w:spacing w:line="360" w:lineRule="auto"/>
        <w:jc w:val="both"/>
      </w:pPr>
      <w:r w:rsidRPr="0067352A">
        <w:rPr>
          <w:rStyle w:val="Strong"/>
          <w:b w:val="0"/>
        </w:rPr>
        <w:lastRenderedPageBreak/>
        <w:t>Promote research and technological innovation</w:t>
      </w:r>
      <w:r w:rsidRPr="0067352A">
        <w:t xml:space="preserve"> in electric mobility and battery technologies.</w:t>
      </w:r>
    </w:p>
    <w:p w:rsidR="000E2B73" w:rsidRPr="0067352A" w:rsidRDefault="000E2B73" w:rsidP="000E2B73">
      <w:pPr>
        <w:pStyle w:val="NormalWeb"/>
        <w:numPr>
          <w:ilvl w:val="0"/>
          <w:numId w:val="16"/>
        </w:numPr>
        <w:spacing w:line="360" w:lineRule="auto"/>
        <w:jc w:val="both"/>
      </w:pPr>
      <w:r w:rsidRPr="0067352A">
        <w:rPr>
          <w:rStyle w:val="Strong"/>
          <w:b w:val="0"/>
        </w:rPr>
        <w:t>Reduce vehicular emissions and environmental pollution</w:t>
      </w:r>
      <w:r w:rsidRPr="0067352A">
        <w:t>, contributing to improved air quality and climate change mitigation.</w:t>
      </w:r>
    </w:p>
    <w:p w:rsidR="000E2B73" w:rsidRPr="0067352A" w:rsidRDefault="000E2B73" w:rsidP="000E2B73">
      <w:pPr>
        <w:pStyle w:val="NormalWeb"/>
        <w:numPr>
          <w:ilvl w:val="0"/>
          <w:numId w:val="16"/>
        </w:numPr>
        <w:spacing w:line="360" w:lineRule="auto"/>
        <w:jc w:val="both"/>
      </w:pPr>
      <w:r w:rsidRPr="0067352A">
        <w:rPr>
          <w:rStyle w:val="Strong"/>
          <w:b w:val="0"/>
        </w:rPr>
        <w:t>Support electrification of public and shared transportation</w:t>
      </w:r>
      <w:r w:rsidRPr="0067352A">
        <w:t>, particularly electric buses, two-wheelers, and three-wheelers.</w:t>
      </w:r>
    </w:p>
    <w:p w:rsidR="000E2B73" w:rsidRPr="0067352A" w:rsidRDefault="000E2B73" w:rsidP="006D70C6">
      <w:pPr>
        <w:pStyle w:val="NormalWeb"/>
        <w:spacing w:line="360" w:lineRule="auto"/>
        <w:jc w:val="both"/>
      </w:pPr>
      <w:r w:rsidRPr="0067352A">
        <w:t xml:space="preserve">These objectives aim to create a </w:t>
      </w:r>
      <w:r w:rsidRPr="0067352A">
        <w:rPr>
          <w:rStyle w:val="Strong"/>
          <w:b w:val="0"/>
        </w:rPr>
        <w:t>sustainable electric mobility ecosystem in India</w:t>
      </w:r>
      <w:r w:rsidRPr="0067352A">
        <w:t xml:space="preserve"> by combining policy incentives, technological development, and infrastructure expansion.</w:t>
      </w:r>
    </w:p>
    <w:p w:rsidR="00CD6C4F" w:rsidRPr="0067352A" w:rsidRDefault="00CD6C4F" w:rsidP="006D70C6">
      <w:pPr>
        <w:pStyle w:val="NormalWeb"/>
        <w:spacing w:line="360" w:lineRule="auto"/>
        <w:jc w:val="both"/>
      </w:pPr>
      <w:r w:rsidRPr="0067352A">
        <w:t xml:space="preserve">The analysis indicates that government policies, particularly the </w:t>
      </w:r>
      <w:r w:rsidRPr="0067352A">
        <w:rPr>
          <w:rStyle w:val="Strong"/>
          <w:b w:val="0"/>
        </w:rPr>
        <w:t>FAME India Scheme</w:t>
      </w:r>
      <w:r w:rsidRPr="0067352A">
        <w:t>, have been instrumental in promoting electric mobility in India. The scheme has successfully stimulated EV demand, supported infrastructure development, encouraged public transportation electrification, and promoted domestic manufacturing. Nevertheless, continuous policy support, improved infrastructure, and technological advancements are essential to sustain the growth of electric mobility and achieve India’s long-term sustainable transportation goals.</w:t>
      </w:r>
    </w:p>
    <w:p w:rsidR="00CD6C4F" w:rsidRPr="0067352A" w:rsidRDefault="00137F28" w:rsidP="00CD6C4F">
      <w:pPr>
        <w:spacing w:line="360" w:lineRule="auto"/>
        <w:jc w:val="both"/>
        <w:rPr>
          <w:rFonts w:ascii="Times New Roman" w:hAnsi="Times New Roman" w:cs="Times New Roman"/>
          <w:b/>
          <w:sz w:val="24"/>
          <w:szCs w:val="24"/>
        </w:rPr>
      </w:pPr>
      <w:r w:rsidRPr="0067352A">
        <w:rPr>
          <w:rFonts w:ascii="Times New Roman" w:hAnsi="Times New Roman" w:cs="Times New Roman"/>
          <w:b/>
          <w:sz w:val="24"/>
          <w:szCs w:val="24"/>
        </w:rPr>
        <w:t>iii</w:t>
      </w:r>
      <w:r w:rsidR="000E2B73" w:rsidRPr="0067352A">
        <w:rPr>
          <w:rFonts w:ascii="Times New Roman" w:hAnsi="Times New Roman" w:cs="Times New Roman"/>
          <w:b/>
          <w:sz w:val="24"/>
          <w:szCs w:val="24"/>
        </w:rPr>
        <w:t>.IDENTIFICATION OF MAJOR INFRASTRUCTURAL CHALLENGES: AVAILABILITY AND DEVELOPMENT OF EV CHARGING INFRASTRUCTURE IN INDIA</w:t>
      </w:r>
    </w:p>
    <w:p w:rsidR="000E2B73" w:rsidRDefault="000E2B73" w:rsidP="006D70C6">
      <w:pPr>
        <w:pStyle w:val="Heading2"/>
        <w:spacing w:line="360" w:lineRule="auto"/>
        <w:jc w:val="both"/>
        <w:rPr>
          <w:b w:val="0"/>
          <w:sz w:val="24"/>
          <w:szCs w:val="24"/>
        </w:rPr>
      </w:pPr>
      <w:r w:rsidRPr="0067352A">
        <w:rPr>
          <w:b w:val="0"/>
          <w:sz w:val="24"/>
          <w:szCs w:val="24"/>
        </w:rPr>
        <w:t xml:space="preserve">The development of adequate charging infrastructure is one of the most critical factors influencing the large-scale adoption of electric vehicles (EVs) in India. Despite the growing number of EV registrations, the expansion of charging infrastructure has not kept pace with the increasing demand. Limited availability of public charging stations, uneven regional distribution, high installation costs, and lack of standardization in charging technology remain significant infrastructural challenges. The Government of India has initiated several measures to expand charging infrastructure under the </w:t>
      </w:r>
      <w:r w:rsidRPr="0067352A">
        <w:rPr>
          <w:rStyle w:val="whitespace-normal"/>
          <w:b w:val="0"/>
          <w:sz w:val="24"/>
          <w:szCs w:val="24"/>
        </w:rPr>
        <w:t>Faster Adoption and Manufacturing of Electric Vehicles (FAME) India Scheme</w:t>
      </w:r>
      <w:r w:rsidRPr="0067352A">
        <w:rPr>
          <w:b w:val="0"/>
          <w:sz w:val="24"/>
          <w:szCs w:val="24"/>
        </w:rPr>
        <w:t xml:space="preserve"> with support from the </w:t>
      </w:r>
      <w:r w:rsidRPr="0067352A">
        <w:rPr>
          <w:rStyle w:val="whitespace-normal"/>
          <w:b w:val="0"/>
          <w:sz w:val="24"/>
          <w:szCs w:val="24"/>
        </w:rPr>
        <w:t>Ministry of Heavy Industries (India)</w:t>
      </w:r>
      <w:r w:rsidRPr="0067352A">
        <w:rPr>
          <w:b w:val="0"/>
          <w:sz w:val="24"/>
          <w:szCs w:val="24"/>
        </w:rPr>
        <w:t xml:space="preserve"> and policy recommendations from </w:t>
      </w:r>
      <w:r w:rsidRPr="0067352A">
        <w:rPr>
          <w:rStyle w:val="whitespace-normal"/>
          <w:b w:val="0"/>
          <w:sz w:val="24"/>
          <w:szCs w:val="24"/>
        </w:rPr>
        <w:t>NITI Aayog</w:t>
      </w:r>
      <w:r w:rsidRPr="0067352A">
        <w:rPr>
          <w:b w:val="0"/>
          <w:sz w:val="24"/>
          <w:szCs w:val="24"/>
        </w:rPr>
        <w:t>. However, the rapid growth of EVs requires a much faster expansion of charging networks across urban and rural areas.</w:t>
      </w:r>
    </w:p>
    <w:p w:rsidR="00F047FF" w:rsidRDefault="00F047FF" w:rsidP="006D70C6">
      <w:pPr>
        <w:pStyle w:val="Heading2"/>
        <w:spacing w:line="360" w:lineRule="auto"/>
        <w:jc w:val="both"/>
        <w:rPr>
          <w:b w:val="0"/>
          <w:sz w:val="24"/>
          <w:szCs w:val="24"/>
        </w:rPr>
      </w:pPr>
    </w:p>
    <w:p w:rsidR="00F047FF" w:rsidRPr="0067352A" w:rsidRDefault="00F047FF" w:rsidP="006D70C6">
      <w:pPr>
        <w:pStyle w:val="Heading2"/>
        <w:spacing w:line="360" w:lineRule="auto"/>
        <w:jc w:val="both"/>
        <w:rPr>
          <w:b w:val="0"/>
          <w:sz w:val="24"/>
          <w:szCs w:val="24"/>
        </w:rPr>
      </w:pPr>
    </w:p>
    <w:p w:rsidR="000E2B73" w:rsidRPr="0067352A" w:rsidRDefault="000E2B73" w:rsidP="00137F28">
      <w:pPr>
        <w:pStyle w:val="Heading2"/>
        <w:spacing w:line="360" w:lineRule="auto"/>
        <w:jc w:val="center"/>
        <w:rPr>
          <w:sz w:val="24"/>
          <w:szCs w:val="24"/>
        </w:rPr>
      </w:pPr>
      <w:r w:rsidRPr="0067352A">
        <w:rPr>
          <w:sz w:val="24"/>
          <w:szCs w:val="24"/>
        </w:rPr>
        <w:t>Table</w:t>
      </w:r>
      <w:r w:rsidR="00137F28" w:rsidRPr="0067352A">
        <w:rPr>
          <w:sz w:val="24"/>
          <w:szCs w:val="24"/>
        </w:rPr>
        <w:t xml:space="preserve"> 4</w:t>
      </w:r>
      <w:r w:rsidRPr="0067352A">
        <w:rPr>
          <w:sz w:val="24"/>
          <w:szCs w:val="24"/>
        </w:rPr>
        <w:t>: Growth of Public EV Charging Stations in India</w:t>
      </w:r>
    </w:p>
    <w:tbl>
      <w:tblPr>
        <w:tblStyle w:val="TableGrid"/>
        <w:tblW w:w="6233" w:type="dxa"/>
        <w:jc w:val="center"/>
        <w:tblLook w:val="04A0"/>
      </w:tblPr>
      <w:tblGrid>
        <w:gridCol w:w="1105"/>
        <w:gridCol w:w="5128"/>
      </w:tblGrid>
      <w:tr w:rsidR="000E2B73" w:rsidRPr="0067352A" w:rsidTr="00374BFE">
        <w:trPr>
          <w:trHeight w:val="271"/>
          <w:jc w:val="center"/>
        </w:trPr>
        <w:tc>
          <w:tcPr>
            <w:tcW w:w="1089" w:type="dxa"/>
            <w:hideMark/>
          </w:tcPr>
          <w:p w:rsidR="000E2B73" w:rsidRPr="0067352A" w:rsidRDefault="000E2B73" w:rsidP="006D70C6">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Year</w:t>
            </w:r>
          </w:p>
        </w:tc>
        <w:tc>
          <w:tcPr>
            <w:tcW w:w="5054" w:type="dxa"/>
            <w:hideMark/>
          </w:tcPr>
          <w:p w:rsidR="000E2B73" w:rsidRPr="0067352A" w:rsidRDefault="000E2B73" w:rsidP="006D70C6">
            <w:pPr>
              <w:jc w:val="center"/>
              <w:rPr>
                <w:rFonts w:ascii="Times New Roman" w:eastAsia="Times New Roman" w:hAnsi="Times New Roman" w:cs="Times New Roman"/>
                <w:b/>
                <w:bCs/>
                <w:sz w:val="24"/>
                <w:szCs w:val="24"/>
              </w:rPr>
            </w:pPr>
            <w:r w:rsidRPr="0067352A">
              <w:rPr>
                <w:rFonts w:ascii="Times New Roman" w:eastAsia="Times New Roman" w:hAnsi="Times New Roman" w:cs="Times New Roman"/>
                <w:b/>
                <w:bCs/>
                <w:sz w:val="24"/>
                <w:szCs w:val="24"/>
              </w:rPr>
              <w:t>Number of Public Charging Stations</w:t>
            </w:r>
          </w:p>
        </w:tc>
      </w:tr>
      <w:tr w:rsidR="000E2B73" w:rsidRPr="0067352A" w:rsidTr="00374BFE">
        <w:trPr>
          <w:trHeight w:val="271"/>
          <w:jc w:val="center"/>
        </w:trPr>
        <w:tc>
          <w:tcPr>
            <w:tcW w:w="1089" w:type="dxa"/>
            <w:hideMark/>
          </w:tcPr>
          <w:p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2019</w:t>
            </w:r>
            <w:r w:rsidR="00A70897" w:rsidRPr="0067352A">
              <w:rPr>
                <w:rFonts w:ascii="Times New Roman" w:eastAsia="Times New Roman" w:hAnsi="Times New Roman" w:cs="Times New Roman"/>
                <w:sz w:val="24"/>
                <w:szCs w:val="24"/>
              </w:rPr>
              <w:t>-20</w:t>
            </w:r>
          </w:p>
        </w:tc>
        <w:tc>
          <w:tcPr>
            <w:tcW w:w="5054" w:type="dxa"/>
            <w:hideMark/>
          </w:tcPr>
          <w:p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650</w:t>
            </w:r>
          </w:p>
        </w:tc>
      </w:tr>
      <w:tr w:rsidR="000E2B73" w:rsidRPr="0067352A" w:rsidTr="00374BFE">
        <w:trPr>
          <w:trHeight w:val="260"/>
          <w:jc w:val="center"/>
        </w:trPr>
        <w:tc>
          <w:tcPr>
            <w:tcW w:w="1089" w:type="dxa"/>
            <w:hideMark/>
          </w:tcPr>
          <w:p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2020</w:t>
            </w:r>
            <w:r w:rsidR="00A70897" w:rsidRPr="0067352A">
              <w:rPr>
                <w:rFonts w:ascii="Times New Roman" w:eastAsia="Times New Roman" w:hAnsi="Times New Roman" w:cs="Times New Roman"/>
                <w:sz w:val="24"/>
                <w:szCs w:val="24"/>
              </w:rPr>
              <w:t>-21</w:t>
            </w:r>
          </w:p>
        </w:tc>
        <w:tc>
          <w:tcPr>
            <w:tcW w:w="5054" w:type="dxa"/>
            <w:hideMark/>
          </w:tcPr>
          <w:p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1,800</w:t>
            </w:r>
          </w:p>
        </w:tc>
      </w:tr>
      <w:tr w:rsidR="000E2B73" w:rsidRPr="0067352A" w:rsidTr="00374BFE">
        <w:trPr>
          <w:trHeight w:val="271"/>
          <w:jc w:val="center"/>
        </w:trPr>
        <w:tc>
          <w:tcPr>
            <w:tcW w:w="1089" w:type="dxa"/>
            <w:hideMark/>
          </w:tcPr>
          <w:p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2021</w:t>
            </w:r>
            <w:r w:rsidR="00A70897" w:rsidRPr="0067352A">
              <w:rPr>
                <w:rFonts w:ascii="Times New Roman" w:eastAsia="Times New Roman" w:hAnsi="Times New Roman" w:cs="Times New Roman"/>
                <w:sz w:val="24"/>
                <w:szCs w:val="24"/>
              </w:rPr>
              <w:t>-22</w:t>
            </w:r>
          </w:p>
        </w:tc>
        <w:tc>
          <w:tcPr>
            <w:tcW w:w="5054" w:type="dxa"/>
            <w:hideMark/>
          </w:tcPr>
          <w:p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3,500</w:t>
            </w:r>
          </w:p>
        </w:tc>
      </w:tr>
      <w:tr w:rsidR="000E2B73" w:rsidRPr="0067352A" w:rsidTr="00374BFE">
        <w:trPr>
          <w:trHeight w:val="271"/>
          <w:jc w:val="center"/>
        </w:trPr>
        <w:tc>
          <w:tcPr>
            <w:tcW w:w="1089" w:type="dxa"/>
            <w:hideMark/>
          </w:tcPr>
          <w:p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2022</w:t>
            </w:r>
            <w:r w:rsidR="00A70897" w:rsidRPr="0067352A">
              <w:rPr>
                <w:rFonts w:ascii="Times New Roman" w:eastAsia="Times New Roman" w:hAnsi="Times New Roman" w:cs="Times New Roman"/>
                <w:sz w:val="24"/>
                <w:szCs w:val="24"/>
              </w:rPr>
              <w:t>-23</w:t>
            </w:r>
          </w:p>
        </w:tc>
        <w:tc>
          <w:tcPr>
            <w:tcW w:w="5054" w:type="dxa"/>
            <w:hideMark/>
          </w:tcPr>
          <w:p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5,100</w:t>
            </w:r>
          </w:p>
        </w:tc>
      </w:tr>
      <w:tr w:rsidR="000E2B73" w:rsidRPr="0067352A" w:rsidTr="00374BFE">
        <w:trPr>
          <w:trHeight w:val="260"/>
          <w:jc w:val="center"/>
        </w:trPr>
        <w:tc>
          <w:tcPr>
            <w:tcW w:w="1089" w:type="dxa"/>
            <w:hideMark/>
          </w:tcPr>
          <w:p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2023</w:t>
            </w:r>
            <w:r w:rsidR="00A70897" w:rsidRPr="0067352A">
              <w:rPr>
                <w:rFonts w:ascii="Times New Roman" w:eastAsia="Times New Roman" w:hAnsi="Times New Roman" w:cs="Times New Roman"/>
                <w:sz w:val="24"/>
                <w:szCs w:val="24"/>
              </w:rPr>
              <w:t>-24</w:t>
            </w:r>
          </w:p>
        </w:tc>
        <w:tc>
          <w:tcPr>
            <w:tcW w:w="5054" w:type="dxa"/>
            <w:hideMark/>
          </w:tcPr>
          <w:p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9,300</w:t>
            </w:r>
          </w:p>
        </w:tc>
      </w:tr>
      <w:tr w:rsidR="000E2B73" w:rsidRPr="0067352A" w:rsidTr="00374BFE">
        <w:trPr>
          <w:trHeight w:val="318"/>
          <w:jc w:val="center"/>
        </w:trPr>
        <w:tc>
          <w:tcPr>
            <w:tcW w:w="1089" w:type="dxa"/>
            <w:hideMark/>
          </w:tcPr>
          <w:p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2024</w:t>
            </w:r>
            <w:r w:rsidR="00A70897" w:rsidRPr="0067352A">
              <w:rPr>
                <w:rFonts w:ascii="Times New Roman" w:eastAsia="Times New Roman" w:hAnsi="Times New Roman" w:cs="Times New Roman"/>
                <w:sz w:val="24"/>
                <w:szCs w:val="24"/>
              </w:rPr>
              <w:t>-25</w:t>
            </w:r>
          </w:p>
        </w:tc>
        <w:tc>
          <w:tcPr>
            <w:tcW w:w="5054" w:type="dxa"/>
            <w:hideMark/>
          </w:tcPr>
          <w:p w:rsidR="000E2B73" w:rsidRPr="0067352A" w:rsidRDefault="000E2B73" w:rsidP="006D70C6">
            <w:pPr>
              <w:jc w:val="center"/>
              <w:rPr>
                <w:rFonts w:ascii="Times New Roman" w:eastAsia="Times New Roman" w:hAnsi="Times New Roman" w:cs="Times New Roman"/>
                <w:sz w:val="24"/>
                <w:szCs w:val="24"/>
              </w:rPr>
            </w:pPr>
            <w:r w:rsidRPr="0067352A">
              <w:rPr>
                <w:rFonts w:ascii="Times New Roman" w:eastAsia="Times New Roman" w:hAnsi="Times New Roman" w:cs="Times New Roman"/>
                <w:sz w:val="24"/>
                <w:szCs w:val="24"/>
              </w:rPr>
              <w:t>12,100</w:t>
            </w:r>
          </w:p>
        </w:tc>
      </w:tr>
    </w:tbl>
    <w:p w:rsidR="00F047FF" w:rsidRPr="00374BFE" w:rsidRDefault="00137F28" w:rsidP="00F047FF">
      <w:pPr>
        <w:pStyle w:val="NormalWeb"/>
        <w:spacing w:before="0" w:beforeAutospacing="0" w:line="360" w:lineRule="auto"/>
        <w:jc w:val="both"/>
        <w:rPr>
          <w:i/>
        </w:rPr>
      </w:pPr>
      <w:r w:rsidRPr="00374BFE">
        <w:rPr>
          <w:rStyle w:val="Strong"/>
          <w:i/>
        </w:rPr>
        <w:t>Source:</w:t>
      </w:r>
      <w:r w:rsidR="00F047FF" w:rsidRPr="00374BFE">
        <w:rPr>
          <w:rStyle w:val="Strong"/>
          <w:i/>
        </w:rPr>
        <w:t xml:space="preserve"> </w:t>
      </w:r>
      <w:r w:rsidR="00F047FF" w:rsidRPr="00374BFE">
        <w:rPr>
          <w:i/>
        </w:rPr>
        <w:t xml:space="preserve">Compiled from data published by the </w:t>
      </w:r>
      <w:r w:rsidR="00F047FF" w:rsidRPr="00374BFE">
        <w:rPr>
          <w:rStyle w:val="whitespace-normal"/>
          <w:i/>
        </w:rPr>
        <w:t>Ministry of Power (India)</w:t>
      </w:r>
      <w:r w:rsidR="00F047FF" w:rsidRPr="00374BFE">
        <w:rPr>
          <w:i/>
        </w:rPr>
        <w:t xml:space="preserve"> (2024), </w:t>
      </w:r>
      <w:r w:rsidR="00F047FF" w:rsidRPr="00374BFE">
        <w:rPr>
          <w:rStyle w:val="whitespace-normal"/>
          <w:i/>
        </w:rPr>
        <w:t>NITI Aayog</w:t>
      </w:r>
      <w:r w:rsidR="00F047FF" w:rsidRPr="00374BFE">
        <w:rPr>
          <w:i/>
        </w:rPr>
        <w:t xml:space="preserve"> (2023), and </w:t>
      </w:r>
      <w:r w:rsidR="00F047FF" w:rsidRPr="00374BFE">
        <w:rPr>
          <w:rStyle w:val="whitespace-normal"/>
          <w:i/>
        </w:rPr>
        <w:t>International Energy Agency</w:t>
      </w:r>
      <w:r w:rsidR="00F047FF" w:rsidRPr="00374BFE">
        <w:rPr>
          <w:i/>
        </w:rPr>
        <w:t xml:space="preserve"> (2023).</w:t>
      </w:r>
    </w:p>
    <w:p w:rsidR="00F047FF" w:rsidRDefault="00F047FF" w:rsidP="00F047FF">
      <w:pPr>
        <w:pStyle w:val="NormalWeb"/>
        <w:spacing w:before="0" w:beforeAutospacing="0" w:line="360" w:lineRule="auto"/>
        <w:jc w:val="center"/>
        <w:rPr>
          <w:b/>
        </w:rPr>
      </w:pPr>
      <w:r>
        <w:rPr>
          <w:b/>
        </w:rPr>
        <w:t>Chart:3</w:t>
      </w:r>
    </w:p>
    <w:p w:rsidR="00F047FF" w:rsidRDefault="00F047FF" w:rsidP="00F047FF">
      <w:pPr>
        <w:pStyle w:val="NormalWeb"/>
        <w:spacing w:before="0" w:beforeAutospacing="0" w:line="360" w:lineRule="auto"/>
        <w:jc w:val="center"/>
        <w:rPr>
          <w:b/>
        </w:rPr>
      </w:pPr>
      <w:r>
        <w:rPr>
          <w:b/>
        </w:rPr>
        <w:t>Growth of Public EV Charging Stations in India</w:t>
      </w:r>
    </w:p>
    <w:p w:rsidR="00F047FF" w:rsidRDefault="00F047FF" w:rsidP="00F047FF">
      <w:pPr>
        <w:pStyle w:val="NormalWeb"/>
        <w:spacing w:before="0" w:beforeAutospacing="0" w:line="360" w:lineRule="auto"/>
        <w:jc w:val="center"/>
        <w:rPr>
          <w:b/>
        </w:rPr>
      </w:pPr>
      <w:r w:rsidRPr="00F047FF">
        <w:rPr>
          <w:b/>
          <w:noProof/>
        </w:rPr>
        <w:drawing>
          <wp:inline distT="0" distB="0" distL="0" distR="0">
            <wp:extent cx="4572000" cy="2743200"/>
            <wp:effectExtent l="19050" t="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07192" w:rsidRPr="00374BFE" w:rsidRDefault="00907192" w:rsidP="00374BFE">
      <w:pPr>
        <w:pStyle w:val="NormalWeb"/>
        <w:spacing w:before="0" w:beforeAutospacing="0" w:line="360" w:lineRule="auto"/>
        <w:jc w:val="center"/>
        <w:rPr>
          <w:i/>
        </w:rPr>
      </w:pPr>
      <w:r w:rsidRPr="00374BFE">
        <w:rPr>
          <w:b/>
          <w:i/>
        </w:rPr>
        <w:t xml:space="preserve">Source: </w:t>
      </w:r>
      <w:r w:rsidRPr="00374BFE">
        <w:rPr>
          <w:i/>
        </w:rPr>
        <w:t>Table:4</w:t>
      </w:r>
    </w:p>
    <w:p w:rsidR="00137F28" w:rsidRPr="0067352A" w:rsidRDefault="00137F28" w:rsidP="006D70C6">
      <w:pPr>
        <w:pStyle w:val="NormalWeb"/>
        <w:spacing w:before="0" w:beforeAutospacing="0" w:line="360" w:lineRule="auto"/>
        <w:jc w:val="both"/>
      </w:pPr>
      <w:r w:rsidRPr="0067352A">
        <w:t xml:space="preserve"> The table</w:t>
      </w:r>
      <w:r w:rsidR="00F047FF">
        <w:t>:4 and chart:3</w:t>
      </w:r>
      <w:r w:rsidRPr="0067352A">
        <w:t xml:space="preserve"> indicates a steady increase</w:t>
      </w:r>
      <w:r w:rsidR="00F047FF">
        <w:t xml:space="preserve"> trend</w:t>
      </w:r>
      <w:r w:rsidRPr="0067352A">
        <w:t xml:space="preserve"> in the number of public EV charging stations in India. Charging stations increased from about </w:t>
      </w:r>
      <w:r w:rsidRPr="0067352A">
        <w:rPr>
          <w:rStyle w:val="Strong"/>
          <w:b w:val="0"/>
        </w:rPr>
        <w:t>650 stations in 2019 to more than 12,000 stations by 2024</w:t>
      </w:r>
      <w:r w:rsidRPr="0067352A">
        <w:t xml:space="preserve">, reflecting the government’s efforts to strengthen EV infrastructure. The expansion of charging networks has been supported by public sector undertakings, private </w:t>
      </w:r>
      <w:r w:rsidRPr="0067352A">
        <w:lastRenderedPageBreak/>
        <w:t xml:space="preserve">companies, and government incentives. However, the growth of charging infrastructure is still </w:t>
      </w:r>
      <w:r w:rsidRPr="0067352A">
        <w:rPr>
          <w:rStyle w:val="Strong"/>
          <w:b w:val="0"/>
        </w:rPr>
        <w:t>relatively slow compared to the rapid increase in EV registrations</w:t>
      </w:r>
      <w:r w:rsidRPr="0067352A">
        <w:t>. Most charging stations are concentrated in metropolitan cities such as Delhi, Mumbai, Bengaluru, and Hyderabad, while many smaller cities and rural areas still lack adequate facilities.</w:t>
      </w:r>
    </w:p>
    <w:p w:rsidR="00137F28" w:rsidRPr="0067352A" w:rsidRDefault="00137F28" w:rsidP="006D70C6">
      <w:pPr>
        <w:pStyle w:val="NormalWeb"/>
        <w:spacing w:line="360" w:lineRule="auto"/>
        <w:jc w:val="both"/>
      </w:pPr>
      <w:r w:rsidRPr="0067352A">
        <w:t xml:space="preserve">     The limited availability and uneven distribution of EV charging stations remain major barriers to EV adoption in India. To support the rapid growth of electric mobility, it is essential to expand charging infrastructure across the country, encourage private sector participation, and improve technological standardization in charging systems. Strengthening the charging network will play a crucial role in enhancing consumer confidence and accelerating EV adoption.</w:t>
      </w:r>
    </w:p>
    <w:p w:rsidR="00CD6C4F" w:rsidRPr="0067352A" w:rsidRDefault="00137F28" w:rsidP="00CD6C4F">
      <w:pPr>
        <w:pStyle w:val="Heading2"/>
        <w:spacing w:line="360" w:lineRule="auto"/>
        <w:jc w:val="both"/>
        <w:rPr>
          <w:sz w:val="28"/>
          <w:szCs w:val="28"/>
        </w:rPr>
      </w:pPr>
      <w:r w:rsidRPr="0067352A">
        <w:rPr>
          <w:sz w:val="28"/>
          <w:szCs w:val="28"/>
        </w:rPr>
        <w:t>iv.ECONOMIC AND TECHNOLOGICAL BARRIERS AFFECTING EV ADOPTION IN INDIA</w:t>
      </w:r>
    </w:p>
    <w:p w:rsidR="00137F28" w:rsidRPr="0067352A" w:rsidRDefault="00137F28" w:rsidP="006D70C6">
      <w:pPr>
        <w:pStyle w:val="NormalWeb"/>
        <w:spacing w:line="360" w:lineRule="auto"/>
        <w:jc w:val="both"/>
      </w:pPr>
      <w:r w:rsidRPr="0067352A">
        <w:t xml:space="preserve">     Despite the rapid growth of electric vehicles (EVs) in India, several economic and technological barriers continue to restrict their large-scale adoption. One of the major economic challenges is the </w:t>
      </w:r>
      <w:r w:rsidRPr="0067352A">
        <w:rPr>
          <w:rStyle w:val="Strong"/>
          <w:b w:val="0"/>
        </w:rPr>
        <w:t>high initial purchase cost of EVs</w:t>
      </w:r>
      <w:r w:rsidRPr="0067352A">
        <w:t xml:space="preserve">, mainly due to the expensive lithium-ion batteries used in these vehicles. Although financial incentives provided under the </w:t>
      </w:r>
      <w:r w:rsidRPr="0067352A">
        <w:rPr>
          <w:rStyle w:val="whitespace-normal"/>
        </w:rPr>
        <w:t>Faster Adoption and Manufacturing of Electric Vehicles (FAME) India Scheme</w:t>
      </w:r>
      <w:r w:rsidRPr="0067352A">
        <w:t xml:space="preserve"> implemented by the </w:t>
      </w:r>
      <w:r w:rsidRPr="0067352A">
        <w:rPr>
          <w:rStyle w:val="whitespace-normal"/>
        </w:rPr>
        <w:t>Ministry of Heavy Industries (India)</w:t>
      </w:r>
      <w:r w:rsidRPr="0067352A">
        <w:t xml:space="preserve"> have reduced the cost burden to some extent, EVs remain relatively more expensive than conventional internal combustion engine vehicles. In addition, limited consumer awareness, higher upfront investment, and restricted access to financing also affect EV adoption.</w:t>
      </w:r>
    </w:p>
    <w:p w:rsidR="00137F28" w:rsidRPr="0067352A" w:rsidRDefault="00137F28" w:rsidP="006D70C6">
      <w:pPr>
        <w:pStyle w:val="NormalWeb"/>
        <w:spacing w:line="360" w:lineRule="auto"/>
        <w:jc w:val="both"/>
      </w:pPr>
      <w:r w:rsidRPr="0067352A">
        <w:t xml:space="preserve">     Technological barriers also pose significant challenges to the development of the EV ecosystem. Issues such as </w:t>
      </w:r>
      <w:r w:rsidRPr="0067352A">
        <w:rPr>
          <w:rStyle w:val="Strong"/>
          <w:b w:val="0"/>
        </w:rPr>
        <w:t>limited battery range, longer charging time, battery degradation, and insufficient charging infrastructure</w:t>
      </w:r>
      <w:r w:rsidRPr="0067352A">
        <w:t xml:space="preserve"> create concerns among potential consumers. Furthermore, India largely depends on imported raw materials such as lithium and cobalt for battery p</w:t>
      </w:r>
      <w:r w:rsidR="00511CA6" w:rsidRPr="0067352A">
        <w:t xml:space="preserve">roduction, which creates supply </w:t>
      </w:r>
      <w:r w:rsidRPr="0067352A">
        <w:t xml:space="preserve">chain constraints and increases production </w:t>
      </w:r>
      <w:r w:rsidR="00511CA6" w:rsidRPr="0067352A">
        <w:t xml:space="preserve">costs. </w:t>
      </w:r>
      <w:r w:rsidRPr="0067352A">
        <w:t xml:space="preserve">Reports from </w:t>
      </w:r>
      <w:r w:rsidRPr="0067352A">
        <w:rPr>
          <w:rStyle w:val="whitespace-normal"/>
        </w:rPr>
        <w:t>NITI Aayog</w:t>
      </w:r>
      <w:r w:rsidRPr="0067352A">
        <w:t xml:space="preserve"> and the </w:t>
      </w:r>
      <w:r w:rsidRPr="0067352A">
        <w:rPr>
          <w:rStyle w:val="whitespace-normal"/>
        </w:rPr>
        <w:t>International Energy Agency</w:t>
      </w:r>
      <w:r w:rsidRPr="0067352A">
        <w:t xml:space="preserve"> highlight</w:t>
      </w:r>
      <w:r w:rsidR="00511CA6" w:rsidRPr="0067352A">
        <w:t>s</w:t>
      </w:r>
      <w:r w:rsidRPr="0067352A">
        <w:t xml:space="preserve"> that the lack of advanced domestic battery manufacturing technology and research capabilities further slows the development of the EV industry.</w:t>
      </w:r>
    </w:p>
    <w:p w:rsidR="00137F28" w:rsidRPr="0067352A" w:rsidRDefault="00137F28" w:rsidP="006D70C6">
      <w:pPr>
        <w:pStyle w:val="NormalWeb"/>
        <w:spacing w:line="360" w:lineRule="auto"/>
        <w:jc w:val="both"/>
      </w:pPr>
      <w:r w:rsidRPr="0067352A">
        <w:lastRenderedPageBreak/>
        <w:t xml:space="preserve">     Overall, overcoming these economic and technological barriers through cost reduction, innovation in battery technology, and strengthening domestic manufacturing will be essential for accelerating EV adoption and ensuring the long-term sustainability of electric mobility in India.</w:t>
      </w:r>
    </w:p>
    <w:p w:rsidR="00CD6C4F" w:rsidRPr="0067352A" w:rsidRDefault="005D2BA8" w:rsidP="00CD6C4F">
      <w:pPr>
        <w:pStyle w:val="Heading2"/>
        <w:spacing w:line="360" w:lineRule="auto"/>
        <w:jc w:val="both"/>
        <w:rPr>
          <w:sz w:val="28"/>
          <w:szCs w:val="28"/>
        </w:rPr>
      </w:pPr>
      <w:r w:rsidRPr="0067352A">
        <w:rPr>
          <w:sz w:val="28"/>
          <w:szCs w:val="28"/>
        </w:rPr>
        <w:t xml:space="preserve">VII </w:t>
      </w:r>
      <w:r w:rsidR="00A70897" w:rsidRPr="0067352A">
        <w:rPr>
          <w:sz w:val="28"/>
          <w:szCs w:val="28"/>
        </w:rPr>
        <w:t>FINDINGS OF THE STUDY</w:t>
      </w:r>
    </w:p>
    <w:p w:rsidR="00CD6C4F" w:rsidRPr="0067352A" w:rsidRDefault="00CD6C4F" w:rsidP="00511CA6">
      <w:pPr>
        <w:pStyle w:val="NormalWeb"/>
        <w:spacing w:line="360" w:lineRule="auto"/>
        <w:jc w:val="both"/>
      </w:pPr>
      <w:r w:rsidRPr="0067352A">
        <w:t>Based on the analysis of secondary data and the examination of policy initiatives, infrastructure development, and technological trends, the study identifies several key findings regarding India’s transition toward electric mobility.</w:t>
      </w:r>
    </w:p>
    <w:p w:rsidR="00137F28" w:rsidRPr="0067352A" w:rsidRDefault="00137F28" w:rsidP="00511CA6">
      <w:pPr>
        <w:pStyle w:val="NormalWeb"/>
        <w:numPr>
          <w:ilvl w:val="0"/>
          <w:numId w:val="17"/>
        </w:numPr>
        <w:spacing w:line="360" w:lineRule="auto"/>
        <w:jc w:val="both"/>
      </w:pPr>
      <w:r w:rsidRPr="0067352A">
        <w:rPr>
          <w:rStyle w:val="Strong"/>
          <w:b w:val="0"/>
        </w:rPr>
        <w:t>EV adoption in India has increased significantly</w:t>
      </w:r>
      <w:r w:rsidRPr="0067352A">
        <w:t xml:space="preserve"> during the study period 2019–20 to 2024–25, as reflected in the rising number of EV registrations and growing market penetration.</w:t>
      </w:r>
    </w:p>
    <w:p w:rsidR="00137F28" w:rsidRPr="0067352A" w:rsidRDefault="00137F28" w:rsidP="00511CA6">
      <w:pPr>
        <w:pStyle w:val="NormalWeb"/>
        <w:numPr>
          <w:ilvl w:val="0"/>
          <w:numId w:val="17"/>
        </w:numPr>
        <w:spacing w:line="360" w:lineRule="auto"/>
        <w:jc w:val="both"/>
      </w:pPr>
      <w:r w:rsidRPr="0067352A">
        <w:rPr>
          <w:rStyle w:val="Strong"/>
          <w:b w:val="0"/>
        </w:rPr>
        <w:t>Electric two-wheelers and three-wheelers dominate the EV market</w:t>
      </w:r>
      <w:r w:rsidRPr="0067352A">
        <w:t>, accounting for the largest share of EV sales due to their affordability and suitability for short-distance travel and commercial purposes.</w:t>
      </w:r>
    </w:p>
    <w:p w:rsidR="00137F28" w:rsidRPr="0067352A" w:rsidRDefault="00137F28" w:rsidP="00511CA6">
      <w:pPr>
        <w:pStyle w:val="NormalWeb"/>
        <w:numPr>
          <w:ilvl w:val="0"/>
          <w:numId w:val="17"/>
        </w:numPr>
        <w:spacing w:line="360" w:lineRule="auto"/>
        <w:jc w:val="both"/>
      </w:pPr>
      <w:r w:rsidRPr="0067352A">
        <w:rPr>
          <w:rStyle w:val="Strong"/>
          <w:b w:val="0"/>
        </w:rPr>
        <w:t>Government policies and incentives have played a crucial role</w:t>
      </w:r>
      <w:r w:rsidRPr="0067352A">
        <w:t xml:space="preserve"> in promoting EV adoption, particularly through initiatives such as the </w:t>
      </w:r>
      <w:r w:rsidRPr="0067352A">
        <w:rPr>
          <w:rStyle w:val="whitespace-normal"/>
        </w:rPr>
        <w:t>Faster Adoption and Manufacturing of Electric Vehicles (FAME) India Scheme</w:t>
      </w:r>
      <w:r w:rsidRPr="0067352A">
        <w:t xml:space="preserve"> implemented by the </w:t>
      </w:r>
      <w:r w:rsidRPr="0067352A">
        <w:rPr>
          <w:rStyle w:val="whitespace-normal"/>
        </w:rPr>
        <w:t>Ministry of Heavy Industries (India)</w:t>
      </w:r>
      <w:r w:rsidRPr="0067352A">
        <w:t>.</w:t>
      </w:r>
    </w:p>
    <w:p w:rsidR="00137F28" w:rsidRPr="0067352A" w:rsidRDefault="00137F28" w:rsidP="00511CA6">
      <w:pPr>
        <w:pStyle w:val="NormalWeb"/>
        <w:numPr>
          <w:ilvl w:val="0"/>
          <w:numId w:val="17"/>
        </w:numPr>
        <w:spacing w:line="360" w:lineRule="auto"/>
        <w:jc w:val="both"/>
      </w:pPr>
      <w:r w:rsidRPr="0067352A">
        <w:rPr>
          <w:rStyle w:val="Strong"/>
          <w:b w:val="0"/>
        </w:rPr>
        <w:t>EV market penetration is increasing gradually</w:t>
      </w:r>
      <w:r w:rsidRPr="0067352A">
        <w:t>, but electric vehicles still represent a relatively small share of the total automobile market in India.</w:t>
      </w:r>
    </w:p>
    <w:p w:rsidR="00137F28" w:rsidRPr="0067352A" w:rsidRDefault="00137F28" w:rsidP="00511CA6">
      <w:pPr>
        <w:pStyle w:val="NormalWeb"/>
        <w:numPr>
          <w:ilvl w:val="0"/>
          <w:numId w:val="17"/>
        </w:numPr>
        <w:spacing w:line="360" w:lineRule="auto"/>
        <w:jc w:val="both"/>
      </w:pPr>
      <w:r w:rsidRPr="0067352A">
        <w:rPr>
          <w:rStyle w:val="Strong"/>
          <w:b w:val="0"/>
        </w:rPr>
        <w:t>Charging infrastructure remains a major challenge</w:t>
      </w:r>
      <w:r w:rsidRPr="0067352A">
        <w:t>, as the availability of public charging stations is still limited and unevenly distributed across different regions.</w:t>
      </w:r>
    </w:p>
    <w:p w:rsidR="00137F28" w:rsidRPr="0067352A" w:rsidRDefault="00137F28" w:rsidP="00511CA6">
      <w:pPr>
        <w:pStyle w:val="NormalWeb"/>
        <w:numPr>
          <w:ilvl w:val="0"/>
          <w:numId w:val="17"/>
        </w:numPr>
        <w:spacing w:line="360" w:lineRule="auto"/>
        <w:jc w:val="both"/>
      </w:pPr>
      <w:r w:rsidRPr="0067352A">
        <w:rPr>
          <w:rStyle w:val="Strong"/>
          <w:b w:val="0"/>
        </w:rPr>
        <w:t>High initial vehicle costs continue to be a major economic barrier</w:t>
      </w:r>
      <w:r w:rsidRPr="0067352A">
        <w:t xml:space="preserve"> to EV adoption, mainly due to the high cost of lithium-ion batteries.</w:t>
      </w:r>
    </w:p>
    <w:p w:rsidR="00137F28" w:rsidRPr="0067352A" w:rsidRDefault="00137F28" w:rsidP="00511CA6">
      <w:pPr>
        <w:pStyle w:val="NormalWeb"/>
        <w:numPr>
          <w:ilvl w:val="0"/>
          <w:numId w:val="17"/>
        </w:numPr>
        <w:spacing w:line="360" w:lineRule="auto"/>
        <w:jc w:val="both"/>
      </w:pPr>
      <w:r w:rsidRPr="0067352A">
        <w:rPr>
          <w:rStyle w:val="Strong"/>
          <w:b w:val="0"/>
        </w:rPr>
        <w:t>Technological challenges such as limited battery range, longer charging time, and battery degradation</w:t>
      </w:r>
      <w:r w:rsidRPr="0067352A">
        <w:t xml:space="preserve"> affect consumer confidence in electric vehicles.</w:t>
      </w:r>
    </w:p>
    <w:p w:rsidR="00511CA6" w:rsidRDefault="00137F28" w:rsidP="00511CA6">
      <w:pPr>
        <w:pStyle w:val="NormalWeb"/>
        <w:numPr>
          <w:ilvl w:val="0"/>
          <w:numId w:val="17"/>
        </w:numPr>
        <w:spacing w:line="360" w:lineRule="auto"/>
        <w:jc w:val="both"/>
      </w:pPr>
      <w:r w:rsidRPr="0067352A">
        <w:rPr>
          <w:rStyle w:val="Strong"/>
          <w:b w:val="0"/>
        </w:rPr>
        <w:t>Dependence on imported raw materials and battery components</w:t>
      </w:r>
      <w:r w:rsidRPr="0067352A">
        <w:t xml:space="preserve"> creates supply chain challenges for the EV industry in India.</w:t>
      </w:r>
    </w:p>
    <w:p w:rsidR="00F047FF" w:rsidRDefault="00F047FF" w:rsidP="00F047FF">
      <w:pPr>
        <w:pStyle w:val="Heading2"/>
        <w:spacing w:line="360" w:lineRule="auto"/>
        <w:jc w:val="both"/>
        <w:rPr>
          <w:sz w:val="28"/>
          <w:szCs w:val="28"/>
        </w:rPr>
      </w:pPr>
      <w:r>
        <w:rPr>
          <w:sz w:val="28"/>
          <w:szCs w:val="28"/>
        </w:rPr>
        <w:t>VIII LIMITATIONS OF THE STUDY</w:t>
      </w:r>
    </w:p>
    <w:p w:rsidR="00F047FF" w:rsidRPr="000E4DD8" w:rsidRDefault="00F047FF" w:rsidP="00F047FF">
      <w:pPr>
        <w:numPr>
          <w:ilvl w:val="0"/>
          <w:numId w:val="20"/>
        </w:numPr>
        <w:spacing w:before="100" w:beforeAutospacing="1" w:after="100" w:afterAutospacing="1" w:line="360" w:lineRule="auto"/>
        <w:jc w:val="both"/>
        <w:rPr>
          <w:rFonts w:ascii="Times New Roman" w:hAnsi="Times New Roman" w:cs="Times New Roman"/>
          <w:sz w:val="24"/>
          <w:szCs w:val="24"/>
        </w:rPr>
      </w:pPr>
      <w:r w:rsidRPr="000E4DD8">
        <w:rPr>
          <w:rFonts w:ascii="Times New Roman" w:hAnsi="Times New Roman" w:cs="Times New Roman"/>
          <w:sz w:val="24"/>
          <w:szCs w:val="24"/>
        </w:rPr>
        <w:lastRenderedPageBreak/>
        <w:t xml:space="preserve">The study is based entirely on </w:t>
      </w:r>
      <w:r w:rsidRPr="000E4DD8">
        <w:rPr>
          <w:rStyle w:val="Strong"/>
          <w:rFonts w:ascii="Times New Roman" w:hAnsi="Times New Roman" w:cs="Times New Roman"/>
          <w:b w:val="0"/>
          <w:sz w:val="24"/>
          <w:szCs w:val="24"/>
        </w:rPr>
        <w:t>secondary data</w:t>
      </w:r>
      <w:r w:rsidRPr="000E4DD8">
        <w:rPr>
          <w:rFonts w:ascii="Times New Roman" w:hAnsi="Times New Roman" w:cs="Times New Roman"/>
          <w:sz w:val="24"/>
          <w:szCs w:val="24"/>
        </w:rPr>
        <w:t xml:space="preserve">, which may limit the accuracy and depth of analysis compared to primary data.  </w:t>
      </w:r>
    </w:p>
    <w:p w:rsidR="00F047FF" w:rsidRPr="000E4DD8" w:rsidRDefault="00F047FF" w:rsidP="00F047FF">
      <w:pPr>
        <w:numPr>
          <w:ilvl w:val="0"/>
          <w:numId w:val="20"/>
        </w:numPr>
        <w:spacing w:before="100" w:beforeAutospacing="1" w:after="100" w:afterAutospacing="1" w:line="360" w:lineRule="auto"/>
        <w:jc w:val="both"/>
        <w:rPr>
          <w:rFonts w:ascii="Times New Roman" w:hAnsi="Times New Roman" w:cs="Times New Roman"/>
          <w:sz w:val="24"/>
          <w:szCs w:val="24"/>
        </w:rPr>
      </w:pPr>
      <w:r w:rsidRPr="000E4DD8">
        <w:rPr>
          <w:rFonts w:ascii="Times New Roman" w:hAnsi="Times New Roman" w:cs="Times New Roman"/>
          <w:sz w:val="24"/>
          <w:szCs w:val="24"/>
        </w:rPr>
        <w:t xml:space="preserve">The study focuses on </w:t>
      </w:r>
      <w:r w:rsidRPr="000E4DD8">
        <w:rPr>
          <w:rStyle w:val="Strong"/>
          <w:rFonts w:ascii="Times New Roman" w:hAnsi="Times New Roman" w:cs="Times New Roman"/>
          <w:b w:val="0"/>
          <w:sz w:val="24"/>
          <w:szCs w:val="24"/>
        </w:rPr>
        <w:t>national-level data</w:t>
      </w:r>
      <w:r w:rsidRPr="000E4DD8">
        <w:rPr>
          <w:rFonts w:ascii="Times New Roman" w:hAnsi="Times New Roman" w:cs="Times New Roman"/>
          <w:sz w:val="24"/>
          <w:szCs w:val="24"/>
        </w:rPr>
        <w:t xml:space="preserve">, and therefore regional variations and state-wise differences in EV adoption are not analyzed in detail. </w:t>
      </w:r>
    </w:p>
    <w:p w:rsidR="00F047FF" w:rsidRPr="000E4DD8" w:rsidRDefault="00F047FF" w:rsidP="00F047FF">
      <w:pPr>
        <w:numPr>
          <w:ilvl w:val="0"/>
          <w:numId w:val="20"/>
        </w:numPr>
        <w:spacing w:before="100" w:beforeAutospacing="1" w:after="100" w:afterAutospacing="1" w:line="360" w:lineRule="auto"/>
        <w:jc w:val="both"/>
        <w:rPr>
          <w:rFonts w:ascii="Times New Roman" w:hAnsi="Times New Roman" w:cs="Times New Roman"/>
          <w:sz w:val="24"/>
          <w:szCs w:val="24"/>
        </w:rPr>
      </w:pPr>
      <w:r w:rsidRPr="000E4DD8">
        <w:rPr>
          <w:rFonts w:ascii="Times New Roman" w:hAnsi="Times New Roman" w:cs="Times New Roman"/>
          <w:sz w:val="24"/>
          <w:szCs w:val="24"/>
        </w:rPr>
        <w:t xml:space="preserve">Limited availability of consistent and updated data on </w:t>
      </w:r>
      <w:r w:rsidRPr="000E4DD8">
        <w:rPr>
          <w:rStyle w:val="Strong"/>
          <w:rFonts w:ascii="Times New Roman" w:hAnsi="Times New Roman" w:cs="Times New Roman"/>
          <w:b w:val="0"/>
          <w:sz w:val="24"/>
          <w:szCs w:val="24"/>
        </w:rPr>
        <w:t>charging infrastructure and EV segments</w:t>
      </w:r>
      <w:r w:rsidRPr="000E4DD8">
        <w:rPr>
          <w:rFonts w:ascii="Times New Roman" w:hAnsi="Times New Roman" w:cs="Times New Roman"/>
          <w:b/>
          <w:sz w:val="24"/>
          <w:szCs w:val="24"/>
        </w:rPr>
        <w:t xml:space="preserve"> </w:t>
      </w:r>
      <w:r w:rsidRPr="000E4DD8">
        <w:rPr>
          <w:rFonts w:ascii="Times New Roman" w:hAnsi="Times New Roman" w:cs="Times New Roman"/>
          <w:sz w:val="24"/>
          <w:szCs w:val="24"/>
        </w:rPr>
        <w:t xml:space="preserve">may affect the comprehensiveness of the analysis. </w:t>
      </w:r>
    </w:p>
    <w:p w:rsidR="00F047FF" w:rsidRPr="000E4DD8" w:rsidRDefault="00F047FF" w:rsidP="00F047FF">
      <w:pPr>
        <w:numPr>
          <w:ilvl w:val="0"/>
          <w:numId w:val="20"/>
        </w:numPr>
        <w:spacing w:before="100" w:beforeAutospacing="1" w:after="100" w:afterAutospacing="1" w:line="360" w:lineRule="auto"/>
        <w:jc w:val="both"/>
        <w:rPr>
          <w:rFonts w:ascii="Times New Roman" w:hAnsi="Times New Roman" w:cs="Times New Roman"/>
          <w:sz w:val="24"/>
          <w:szCs w:val="24"/>
        </w:rPr>
      </w:pPr>
      <w:r w:rsidRPr="000E4DD8">
        <w:rPr>
          <w:rFonts w:ascii="Times New Roman" w:hAnsi="Times New Roman" w:cs="Times New Roman"/>
          <w:sz w:val="24"/>
          <w:szCs w:val="24"/>
        </w:rPr>
        <w:t xml:space="preserve">The study does not include </w:t>
      </w:r>
      <w:r w:rsidRPr="000E4DD8">
        <w:rPr>
          <w:rStyle w:val="Strong"/>
          <w:rFonts w:ascii="Times New Roman" w:hAnsi="Times New Roman" w:cs="Times New Roman"/>
          <w:b w:val="0"/>
          <w:sz w:val="24"/>
          <w:szCs w:val="24"/>
        </w:rPr>
        <w:t>primary data such as consumer surveys or stakeholder opinions</w:t>
      </w:r>
      <w:r w:rsidRPr="000E4DD8">
        <w:rPr>
          <w:rFonts w:ascii="Times New Roman" w:hAnsi="Times New Roman" w:cs="Times New Roman"/>
          <w:sz w:val="24"/>
          <w:szCs w:val="24"/>
        </w:rPr>
        <w:t xml:space="preserve">, which could provide deeper insights into behavioral factors influencing EV adoption. </w:t>
      </w:r>
    </w:p>
    <w:p w:rsidR="00F047FF" w:rsidRPr="000E4DD8" w:rsidRDefault="00F047FF" w:rsidP="00F047FF">
      <w:pPr>
        <w:numPr>
          <w:ilvl w:val="0"/>
          <w:numId w:val="20"/>
        </w:numPr>
        <w:spacing w:before="100" w:beforeAutospacing="1" w:after="100" w:afterAutospacing="1" w:line="360" w:lineRule="auto"/>
        <w:jc w:val="both"/>
        <w:rPr>
          <w:rFonts w:ascii="Times New Roman" w:hAnsi="Times New Roman" w:cs="Times New Roman"/>
          <w:sz w:val="24"/>
          <w:szCs w:val="24"/>
        </w:rPr>
      </w:pPr>
      <w:r w:rsidRPr="000E4DD8">
        <w:rPr>
          <w:rFonts w:ascii="Times New Roman" w:hAnsi="Times New Roman" w:cs="Times New Roman"/>
          <w:sz w:val="24"/>
          <w:szCs w:val="24"/>
        </w:rPr>
        <w:t xml:space="preserve">The study does not involve </w:t>
      </w:r>
      <w:r w:rsidRPr="000E4DD8">
        <w:rPr>
          <w:rStyle w:val="Strong"/>
          <w:rFonts w:ascii="Times New Roman" w:hAnsi="Times New Roman" w:cs="Times New Roman"/>
          <w:b w:val="0"/>
          <w:sz w:val="24"/>
          <w:szCs w:val="24"/>
        </w:rPr>
        <w:t>advanced analytical or econometric techniques</w:t>
      </w:r>
      <w:r w:rsidRPr="000E4DD8">
        <w:rPr>
          <w:rFonts w:ascii="Times New Roman" w:hAnsi="Times New Roman" w:cs="Times New Roman"/>
          <w:sz w:val="24"/>
          <w:szCs w:val="24"/>
        </w:rPr>
        <w:t xml:space="preserve">, which may limit deeper statistical interpretation of the results. </w:t>
      </w:r>
    </w:p>
    <w:p w:rsidR="00F047FF" w:rsidRPr="00F047FF" w:rsidRDefault="00F047FF" w:rsidP="00F047FF">
      <w:pPr>
        <w:numPr>
          <w:ilvl w:val="0"/>
          <w:numId w:val="20"/>
        </w:numPr>
        <w:spacing w:before="100" w:beforeAutospacing="1" w:after="100" w:afterAutospacing="1" w:line="360" w:lineRule="auto"/>
        <w:jc w:val="both"/>
        <w:rPr>
          <w:rFonts w:ascii="Times New Roman" w:hAnsi="Times New Roman" w:cs="Times New Roman"/>
          <w:sz w:val="24"/>
          <w:szCs w:val="24"/>
        </w:rPr>
      </w:pPr>
      <w:r w:rsidRPr="000E4DD8">
        <w:rPr>
          <w:rFonts w:ascii="Times New Roman" w:hAnsi="Times New Roman" w:cs="Times New Roman"/>
          <w:sz w:val="24"/>
          <w:szCs w:val="24"/>
        </w:rPr>
        <w:t xml:space="preserve">Technological advancements and policy changes in the EV sector are rapidly evolving, which may reduce the long-term applicability of the findings. </w:t>
      </w:r>
    </w:p>
    <w:p w:rsidR="00CD6C4F" w:rsidRPr="0067352A" w:rsidRDefault="00F047FF" w:rsidP="00CD6C4F">
      <w:pPr>
        <w:pStyle w:val="Heading2"/>
        <w:spacing w:line="360" w:lineRule="auto"/>
        <w:jc w:val="both"/>
        <w:rPr>
          <w:sz w:val="28"/>
          <w:szCs w:val="28"/>
        </w:rPr>
      </w:pPr>
      <w:r>
        <w:rPr>
          <w:sz w:val="28"/>
          <w:szCs w:val="28"/>
        </w:rPr>
        <w:t>IX</w:t>
      </w:r>
      <w:r w:rsidR="005D2BA8" w:rsidRPr="0067352A">
        <w:rPr>
          <w:sz w:val="28"/>
          <w:szCs w:val="28"/>
        </w:rPr>
        <w:t xml:space="preserve"> </w:t>
      </w:r>
      <w:r w:rsidR="00A70897" w:rsidRPr="0067352A">
        <w:rPr>
          <w:sz w:val="28"/>
          <w:szCs w:val="28"/>
        </w:rPr>
        <w:t>CONCLUSION</w:t>
      </w:r>
    </w:p>
    <w:p w:rsidR="00885A7E" w:rsidRPr="0067352A" w:rsidRDefault="00885A7E" w:rsidP="00885A7E">
      <w:pPr>
        <w:pStyle w:val="NormalWeb"/>
        <w:spacing w:line="360" w:lineRule="auto"/>
        <w:jc w:val="both"/>
      </w:pPr>
      <w:r w:rsidRPr="0067352A">
        <w:t>The study underscores the growing significance of electric vehicles (EVs) as a critical component in advancing sustainable transportation in India. An examination of EV registrations and market penetration over the period 2019–20 to 2024–25 reveals a consistent upward trend, indicating a gradual but steady transition toward electric mobility. This growth can be attributed to a combination of supportive government policies, increasing environmental consciousness among consumers, and the persistent rise in conventional fuel prices, all of which have collectively strengthened the demand for cleaner transportation alternatives.</w:t>
      </w:r>
    </w:p>
    <w:p w:rsidR="00885A7E" w:rsidRPr="0067352A" w:rsidRDefault="00885A7E" w:rsidP="00885A7E">
      <w:pPr>
        <w:pStyle w:val="NormalWeb"/>
        <w:spacing w:line="360" w:lineRule="auto"/>
        <w:jc w:val="both"/>
      </w:pPr>
      <w:r w:rsidRPr="0067352A">
        <w:t>In particular, policy interventions such as the Faster Adoption and Manufacturing of Electric Vehicles (FAME) India Scheme, implemented by the Ministry of Heavy Industries, have played a pivotal role in accelerating EV adoption. The provision of financial incentives, subsidies for vehicle purchases, and investments in charging infrastructure development have significantly improved the accessibility and attractiveness of electric vehicles. Furthermore, initiatives aimed at promoting domestic manufacturing and technological innovation have contributed to the expansion of India’s EV ecosystem.</w:t>
      </w:r>
    </w:p>
    <w:p w:rsidR="00885A7E" w:rsidRPr="0067352A" w:rsidRDefault="00885A7E" w:rsidP="00885A7E">
      <w:pPr>
        <w:pStyle w:val="NormalWeb"/>
        <w:spacing w:line="360" w:lineRule="auto"/>
        <w:jc w:val="both"/>
      </w:pPr>
      <w:r w:rsidRPr="0067352A">
        <w:lastRenderedPageBreak/>
        <w:t>The analysis further reveals that electric two-wheelers and three-wheelers constitute the largest share of the EV market, primarily due to their relatively lower cost, operational efficiency, and suitability for short-distance urban transportation. Their dominance highlights the importance of affordability and practicality in influencing consumer adoption patterns in a developing economy like India.</w:t>
      </w:r>
    </w:p>
    <w:p w:rsidR="00885A7E" w:rsidRPr="0067352A" w:rsidRDefault="00885A7E" w:rsidP="00885A7E">
      <w:pPr>
        <w:pStyle w:val="NormalWeb"/>
        <w:spacing w:line="360" w:lineRule="auto"/>
        <w:jc w:val="both"/>
      </w:pPr>
      <w:r w:rsidRPr="0067352A">
        <w:t xml:space="preserve">Despite these encouraging developments, several structural and technological challenges continue to constrain the widespread adoption of EVs. High initial acquisition costs, limitations in battery technology such as charging time and lifespan, and the inadequate availability of reliable and widespread charging infrastructure remain significant barriers. Additionally, concerns related to performance reliability and limited awareness in certain segments further </w:t>
      </w:r>
      <w:r w:rsidRPr="00865748">
        <w:t>impede market growth.</w:t>
      </w:r>
    </w:p>
    <w:p w:rsidR="003C4377" w:rsidRDefault="00885A7E" w:rsidP="00885A7E">
      <w:pPr>
        <w:pStyle w:val="NormalWeb"/>
        <w:spacing w:line="360" w:lineRule="auto"/>
        <w:jc w:val="both"/>
      </w:pPr>
      <w:r w:rsidRPr="0067352A">
        <w:t>In light of these findings, it is evident that a multi-dimensional approach is required to accelerate EV adoption in India. Strengthening domestic manufacturing capabilities, fostering advancements in battery technology, enhancing research and development, and expanding a robust and accessible charging infrastructure network are essential. Addressing these challenges will be crucial for achieving a resilient and sustainable electric mobility ecosystem, thereby contributing to India’s broader environmental and energy security goals.</w:t>
      </w:r>
    </w:p>
    <w:p w:rsidR="00374BFE" w:rsidRDefault="00374BFE" w:rsidP="003C4377">
      <w:pPr>
        <w:rPr>
          <w:rFonts w:ascii="Calibri" w:eastAsia="Calibri" w:hAnsi="Calibri" w:cs="Times New Roman"/>
          <w:kern w:val="2"/>
          <w:highlight w:val="yellow"/>
        </w:rPr>
      </w:pPr>
      <w:bookmarkStart w:id="0" w:name="_Hlk226454370"/>
      <w:bookmarkStart w:id="1" w:name="_Hlk218868534"/>
    </w:p>
    <w:p w:rsidR="00374BFE" w:rsidRDefault="00374BFE" w:rsidP="003C4377">
      <w:pPr>
        <w:rPr>
          <w:rFonts w:ascii="Calibri" w:eastAsia="Calibri" w:hAnsi="Calibri" w:cs="Times New Roman"/>
          <w:kern w:val="2"/>
          <w:highlight w:val="yellow"/>
        </w:rPr>
      </w:pPr>
    </w:p>
    <w:p w:rsidR="00374BFE" w:rsidRDefault="00374BFE" w:rsidP="003C4377">
      <w:pPr>
        <w:rPr>
          <w:rFonts w:ascii="Calibri" w:eastAsia="Calibri" w:hAnsi="Calibri" w:cs="Times New Roman"/>
          <w:kern w:val="2"/>
          <w:highlight w:val="yellow"/>
        </w:rPr>
      </w:pPr>
    </w:p>
    <w:p w:rsidR="003C4377" w:rsidRPr="00865748" w:rsidRDefault="003C4377" w:rsidP="003C4377">
      <w:pPr>
        <w:pStyle w:val="NoSpacing"/>
        <w:rPr>
          <w:rFonts w:ascii="Arial" w:hAnsi="Arial" w:cs="Arial"/>
        </w:rPr>
      </w:pPr>
      <w:bookmarkStart w:id="2" w:name="_Hlk221624953"/>
      <w:r w:rsidRPr="00865748">
        <w:rPr>
          <w:rFonts w:ascii="Arial" w:hAnsi="Arial" w:cs="Arial"/>
        </w:rPr>
        <w:t>Disclaimer (Artificial intelligence)</w:t>
      </w:r>
    </w:p>
    <w:p w:rsidR="003C4377" w:rsidRPr="00865748" w:rsidRDefault="003C4377" w:rsidP="003C4377">
      <w:pPr>
        <w:pStyle w:val="NoSpacing"/>
        <w:rPr>
          <w:rFonts w:ascii="Arial" w:hAnsi="Arial" w:cs="Arial"/>
        </w:rPr>
      </w:pPr>
    </w:p>
    <w:p w:rsidR="003C4377" w:rsidRDefault="003C4377" w:rsidP="00865748">
      <w:pPr>
        <w:pStyle w:val="NoSpacing"/>
        <w:rPr>
          <w:rFonts w:ascii="Arial" w:hAnsi="Arial" w:cs="Arial"/>
          <w:highlight w:val="yellow"/>
        </w:rPr>
      </w:pPr>
      <w:r w:rsidRPr="00865748">
        <w:rPr>
          <w:rFonts w:ascii="Arial" w:hAnsi="Arial" w:cs="Arial"/>
        </w:rPr>
        <w:t>Author(s) hereby declare that NO generative AI technologies such as Large Language Models (ChatGPT, COPILOT, etc.) and text-to-image generators have been used during the writing or editing of this manuscript</w:t>
      </w:r>
      <w:bookmarkStart w:id="3" w:name="_GoBack"/>
      <w:bookmarkEnd w:id="0"/>
      <w:bookmarkEnd w:id="1"/>
      <w:bookmarkEnd w:id="2"/>
      <w:bookmarkEnd w:id="3"/>
      <w:r w:rsidR="00865748">
        <w:rPr>
          <w:rFonts w:ascii="Arial" w:hAnsi="Arial" w:cs="Arial"/>
        </w:rPr>
        <w:t>.</w:t>
      </w:r>
    </w:p>
    <w:p w:rsidR="00374BFE" w:rsidRDefault="00374BFE" w:rsidP="00865748">
      <w:pPr>
        <w:pStyle w:val="NoSpacing"/>
        <w:rPr>
          <w:rFonts w:ascii="Arial" w:hAnsi="Arial" w:cs="Arial"/>
          <w:highlight w:val="yellow"/>
        </w:rPr>
      </w:pPr>
    </w:p>
    <w:p w:rsidR="00374BFE" w:rsidRDefault="00374BFE" w:rsidP="00865748">
      <w:pPr>
        <w:pStyle w:val="NoSpacing"/>
        <w:rPr>
          <w:rFonts w:ascii="Arial" w:hAnsi="Arial" w:cs="Arial"/>
          <w:highlight w:val="yellow"/>
        </w:rPr>
      </w:pPr>
    </w:p>
    <w:p w:rsidR="00374BFE" w:rsidRDefault="00374BFE" w:rsidP="00865748">
      <w:pPr>
        <w:pStyle w:val="NoSpacing"/>
        <w:rPr>
          <w:rFonts w:ascii="Arial" w:hAnsi="Arial" w:cs="Arial"/>
          <w:highlight w:val="yellow"/>
        </w:rPr>
      </w:pPr>
    </w:p>
    <w:p w:rsidR="00374BFE" w:rsidRDefault="00374BFE" w:rsidP="00865748">
      <w:pPr>
        <w:pStyle w:val="NoSpacing"/>
        <w:rPr>
          <w:rFonts w:ascii="Arial" w:hAnsi="Arial" w:cs="Arial"/>
          <w:highlight w:val="yellow"/>
        </w:rPr>
      </w:pPr>
    </w:p>
    <w:p w:rsidR="00374BFE" w:rsidRDefault="00374BFE" w:rsidP="00865748">
      <w:pPr>
        <w:pStyle w:val="NoSpacing"/>
        <w:rPr>
          <w:rFonts w:ascii="Arial" w:hAnsi="Arial" w:cs="Arial"/>
          <w:highlight w:val="yellow"/>
        </w:rPr>
      </w:pPr>
    </w:p>
    <w:p w:rsidR="00374BFE" w:rsidRDefault="00374BFE" w:rsidP="00865748">
      <w:pPr>
        <w:pStyle w:val="NoSpacing"/>
        <w:rPr>
          <w:rFonts w:ascii="Arial" w:hAnsi="Arial" w:cs="Arial"/>
          <w:highlight w:val="yellow"/>
        </w:rPr>
      </w:pPr>
    </w:p>
    <w:p w:rsidR="00374BFE" w:rsidRPr="00865748" w:rsidRDefault="00374BFE" w:rsidP="00865748">
      <w:pPr>
        <w:pStyle w:val="NoSpacing"/>
        <w:rPr>
          <w:rFonts w:ascii="Arial" w:hAnsi="Arial" w:cs="Arial"/>
          <w:highlight w:val="yellow"/>
        </w:rPr>
      </w:pPr>
    </w:p>
    <w:p w:rsidR="00CD6C4F" w:rsidRPr="0067352A" w:rsidRDefault="005D2BA8" w:rsidP="00CD6C4F">
      <w:pPr>
        <w:pStyle w:val="Heading2"/>
        <w:spacing w:line="360" w:lineRule="auto"/>
        <w:jc w:val="both"/>
        <w:rPr>
          <w:sz w:val="24"/>
          <w:szCs w:val="24"/>
        </w:rPr>
      </w:pPr>
      <w:r w:rsidRPr="0067352A">
        <w:rPr>
          <w:sz w:val="24"/>
          <w:szCs w:val="24"/>
        </w:rPr>
        <w:lastRenderedPageBreak/>
        <w:t xml:space="preserve">IX </w:t>
      </w:r>
      <w:r w:rsidR="00A70897" w:rsidRPr="0067352A">
        <w:rPr>
          <w:sz w:val="24"/>
          <w:szCs w:val="24"/>
        </w:rPr>
        <w:t xml:space="preserve">REFERENCES </w:t>
      </w:r>
    </w:p>
    <w:p w:rsidR="00F047FF" w:rsidRDefault="00F047FF" w:rsidP="00F047FF">
      <w:pPr>
        <w:pStyle w:val="NormalWeb"/>
        <w:numPr>
          <w:ilvl w:val="0"/>
          <w:numId w:val="19"/>
        </w:numPr>
        <w:spacing w:line="360" w:lineRule="auto"/>
        <w:jc w:val="both"/>
      </w:pPr>
      <w:r>
        <w:t xml:space="preserve">Zaino, R., Ahmed, V., Alhammadi, A. M., &amp; Alghoush, M. (2024). Electric vehicle adoption: A comprehensive systematic review of technological, environmental, organizational and policy impacts. </w:t>
      </w:r>
      <w:r>
        <w:rPr>
          <w:rStyle w:val="Emphasis"/>
        </w:rPr>
        <w:t>World Electric Vehicle Journal, 15</w:t>
      </w:r>
      <w:r>
        <w:t xml:space="preserve">(8), 375. </w:t>
      </w:r>
      <w:hyperlink r:id="rId11" w:history="1">
        <w:r w:rsidRPr="003E6CC0">
          <w:rPr>
            <w:rStyle w:val="Hyperlink"/>
          </w:rPr>
          <w:t>https://doi.org/10.3390/wevj15080375</w:t>
        </w:r>
      </w:hyperlink>
      <w:r>
        <w:t xml:space="preserve">  </w:t>
      </w:r>
    </w:p>
    <w:p w:rsidR="00F047FF" w:rsidRDefault="00F047FF" w:rsidP="00F047FF">
      <w:pPr>
        <w:pStyle w:val="NormalWeb"/>
        <w:numPr>
          <w:ilvl w:val="0"/>
          <w:numId w:val="19"/>
        </w:numPr>
        <w:spacing w:line="360" w:lineRule="auto"/>
        <w:jc w:val="both"/>
      </w:pPr>
      <w:r>
        <w:t xml:space="preserve">Higueras-Castillo, E., Singh, V., Singh, V., &amp; Liébana-Cabanillas, F. (2024). Factors affecting adoption intention of electric vehicles: A cross-cultural study. </w:t>
      </w:r>
      <w:r>
        <w:rPr>
          <w:rStyle w:val="Emphasis"/>
        </w:rPr>
        <w:t>Environment, Development and Sustainability, 26</w:t>
      </w:r>
      <w:r>
        <w:t xml:space="preserve">, 29293–29329. </w:t>
      </w:r>
      <w:hyperlink r:id="rId12" w:history="1">
        <w:r w:rsidRPr="003E6CC0">
          <w:rPr>
            <w:rStyle w:val="Hyperlink"/>
          </w:rPr>
          <w:t>https://doi.org/10.1007/s10668-023-03865-y</w:t>
        </w:r>
      </w:hyperlink>
      <w:r>
        <w:t xml:space="preserve"> </w:t>
      </w:r>
    </w:p>
    <w:p w:rsidR="00F047FF" w:rsidRDefault="00F047FF" w:rsidP="00F047FF">
      <w:pPr>
        <w:pStyle w:val="NormalWeb"/>
        <w:numPr>
          <w:ilvl w:val="0"/>
          <w:numId w:val="19"/>
        </w:numPr>
        <w:spacing w:line="360" w:lineRule="auto"/>
        <w:jc w:val="both"/>
      </w:pPr>
      <w:r>
        <w:t xml:space="preserve">Sakshi, S., Sumithra, S., &amp; Ravichandran, S. S. (2025). Driving EV adoption in India: Exploring green self-identity, task-technology fit, and brand engagement. </w:t>
      </w:r>
      <w:r>
        <w:rPr>
          <w:rStyle w:val="Emphasis"/>
        </w:rPr>
        <w:t>International Journal of Sustainable Transportation</w:t>
      </w:r>
      <w:r>
        <w:t xml:space="preserve">. </w:t>
      </w:r>
      <w:hyperlink r:id="rId13" w:history="1">
        <w:r w:rsidRPr="003E6CC0">
          <w:rPr>
            <w:rStyle w:val="Hyperlink"/>
          </w:rPr>
          <w:t>https://doi.org/10.1080/15568318.2025.2542292</w:t>
        </w:r>
      </w:hyperlink>
      <w:r>
        <w:t xml:space="preserve"> </w:t>
      </w:r>
    </w:p>
    <w:p w:rsidR="00F047FF" w:rsidRDefault="00F047FF" w:rsidP="00F047FF">
      <w:pPr>
        <w:pStyle w:val="NormalWeb"/>
        <w:numPr>
          <w:ilvl w:val="0"/>
          <w:numId w:val="19"/>
        </w:numPr>
        <w:spacing w:line="360" w:lineRule="auto"/>
        <w:jc w:val="both"/>
      </w:pPr>
      <w:r>
        <w:t xml:space="preserve">Dhairiyasamy, R., &amp; Gabriel, D. (2025). Sustainable mobility in India: Advancing domestic production in the electric vehicle sector. </w:t>
      </w:r>
      <w:r>
        <w:rPr>
          <w:rStyle w:val="Emphasis"/>
        </w:rPr>
        <w:t>Discover Sustainability, 6</w:t>
      </w:r>
      <w:r>
        <w:t xml:space="preserve">, 52. </w:t>
      </w:r>
      <w:hyperlink r:id="rId14" w:history="1">
        <w:r w:rsidRPr="003E6CC0">
          <w:rPr>
            <w:rStyle w:val="Hyperlink"/>
          </w:rPr>
          <w:t>https://doi.org/10.1007/s43621-025-00844-3</w:t>
        </w:r>
      </w:hyperlink>
      <w:r>
        <w:t xml:space="preserve"> </w:t>
      </w:r>
    </w:p>
    <w:p w:rsidR="00F047FF" w:rsidRDefault="00F047FF" w:rsidP="00F047FF">
      <w:pPr>
        <w:pStyle w:val="NormalWeb"/>
        <w:numPr>
          <w:ilvl w:val="0"/>
          <w:numId w:val="19"/>
        </w:numPr>
        <w:spacing w:line="360" w:lineRule="auto"/>
        <w:jc w:val="both"/>
      </w:pPr>
      <w:r>
        <w:t xml:space="preserve">Transport Policy. (2024). An empirical study on electric vehicle adoption: A step towards a greener environment. </w:t>
      </w:r>
      <w:r>
        <w:rPr>
          <w:rStyle w:val="Emphasis"/>
        </w:rPr>
        <w:t>Transport Policy, 156</w:t>
      </w:r>
      <w:r>
        <w:t xml:space="preserve">, 112–125. </w:t>
      </w:r>
      <w:hyperlink r:id="rId15" w:history="1">
        <w:r w:rsidRPr="003E6CC0">
          <w:rPr>
            <w:rStyle w:val="Hyperlink"/>
          </w:rPr>
          <w:t>https://doi.org/10.1016/j.tranpol.2024.07.018</w:t>
        </w:r>
      </w:hyperlink>
      <w:r>
        <w:t xml:space="preserve"> </w:t>
      </w:r>
    </w:p>
    <w:p w:rsidR="00F047FF" w:rsidRDefault="00F047FF" w:rsidP="00F047FF">
      <w:pPr>
        <w:pStyle w:val="NormalWeb"/>
        <w:numPr>
          <w:ilvl w:val="0"/>
          <w:numId w:val="19"/>
        </w:numPr>
        <w:spacing w:line="360" w:lineRule="auto"/>
        <w:jc w:val="both"/>
        <w:rPr>
          <w:rStyle w:val="whitespace-normal"/>
        </w:rPr>
      </w:pPr>
      <w:r>
        <w:t xml:space="preserve">Attri, R., &amp; Kushwaha, D. (2024). Consumer perception and adoption of electric vehicles in India: An empirical study. </w:t>
      </w:r>
      <w:r>
        <w:rPr>
          <w:rStyle w:val="Emphasis"/>
        </w:rPr>
        <w:t>Prabandhan: Indian Journal of Management</w:t>
      </w:r>
      <w:r>
        <w:t xml:space="preserve">. </w:t>
      </w:r>
      <w:hyperlink r:id="rId16" w:history="1">
        <w:r w:rsidRPr="003E6CC0">
          <w:rPr>
            <w:rStyle w:val="Hyperlink"/>
          </w:rPr>
          <w:t>https://www.indianjournalofmanagement.com/index.php/pijom/article/view/173560</w:t>
        </w:r>
      </w:hyperlink>
      <w:r>
        <w:t xml:space="preserve"> </w:t>
      </w:r>
    </w:p>
    <w:p w:rsidR="00F047FF" w:rsidRDefault="00F047FF" w:rsidP="00F047FF">
      <w:pPr>
        <w:pStyle w:val="NormalWeb"/>
        <w:numPr>
          <w:ilvl w:val="0"/>
          <w:numId w:val="19"/>
        </w:numPr>
        <w:spacing w:line="360" w:lineRule="auto"/>
        <w:jc w:val="both"/>
      </w:pPr>
      <w:r w:rsidRPr="00511CA6">
        <w:rPr>
          <w:rStyle w:val="whitespace-normal"/>
        </w:rPr>
        <w:t>Ministry of Heavy Industries (India)</w:t>
      </w:r>
      <w:r w:rsidRPr="00511CA6">
        <w:t>.</w:t>
      </w:r>
      <w:r>
        <w:t xml:space="preserve"> </w:t>
      </w:r>
      <w:r w:rsidRPr="00511CA6">
        <w:rPr>
          <w:rStyle w:val="Emphasis"/>
          <w:i w:val="0"/>
        </w:rPr>
        <w:t>Annual report</w:t>
      </w:r>
      <w:r w:rsidRPr="00511CA6">
        <w:rPr>
          <w:i/>
        </w:rPr>
        <w:t>.</w:t>
      </w:r>
      <w:r>
        <w:t xml:space="preserve"> </w:t>
      </w:r>
      <w:r w:rsidRPr="00511CA6">
        <w:t xml:space="preserve">Government of India. </w:t>
      </w:r>
      <w:hyperlink r:id="rId17" w:tgtFrame="_new" w:history="1">
        <w:r w:rsidRPr="00511CA6">
          <w:rPr>
            <w:rStyle w:val="Hyperlink"/>
            <w:rFonts w:eastAsiaTheme="majorEastAsia"/>
          </w:rPr>
          <w:t>https://heavyindustries.gov.in</w:t>
        </w:r>
      </w:hyperlink>
    </w:p>
    <w:p w:rsidR="00F047FF" w:rsidRPr="00511CA6" w:rsidRDefault="00F047FF" w:rsidP="00F047FF">
      <w:pPr>
        <w:pStyle w:val="NormalWeb"/>
        <w:numPr>
          <w:ilvl w:val="0"/>
          <w:numId w:val="19"/>
        </w:numPr>
        <w:spacing w:line="360" w:lineRule="auto"/>
        <w:jc w:val="both"/>
      </w:pPr>
      <w:r w:rsidRPr="00511CA6">
        <w:rPr>
          <w:rStyle w:val="whitespace-normal"/>
        </w:rPr>
        <w:t>NITI Aayog</w:t>
      </w:r>
      <w:r w:rsidRPr="00511CA6">
        <w:t xml:space="preserve">, &amp; </w:t>
      </w:r>
      <w:r w:rsidRPr="00511CA6">
        <w:rPr>
          <w:rStyle w:val="whitespace-normal"/>
        </w:rPr>
        <w:t>Rocky Mountain Institute</w:t>
      </w:r>
      <w:r>
        <w:t>. (20</w:t>
      </w:r>
      <w:r w:rsidRPr="00511CA6">
        <w:t>1</w:t>
      </w:r>
      <w:r>
        <w:t>9</w:t>
      </w:r>
      <w:r w:rsidRPr="00511CA6">
        <w:t xml:space="preserve">). </w:t>
      </w:r>
      <w:r w:rsidRPr="00511CA6">
        <w:rPr>
          <w:rStyle w:val="Emphasis"/>
          <w:i w:val="0"/>
        </w:rPr>
        <w:t>India’s electric mobility transformation: Progress and opportunities</w:t>
      </w:r>
      <w:r w:rsidRPr="00511CA6">
        <w:rPr>
          <w:i/>
        </w:rPr>
        <w:t>.</w:t>
      </w:r>
      <w:r w:rsidRPr="00511CA6">
        <w:t xml:space="preserve"> </w:t>
      </w:r>
      <w:hyperlink r:id="rId18" w:history="1">
        <w:r w:rsidRPr="003E6CC0">
          <w:rPr>
            <w:rStyle w:val="Hyperlink"/>
            <w:rFonts w:eastAsiaTheme="majorEastAsia"/>
          </w:rPr>
          <w:t>https://www.niti.gov.in</w:t>
        </w:r>
      </w:hyperlink>
      <w:r>
        <w:t xml:space="preserve"> </w:t>
      </w:r>
    </w:p>
    <w:p w:rsidR="00F047FF" w:rsidRPr="00511CA6" w:rsidRDefault="00F047FF" w:rsidP="00F047FF">
      <w:pPr>
        <w:pStyle w:val="NormalWeb"/>
        <w:numPr>
          <w:ilvl w:val="0"/>
          <w:numId w:val="19"/>
        </w:numPr>
        <w:spacing w:line="360" w:lineRule="auto"/>
        <w:jc w:val="both"/>
      </w:pPr>
      <w:r w:rsidRPr="00511CA6">
        <w:rPr>
          <w:rStyle w:val="whitespace-normal"/>
        </w:rPr>
        <w:t>International Energy Agency</w:t>
      </w:r>
      <w:r w:rsidRPr="00511CA6">
        <w:t xml:space="preserve">. (2023). </w:t>
      </w:r>
      <w:r w:rsidRPr="00511CA6">
        <w:rPr>
          <w:rStyle w:val="Emphasis"/>
          <w:i w:val="0"/>
        </w:rPr>
        <w:t>Global EV outlook 2023</w:t>
      </w:r>
      <w:r w:rsidRPr="00511CA6">
        <w:rPr>
          <w:i/>
        </w:rPr>
        <w:t>.</w:t>
      </w:r>
      <w:r w:rsidRPr="00511CA6">
        <w:t xml:space="preserve"> </w:t>
      </w:r>
      <w:hyperlink r:id="rId19" w:tgtFrame="_new" w:history="1">
        <w:r w:rsidRPr="00511CA6">
          <w:rPr>
            <w:rStyle w:val="Hyperlink"/>
            <w:rFonts w:eastAsiaTheme="majorEastAsia"/>
          </w:rPr>
          <w:t>https://www.iea.org</w:t>
        </w:r>
      </w:hyperlink>
    </w:p>
    <w:p w:rsidR="00F047FF" w:rsidRDefault="00F047FF" w:rsidP="00F047FF">
      <w:pPr>
        <w:pStyle w:val="NormalWeb"/>
        <w:numPr>
          <w:ilvl w:val="0"/>
          <w:numId w:val="19"/>
        </w:numPr>
        <w:spacing w:line="360" w:lineRule="auto"/>
        <w:jc w:val="both"/>
      </w:pPr>
      <w:r w:rsidRPr="00511CA6">
        <w:rPr>
          <w:rStyle w:val="whitespace-normal"/>
        </w:rPr>
        <w:t>Society of Indian Automobile Manufacturers</w:t>
      </w:r>
      <w:r w:rsidRPr="00511CA6">
        <w:t>. (2024</w:t>
      </w:r>
      <w:r w:rsidRPr="00511CA6">
        <w:rPr>
          <w:i/>
        </w:rPr>
        <w:t xml:space="preserve">). </w:t>
      </w:r>
      <w:r w:rsidRPr="00511CA6">
        <w:rPr>
          <w:rStyle w:val="Emphasis"/>
          <w:i w:val="0"/>
        </w:rPr>
        <w:t>Automobile industry statistics 2023–24</w:t>
      </w:r>
      <w:r w:rsidRPr="00511CA6">
        <w:rPr>
          <w:i/>
        </w:rPr>
        <w:t>.</w:t>
      </w:r>
      <w:hyperlink r:id="rId20" w:history="1">
        <w:r w:rsidRPr="003E6CC0">
          <w:rPr>
            <w:rStyle w:val="Hyperlink"/>
          </w:rPr>
          <w:t>https://www.siam.in/uploads/filemanager/SIAMAnnualReport2023-24.pdf</w:t>
        </w:r>
      </w:hyperlink>
      <w:r>
        <w:t xml:space="preserve">  </w:t>
      </w:r>
    </w:p>
    <w:p w:rsidR="00F047FF" w:rsidRDefault="00F047FF" w:rsidP="00F047FF">
      <w:pPr>
        <w:pStyle w:val="NormalWeb"/>
        <w:numPr>
          <w:ilvl w:val="0"/>
          <w:numId w:val="19"/>
        </w:numPr>
        <w:spacing w:line="360" w:lineRule="auto"/>
        <w:jc w:val="both"/>
      </w:pPr>
      <w:r>
        <w:rPr>
          <w:rStyle w:val="whitespace-normal"/>
        </w:rPr>
        <w:t>Ministry of Road Transport and Highways</w:t>
      </w:r>
      <w:r>
        <w:t xml:space="preserve">. (2024). </w:t>
      </w:r>
      <w:r>
        <w:rPr>
          <w:rStyle w:val="Emphasis"/>
        </w:rPr>
        <w:t>Road transport year book (2019–2024)</w:t>
      </w:r>
      <w:r>
        <w:t xml:space="preserve">. Government of India. </w:t>
      </w:r>
      <w:hyperlink r:id="rId21" w:tgtFrame="_new" w:history="1">
        <w:r>
          <w:rPr>
            <w:rStyle w:val="Hyperlink"/>
            <w:rFonts w:eastAsiaTheme="majorEastAsia"/>
          </w:rPr>
          <w:t>https://morth.nic.in</w:t>
        </w:r>
      </w:hyperlink>
    </w:p>
    <w:p w:rsidR="00F047FF" w:rsidRDefault="00F047FF" w:rsidP="00F047FF">
      <w:pPr>
        <w:pStyle w:val="NormalWeb"/>
        <w:numPr>
          <w:ilvl w:val="0"/>
          <w:numId w:val="19"/>
        </w:numPr>
        <w:spacing w:line="360" w:lineRule="auto"/>
        <w:jc w:val="both"/>
      </w:pPr>
      <w:r>
        <w:rPr>
          <w:rStyle w:val="whitespace-normal"/>
        </w:rPr>
        <w:lastRenderedPageBreak/>
        <w:t>NITI Aayog</w:t>
      </w:r>
      <w:r>
        <w:t xml:space="preserve">. (2023). </w:t>
      </w:r>
      <w:r>
        <w:rPr>
          <w:rStyle w:val="Emphasis"/>
        </w:rPr>
        <w:t>Electric mobility in India: Progress and policy framework</w:t>
      </w:r>
      <w:r>
        <w:t xml:space="preserve">. Government of India. </w:t>
      </w:r>
      <w:hyperlink r:id="rId22" w:tgtFrame="_new" w:history="1">
        <w:r>
          <w:rPr>
            <w:rStyle w:val="Hyperlink"/>
            <w:rFonts w:eastAsiaTheme="majorEastAsia"/>
          </w:rPr>
          <w:t>https://www.niti.gov.in</w:t>
        </w:r>
      </w:hyperlink>
    </w:p>
    <w:p w:rsidR="00F047FF" w:rsidRDefault="00F047FF" w:rsidP="00F047FF">
      <w:pPr>
        <w:pStyle w:val="NormalWeb"/>
        <w:numPr>
          <w:ilvl w:val="0"/>
          <w:numId w:val="19"/>
        </w:numPr>
        <w:spacing w:line="360" w:lineRule="auto"/>
        <w:jc w:val="both"/>
      </w:pPr>
      <w:r>
        <w:rPr>
          <w:rStyle w:val="whitespace-normal"/>
        </w:rPr>
        <w:t>Press Information Bureau (India)</w:t>
      </w:r>
      <w:r>
        <w:t xml:space="preserve">. (2025). </w:t>
      </w:r>
      <w:r>
        <w:rPr>
          <w:rStyle w:val="Emphasis"/>
        </w:rPr>
        <w:t>Status of implementation of the National Electric Mobility Mission Plan (NEMMP)</w:t>
      </w:r>
      <w:r>
        <w:t xml:space="preserve">. Government of India. </w:t>
      </w:r>
      <w:hyperlink r:id="rId23" w:tgtFrame="_new" w:history="1">
        <w:r w:rsidRPr="00A81F29">
          <w:rPr>
            <w:rStyle w:val="Hyperlink"/>
            <w:rFonts w:eastAsiaTheme="majorEastAsia"/>
          </w:rPr>
          <w:t>https://www.pib.gov.in</w:t>
        </w:r>
      </w:hyperlink>
      <w:r>
        <w:t xml:space="preserve"> ,</w:t>
      </w:r>
      <w:r w:rsidRPr="00A81F29">
        <w:t xml:space="preserve"> </w:t>
      </w:r>
      <w:hyperlink r:id="rId24" w:history="1">
        <w:r w:rsidRPr="003E6CC0">
          <w:rPr>
            <w:rStyle w:val="Hyperlink"/>
          </w:rPr>
          <w:t>https://www.pib.gov.in/PressReleasePage.aspx?PRID=2102783&amp;reg=3&amp;lang=2</w:t>
        </w:r>
      </w:hyperlink>
      <w:r>
        <w:t xml:space="preserve">  </w:t>
      </w:r>
    </w:p>
    <w:p w:rsidR="00FE265B" w:rsidRPr="0067352A" w:rsidRDefault="00F047FF" w:rsidP="00F047FF">
      <w:pPr>
        <w:pStyle w:val="NormalWeb"/>
        <w:numPr>
          <w:ilvl w:val="0"/>
          <w:numId w:val="19"/>
        </w:numPr>
        <w:spacing w:line="360" w:lineRule="auto"/>
        <w:jc w:val="both"/>
      </w:pPr>
      <w:r>
        <w:rPr>
          <w:rStyle w:val="whitespace-normal"/>
        </w:rPr>
        <w:t>Ministry of Heavy Industries (India)</w:t>
      </w:r>
      <w:r>
        <w:t xml:space="preserve">. (2024). </w:t>
      </w:r>
      <w:r>
        <w:rPr>
          <w:rStyle w:val="Emphasis"/>
        </w:rPr>
        <w:t>FAME India scheme phase-II and EV policy initiatives</w:t>
      </w:r>
      <w:r>
        <w:t xml:space="preserve">. Government of India. </w:t>
      </w:r>
      <w:hyperlink r:id="rId25" w:tgtFrame="_new" w:history="1">
        <w:r w:rsidRPr="00A81F29">
          <w:rPr>
            <w:rStyle w:val="Hyperlink"/>
            <w:rFonts w:eastAsiaTheme="majorEastAsia"/>
          </w:rPr>
          <w:t>https://heavyindustries.gov.in</w:t>
        </w:r>
      </w:hyperlink>
      <w:r>
        <w:t xml:space="preserve"> </w:t>
      </w:r>
    </w:p>
    <w:sectPr w:rsidR="00FE265B" w:rsidRPr="0067352A" w:rsidSect="00C90399">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DDE" w:rsidRDefault="001D5DDE" w:rsidP="009B351F">
      <w:pPr>
        <w:spacing w:after="0" w:line="240" w:lineRule="auto"/>
      </w:pPr>
      <w:r>
        <w:separator/>
      </w:r>
    </w:p>
  </w:endnote>
  <w:endnote w:type="continuationSeparator" w:id="1">
    <w:p w:rsidR="001D5DDE" w:rsidRDefault="001D5DDE" w:rsidP="009B35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51F" w:rsidRDefault="009B35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51F" w:rsidRDefault="009B35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51F" w:rsidRDefault="009B35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DDE" w:rsidRDefault="001D5DDE" w:rsidP="009B351F">
      <w:pPr>
        <w:spacing w:after="0" w:line="240" w:lineRule="auto"/>
      </w:pPr>
      <w:r>
        <w:separator/>
      </w:r>
    </w:p>
  </w:footnote>
  <w:footnote w:type="continuationSeparator" w:id="1">
    <w:p w:rsidR="001D5DDE" w:rsidRDefault="001D5DDE" w:rsidP="009B35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51F" w:rsidRDefault="00D23F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640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51F" w:rsidRDefault="00D23F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640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51F" w:rsidRDefault="00D23F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4640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66C6"/>
    <w:multiLevelType w:val="multilevel"/>
    <w:tmpl w:val="123A9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120B9"/>
    <w:multiLevelType w:val="hybridMultilevel"/>
    <w:tmpl w:val="9B103FE0"/>
    <w:lvl w:ilvl="0" w:tplc="01E89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E16286"/>
    <w:multiLevelType w:val="multilevel"/>
    <w:tmpl w:val="DD34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71551"/>
    <w:multiLevelType w:val="multilevel"/>
    <w:tmpl w:val="45042482"/>
    <w:lvl w:ilvl="0">
      <w:start w:val="1"/>
      <w:numFmt w:val="lowerRoman"/>
      <w:lvlText w:val="%1."/>
      <w:lvlJc w:val="righ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D106A5"/>
    <w:multiLevelType w:val="multilevel"/>
    <w:tmpl w:val="18FCFB5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5">
    <w:nsid w:val="183849DD"/>
    <w:multiLevelType w:val="multilevel"/>
    <w:tmpl w:val="EB84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113904"/>
    <w:multiLevelType w:val="hybridMultilevel"/>
    <w:tmpl w:val="23D063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FF7989"/>
    <w:multiLevelType w:val="multilevel"/>
    <w:tmpl w:val="651C6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595477"/>
    <w:multiLevelType w:val="multilevel"/>
    <w:tmpl w:val="409A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73782C"/>
    <w:multiLevelType w:val="multilevel"/>
    <w:tmpl w:val="F746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22008E"/>
    <w:multiLevelType w:val="multilevel"/>
    <w:tmpl w:val="F7EC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A05F6B"/>
    <w:multiLevelType w:val="multilevel"/>
    <w:tmpl w:val="A1E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243272"/>
    <w:multiLevelType w:val="multilevel"/>
    <w:tmpl w:val="11FA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9E7009"/>
    <w:multiLevelType w:val="multilevel"/>
    <w:tmpl w:val="CC9CF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CFE1C97"/>
    <w:multiLevelType w:val="hybridMultilevel"/>
    <w:tmpl w:val="D28AA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883140"/>
    <w:multiLevelType w:val="hybridMultilevel"/>
    <w:tmpl w:val="26B8E8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F62FF3"/>
    <w:multiLevelType w:val="hybridMultilevel"/>
    <w:tmpl w:val="CD2A3F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9574FF"/>
    <w:multiLevelType w:val="multilevel"/>
    <w:tmpl w:val="443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9D408D"/>
    <w:multiLevelType w:val="multilevel"/>
    <w:tmpl w:val="67106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F24223"/>
    <w:multiLevelType w:val="hybridMultilevel"/>
    <w:tmpl w:val="B186F48A"/>
    <w:lvl w:ilvl="0" w:tplc="E2BE2F7E">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1"/>
  </w:num>
  <w:num w:numId="4">
    <w:abstractNumId w:val="5"/>
  </w:num>
  <w:num w:numId="5">
    <w:abstractNumId w:val="8"/>
  </w:num>
  <w:num w:numId="6">
    <w:abstractNumId w:val="12"/>
  </w:num>
  <w:num w:numId="7">
    <w:abstractNumId w:val="10"/>
  </w:num>
  <w:num w:numId="8">
    <w:abstractNumId w:val="9"/>
  </w:num>
  <w:num w:numId="9">
    <w:abstractNumId w:val="2"/>
  </w:num>
  <w:num w:numId="10">
    <w:abstractNumId w:val="17"/>
  </w:num>
  <w:num w:numId="11">
    <w:abstractNumId w:val="14"/>
  </w:num>
  <w:num w:numId="12">
    <w:abstractNumId w:val="3"/>
  </w:num>
  <w:num w:numId="13">
    <w:abstractNumId w:val="1"/>
  </w:num>
  <w:num w:numId="14">
    <w:abstractNumId w:val="16"/>
  </w:num>
  <w:num w:numId="15">
    <w:abstractNumId w:val="6"/>
  </w:num>
  <w:num w:numId="16">
    <w:abstractNumId w:val="4"/>
  </w:num>
  <w:num w:numId="17">
    <w:abstractNumId w:val="18"/>
  </w:num>
  <w:num w:numId="18">
    <w:abstractNumId w:val="15"/>
  </w:num>
  <w:num w:numId="19">
    <w:abstractNumId w:val="19"/>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FE265B"/>
    <w:rsid w:val="00040DA4"/>
    <w:rsid w:val="0005350F"/>
    <w:rsid w:val="00082351"/>
    <w:rsid w:val="000E2B73"/>
    <w:rsid w:val="000F03D1"/>
    <w:rsid w:val="00137F28"/>
    <w:rsid w:val="00172A3E"/>
    <w:rsid w:val="00176872"/>
    <w:rsid w:val="00195845"/>
    <w:rsid w:val="001A6EDB"/>
    <w:rsid w:val="001D5DDE"/>
    <w:rsid w:val="00214D6B"/>
    <w:rsid w:val="00230E3D"/>
    <w:rsid w:val="00270893"/>
    <w:rsid w:val="002C15FE"/>
    <w:rsid w:val="002E2544"/>
    <w:rsid w:val="00304A8E"/>
    <w:rsid w:val="00316049"/>
    <w:rsid w:val="0036384C"/>
    <w:rsid w:val="00364EF8"/>
    <w:rsid w:val="00374BFE"/>
    <w:rsid w:val="003A4702"/>
    <w:rsid w:val="003C4377"/>
    <w:rsid w:val="003D30D1"/>
    <w:rsid w:val="003E44A8"/>
    <w:rsid w:val="00452194"/>
    <w:rsid w:val="0046006F"/>
    <w:rsid w:val="00462D42"/>
    <w:rsid w:val="004D7592"/>
    <w:rsid w:val="00500218"/>
    <w:rsid w:val="00511CA6"/>
    <w:rsid w:val="0054107A"/>
    <w:rsid w:val="00544730"/>
    <w:rsid w:val="00565E38"/>
    <w:rsid w:val="005A33DE"/>
    <w:rsid w:val="005A6908"/>
    <w:rsid w:val="005D2BA8"/>
    <w:rsid w:val="00622C5D"/>
    <w:rsid w:val="00624470"/>
    <w:rsid w:val="0067352A"/>
    <w:rsid w:val="006D70C6"/>
    <w:rsid w:val="0077197D"/>
    <w:rsid w:val="00795513"/>
    <w:rsid w:val="0081705F"/>
    <w:rsid w:val="0082074E"/>
    <w:rsid w:val="00865748"/>
    <w:rsid w:val="0088194C"/>
    <w:rsid w:val="00885A7E"/>
    <w:rsid w:val="009063E8"/>
    <w:rsid w:val="00907192"/>
    <w:rsid w:val="0099009F"/>
    <w:rsid w:val="009B351F"/>
    <w:rsid w:val="00A31B3E"/>
    <w:rsid w:val="00A52B12"/>
    <w:rsid w:val="00A64D35"/>
    <w:rsid w:val="00A70897"/>
    <w:rsid w:val="00B04923"/>
    <w:rsid w:val="00B1702B"/>
    <w:rsid w:val="00B37879"/>
    <w:rsid w:val="00B63482"/>
    <w:rsid w:val="00B75A0F"/>
    <w:rsid w:val="00B9034D"/>
    <w:rsid w:val="00B96C58"/>
    <w:rsid w:val="00BB024A"/>
    <w:rsid w:val="00C37B4A"/>
    <w:rsid w:val="00C46D51"/>
    <w:rsid w:val="00C73B0A"/>
    <w:rsid w:val="00C90399"/>
    <w:rsid w:val="00CD6C4F"/>
    <w:rsid w:val="00CE3A13"/>
    <w:rsid w:val="00D23FDA"/>
    <w:rsid w:val="00D57FE6"/>
    <w:rsid w:val="00D71A1B"/>
    <w:rsid w:val="00D94E44"/>
    <w:rsid w:val="00DB2DB4"/>
    <w:rsid w:val="00DD0697"/>
    <w:rsid w:val="00DE6495"/>
    <w:rsid w:val="00E6222B"/>
    <w:rsid w:val="00F047FF"/>
    <w:rsid w:val="00FE26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399"/>
  </w:style>
  <w:style w:type="paragraph" w:styleId="Heading1">
    <w:name w:val="heading 1"/>
    <w:basedOn w:val="Normal"/>
    <w:next w:val="Normal"/>
    <w:link w:val="Heading1Char"/>
    <w:uiPriority w:val="9"/>
    <w:qFormat/>
    <w:rsid w:val="00CD6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E26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D6C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265B"/>
    <w:rPr>
      <w:rFonts w:ascii="Times New Roman" w:eastAsia="Times New Roman" w:hAnsi="Times New Roman" w:cs="Times New Roman"/>
      <w:b/>
      <w:bCs/>
      <w:sz w:val="36"/>
      <w:szCs w:val="36"/>
    </w:rPr>
  </w:style>
  <w:style w:type="paragraph" w:styleId="NormalWeb">
    <w:name w:val="Normal (Web)"/>
    <w:basedOn w:val="Normal"/>
    <w:uiPriority w:val="99"/>
    <w:unhideWhenUsed/>
    <w:rsid w:val="00FE26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FE265B"/>
  </w:style>
  <w:style w:type="character" w:styleId="Strong">
    <w:name w:val="Strong"/>
    <w:basedOn w:val="DefaultParagraphFont"/>
    <w:uiPriority w:val="22"/>
    <w:qFormat/>
    <w:rsid w:val="00FE265B"/>
    <w:rPr>
      <w:b/>
      <w:bCs/>
    </w:rPr>
  </w:style>
  <w:style w:type="character" w:styleId="Emphasis">
    <w:name w:val="Emphasis"/>
    <w:basedOn w:val="DefaultParagraphFont"/>
    <w:uiPriority w:val="20"/>
    <w:qFormat/>
    <w:rsid w:val="00FE265B"/>
    <w:rPr>
      <w:i/>
      <w:iCs/>
    </w:rPr>
  </w:style>
  <w:style w:type="character" w:customStyle="1" w:styleId="Heading3Char">
    <w:name w:val="Heading 3 Char"/>
    <w:basedOn w:val="DefaultParagraphFont"/>
    <w:link w:val="Heading3"/>
    <w:uiPriority w:val="9"/>
    <w:semiHidden/>
    <w:rsid w:val="00CD6C4F"/>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CD6C4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D6C4F"/>
    <w:pPr>
      <w:ind w:left="720"/>
      <w:contextualSpacing/>
    </w:pPr>
  </w:style>
  <w:style w:type="character" w:styleId="Hyperlink">
    <w:name w:val="Hyperlink"/>
    <w:basedOn w:val="DefaultParagraphFont"/>
    <w:uiPriority w:val="99"/>
    <w:unhideWhenUsed/>
    <w:rsid w:val="00CD6C4F"/>
    <w:rPr>
      <w:color w:val="0000FF"/>
      <w:u w:val="single"/>
    </w:rPr>
  </w:style>
  <w:style w:type="character" w:styleId="FollowedHyperlink">
    <w:name w:val="FollowedHyperlink"/>
    <w:basedOn w:val="DefaultParagraphFont"/>
    <w:uiPriority w:val="99"/>
    <w:semiHidden/>
    <w:unhideWhenUsed/>
    <w:rsid w:val="00195845"/>
    <w:rPr>
      <w:color w:val="800080" w:themeColor="followedHyperlink"/>
      <w:u w:val="single"/>
    </w:rPr>
  </w:style>
  <w:style w:type="table" w:styleId="TableGrid">
    <w:name w:val="Table Grid"/>
    <w:basedOn w:val="TableNormal"/>
    <w:uiPriority w:val="59"/>
    <w:rsid w:val="00B75A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B3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51F"/>
  </w:style>
  <w:style w:type="paragraph" w:styleId="Footer">
    <w:name w:val="footer"/>
    <w:basedOn w:val="Normal"/>
    <w:link w:val="FooterChar"/>
    <w:uiPriority w:val="99"/>
    <w:unhideWhenUsed/>
    <w:rsid w:val="009B35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51F"/>
  </w:style>
  <w:style w:type="paragraph" w:styleId="NoSpacing">
    <w:name w:val="No Spacing"/>
    <w:uiPriority w:val="1"/>
    <w:qFormat/>
    <w:rsid w:val="003C4377"/>
    <w:pPr>
      <w:spacing w:after="0" w:line="240" w:lineRule="auto"/>
    </w:pPr>
    <w:rPr>
      <w:lang w:val="en-GB"/>
    </w:rPr>
  </w:style>
  <w:style w:type="paragraph" w:styleId="BalloonText">
    <w:name w:val="Balloon Text"/>
    <w:basedOn w:val="Normal"/>
    <w:link w:val="BalloonTextChar"/>
    <w:uiPriority w:val="99"/>
    <w:semiHidden/>
    <w:unhideWhenUsed/>
    <w:rsid w:val="00F04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7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055684">
      <w:bodyDiv w:val="1"/>
      <w:marLeft w:val="0"/>
      <w:marRight w:val="0"/>
      <w:marTop w:val="0"/>
      <w:marBottom w:val="0"/>
      <w:divBdr>
        <w:top w:val="none" w:sz="0" w:space="0" w:color="auto"/>
        <w:left w:val="none" w:sz="0" w:space="0" w:color="auto"/>
        <w:bottom w:val="none" w:sz="0" w:space="0" w:color="auto"/>
        <w:right w:val="none" w:sz="0" w:space="0" w:color="auto"/>
      </w:divBdr>
    </w:div>
    <w:div w:id="103110961">
      <w:bodyDiv w:val="1"/>
      <w:marLeft w:val="0"/>
      <w:marRight w:val="0"/>
      <w:marTop w:val="0"/>
      <w:marBottom w:val="0"/>
      <w:divBdr>
        <w:top w:val="none" w:sz="0" w:space="0" w:color="auto"/>
        <w:left w:val="none" w:sz="0" w:space="0" w:color="auto"/>
        <w:bottom w:val="none" w:sz="0" w:space="0" w:color="auto"/>
        <w:right w:val="none" w:sz="0" w:space="0" w:color="auto"/>
      </w:divBdr>
      <w:divsChild>
        <w:div w:id="1975527113">
          <w:marLeft w:val="0"/>
          <w:marRight w:val="0"/>
          <w:marTop w:val="0"/>
          <w:marBottom w:val="0"/>
          <w:divBdr>
            <w:top w:val="none" w:sz="0" w:space="0" w:color="auto"/>
            <w:left w:val="none" w:sz="0" w:space="0" w:color="auto"/>
            <w:bottom w:val="none" w:sz="0" w:space="0" w:color="auto"/>
            <w:right w:val="none" w:sz="0" w:space="0" w:color="auto"/>
          </w:divBdr>
          <w:divsChild>
            <w:div w:id="1715419978">
              <w:marLeft w:val="0"/>
              <w:marRight w:val="0"/>
              <w:marTop w:val="0"/>
              <w:marBottom w:val="0"/>
              <w:divBdr>
                <w:top w:val="none" w:sz="0" w:space="0" w:color="auto"/>
                <w:left w:val="none" w:sz="0" w:space="0" w:color="auto"/>
                <w:bottom w:val="none" w:sz="0" w:space="0" w:color="auto"/>
                <w:right w:val="none" w:sz="0" w:space="0" w:color="auto"/>
              </w:divBdr>
              <w:divsChild>
                <w:div w:id="2119176863">
                  <w:marLeft w:val="0"/>
                  <w:marRight w:val="0"/>
                  <w:marTop w:val="0"/>
                  <w:marBottom w:val="0"/>
                  <w:divBdr>
                    <w:top w:val="none" w:sz="0" w:space="0" w:color="auto"/>
                    <w:left w:val="none" w:sz="0" w:space="0" w:color="auto"/>
                    <w:bottom w:val="none" w:sz="0" w:space="0" w:color="auto"/>
                    <w:right w:val="none" w:sz="0" w:space="0" w:color="auto"/>
                  </w:divBdr>
                  <w:divsChild>
                    <w:div w:id="1020742227">
                      <w:marLeft w:val="0"/>
                      <w:marRight w:val="0"/>
                      <w:marTop w:val="0"/>
                      <w:marBottom w:val="0"/>
                      <w:divBdr>
                        <w:top w:val="none" w:sz="0" w:space="0" w:color="auto"/>
                        <w:left w:val="none" w:sz="0" w:space="0" w:color="auto"/>
                        <w:bottom w:val="none" w:sz="0" w:space="0" w:color="auto"/>
                        <w:right w:val="none" w:sz="0" w:space="0" w:color="auto"/>
                      </w:divBdr>
                      <w:divsChild>
                        <w:div w:id="1546333075">
                          <w:marLeft w:val="0"/>
                          <w:marRight w:val="0"/>
                          <w:marTop w:val="0"/>
                          <w:marBottom w:val="0"/>
                          <w:divBdr>
                            <w:top w:val="none" w:sz="0" w:space="0" w:color="auto"/>
                            <w:left w:val="none" w:sz="0" w:space="0" w:color="auto"/>
                            <w:bottom w:val="none" w:sz="0" w:space="0" w:color="auto"/>
                            <w:right w:val="none" w:sz="0" w:space="0" w:color="auto"/>
                          </w:divBdr>
                          <w:divsChild>
                            <w:div w:id="1783374349">
                              <w:marLeft w:val="0"/>
                              <w:marRight w:val="0"/>
                              <w:marTop w:val="0"/>
                              <w:marBottom w:val="0"/>
                              <w:divBdr>
                                <w:top w:val="none" w:sz="0" w:space="0" w:color="auto"/>
                                <w:left w:val="none" w:sz="0" w:space="0" w:color="auto"/>
                                <w:bottom w:val="none" w:sz="0" w:space="0" w:color="auto"/>
                                <w:right w:val="none" w:sz="0" w:space="0" w:color="auto"/>
                              </w:divBdr>
                              <w:divsChild>
                                <w:div w:id="16841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660893">
              <w:marLeft w:val="0"/>
              <w:marRight w:val="0"/>
              <w:marTop w:val="0"/>
              <w:marBottom w:val="0"/>
              <w:divBdr>
                <w:top w:val="none" w:sz="0" w:space="0" w:color="auto"/>
                <w:left w:val="none" w:sz="0" w:space="0" w:color="auto"/>
                <w:bottom w:val="none" w:sz="0" w:space="0" w:color="auto"/>
                <w:right w:val="none" w:sz="0" w:space="0" w:color="auto"/>
              </w:divBdr>
              <w:divsChild>
                <w:div w:id="1133055596">
                  <w:marLeft w:val="0"/>
                  <w:marRight w:val="0"/>
                  <w:marTop w:val="0"/>
                  <w:marBottom w:val="0"/>
                  <w:divBdr>
                    <w:top w:val="none" w:sz="0" w:space="0" w:color="auto"/>
                    <w:left w:val="none" w:sz="0" w:space="0" w:color="auto"/>
                    <w:bottom w:val="none" w:sz="0" w:space="0" w:color="auto"/>
                    <w:right w:val="none" w:sz="0" w:space="0" w:color="auto"/>
                  </w:divBdr>
                  <w:divsChild>
                    <w:div w:id="1905985201">
                      <w:marLeft w:val="0"/>
                      <w:marRight w:val="0"/>
                      <w:marTop w:val="0"/>
                      <w:marBottom w:val="0"/>
                      <w:divBdr>
                        <w:top w:val="none" w:sz="0" w:space="0" w:color="auto"/>
                        <w:left w:val="none" w:sz="0" w:space="0" w:color="auto"/>
                        <w:bottom w:val="none" w:sz="0" w:space="0" w:color="auto"/>
                        <w:right w:val="none" w:sz="0" w:space="0" w:color="auto"/>
                      </w:divBdr>
                      <w:divsChild>
                        <w:div w:id="1791245472">
                          <w:marLeft w:val="0"/>
                          <w:marRight w:val="0"/>
                          <w:marTop w:val="0"/>
                          <w:marBottom w:val="0"/>
                          <w:divBdr>
                            <w:top w:val="none" w:sz="0" w:space="0" w:color="auto"/>
                            <w:left w:val="none" w:sz="0" w:space="0" w:color="auto"/>
                            <w:bottom w:val="none" w:sz="0" w:space="0" w:color="auto"/>
                            <w:right w:val="none" w:sz="0" w:space="0" w:color="auto"/>
                          </w:divBdr>
                          <w:divsChild>
                            <w:div w:id="743140542">
                              <w:marLeft w:val="0"/>
                              <w:marRight w:val="0"/>
                              <w:marTop w:val="0"/>
                              <w:marBottom w:val="0"/>
                              <w:divBdr>
                                <w:top w:val="none" w:sz="0" w:space="0" w:color="auto"/>
                                <w:left w:val="none" w:sz="0" w:space="0" w:color="auto"/>
                                <w:bottom w:val="none" w:sz="0" w:space="0" w:color="auto"/>
                                <w:right w:val="none" w:sz="0" w:space="0" w:color="auto"/>
                              </w:divBdr>
                              <w:divsChild>
                                <w:div w:id="581304608">
                                  <w:marLeft w:val="0"/>
                                  <w:marRight w:val="0"/>
                                  <w:marTop w:val="0"/>
                                  <w:marBottom w:val="0"/>
                                  <w:divBdr>
                                    <w:top w:val="none" w:sz="0" w:space="0" w:color="auto"/>
                                    <w:left w:val="none" w:sz="0" w:space="0" w:color="auto"/>
                                    <w:bottom w:val="none" w:sz="0" w:space="0" w:color="auto"/>
                                    <w:right w:val="none" w:sz="0" w:space="0" w:color="auto"/>
                                  </w:divBdr>
                                  <w:divsChild>
                                    <w:div w:id="2424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136781">
              <w:marLeft w:val="0"/>
              <w:marRight w:val="0"/>
              <w:marTop w:val="0"/>
              <w:marBottom w:val="0"/>
              <w:divBdr>
                <w:top w:val="none" w:sz="0" w:space="0" w:color="auto"/>
                <w:left w:val="none" w:sz="0" w:space="0" w:color="auto"/>
                <w:bottom w:val="none" w:sz="0" w:space="0" w:color="auto"/>
                <w:right w:val="none" w:sz="0" w:space="0" w:color="auto"/>
              </w:divBdr>
              <w:divsChild>
                <w:div w:id="905451749">
                  <w:marLeft w:val="0"/>
                  <w:marRight w:val="0"/>
                  <w:marTop w:val="0"/>
                  <w:marBottom w:val="0"/>
                  <w:divBdr>
                    <w:top w:val="none" w:sz="0" w:space="0" w:color="auto"/>
                    <w:left w:val="none" w:sz="0" w:space="0" w:color="auto"/>
                    <w:bottom w:val="none" w:sz="0" w:space="0" w:color="auto"/>
                    <w:right w:val="none" w:sz="0" w:space="0" w:color="auto"/>
                  </w:divBdr>
                  <w:divsChild>
                    <w:div w:id="1862819514">
                      <w:marLeft w:val="0"/>
                      <w:marRight w:val="0"/>
                      <w:marTop w:val="0"/>
                      <w:marBottom w:val="0"/>
                      <w:divBdr>
                        <w:top w:val="none" w:sz="0" w:space="0" w:color="auto"/>
                        <w:left w:val="none" w:sz="0" w:space="0" w:color="auto"/>
                        <w:bottom w:val="none" w:sz="0" w:space="0" w:color="auto"/>
                        <w:right w:val="none" w:sz="0" w:space="0" w:color="auto"/>
                      </w:divBdr>
                      <w:divsChild>
                        <w:div w:id="1118597364">
                          <w:marLeft w:val="0"/>
                          <w:marRight w:val="0"/>
                          <w:marTop w:val="0"/>
                          <w:marBottom w:val="0"/>
                          <w:divBdr>
                            <w:top w:val="none" w:sz="0" w:space="0" w:color="auto"/>
                            <w:left w:val="none" w:sz="0" w:space="0" w:color="auto"/>
                            <w:bottom w:val="none" w:sz="0" w:space="0" w:color="auto"/>
                            <w:right w:val="none" w:sz="0" w:space="0" w:color="auto"/>
                          </w:divBdr>
                          <w:divsChild>
                            <w:div w:id="624580359">
                              <w:marLeft w:val="0"/>
                              <w:marRight w:val="0"/>
                              <w:marTop w:val="0"/>
                              <w:marBottom w:val="0"/>
                              <w:divBdr>
                                <w:top w:val="none" w:sz="0" w:space="0" w:color="auto"/>
                                <w:left w:val="none" w:sz="0" w:space="0" w:color="auto"/>
                                <w:bottom w:val="none" w:sz="0" w:space="0" w:color="auto"/>
                                <w:right w:val="none" w:sz="0" w:space="0" w:color="auto"/>
                              </w:divBdr>
                              <w:divsChild>
                                <w:div w:id="12766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414449">
              <w:marLeft w:val="0"/>
              <w:marRight w:val="0"/>
              <w:marTop w:val="0"/>
              <w:marBottom w:val="0"/>
              <w:divBdr>
                <w:top w:val="none" w:sz="0" w:space="0" w:color="auto"/>
                <w:left w:val="none" w:sz="0" w:space="0" w:color="auto"/>
                <w:bottom w:val="none" w:sz="0" w:space="0" w:color="auto"/>
                <w:right w:val="none" w:sz="0" w:space="0" w:color="auto"/>
              </w:divBdr>
              <w:divsChild>
                <w:div w:id="1334988704">
                  <w:marLeft w:val="0"/>
                  <w:marRight w:val="0"/>
                  <w:marTop w:val="0"/>
                  <w:marBottom w:val="0"/>
                  <w:divBdr>
                    <w:top w:val="none" w:sz="0" w:space="0" w:color="auto"/>
                    <w:left w:val="none" w:sz="0" w:space="0" w:color="auto"/>
                    <w:bottom w:val="none" w:sz="0" w:space="0" w:color="auto"/>
                    <w:right w:val="none" w:sz="0" w:space="0" w:color="auto"/>
                  </w:divBdr>
                  <w:divsChild>
                    <w:div w:id="353071881">
                      <w:marLeft w:val="0"/>
                      <w:marRight w:val="0"/>
                      <w:marTop w:val="0"/>
                      <w:marBottom w:val="0"/>
                      <w:divBdr>
                        <w:top w:val="none" w:sz="0" w:space="0" w:color="auto"/>
                        <w:left w:val="none" w:sz="0" w:space="0" w:color="auto"/>
                        <w:bottom w:val="none" w:sz="0" w:space="0" w:color="auto"/>
                        <w:right w:val="none" w:sz="0" w:space="0" w:color="auto"/>
                      </w:divBdr>
                      <w:divsChild>
                        <w:div w:id="331300629">
                          <w:marLeft w:val="0"/>
                          <w:marRight w:val="0"/>
                          <w:marTop w:val="0"/>
                          <w:marBottom w:val="0"/>
                          <w:divBdr>
                            <w:top w:val="none" w:sz="0" w:space="0" w:color="auto"/>
                            <w:left w:val="none" w:sz="0" w:space="0" w:color="auto"/>
                            <w:bottom w:val="none" w:sz="0" w:space="0" w:color="auto"/>
                            <w:right w:val="none" w:sz="0" w:space="0" w:color="auto"/>
                          </w:divBdr>
                          <w:divsChild>
                            <w:div w:id="975601370">
                              <w:marLeft w:val="0"/>
                              <w:marRight w:val="0"/>
                              <w:marTop w:val="0"/>
                              <w:marBottom w:val="0"/>
                              <w:divBdr>
                                <w:top w:val="none" w:sz="0" w:space="0" w:color="auto"/>
                                <w:left w:val="none" w:sz="0" w:space="0" w:color="auto"/>
                                <w:bottom w:val="none" w:sz="0" w:space="0" w:color="auto"/>
                                <w:right w:val="none" w:sz="0" w:space="0" w:color="auto"/>
                              </w:divBdr>
                              <w:divsChild>
                                <w:div w:id="69935468">
                                  <w:marLeft w:val="0"/>
                                  <w:marRight w:val="0"/>
                                  <w:marTop w:val="0"/>
                                  <w:marBottom w:val="0"/>
                                  <w:divBdr>
                                    <w:top w:val="none" w:sz="0" w:space="0" w:color="auto"/>
                                    <w:left w:val="none" w:sz="0" w:space="0" w:color="auto"/>
                                    <w:bottom w:val="none" w:sz="0" w:space="0" w:color="auto"/>
                                    <w:right w:val="none" w:sz="0" w:space="0" w:color="auto"/>
                                  </w:divBdr>
                                  <w:divsChild>
                                    <w:div w:id="129205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630897">
              <w:marLeft w:val="0"/>
              <w:marRight w:val="0"/>
              <w:marTop w:val="0"/>
              <w:marBottom w:val="0"/>
              <w:divBdr>
                <w:top w:val="none" w:sz="0" w:space="0" w:color="auto"/>
                <w:left w:val="none" w:sz="0" w:space="0" w:color="auto"/>
                <w:bottom w:val="none" w:sz="0" w:space="0" w:color="auto"/>
                <w:right w:val="none" w:sz="0" w:space="0" w:color="auto"/>
              </w:divBdr>
              <w:divsChild>
                <w:div w:id="1415972311">
                  <w:marLeft w:val="0"/>
                  <w:marRight w:val="0"/>
                  <w:marTop w:val="0"/>
                  <w:marBottom w:val="0"/>
                  <w:divBdr>
                    <w:top w:val="none" w:sz="0" w:space="0" w:color="auto"/>
                    <w:left w:val="none" w:sz="0" w:space="0" w:color="auto"/>
                    <w:bottom w:val="none" w:sz="0" w:space="0" w:color="auto"/>
                    <w:right w:val="none" w:sz="0" w:space="0" w:color="auto"/>
                  </w:divBdr>
                  <w:divsChild>
                    <w:div w:id="530606973">
                      <w:marLeft w:val="0"/>
                      <w:marRight w:val="0"/>
                      <w:marTop w:val="0"/>
                      <w:marBottom w:val="0"/>
                      <w:divBdr>
                        <w:top w:val="none" w:sz="0" w:space="0" w:color="auto"/>
                        <w:left w:val="none" w:sz="0" w:space="0" w:color="auto"/>
                        <w:bottom w:val="none" w:sz="0" w:space="0" w:color="auto"/>
                        <w:right w:val="none" w:sz="0" w:space="0" w:color="auto"/>
                      </w:divBdr>
                      <w:divsChild>
                        <w:div w:id="1712531246">
                          <w:marLeft w:val="0"/>
                          <w:marRight w:val="0"/>
                          <w:marTop w:val="0"/>
                          <w:marBottom w:val="0"/>
                          <w:divBdr>
                            <w:top w:val="none" w:sz="0" w:space="0" w:color="auto"/>
                            <w:left w:val="none" w:sz="0" w:space="0" w:color="auto"/>
                            <w:bottom w:val="none" w:sz="0" w:space="0" w:color="auto"/>
                            <w:right w:val="none" w:sz="0" w:space="0" w:color="auto"/>
                          </w:divBdr>
                          <w:divsChild>
                            <w:div w:id="609896002">
                              <w:marLeft w:val="0"/>
                              <w:marRight w:val="0"/>
                              <w:marTop w:val="0"/>
                              <w:marBottom w:val="0"/>
                              <w:divBdr>
                                <w:top w:val="none" w:sz="0" w:space="0" w:color="auto"/>
                                <w:left w:val="none" w:sz="0" w:space="0" w:color="auto"/>
                                <w:bottom w:val="none" w:sz="0" w:space="0" w:color="auto"/>
                                <w:right w:val="none" w:sz="0" w:space="0" w:color="auto"/>
                              </w:divBdr>
                              <w:divsChild>
                                <w:div w:id="452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661709">
              <w:marLeft w:val="0"/>
              <w:marRight w:val="0"/>
              <w:marTop w:val="0"/>
              <w:marBottom w:val="0"/>
              <w:divBdr>
                <w:top w:val="none" w:sz="0" w:space="0" w:color="auto"/>
                <w:left w:val="none" w:sz="0" w:space="0" w:color="auto"/>
                <w:bottom w:val="none" w:sz="0" w:space="0" w:color="auto"/>
                <w:right w:val="none" w:sz="0" w:space="0" w:color="auto"/>
              </w:divBdr>
              <w:divsChild>
                <w:div w:id="1194613006">
                  <w:marLeft w:val="0"/>
                  <w:marRight w:val="0"/>
                  <w:marTop w:val="0"/>
                  <w:marBottom w:val="0"/>
                  <w:divBdr>
                    <w:top w:val="none" w:sz="0" w:space="0" w:color="auto"/>
                    <w:left w:val="none" w:sz="0" w:space="0" w:color="auto"/>
                    <w:bottom w:val="none" w:sz="0" w:space="0" w:color="auto"/>
                    <w:right w:val="none" w:sz="0" w:space="0" w:color="auto"/>
                  </w:divBdr>
                  <w:divsChild>
                    <w:div w:id="1143111204">
                      <w:marLeft w:val="0"/>
                      <w:marRight w:val="0"/>
                      <w:marTop w:val="0"/>
                      <w:marBottom w:val="0"/>
                      <w:divBdr>
                        <w:top w:val="none" w:sz="0" w:space="0" w:color="auto"/>
                        <w:left w:val="none" w:sz="0" w:space="0" w:color="auto"/>
                        <w:bottom w:val="none" w:sz="0" w:space="0" w:color="auto"/>
                        <w:right w:val="none" w:sz="0" w:space="0" w:color="auto"/>
                      </w:divBdr>
                      <w:divsChild>
                        <w:div w:id="1561361432">
                          <w:marLeft w:val="0"/>
                          <w:marRight w:val="0"/>
                          <w:marTop w:val="0"/>
                          <w:marBottom w:val="0"/>
                          <w:divBdr>
                            <w:top w:val="none" w:sz="0" w:space="0" w:color="auto"/>
                            <w:left w:val="none" w:sz="0" w:space="0" w:color="auto"/>
                            <w:bottom w:val="none" w:sz="0" w:space="0" w:color="auto"/>
                            <w:right w:val="none" w:sz="0" w:space="0" w:color="auto"/>
                          </w:divBdr>
                          <w:divsChild>
                            <w:div w:id="999384080">
                              <w:marLeft w:val="0"/>
                              <w:marRight w:val="0"/>
                              <w:marTop w:val="0"/>
                              <w:marBottom w:val="0"/>
                              <w:divBdr>
                                <w:top w:val="none" w:sz="0" w:space="0" w:color="auto"/>
                                <w:left w:val="none" w:sz="0" w:space="0" w:color="auto"/>
                                <w:bottom w:val="none" w:sz="0" w:space="0" w:color="auto"/>
                                <w:right w:val="none" w:sz="0" w:space="0" w:color="auto"/>
                              </w:divBdr>
                              <w:divsChild>
                                <w:div w:id="929266915">
                                  <w:marLeft w:val="0"/>
                                  <w:marRight w:val="0"/>
                                  <w:marTop w:val="0"/>
                                  <w:marBottom w:val="0"/>
                                  <w:divBdr>
                                    <w:top w:val="none" w:sz="0" w:space="0" w:color="auto"/>
                                    <w:left w:val="none" w:sz="0" w:space="0" w:color="auto"/>
                                    <w:bottom w:val="none" w:sz="0" w:space="0" w:color="auto"/>
                                    <w:right w:val="none" w:sz="0" w:space="0" w:color="auto"/>
                                  </w:divBdr>
                                  <w:divsChild>
                                    <w:div w:id="9727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410846">
              <w:marLeft w:val="0"/>
              <w:marRight w:val="0"/>
              <w:marTop w:val="0"/>
              <w:marBottom w:val="0"/>
              <w:divBdr>
                <w:top w:val="none" w:sz="0" w:space="0" w:color="auto"/>
                <w:left w:val="none" w:sz="0" w:space="0" w:color="auto"/>
                <w:bottom w:val="none" w:sz="0" w:space="0" w:color="auto"/>
                <w:right w:val="none" w:sz="0" w:space="0" w:color="auto"/>
              </w:divBdr>
              <w:divsChild>
                <w:div w:id="1110510984">
                  <w:marLeft w:val="0"/>
                  <w:marRight w:val="0"/>
                  <w:marTop w:val="0"/>
                  <w:marBottom w:val="0"/>
                  <w:divBdr>
                    <w:top w:val="none" w:sz="0" w:space="0" w:color="auto"/>
                    <w:left w:val="none" w:sz="0" w:space="0" w:color="auto"/>
                    <w:bottom w:val="none" w:sz="0" w:space="0" w:color="auto"/>
                    <w:right w:val="none" w:sz="0" w:space="0" w:color="auto"/>
                  </w:divBdr>
                  <w:divsChild>
                    <w:div w:id="1999725957">
                      <w:marLeft w:val="0"/>
                      <w:marRight w:val="0"/>
                      <w:marTop w:val="0"/>
                      <w:marBottom w:val="0"/>
                      <w:divBdr>
                        <w:top w:val="none" w:sz="0" w:space="0" w:color="auto"/>
                        <w:left w:val="none" w:sz="0" w:space="0" w:color="auto"/>
                        <w:bottom w:val="none" w:sz="0" w:space="0" w:color="auto"/>
                        <w:right w:val="none" w:sz="0" w:space="0" w:color="auto"/>
                      </w:divBdr>
                      <w:divsChild>
                        <w:div w:id="1979416251">
                          <w:marLeft w:val="0"/>
                          <w:marRight w:val="0"/>
                          <w:marTop w:val="0"/>
                          <w:marBottom w:val="0"/>
                          <w:divBdr>
                            <w:top w:val="none" w:sz="0" w:space="0" w:color="auto"/>
                            <w:left w:val="none" w:sz="0" w:space="0" w:color="auto"/>
                            <w:bottom w:val="none" w:sz="0" w:space="0" w:color="auto"/>
                            <w:right w:val="none" w:sz="0" w:space="0" w:color="auto"/>
                          </w:divBdr>
                          <w:divsChild>
                            <w:div w:id="1290168944">
                              <w:marLeft w:val="0"/>
                              <w:marRight w:val="0"/>
                              <w:marTop w:val="0"/>
                              <w:marBottom w:val="0"/>
                              <w:divBdr>
                                <w:top w:val="none" w:sz="0" w:space="0" w:color="auto"/>
                                <w:left w:val="none" w:sz="0" w:space="0" w:color="auto"/>
                                <w:bottom w:val="none" w:sz="0" w:space="0" w:color="auto"/>
                                <w:right w:val="none" w:sz="0" w:space="0" w:color="auto"/>
                              </w:divBdr>
                              <w:divsChild>
                                <w:div w:id="2039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010264">
              <w:marLeft w:val="0"/>
              <w:marRight w:val="0"/>
              <w:marTop w:val="0"/>
              <w:marBottom w:val="0"/>
              <w:divBdr>
                <w:top w:val="none" w:sz="0" w:space="0" w:color="auto"/>
                <w:left w:val="none" w:sz="0" w:space="0" w:color="auto"/>
                <w:bottom w:val="none" w:sz="0" w:space="0" w:color="auto"/>
                <w:right w:val="none" w:sz="0" w:space="0" w:color="auto"/>
              </w:divBdr>
              <w:divsChild>
                <w:div w:id="1157456827">
                  <w:marLeft w:val="0"/>
                  <w:marRight w:val="0"/>
                  <w:marTop w:val="0"/>
                  <w:marBottom w:val="0"/>
                  <w:divBdr>
                    <w:top w:val="none" w:sz="0" w:space="0" w:color="auto"/>
                    <w:left w:val="none" w:sz="0" w:space="0" w:color="auto"/>
                    <w:bottom w:val="none" w:sz="0" w:space="0" w:color="auto"/>
                    <w:right w:val="none" w:sz="0" w:space="0" w:color="auto"/>
                  </w:divBdr>
                  <w:divsChild>
                    <w:div w:id="1181432778">
                      <w:marLeft w:val="0"/>
                      <w:marRight w:val="0"/>
                      <w:marTop w:val="0"/>
                      <w:marBottom w:val="0"/>
                      <w:divBdr>
                        <w:top w:val="none" w:sz="0" w:space="0" w:color="auto"/>
                        <w:left w:val="none" w:sz="0" w:space="0" w:color="auto"/>
                        <w:bottom w:val="none" w:sz="0" w:space="0" w:color="auto"/>
                        <w:right w:val="none" w:sz="0" w:space="0" w:color="auto"/>
                      </w:divBdr>
                      <w:divsChild>
                        <w:div w:id="1144858939">
                          <w:marLeft w:val="0"/>
                          <w:marRight w:val="0"/>
                          <w:marTop w:val="0"/>
                          <w:marBottom w:val="0"/>
                          <w:divBdr>
                            <w:top w:val="none" w:sz="0" w:space="0" w:color="auto"/>
                            <w:left w:val="none" w:sz="0" w:space="0" w:color="auto"/>
                            <w:bottom w:val="none" w:sz="0" w:space="0" w:color="auto"/>
                            <w:right w:val="none" w:sz="0" w:space="0" w:color="auto"/>
                          </w:divBdr>
                          <w:divsChild>
                            <w:div w:id="1611821099">
                              <w:marLeft w:val="0"/>
                              <w:marRight w:val="0"/>
                              <w:marTop w:val="0"/>
                              <w:marBottom w:val="0"/>
                              <w:divBdr>
                                <w:top w:val="none" w:sz="0" w:space="0" w:color="auto"/>
                                <w:left w:val="none" w:sz="0" w:space="0" w:color="auto"/>
                                <w:bottom w:val="none" w:sz="0" w:space="0" w:color="auto"/>
                                <w:right w:val="none" w:sz="0" w:space="0" w:color="auto"/>
                              </w:divBdr>
                              <w:divsChild>
                                <w:div w:id="498736059">
                                  <w:marLeft w:val="0"/>
                                  <w:marRight w:val="0"/>
                                  <w:marTop w:val="0"/>
                                  <w:marBottom w:val="0"/>
                                  <w:divBdr>
                                    <w:top w:val="none" w:sz="0" w:space="0" w:color="auto"/>
                                    <w:left w:val="none" w:sz="0" w:space="0" w:color="auto"/>
                                    <w:bottom w:val="none" w:sz="0" w:space="0" w:color="auto"/>
                                    <w:right w:val="none" w:sz="0" w:space="0" w:color="auto"/>
                                  </w:divBdr>
                                  <w:divsChild>
                                    <w:div w:id="10466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23287">
              <w:marLeft w:val="0"/>
              <w:marRight w:val="0"/>
              <w:marTop w:val="0"/>
              <w:marBottom w:val="0"/>
              <w:divBdr>
                <w:top w:val="none" w:sz="0" w:space="0" w:color="auto"/>
                <w:left w:val="none" w:sz="0" w:space="0" w:color="auto"/>
                <w:bottom w:val="none" w:sz="0" w:space="0" w:color="auto"/>
                <w:right w:val="none" w:sz="0" w:space="0" w:color="auto"/>
              </w:divBdr>
              <w:divsChild>
                <w:div w:id="1921058091">
                  <w:marLeft w:val="0"/>
                  <w:marRight w:val="0"/>
                  <w:marTop w:val="0"/>
                  <w:marBottom w:val="0"/>
                  <w:divBdr>
                    <w:top w:val="none" w:sz="0" w:space="0" w:color="auto"/>
                    <w:left w:val="none" w:sz="0" w:space="0" w:color="auto"/>
                    <w:bottom w:val="none" w:sz="0" w:space="0" w:color="auto"/>
                    <w:right w:val="none" w:sz="0" w:space="0" w:color="auto"/>
                  </w:divBdr>
                  <w:divsChild>
                    <w:div w:id="1474829947">
                      <w:marLeft w:val="0"/>
                      <w:marRight w:val="0"/>
                      <w:marTop w:val="0"/>
                      <w:marBottom w:val="0"/>
                      <w:divBdr>
                        <w:top w:val="none" w:sz="0" w:space="0" w:color="auto"/>
                        <w:left w:val="none" w:sz="0" w:space="0" w:color="auto"/>
                        <w:bottom w:val="none" w:sz="0" w:space="0" w:color="auto"/>
                        <w:right w:val="none" w:sz="0" w:space="0" w:color="auto"/>
                      </w:divBdr>
                      <w:divsChild>
                        <w:div w:id="1469086437">
                          <w:marLeft w:val="0"/>
                          <w:marRight w:val="0"/>
                          <w:marTop w:val="0"/>
                          <w:marBottom w:val="0"/>
                          <w:divBdr>
                            <w:top w:val="none" w:sz="0" w:space="0" w:color="auto"/>
                            <w:left w:val="none" w:sz="0" w:space="0" w:color="auto"/>
                            <w:bottom w:val="none" w:sz="0" w:space="0" w:color="auto"/>
                            <w:right w:val="none" w:sz="0" w:space="0" w:color="auto"/>
                          </w:divBdr>
                          <w:divsChild>
                            <w:div w:id="403996443">
                              <w:marLeft w:val="0"/>
                              <w:marRight w:val="0"/>
                              <w:marTop w:val="0"/>
                              <w:marBottom w:val="0"/>
                              <w:divBdr>
                                <w:top w:val="none" w:sz="0" w:space="0" w:color="auto"/>
                                <w:left w:val="none" w:sz="0" w:space="0" w:color="auto"/>
                                <w:bottom w:val="none" w:sz="0" w:space="0" w:color="auto"/>
                                <w:right w:val="none" w:sz="0" w:space="0" w:color="auto"/>
                              </w:divBdr>
                              <w:divsChild>
                                <w:div w:id="56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5950">
      <w:bodyDiv w:val="1"/>
      <w:marLeft w:val="0"/>
      <w:marRight w:val="0"/>
      <w:marTop w:val="0"/>
      <w:marBottom w:val="0"/>
      <w:divBdr>
        <w:top w:val="none" w:sz="0" w:space="0" w:color="auto"/>
        <w:left w:val="none" w:sz="0" w:space="0" w:color="auto"/>
        <w:bottom w:val="none" w:sz="0" w:space="0" w:color="auto"/>
        <w:right w:val="none" w:sz="0" w:space="0" w:color="auto"/>
      </w:divBdr>
    </w:div>
    <w:div w:id="113597087">
      <w:bodyDiv w:val="1"/>
      <w:marLeft w:val="0"/>
      <w:marRight w:val="0"/>
      <w:marTop w:val="0"/>
      <w:marBottom w:val="0"/>
      <w:divBdr>
        <w:top w:val="none" w:sz="0" w:space="0" w:color="auto"/>
        <w:left w:val="none" w:sz="0" w:space="0" w:color="auto"/>
        <w:bottom w:val="none" w:sz="0" w:space="0" w:color="auto"/>
        <w:right w:val="none" w:sz="0" w:space="0" w:color="auto"/>
      </w:divBdr>
    </w:div>
    <w:div w:id="127237826">
      <w:bodyDiv w:val="1"/>
      <w:marLeft w:val="0"/>
      <w:marRight w:val="0"/>
      <w:marTop w:val="0"/>
      <w:marBottom w:val="0"/>
      <w:divBdr>
        <w:top w:val="none" w:sz="0" w:space="0" w:color="auto"/>
        <w:left w:val="none" w:sz="0" w:space="0" w:color="auto"/>
        <w:bottom w:val="none" w:sz="0" w:space="0" w:color="auto"/>
        <w:right w:val="none" w:sz="0" w:space="0" w:color="auto"/>
      </w:divBdr>
    </w:div>
    <w:div w:id="239560603">
      <w:bodyDiv w:val="1"/>
      <w:marLeft w:val="0"/>
      <w:marRight w:val="0"/>
      <w:marTop w:val="0"/>
      <w:marBottom w:val="0"/>
      <w:divBdr>
        <w:top w:val="none" w:sz="0" w:space="0" w:color="auto"/>
        <w:left w:val="none" w:sz="0" w:space="0" w:color="auto"/>
        <w:bottom w:val="none" w:sz="0" w:space="0" w:color="auto"/>
        <w:right w:val="none" w:sz="0" w:space="0" w:color="auto"/>
      </w:divBdr>
      <w:divsChild>
        <w:div w:id="921139392">
          <w:marLeft w:val="0"/>
          <w:marRight w:val="0"/>
          <w:marTop w:val="0"/>
          <w:marBottom w:val="0"/>
          <w:divBdr>
            <w:top w:val="none" w:sz="0" w:space="0" w:color="auto"/>
            <w:left w:val="none" w:sz="0" w:space="0" w:color="auto"/>
            <w:bottom w:val="none" w:sz="0" w:space="0" w:color="auto"/>
            <w:right w:val="none" w:sz="0" w:space="0" w:color="auto"/>
          </w:divBdr>
          <w:divsChild>
            <w:div w:id="783646430">
              <w:marLeft w:val="0"/>
              <w:marRight w:val="0"/>
              <w:marTop w:val="0"/>
              <w:marBottom w:val="0"/>
              <w:divBdr>
                <w:top w:val="none" w:sz="0" w:space="0" w:color="auto"/>
                <w:left w:val="none" w:sz="0" w:space="0" w:color="auto"/>
                <w:bottom w:val="none" w:sz="0" w:space="0" w:color="auto"/>
                <w:right w:val="none" w:sz="0" w:space="0" w:color="auto"/>
              </w:divBdr>
              <w:divsChild>
                <w:div w:id="1568879661">
                  <w:marLeft w:val="0"/>
                  <w:marRight w:val="0"/>
                  <w:marTop w:val="0"/>
                  <w:marBottom w:val="0"/>
                  <w:divBdr>
                    <w:top w:val="none" w:sz="0" w:space="0" w:color="auto"/>
                    <w:left w:val="none" w:sz="0" w:space="0" w:color="auto"/>
                    <w:bottom w:val="none" w:sz="0" w:space="0" w:color="auto"/>
                    <w:right w:val="none" w:sz="0" w:space="0" w:color="auto"/>
                  </w:divBdr>
                  <w:divsChild>
                    <w:div w:id="1311396885">
                      <w:marLeft w:val="0"/>
                      <w:marRight w:val="0"/>
                      <w:marTop w:val="0"/>
                      <w:marBottom w:val="0"/>
                      <w:divBdr>
                        <w:top w:val="none" w:sz="0" w:space="0" w:color="auto"/>
                        <w:left w:val="none" w:sz="0" w:space="0" w:color="auto"/>
                        <w:bottom w:val="none" w:sz="0" w:space="0" w:color="auto"/>
                        <w:right w:val="none" w:sz="0" w:space="0" w:color="auto"/>
                      </w:divBdr>
                      <w:divsChild>
                        <w:div w:id="1873221452">
                          <w:marLeft w:val="0"/>
                          <w:marRight w:val="0"/>
                          <w:marTop w:val="0"/>
                          <w:marBottom w:val="0"/>
                          <w:divBdr>
                            <w:top w:val="none" w:sz="0" w:space="0" w:color="auto"/>
                            <w:left w:val="none" w:sz="0" w:space="0" w:color="auto"/>
                            <w:bottom w:val="none" w:sz="0" w:space="0" w:color="auto"/>
                            <w:right w:val="none" w:sz="0" w:space="0" w:color="auto"/>
                          </w:divBdr>
                          <w:divsChild>
                            <w:div w:id="371196878">
                              <w:marLeft w:val="0"/>
                              <w:marRight w:val="0"/>
                              <w:marTop w:val="0"/>
                              <w:marBottom w:val="0"/>
                              <w:divBdr>
                                <w:top w:val="none" w:sz="0" w:space="0" w:color="auto"/>
                                <w:left w:val="none" w:sz="0" w:space="0" w:color="auto"/>
                                <w:bottom w:val="none" w:sz="0" w:space="0" w:color="auto"/>
                                <w:right w:val="none" w:sz="0" w:space="0" w:color="auto"/>
                              </w:divBdr>
                              <w:divsChild>
                                <w:div w:id="7532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1304">
      <w:bodyDiv w:val="1"/>
      <w:marLeft w:val="0"/>
      <w:marRight w:val="0"/>
      <w:marTop w:val="0"/>
      <w:marBottom w:val="0"/>
      <w:divBdr>
        <w:top w:val="none" w:sz="0" w:space="0" w:color="auto"/>
        <w:left w:val="none" w:sz="0" w:space="0" w:color="auto"/>
        <w:bottom w:val="none" w:sz="0" w:space="0" w:color="auto"/>
        <w:right w:val="none" w:sz="0" w:space="0" w:color="auto"/>
      </w:divBdr>
    </w:div>
    <w:div w:id="447311833">
      <w:bodyDiv w:val="1"/>
      <w:marLeft w:val="0"/>
      <w:marRight w:val="0"/>
      <w:marTop w:val="0"/>
      <w:marBottom w:val="0"/>
      <w:divBdr>
        <w:top w:val="none" w:sz="0" w:space="0" w:color="auto"/>
        <w:left w:val="none" w:sz="0" w:space="0" w:color="auto"/>
        <w:bottom w:val="none" w:sz="0" w:space="0" w:color="auto"/>
        <w:right w:val="none" w:sz="0" w:space="0" w:color="auto"/>
      </w:divBdr>
      <w:divsChild>
        <w:div w:id="2005619011">
          <w:marLeft w:val="0"/>
          <w:marRight w:val="0"/>
          <w:marTop w:val="0"/>
          <w:marBottom w:val="0"/>
          <w:divBdr>
            <w:top w:val="none" w:sz="0" w:space="0" w:color="auto"/>
            <w:left w:val="none" w:sz="0" w:space="0" w:color="auto"/>
            <w:bottom w:val="none" w:sz="0" w:space="0" w:color="auto"/>
            <w:right w:val="none" w:sz="0" w:space="0" w:color="auto"/>
          </w:divBdr>
          <w:divsChild>
            <w:div w:id="32771560">
              <w:marLeft w:val="0"/>
              <w:marRight w:val="0"/>
              <w:marTop w:val="0"/>
              <w:marBottom w:val="0"/>
              <w:divBdr>
                <w:top w:val="none" w:sz="0" w:space="0" w:color="auto"/>
                <w:left w:val="none" w:sz="0" w:space="0" w:color="auto"/>
                <w:bottom w:val="none" w:sz="0" w:space="0" w:color="auto"/>
                <w:right w:val="none" w:sz="0" w:space="0" w:color="auto"/>
              </w:divBdr>
              <w:divsChild>
                <w:div w:id="289212954">
                  <w:marLeft w:val="0"/>
                  <w:marRight w:val="0"/>
                  <w:marTop w:val="0"/>
                  <w:marBottom w:val="0"/>
                  <w:divBdr>
                    <w:top w:val="none" w:sz="0" w:space="0" w:color="auto"/>
                    <w:left w:val="none" w:sz="0" w:space="0" w:color="auto"/>
                    <w:bottom w:val="none" w:sz="0" w:space="0" w:color="auto"/>
                    <w:right w:val="none" w:sz="0" w:space="0" w:color="auto"/>
                  </w:divBdr>
                  <w:divsChild>
                    <w:div w:id="2079479194">
                      <w:marLeft w:val="0"/>
                      <w:marRight w:val="0"/>
                      <w:marTop w:val="0"/>
                      <w:marBottom w:val="0"/>
                      <w:divBdr>
                        <w:top w:val="none" w:sz="0" w:space="0" w:color="auto"/>
                        <w:left w:val="none" w:sz="0" w:space="0" w:color="auto"/>
                        <w:bottom w:val="none" w:sz="0" w:space="0" w:color="auto"/>
                        <w:right w:val="none" w:sz="0" w:space="0" w:color="auto"/>
                      </w:divBdr>
                      <w:divsChild>
                        <w:div w:id="833187984">
                          <w:marLeft w:val="0"/>
                          <w:marRight w:val="0"/>
                          <w:marTop w:val="0"/>
                          <w:marBottom w:val="0"/>
                          <w:divBdr>
                            <w:top w:val="none" w:sz="0" w:space="0" w:color="auto"/>
                            <w:left w:val="none" w:sz="0" w:space="0" w:color="auto"/>
                            <w:bottom w:val="none" w:sz="0" w:space="0" w:color="auto"/>
                            <w:right w:val="none" w:sz="0" w:space="0" w:color="auto"/>
                          </w:divBdr>
                          <w:divsChild>
                            <w:div w:id="17631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285978">
      <w:bodyDiv w:val="1"/>
      <w:marLeft w:val="0"/>
      <w:marRight w:val="0"/>
      <w:marTop w:val="0"/>
      <w:marBottom w:val="0"/>
      <w:divBdr>
        <w:top w:val="none" w:sz="0" w:space="0" w:color="auto"/>
        <w:left w:val="none" w:sz="0" w:space="0" w:color="auto"/>
        <w:bottom w:val="none" w:sz="0" w:space="0" w:color="auto"/>
        <w:right w:val="none" w:sz="0" w:space="0" w:color="auto"/>
      </w:divBdr>
    </w:div>
    <w:div w:id="594554727">
      <w:bodyDiv w:val="1"/>
      <w:marLeft w:val="0"/>
      <w:marRight w:val="0"/>
      <w:marTop w:val="0"/>
      <w:marBottom w:val="0"/>
      <w:divBdr>
        <w:top w:val="none" w:sz="0" w:space="0" w:color="auto"/>
        <w:left w:val="none" w:sz="0" w:space="0" w:color="auto"/>
        <w:bottom w:val="none" w:sz="0" w:space="0" w:color="auto"/>
        <w:right w:val="none" w:sz="0" w:space="0" w:color="auto"/>
      </w:divBdr>
    </w:div>
    <w:div w:id="606933738">
      <w:bodyDiv w:val="1"/>
      <w:marLeft w:val="0"/>
      <w:marRight w:val="0"/>
      <w:marTop w:val="0"/>
      <w:marBottom w:val="0"/>
      <w:divBdr>
        <w:top w:val="none" w:sz="0" w:space="0" w:color="auto"/>
        <w:left w:val="none" w:sz="0" w:space="0" w:color="auto"/>
        <w:bottom w:val="none" w:sz="0" w:space="0" w:color="auto"/>
        <w:right w:val="none" w:sz="0" w:space="0" w:color="auto"/>
      </w:divBdr>
    </w:div>
    <w:div w:id="624849306">
      <w:bodyDiv w:val="1"/>
      <w:marLeft w:val="0"/>
      <w:marRight w:val="0"/>
      <w:marTop w:val="0"/>
      <w:marBottom w:val="0"/>
      <w:divBdr>
        <w:top w:val="none" w:sz="0" w:space="0" w:color="auto"/>
        <w:left w:val="none" w:sz="0" w:space="0" w:color="auto"/>
        <w:bottom w:val="none" w:sz="0" w:space="0" w:color="auto"/>
        <w:right w:val="none" w:sz="0" w:space="0" w:color="auto"/>
      </w:divBdr>
      <w:divsChild>
        <w:div w:id="829103067">
          <w:marLeft w:val="0"/>
          <w:marRight w:val="0"/>
          <w:marTop w:val="0"/>
          <w:marBottom w:val="0"/>
          <w:divBdr>
            <w:top w:val="none" w:sz="0" w:space="0" w:color="auto"/>
            <w:left w:val="none" w:sz="0" w:space="0" w:color="auto"/>
            <w:bottom w:val="none" w:sz="0" w:space="0" w:color="auto"/>
            <w:right w:val="none" w:sz="0" w:space="0" w:color="auto"/>
          </w:divBdr>
          <w:divsChild>
            <w:div w:id="680202279">
              <w:marLeft w:val="0"/>
              <w:marRight w:val="0"/>
              <w:marTop w:val="0"/>
              <w:marBottom w:val="0"/>
              <w:divBdr>
                <w:top w:val="none" w:sz="0" w:space="0" w:color="auto"/>
                <w:left w:val="none" w:sz="0" w:space="0" w:color="auto"/>
                <w:bottom w:val="none" w:sz="0" w:space="0" w:color="auto"/>
                <w:right w:val="none" w:sz="0" w:space="0" w:color="auto"/>
              </w:divBdr>
              <w:divsChild>
                <w:div w:id="840509681">
                  <w:marLeft w:val="0"/>
                  <w:marRight w:val="0"/>
                  <w:marTop w:val="0"/>
                  <w:marBottom w:val="0"/>
                  <w:divBdr>
                    <w:top w:val="none" w:sz="0" w:space="0" w:color="auto"/>
                    <w:left w:val="none" w:sz="0" w:space="0" w:color="auto"/>
                    <w:bottom w:val="none" w:sz="0" w:space="0" w:color="auto"/>
                    <w:right w:val="none" w:sz="0" w:space="0" w:color="auto"/>
                  </w:divBdr>
                  <w:divsChild>
                    <w:div w:id="1600261929">
                      <w:marLeft w:val="0"/>
                      <w:marRight w:val="0"/>
                      <w:marTop w:val="0"/>
                      <w:marBottom w:val="0"/>
                      <w:divBdr>
                        <w:top w:val="none" w:sz="0" w:space="0" w:color="auto"/>
                        <w:left w:val="none" w:sz="0" w:space="0" w:color="auto"/>
                        <w:bottom w:val="none" w:sz="0" w:space="0" w:color="auto"/>
                        <w:right w:val="none" w:sz="0" w:space="0" w:color="auto"/>
                      </w:divBdr>
                      <w:divsChild>
                        <w:div w:id="674260698">
                          <w:marLeft w:val="0"/>
                          <w:marRight w:val="0"/>
                          <w:marTop w:val="0"/>
                          <w:marBottom w:val="0"/>
                          <w:divBdr>
                            <w:top w:val="none" w:sz="0" w:space="0" w:color="auto"/>
                            <w:left w:val="none" w:sz="0" w:space="0" w:color="auto"/>
                            <w:bottom w:val="none" w:sz="0" w:space="0" w:color="auto"/>
                            <w:right w:val="none" w:sz="0" w:space="0" w:color="auto"/>
                          </w:divBdr>
                          <w:divsChild>
                            <w:div w:id="560405954">
                              <w:marLeft w:val="0"/>
                              <w:marRight w:val="0"/>
                              <w:marTop w:val="0"/>
                              <w:marBottom w:val="0"/>
                              <w:divBdr>
                                <w:top w:val="none" w:sz="0" w:space="0" w:color="auto"/>
                                <w:left w:val="none" w:sz="0" w:space="0" w:color="auto"/>
                                <w:bottom w:val="none" w:sz="0" w:space="0" w:color="auto"/>
                                <w:right w:val="none" w:sz="0" w:space="0" w:color="auto"/>
                              </w:divBdr>
                              <w:divsChild>
                                <w:div w:id="794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549072">
      <w:bodyDiv w:val="1"/>
      <w:marLeft w:val="0"/>
      <w:marRight w:val="0"/>
      <w:marTop w:val="0"/>
      <w:marBottom w:val="0"/>
      <w:divBdr>
        <w:top w:val="none" w:sz="0" w:space="0" w:color="auto"/>
        <w:left w:val="none" w:sz="0" w:space="0" w:color="auto"/>
        <w:bottom w:val="none" w:sz="0" w:space="0" w:color="auto"/>
        <w:right w:val="none" w:sz="0" w:space="0" w:color="auto"/>
      </w:divBdr>
    </w:div>
    <w:div w:id="846023805">
      <w:bodyDiv w:val="1"/>
      <w:marLeft w:val="0"/>
      <w:marRight w:val="0"/>
      <w:marTop w:val="0"/>
      <w:marBottom w:val="0"/>
      <w:divBdr>
        <w:top w:val="none" w:sz="0" w:space="0" w:color="auto"/>
        <w:left w:val="none" w:sz="0" w:space="0" w:color="auto"/>
        <w:bottom w:val="none" w:sz="0" w:space="0" w:color="auto"/>
        <w:right w:val="none" w:sz="0" w:space="0" w:color="auto"/>
      </w:divBdr>
    </w:div>
    <w:div w:id="1031491213">
      <w:bodyDiv w:val="1"/>
      <w:marLeft w:val="0"/>
      <w:marRight w:val="0"/>
      <w:marTop w:val="0"/>
      <w:marBottom w:val="0"/>
      <w:divBdr>
        <w:top w:val="none" w:sz="0" w:space="0" w:color="auto"/>
        <w:left w:val="none" w:sz="0" w:space="0" w:color="auto"/>
        <w:bottom w:val="none" w:sz="0" w:space="0" w:color="auto"/>
        <w:right w:val="none" w:sz="0" w:space="0" w:color="auto"/>
      </w:divBdr>
    </w:div>
    <w:div w:id="1046567154">
      <w:bodyDiv w:val="1"/>
      <w:marLeft w:val="0"/>
      <w:marRight w:val="0"/>
      <w:marTop w:val="0"/>
      <w:marBottom w:val="0"/>
      <w:divBdr>
        <w:top w:val="none" w:sz="0" w:space="0" w:color="auto"/>
        <w:left w:val="none" w:sz="0" w:space="0" w:color="auto"/>
        <w:bottom w:val="none" w:sz="0" w:space="0" w:color="auto"/>
        <w:right w:val="none" w:sz="0" w:space="0" w:color="auto"/>
      </w:divBdr>
    </w:div>
    <w:div w:id="1061758248">
      <w:bodyDiv w:val="1"/>
      <w:marLeft w:val="0"/>
      <w:marRight w:val="0"/>
      <w:marTop w:val="0"/>
      <w:marBottom w:val="0"/>
      <w:divBdr>
        <w:top w:val="none" w:sz="0" w:space="0" w:color="auto"/>
        <w:left w:val="none" w:sz="0" w:space="0" w:color="auto"/>
        <w:bottom w:val="none" w:sz="0" w:space="0" w:color="auto"/>
        <w:right w:val="none" w:sz="0" w:space="0" w:color="auto"/>
      </w:divBdr>
    </w:div>
    <w:div w:id="1071653659">
      <w:bodyDiv w:val="1"/>
      <w:marLeft w:val="0"/>
      <w:marRight w:val="0"/>
      <w:marTop w:val="0"/>
      <w:marBottom w:val="0"/>
      <w:divBdr>
        <w:top w:val="none" w:sz="0" w:space="0" w:color="auto"/>
        <w:left w:val="none" w:sz="0" w:space="0" w:color="auto"/>
        <w:bottom w:val="none" w:sz="0" w:space="0" w:color="auto"/>
        <w:right w:val="none" w:sz="0" w:space="0" w:color="auto"/>
      </w:divBdr>
    </w:div>
    <w:div w:id="1080179262">
      <w:bodyDiv w:val="1"/>
      <w:marLeft w:val="0"/>
      <w:marRight w:val="0"/>
      <w:marTop w:val="0"/>
      <w:marBottom w:val="0"/>
      <w:divBdr>
        <w:top w:val="none" w:sz="0" w:space="0" w:color="auto"/>
        <w:left w:val="none" w:sz="0" w:space="0" w:color="auto"/>
        <w:bottom w:val="none" w:sz="0" w:space="0" w:color="auto"/>
        <w:right w:val="none" w:sz="0" w:space="0" w:color="auto"/>
      </w:divBdr>
    </w:div>
    <w:div w:id="1108046073">
      <w:bodyDiv w:val="1"/>
      <w:marLeft w:val="0"/>
      <w:marRight w:val="0"/>
      <w:marTop w:val="0"/>
      <w:marBottom w:val="0"/>
      <w:divBdr>
        <w:top w:val="none" w:sz="0" w:space="0" w:color="auto"/>
        <w:left w:val="none" w:sz="0" w:space="0" w:color="auto"/>
        <w:bottom w:val="none" w:sz="0" w:space="0" w:color="auto"/>
        <w:right w:val="none" w:sz="0" w:space="0" w:color="auto"/>
      </w:divBdr>
    </w:div>
    <w:div w:id="1129666827">
      <w:bodyDiv w:val="1"/>
      <w:marLeft w:val="0"/>
      <w:marRight w:val="0"/>
      <w:marTop w:val="0"/>
      <w:marBottom w:val="0"/>
      <w:divBdr>
        <w:top w:val="none" w:sz="0" w:space="0" w:color="auto"/>
        <w:left w:val="none" w:sz="0" w:space="0" w:color="auto"/>
        <w:bottom w:val="none" w:sz="0" w:space="0" w:color="auto"/>
        <w:right w:val="none" w:sz="0" w:space="0" w:color="auto"/>
      </w:divBdr>
      <w:divsChild>
        <w:div w:id="1690377920">
          <w:marLeft w:val="0"/>
          <w:marRight w:val="0"/>
          <w:marTop w:val="0"/>
          <w:marBottom w:val="0"/>
          <w:divBdr>
            <w:top w:val="none" w:sz="0" w:space="0" w:color="auto"/>
            <w:left w:val="none" w:sz="0" w:space="0" w:color="auto"/>
            <w:bottom w:val="none" w:sz="0" w:space="0" w:color="auto"/>
            <w:right w:val="none" w:sz="0" w:space="0" w:color="auto"/>
          </w:divBdr>
          <w:divsChild>
            <w:div w:id="249824466">
              <w:marLeft w:val="0"/>
              <w:marRight w:val="0"/>
              <w:marTop w:val="0"/>
              <w:marBottom w:val="0"/>
              <w:divBdr>
                <w:top w:val="none" w:sz="0" w:space="0" w:color="auto"/>
                <w:left w:val="none" w:sz="0" w:space="0" w:color="auto"/>
                <w:bottom w:val="none" w:sz="0" w:space="0" w:color="auto"/>
                <w:right w:val="none" w:sz="0" w:space="0" w:color="auto"/>
              </w:divBdr>
              <w:divsChild>
                <w:div w:id="640622838">
                  <w:marLeft w:val="0"/>
                  <w:marRight w:val="0"/>
                  <w:marTop w:val="0"/>
                  <w:marBottom w:val="0"/>
                  <w:divBdr>
                    <w:top w:val="none" w:sz="0" w:space="0" w:color="auto"/>
                    <w:left w:val="none" w:sz="0" w:space="0" w:color="auto"/>
                    <w:bottom w:val="none" w:sz="0" w:space="0" w:color="auto"/>
                    <w:right w:val="none" w:sz="0" w:space="0" w:color="auto"/>
                  </w:divBdr>
                  <w:divsChild>
                    <w:div w:id="14580318">
                      <w:marLeft w:val="0"/>
                      <w:marRight w:val="0"/>
                      <w:marTop w:val="0"/>
                      <w:marBottom w:val="0"/>
                      <w:divBdr>
                        <w:top w:val="none" w:sz="0" w:space="0" w:color="auto"/>
                        <w:left w:val="none" w:sz="0" w:space="0" w:color="auto"/>
                        <w:bottom w:val="none" w:sz="0" w:space="0" w:color="auto"/>
                        <w:right w:val="none" w:sz="0" w:space="0" w:color="auto"/>
                      </w:divBdr>
                      <w:divsChild>
                        <w:div w:id="1517577173">
                          <w:marLeft w:val="0"/>
                          <w:marRight w:val="0"/>
                          <w:marTop w:val="0"/>
                          <w:marBottom w:val="0"/>
                          <w:divBdr>
                            <w:top w:val="none" w:sz="0" w:space="0" w:color="auto"/>
                            <w:left w:val="none" w:sz="0" w:space="0" w:color="auto"/>
                            <w:bottom w:val="none" w:sz="0" w:space="0" w:color="auto"/>
                            <w:right w:val="none" w:sz="0" w:space="0" w:color="auto"/>
                          </w:divBdr>
                          <w:divsChild>
                            <w:div w:id="161048919">
                              <w:marLeft w:val="0"/>
                              <w:marRight w:val="0"/>
                              <w:marTop w:val="0"/>
                              <w:marBottom w:val="0"/>
                              <w:divBdr>
                                <w:top w:val="none" w:sz="0" w:space="0" w:color="auto"/>
                                <w:left w:val="none" w:sz="0" w:space="0" w:color="auto"/>
                                <w:bottom w:val="none" w:sz="0" w:space="0" w:color="auto"/>
                                <w:right w:val="none" w:sz="0" w:space="0" w:color="auto"/>
                              </w:divBdr>
                              <w:divsChild>
                                <w:div w:id="31479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210045">
      <w:bodyDiv w:val="1"/>
      <w:marLeft w:val="0"/>
      <w:marRight w:val="0"/>
      <w:marTop w:val="0"/>
      <w:marBottom w:val="0"/>
      <w:divBdr>
        <w:top w:val="none" w:sz="0" w:space="0" w:color="auto"/>
        <w:left w:val="none" w:sz="0" w:space="0" w:color="auto"/>
        <w:bottom w:val="none" w:sz="0" w:space="0" w:color="auto"/>
        <w:right w:val="none" w:sz="0" w:space="0" w:color="auto"/>
      </w:divBdr>
      <w:divsChild>
        <w:div w:id="1414089999">
          <w:marLeft w:val="0"/>
          <w:marRight w:val="0"/>
          <w:marTop w:val="0"/>
          <w:marBottom w:val="0"/>
          <w:divBdr>
            <w:top w:val="none" w:sz="0" w:space="0" w:color="auto"/>
            <w:left w:val="none" w:sz="0" w:space="0" w:color="auto"/>
            <w:bottom w:val="none" w:sz="0" w:space="0" w:color="auto"/>
            <w:right w:val="none" w:sz="0" w:space="0" w:color="auto"/>
          </w:divBdr>
          <w:divsChild>
            <w:div w:id="1320843078">
              <w:marLeft w:val="0"/>
              <w:marRight w:val="0"/>
              <w:marTop w:val="0"/>
              <w:marBottom w:val="0"/>
              <w:divBdr>
                <w:top w:val="none" w:sz="0" w:space="0" w:color="auto"/>
                <w:left w:val="none" w:sz="0" w:space="0" w:color="auto"/>
                <w:bottom w:val="none" w:sz="0" w:space="0" w:color="auto"/>
                <w:right w:val="none" w:sz="0" w:space="0" w:color="auto"/>
              </w:divBdr>
              <w:divsChild>
                <w:div w:id="234433875">
                  <w:marLeft w:val="0"/>
                  <w:marRight w:val="0"/>
                  <w:marTop w:val="0"/>
                  <w:marBottom w:val="0"/>
                  <w:divBdr>
                    <w:top w:val="none" w:sz="0" w:space="0" w:color="auto"/>
                    <w:left w:val="none" w:sz="0" w:space="0" w:color="auto"/>
                    <w:bottom w:val="none" w:sz="0" w:space="0" w:color="auto"/>
                    <w:right w:val="none" w:sz="0" w:space="0" w:color="auto"/>
                  </w:divBdr>
                  <w:divsChild>
                    <w:div w:id="1742681582">
                      <w:marLeft w:val="0"/>
                      <w:marRight w:val="0"/>
                      <w:marTop w:val="0"/>
                      <w:marBottom w:val="0"/>
                      <w:divBdr>
                        <w:top w:val="none" w:sz="0" w:space="0" w:color="auto"/>
                        <w:left w:val="none" w:sz="0" w:space="0" w:color="auto"/>
                        <w:bottom w:val="none" w:sz="0" w:space="0" w:color="auto"/>
                        <w:right w:val="none" w:sz="0" w:space="0" w:color="auto"/>
                      </w:divBdr>
                      <w:divsChild>
                        <w:div w:id="735472160">
                          <w:marLeft w:val="0"/>
                          <w:marRight w:val="0"/>
                          <w:marTop w:val="0"/>
                          <w:marBottom w:val="0"/>
                          <w:divBdr>
                            <w:top w:val="none" w:sz="0" w:space="0" w:color="auto"/>
                            <w:left w:val="none" w:sz="0" w:space="0" w:color="auto"/>
                            <w:bottom w:val="none" w:sz="0" w:space="0" w:color="auto"/>
                            <w:right w:val="none" w:sz="0" w:space="0" w:color="auto"/>
                          </w:divBdr>
                          <w:divsChild>
                            <w:div w:id="1835758554">
                              <w:marLeft w:val="0"/>
                              <w:marRight w:val="0"/>
                              <w:marTop w:val="0"/>
                              <w:marBottom w:val="0"/>
                              <w:divBdr>
                                <w:top w:val="none" w:sz="0" w:space="0" w:color="auto"/>
                                <w:left w:val="none" w:sz="0" w:space="0" w:color="auto"/>
                                <w:bottom w:val="none" w:sz="0" w:space="0" w:color="auto"/>
                                <w:right w:val="none" w:sz="0" w:space="0" w:color="auto"/>
                              </w:divBdr>
                              <w:divsChild>
                                <w:div w:id="172386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721322">
      <w:bodyDiv w:val="1"/>
      <w:marLeft w:val="0"/>
      <w:marRight w:val="0"/>
      <w:marTop w:val="0"/>
      <w:marBottom w:val="0"/>
      <w:divBdr>
        <w:top w:val="none" w:sz="0" w:space="0" w:color="auto"/>
        <w:left w:val="none" w:sz="0" w:space="0" w:color="auto"/>
        <w:bottom w:val="none" w:sz="0" w:space="0" w:color="auto"/>
        <w:right w:val="none" w:sz="0" w:space="0" w:color="auto"/>
      </w:divBdr>
    </w:div>
    <w:div w:id="1220899557">
      <w:bodyDiv w:val="1"/>
      <w:marLeft w:val="0"/>
      <w:marRight w:val="0"/>
      <w:marTop w:val="0"/>
      <w:marBottom w:val="0"/>
      <w:divBdr>
        <w:top w:val="none" w:sz="0" w:space="0" w:color="auto"/>
        <w:left w:val="none" w:sz="0" w:space="0" w:color="auto"/>
        <w:bottom w:val="none" w:sz="0" w:space="0" w:color="auto"/>
        <w:right w:val="none" w:sz="0" w:space="0" w:color="auto"/>
      </w:divBdr>
      <w:divsChild>
        <w:div w:id="722947446">
          <w:marLeft w:val="0"/>
          <w:marRight w:val="0"/>
          <w:marTop w:val="0"/>
          <w:marBottom w:val="0"/>
          <w:divBdr>
            <w:top w:val="none" w:sz="0" w:space="0" w:color="auto"/>
            <w:left w:val="none" w:sz="0" w:space="0" w:color="auto"/>
            <w:bottom w:val="none" w:sz="0" w:space="0" w:color="auto"/>
            <w:right w:val="none" w:sz="0" w:space="0" w:color="auto"/>
          </w:divBdr>
          <w:divsChild>
            <w:div w:id="369189229">
              <w:marLeft w:val="0"/>
              <w:marRight w:val="0"/>
              <w:marTop w:val="0"/>
              <w:marBottom w:val="0"/>
              <w:divBdr>
                <w:top w:val="none" w:sz="0" w:space="0" w:color="auto"/>
                <w:left w:val="none" w:sz="0" w:space="0" w:color="auto"/>
                <w:bottom w:val="none" w:sz="0" w:space="0" w:color="auto"/>
                <w:right w:val="none" w:sz="0" w:space="0" w:color="auto"/>
              </w:divBdr>
              <w:divsChild>
                <w:div w:id="263079815">
                  <w:marLeft w:val="0"/>
                  <w:marRight w:val="0"/>
                  <w:marTop w:val="0"/>
                  <w:marBottom w:val="0"/>
                  <w:divBdr>
                    <w:top w:val="none" w:sz="0" w:space="0" w:color="auto"/>
                    <w:left w:val="none" w:sz="0" w:space="0" w:color="auto"/>
                    <w:bottom w:val="none" w:sz="0" w:space="0" w:color="auto"/>
                    <w:right w:val="none" w:sz="0" w:space="0" w:color="auto"/>
                  </w:divBdr>
                  <w:divsChild>
                    <w:div w:id="504512754">
                      <w:marLeft w:val="0"/>
                      <w:marRight w:val="0"/>
                      <w:marTop w:val="0"/>
                      <w:marBottom w:val="0"/>
                      <w:divBdr>
                        <w:top w:val="none" w:sz="0" w:space="0" w:color="auto"/>
                        <w:left w:val="none" w:sz="0" w:space="0" w:color="auto"/>
                        <w:bottom w:val="none" w:sz="0" w:space="0" w:color="auto"/>
                        <w:right w:val="none" w:sz="0" w:space="0" w:color="auto"/>
                      </w:divBdr>
                      <w:divsChild>
                        <w:div w:id="1137335887">
                          <w:marLeft w:val="0"/>
                          <w:marRight w:val="0"/>
                          <w:marTop w:val="0"/>
                          <w:marBottom w:val="0"/>
                          <w:divBdr>
                            <w:top w:val="none" w:sz="0" w:space="0" w:color="auto"/>
                            <w:left w:val="none" w:sz="0" w:space="0" w:color="auto"/>
                            <w:bottom w:val="none" w:sz="0" w:space="0" w:color="auto"/>
                            <w:right w:val="none" w:sz="0" w:space="0" w:color="auto"/>
                          </w:divBdr>
                          <w:divsChild>
                            <w:div w:id="767821523">
                              <w:marLeft w:val="0"/>
                              <w:marRight w:val="0"/>
                              <w:marTop w:val="0"/>
                              <w:marBottom w:val="0"/>
                              <w:divBdr>
                                <w:top w:val="none" w:sz="0" w:space="0" w:color="auto"/>
                                <w:left w:val="none" w:sz="0" w:space="0" w:color="auto"/>
                                <w:bottom w:val="none" w:sz="0" w:space="0" w:color="auto"/>
                                <w:right w:val="none" w:sz="0" w:space="0" w:color="auto"/>
                              </w:divBdr>
                              <w:divsChild>
                                <w:div w:id="13539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69356">
      <w:bodyDiv w:val="1"/>
      <w:marLeft w:val="0"/>
      <w:marRight w:val="0"/>
      <w:marTop w:val="0"/>
      <w:marBottom w:val="0"/>
      <w:divBdr>
        <w:top w:val="none" w:sz="0" w:space="0" w:color="auto"/>
        <w:left w:val="none" w:sz="0" w:space="0" w:color="auto"/>
        <w:bottom w:val="none" w:sz="0" w:space="0" w:color="auto"/>
        <w:right w:val="none" w:sz="0" w:space="0" w:color="auto"/>
      </w:divBdr>
    </w:div>
    <w:div w:id="1282423195">
      <w:bodyDiv w:val="1"/>
      <w:marLeft w:val="0"/>
      <w:marRight w:val="0"/>
      <w:marTop w:val="0"/>
      <w:marBottom w:val="0"/>
      <w:divBdr>
        <w:top w:val="none" w:sz="0" w:space="0" w:color="auto"/>
        <w:left w:val="none" w:sz="0" w:space="0" w:color="auto"/>
        <w:bottom w:val="none" w:sz="0" w:space="0" w:color="auto"/>
        <w:right w:val="none" w:sz="0" w:space="0" w:color="auto"/>
      </w:divBdr>
    </w:div>
    <w:div w:id="1426416900">
      <w:bodyDiv w:val="1"/>
      <w:marLeft w:val="0"/>
      <w:marRight w:val="0"/>
      <w:marTop w:val="0"/>
      <w:marBottom w:val="0"/>
      <w:divBdr>
        <w:top w:val="none" w:sz="0" w:space="0" w:color="auto"/>
        <w:left w:val="none" w:sz="0" w:space="0" w:color="auto"/>
        <w:bottom w:val="none" w:sz="0" w:space="0" w:color="auto"/>
        <w:right w:val="none" w:sz="0" w:space="0" w:color="auto"/>
      </w:divBdr>
    </w:div>
    <w:div w:id="1567885245">
      <w:bodyDiv w:val="1"/>
      <w:marLeft w:val="0"/>
      <w:marRight w:val="0"/>
      <w:marTop w:val="0"/>
      <w:marBottom w:val="0"/>
      <w:divBdr>
        <w:top w:val="none" w:sz="0" w:space="0" w:color="auto"/>
        <w:left w:val="none" w:sz="0" w:space="0" w:color="auto"/>
        <w:bottom w:val="none" w:sz="0" w:space="0" w:color="auto"/>
        <w:right w:val="none" w:sz="0" w:space="0" w:color="auto"/>
      </w:divBdr>
      <w:divsChild>
        <w:div w:id="714700767">
          <w:marLeft w:val="0"/>
          <w:marRight w:val="0"/>
          <w:marTop w:val="0"/>
          <w:marBottom w:val="0"/>
          <w:divBdr>
            <w:top w:val="none" w:sz="0" w:space="0" w:color="auto"/>
            <w:left w:val="none" w:sz="0" w:space="0" w:color="auto"/>
            <w:bottom w:val="none" w:sz="0" w:space="0" w:color="auto"/>
            <w:right w:val="none" w:sz="0" w:space="0" w:color="auto"/>
          </w:divBdr>
          <w:divsChild>
            <w:div w:id="1441145252">
              <w:marLeft w:val="0"/>
              <w:marRight w:val="0"/>
              <w:marTop w:val="0"/>
              <w:marBottom w:val="0"/>
              <w:divBdr>
                <w:top w:val="none" w:sz="0" w:space="0" w:color="auto"/>
                <w:left w:val="none" w:sz="0" w:space="0" w:color="auto"/>
                <w:bottom w:val="none" w:sz="0" w:space="0" w:color="auto"/>
                <w:right w:val="none" w:sz="0" w:space="0" w:color="auto"/>
              </w:divBdr>
              <w:divsChild>
                <w:div w:id="1618298143">
                  <w:marLeft w:val="0"/>
                  <w:marRight w:val="0"/>
                  <w:marTop w:val="0"/>
                  <w:marBottom w:val="0"/>
                  <w:divBdr>
                    <w:top w:val="none" w:sz="0" w:space="0" w:color="auto"/>
                    <w:left w:val="none" w:sz="0" w:space="0" w:color="auto"/>
                    <w:bottom w:val="none" w:sz="0" w:space="0" w:color="auto"/>
                    <w:right w:val="none" w:sz="0" w:space="0" w:color="auto"/>
                  </w:divBdr>
                  <w:divsChild>
                    <w:div w:id="19734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108326">
      <w:bodyDiv w:val="1"/>
      <w:marLeft w:val="0"/>
      <w:marRight w:val="0"/>
      <w:marTop w:val="0"/>
      <w:marBottom w:val="0"/>
      <w:divBdr>
        <w:top w:val="none" w:sz="0" w:space="0" w:color="auto"/>
        <w:left w:val="none" w:sz="0" w:space="0" w:color="auto"/>
        <w:bottom w:val="none" w:sz="0" w:space="0" w:color="auto"/>
        <w:right w:val="none" w:sz="0" w:space="0" w:color="auto"/>
      </w:divBdr>
      <w:divsChild>
        <w:div w:id="1302736306">
          <w:marLeft w:val="0"/>
          <w:marRight w:val="0"/>
          <w:marTop w:val="0"/>
          <w:marBottom w:val="0"/>
          <w:divBdr>
            <w:top w:val="none" w:sz="0" w:space="0" w:color="auto"/>
            <w:left w:val="none" w:sz="0" w:space="0" w:color="auto"/>
            <w:bottom w:val="none" w:sz="0" w:space="0" w:color="auto"/>
            <w:right w:val="none" w:sz="0" w:space="0" w:color="auto"/>
          </w:divBdr>
          <w:divsChild>
            <w:div w:id="2000494499">
              <w:marLeft w:val="0"/>
              <w:marRight w:val="0"/>
              <w:marTop w:val="0"/>
              <w:marBottom w:val="0"/>
              <w:divBdr>
                <w:top w:val="none" w:sz="0" w:space="0" w:color="auto"/>
                <w:left w:val="none" w:sz="0" w:space="0" w:color="auto"/>
                <w:bottom w:val="none" w:sz="0" w:space="0" w:color="auto"/>
                <w:right w:val="none" w:sz="0" w:space="0" w:color="auto"/>
              </w:divBdr>
              <w:divsChild>
                <w:div w:id="102575884">
                  <w:marLeft w:val="0"/>
                  <w:marRight w:val="0"/>
                  <w:marTop w:val="0"/>
                  <w:marBottom w:val="0"/>
                  <w:divBdr>
                    <w:top w:val="none" w:sz="0" w:space="0" w:color="auto"/>
                    <w:left w:val="none" w:sz="0" w:space="0" w:color="auto"/>
                    <w:bottom w:val="none" w:sz="0" w:space="0" w:color="auto"/>
                    <w:right w:val="none" w:sz="0" w:space="0" w:color="auto"/>
                  </w:divBdr>
                  <w:divsChild>
                    <w:div w:id="1102919384">
                      <w:marLeft w:val="0"/>
                      <w:marRight w:val="0"/>
                      <w:marTop w:val="0"/>
                      <w:marBottom w:val="0"/>
                      <w:divBdr>
                        <w:top w:val="none" w:sz="0" w:space="0" w:color="auto"/>
                        <w:left w:val="none" w:sz="0" w:space="0" w:color="auto"/>
                        <w:bottom w:val="none" w:sz="0" w:space="0" w:color="auto"/>
                        <w:right w:val="none" w:sz="0" w:space="0" w:color="auto"/>
                      </w:divBdr>
                      <w:divsChild>
                        <w:div w:id="1728262759">
                          <w:marLeft w:val="0"/>
                          <w:marRight w:val="0"/>
                          <w:marTop w:val="0"/>
                          <w:marBottom w:val="0"/>
                          <w:divBdr>
                            <w:top w:val="none" w:sz="0" w:space="0" w:color="auto"/>
                            <w:left w:val="none" w:sz="0" w:space="0" w:color="auto"/>
                            <w:bottom w:val="none" w:sz="0" w:space="0" w:color="auto"/>
                            <w:right w:val="none" w:sz="0" w:space="0" w:color="auto"/>
                          </w:divBdr>
                          <w:divsChild>
                            <w:div w:id="142333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336674">
          <w:marLeft w:val="0"/>
          <w:marRight w:val="0"/>
          <w:marTop w:val="0"/>
          <w:marBottom w:val="0"/>
          <w:divBdr>
            <w:top w:val="none" w:sz="0" w:space="0" w:color="auto"/>
            <w:left w:val="none" w:sz="0" w:space="0" w:color="auto"/>
            <w:bottom w:val="none" w:sz="0" w:space="0" w:color="auto"/>
            <w:right w:val="none" w:sz="0" w:space="0" w:color="auto"/>
          </w:divBdr>
          <w:divsChild>
            <w:div w:id="1806199798">
              <w:marLeft w:val="0"/>
              <w:marRight w:val="0"/>
              <w:marTop w:val="0"/>
              <w:marBottom w:val="0"/>
              <w:divBdr>
                <w:top w:val="none" w:sz="0" w:space="0" w:color="auto"/>
                <w:left w:val="none" w:sz="0" w:space="0" w:color="auto"/>
                <w:bottom w:val="none" w:sz="0" w:space="0" w:color="auto"/>
                <w:right w:val="none" w:sz="0" w:space="0" w:color="auto"/>
              </w:divBdr>
              <w:divsChild>
                <w:div w:id="368260930">
                  <w:marLeft w:val="0"/>
                  <w:marRight w:val="0"/>
                  <w:marTop w:val="0"/>
                  <w:marBottom w:val="0"/>
                  <w:divBdr>
                    <w:top w:val="none" w:sz="0" w:space="0" w:color="auto"/>
                    <w:left w:val="none" w:sz="0" w:space="0" w:color="auto"/>
                    <w:bottom w:val="none" w:sz="0" w:space="0" w:color="auto"/>
                    <w:right w:val="none" w:sz="0" w:space="0" w:color="auto"/>
                  </w:divBdr>
                  <w:divsChild>
                    <w:div w:id="955018178">
                      <w:marLeft w:val="0"/>
                      <w:marRight w:val="0"/>
                      <w:marTop w:val="0"/>
                      <w:marBottom w:val="0"/>
                      <w:divBdr>
                        <w:top w:val="none" w:sz="0" w:space="0" w:color="auto"/>
                        <w:left w:val="none" w:sz="0" w:space="0" w:color="auto"/>
                        <w:bottom w:val="none" w:sz="0" w:space="0" w:color="auto"/>
                        <w:right w:val="none" w:sz="0" w:space="0" w:color="auto"/>
                      </w:divBdr>
                      <w:divsChild>
                        <w:div w:id="225723585">
                          <w:marLeft w:val="0"/>
                          <w:marRight w:val="0"/>
                          <w:marTop w:val="0"/>
                          <w:marBottom w:val="0"/>
                          <w:divBdr>
                            <w:top w:val="none" w:sz="0" w:space="0" w:color="auto"/>
                            <w:left w:val="none" w:sz="0" w:space="0" w:color="auto"/>
                            <w:bottom w:val="none" w:sz="0" w:space="0" w:color="auto"/>
                            <w:right w:val="none" w:sz="0" w:space="0" w:color="auto"/>
                          </w:divBdr>
                          <w:divsChild>
                            <w:div w:id="1039352653">
                              <w:marLeft w:val="0"/>
                              <w:marRight w:val="0"/>
                              <w:marTop w:val="0"/>
                              <w:marBottom w:val="0"/>
                              <w:divBdr>
                                <w:top w:val="none" w:sz="0" w:space="0" w:color="auto"/>
                                <w:left w:val="none" w:sz="0" w:space="0" w:color="auto"/>
                                <w:bottom w:val="none" w:sz="0" w:space="0" w:color="auto"/>
                                <w:right w:val="none" w:sz="0" w:space="0" w:color="auto"/>
                              </w:divBdr>
                              <w:divsChild>
                                <w:div w:id="1794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700221">
          <w:marLeft w:val="0"/>
          <w:marRight w:val="0"/>
          <w:marTop w:val="0"/>
          <w:marBottom w:val="0"/>
          <w:divBdr>
            <w:top w:val="none" w:sz="0" w:space="0" w:color="auto"/>
            <w:left w:val="none" w:sz="0" w:space="0" w:color="auto"/>
            <w:bottom w:val="none" w:sz="0" w:space="0" w:color="auto"/>
            <w:right w:val="none" w:sz="0" w:space="0" w:color="auto"/>
          </w:divBdr>
          <w:divsChild>
            <w:div w:id="245501118">
              <w:marLeft w:val="0"/>
              <w:marRight w:val="0"/>
              <w:marTop w:val="0"/>
              <w:marBottom w:val="0"/>
              <w:divBdr>
                <w:top w:val="none" w:sz="0" w:space="0" w:color="auto"/>
                <w:left w:val="none" w:sz="0" w:space="0" w:color="auto"/>
                <w:bottom w:val="none" w:sz="0" w:space="0" w:color="auto"/>
                <w:right w:val="none" w:sz="0" w:space="0" w:color="auto"/>
              </w:divBdr>
              <w:divsChild>
                <w:div w:id="273171501">
                  <w:marLeft w:val="0"/>
                  <w:marRight w:val="0"/>
                  <w:marTop w:val="0"/>
                  <w:marBottom w:val="0"/>
                  <w:divBdr>
                    <w:top w:val="none" w:sz="0" w:space="0" w:color="auto"/>
                    <w:left w:val="none" w:sz="0" w:space="0" w:color="auto"/>
                    <w:bottom w:val="none" w:sz="0" w:space="0" w:color="auto"/>
                    <w:right w:val="none" w:sz="0" w:space="0" w:color="auto"/>
                  </w:divBdr>
                  <w:divsChild>
                    <w:div w:id="586887415">
                      <w:marLeft w:val="0"/>
                      <w:marRight w:val="0"/>
                      <w:marTop w:val="0"/>
                      <w:marBottom w:val="0"/>
                      <w:divBdr>
                        <w:top w:val="none" w:sz="0" w:space="0" w:color="auto"/>
                        <w:left w:val="none" w:sz="0" w:space="0" w:color="auto"/>
                        <w:bottom w:val="none" w:sz="0" w:space="0" w:color="auto"/>
                        <w:right w:val="none" w:sz="0" w:space="0" w:color="auto"/>
                      </w:divBdr>
                      <w:divsChild>
                        <w:div w:id="909198472">
                          <w:marLeft w:val="0"/>
                          <w:marRight w:val="0"/>
                          <w:marTop w:val="0"/>
                          <w:marBottom w:val="0"/>
                          <w:divBdr>
                            <w:top w:val="none" w:sz="0" w:space="0" w:color="auto"/>
                            <w:left w:val="none" w:sz="0" w:space="0" w:color="auto"/>
                            <w:bottom w:val="none" w:sz="0" w:space="0" w:color="auto"/>
                            <w:right w:val="none" w:sz="0" w:space="0" w:color="auto"/>
                          </w:divBdr>
                          <w:divsChild>
                            <w:div w:id="15160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888386">
          <w:marLeft w:val="0"/>
          <w:marRight w:val="0"/>
          <w:marTop w:val="0"/>
          <w:marBottom w:val="0"/>
          <w:divBdr>
            <w:top w:val="none" w:sz="0" w:space="0" w:color="auto"/>
            <w:left w:val="none" w:sz="0" w:space="0" w:color="auto"/>
            <w:bottom w:val="none" w:sz="0" w:space="0" w:color="auto"/>
            <w:right w:val="none" w:sz="0" w:space="0" w:color="auto"/>
          </w:divBdr>
          <w:divsChild>
            <w:div w:id="1549997188">
              <w:marLeft w:val="0"/>
              <w:marRight w:val="0"/>
              <w:marTop w:val="0"/>
              <w:marBottom w:val="0"/>
              <w:divBdr>
                <w:top w:val="none" w:sz="0" w:space="0" w:color="auto"/>
                <w:left w:val="none" w:sz="0" w:space="0" w:color="auto"/>
                <w:bottom w:val="none" w:sz="0" w:space="0" w:color="auto"/>
                <w:right w:val="none" w:sz="0" w:space="0" w:color="auto"/>
              </w:divBdr>
              <w:divsChild>
                <w:div w:id="1808236418">
                  <w:marLeft w:val="0"/>
                  <w:marRight w:val="0"/>
                  <w:marTop w:val="0"/>
                  <w:marBottom w:val="0"/>
                  <w:divBdr>
                    <w:top w:val="none" w:sz="0" w:space="0" w:color="auto"/>
                    <w:left w:val="none" w:sz="0" w:space="0" w:color="auto"/>
                    <w:bottom w:val="none" w:sz="0" w:space="0" w:color="auto"/>
                    <w:right w:val="none" w:sz="0" w:space="0" w:color="auto"/>
                  </w:divBdr>
                  <w:divsChild>
                    <w:div w:id="1703823164">
                      <w:marLeft w:val="0"/>
                      <w:marRight w:val="0"/>
                      <w:marTop w:val="0"/>
                      <w:marBottom w:val="0"/>
                      <w:divBdr>
                        <w:top w:val="none" w:sz="0" w:space="0" w:color="auto"/>
                        <w:left w:val="none" w:sz="0" w:space="0" w:color="auto"/>
                        <w:bottom w:val="none" w:sz="0" w:space="0" w:color="auto"/>
                        <w:right w:val="none" w:sz="0" w:space="0" w:color="auto"/>
                      </w:divBdr>
                      <w:divsChild>
                        <w:div w:id="1646356330">
                          <w:marLeft w:val="0"/>
                          <w:marRight w:val="0"/>
                          <w:marTop w:val="0"/>
                          <w:marBottom w:val="0"/>
                          <w:divBdr>
                            <w:top w:val="none" w:sz="0" w:space="0" w:color="auto"/>
                            <w:left w:val="none" w:sz="0" w:space="0" w:color="auto"/>
                            <w:bottom w:val="none" w:sz="0" w:space="0" w:color="auto"/>
                            <w:right w:val="none" w:sz="0" w:space="0" w:color="auto"/>
                          </w:divBdr>
                          <w:divsChild>
                            <w:div w:id="1012561507">
                              <w:marLeft w:val="0"/>
                              <w:marRight w:val="0"/>
                              <w:marTop w:val="0"/>
                              <w:marBottom w:val="0"/>
                              <w:divBdr>
                                <w:top w:val="none" w:sz="0" w:space="0" w:color="auto"/>
                                <w:left w:val="none" w:sz="0" w:space="0" w:color="auto"/>
                                <w:bottom w:val="none" w:sz="0" w:space="0" w:color="auto"/>
                                <w:right w:val="none" w:sz="0" w:space="0" w:color="auto"/>
                              </w:divBdr>
                              <w:divsChild>
                                <w:div w:id="26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416367">
          <w:marLeft w:val="0"/>
          <w:marRight w:val="0"/>
          <w:marTop w:val="0"/>
          <w:marBottom w:val="0"/>
          <w:divBdr>
            <w:top w:val="none" w:sz="0" w:space="0" w:color="auto"/>
            <w:left w:val="none" w:sz="0" w:space="0" w:color="auto"/>
            <w:bottom w:val="none" w:sz="0" w:space="0" w:color="auto"/>
            <w:right w:val="none" w:sz="0" w:space="0" w:color="auto"/>
          </w:divBdr>
          <w:divsChild>
            <w:div w:id="15742926">
              <w:marLeft w:val="0"/>
              <w:marRight w:val="0"/>
              <w:marTop w:val="0"/>
              <w:marBottom w:val="0"/>
              <w:divBdr>
                <w:top w:val="none" w:sz="0" w:space="0" w:color="auto"/>
                <w:left w:val="none" w:sz="0" w:space="0" w:color="auto"/>
                <w:bottom w:val="none" w:sz="0" w:space="0" w:color="auto"/>
                <w:right w:val="none" w:sz="0" w:space="0" w:color="auto"/>
              </w:divBdr>
              <w:divsChild>
                <w:div w:id="1211768837">
                  <w:marLeft w:val="0"/>
                  <w:marRight w:val="0"/>
                  <w:marTop w:val="0"/>
                  <w:marBottom w:val="0"/>
                  <w:divBdr>
                    <w:top w:val="none" w:sz="0" w:space="0" w:color="auto"/>
                    <w:left w:val="none" w:sz="0" w:space="0" w:color="auto"/>
                    <w:bottom w:val="none" w:sz="0" w:space="0" w:color="auto"/>
                    <w:right w:val="none" w:sz="0" w:space="0" w:color="auto"/>
                  </w:divBdr>
                  <w:divsChild>
                    <w:div w:id="2143882132">
                      <w:marLeft w:val="0"/>
                      <w:marRight w:val="0"/>
                      <w:marTop w:val="0"/>
                      <w:marBottom w:val="0"/>
                      <w:divBdr>
                        <w:top w:val="none" w:sz="0" w:space="0" w:color="auto"/>
                        <w:left w:val="none" w:sz="0" w:space="0" w:color="auto"/>
                        <w:bottom w:val="none" w:sz="0" w:space="0" w:color="auto"/>
                        <w:right w:val="none" w:sz="0" w:space="0" w:color="auto"/>
                      </w:divBdr>
                      <w:divsChild>
                        <w:div w:id="937835574">
                          <w:marLeft w:val="0"/>
                          <w:marRight w:val="0"/>
                          <w:marTop w:val="0"/>
                          <w:marBottom w:val="0"/>
                          <w:divBdr>
                            <w:top w:val="none" w:sz="0" w:space="0" w:color="auto"/>
                            <w:left w:val="none" w:sz="0" w:space="0" w:color="auto"/>
                            <w:bottom w:val="none" w:sz="0" w:space="0" w:color="auto"/>
                            <w:right w:val="none" w:sz="0" w:space="0" w:color="auto"/>
                          </w:divBdr>
                          <w:divsChild>
                            <w:div w:id="1235975138">
                              <w:marLeft w:val="0"/>
                              <w:marRight w:val="0"/>
                              <w:marTop w:val="0"/>
                              <w:marBottom w:val="0"/>
                              <w:divBdr>
                                <w:top w:val="none" w:sz="0" w:space="0" w:color="auto"/>
                                <w:left w:val="none" w:sz="0" w:space="0" w:color="auto"/>
                                <w:bottom w:val="none" w:sz="0" w:space="0" w:color="auto"/>
                                <w:right w:val="none" w:sz="0" w:space="0" w:color="auto"/>
                              </w:divBdr>
                              <w:divsChild>
                                <w:div w:id="70854927">
                                  <w:marLeft w:val="0"/>
                                  <w:marRight w:val="0"/>
                                  <w:marTop w:val="0"/>
                                  <w:marBottom w:val="0"/>
                                  <w:divBdr>
                                    <w:top w:val="none" w:sz="0" w:space="0" w:color="auto"/>
                                    <w:left w:val="none" w:sz="0" w:space="0" w:color="auto"/>
                                    <w:bottom w:val="none" w:sz="0" w:space="0" w:color="auto"/>
                                    <w:right w:val="none" w:sz="0" w:space="0" w:color="auto"/>
                                  </w:divBdr>
                                  <w:divsChild>
                                    <w:div w:id="20889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358930">
      <w:bodyDiv w:val="1"/>
      <w:marLeft w:val="0"/>
      <w:marRight w:val="0"/>
      <w:marTop w:val="0"/>
      <w:marBottom w:val="0"/>
      <w:divBdr>
        <w:top w:val="none" w:sz="0" w:space="0" w:color="auto"/>
        <w:left w:val="none" w:sz="0" w:space="0" w:color="auto"/>
        <w:bottom w:val="none" w:sz="0" w:space="0" w:color="auto"/>
        <w:right w:val="none" w:sz="0" w:space="0" w:color="auto"/>
      </w:divBdr>
    </w:div>
    <w:div w:id="1728920436">
      <w:bodyDiv w:val="1"/>
      <w:marLeft w:val="0"/>
      <w:marRight w:val="0"/>
      <w:marTop w:val="0"/>
      <w:marBottom w:val="0"/>
      <w:divBdr>
        <w:top w:val="none" w:sz="0" w:space="0" w:color="auto"/>
        <w:left w:val="none" w:sz="0" w:space="0" w:color="auto"/>
        <w:bottom w:val="none" w:sz="0" w:space="0" w:color="auto"/>
        <w:right w:val="none" w:sz="0" w:space="0" w:color="auto"/>
      </w:divBdr>
    </w:div>
    <w:div w:id="1799184579">
      <w:bodyDiv w:val="1"/>
      <w:marLeft w:val="0"/>
      <w:marRight w:val="0"/>
      <w:marTop w:val="0"/>
      <w:marBottom w:val="0"/>
      <w:divBdr>
        <w:top w:val="none" w:sz="0" w:space="0" w:color="auto"/>
        <w:left w:val="none" w:sz="0" w:space="0" w:color="auto"/>
        <w:bottom w:val="none" w:sz="0" w:space="0" w:color="auto"/>
        <w:right w:val="none" w:sz="0" w:space="0" w:color="auto"/>
      </w:divBdr>
    </w:div>
    <w:div w:id="1805658735">
      <w:bodyDiv w:val="1"/>
      <w:marLeft w:val="0"/>
      <w:marRight w:val="0"/>
      <w:marTop w:val="0"/>
      <w:marBottom w:val="0"/>
      <w:divBdr>
        <w:top w:val="none" w:sz="0" w:space="0" w:color="auto"/>
        <w:left w:val="none" w:sz="0" w:space="0" w:color="auto"/>
        <w:bottom w:val="none" w:sz="0" w:space="0" w:color="auto"/>
        <w:right w:val="none" w:sz="0" w:space="0" w:color="auto"/>
      </w:divBdr>
    </w:div>
    <w:div w:id="1980575367">
      <w:bodyDiv w:val="1"/>
      <w:marLeft w:val="0"/>
      <w:marRight w:val="0"/>
      <w:marTop w:val="0"/>
      <w:marBottom w:val="0"/>
      <w:divBdr>
        <w:top w:val="none" w:sz="0" w:space="0" w:color="auto"/>
        <w:left w:val="none" w:sz="0" w:space="0" w:color="auto"/>
        <w:bottom w:val="none" w:sz="0" w:space="0" w:color="auto"/>
        <w:right w:val="none" w:sz="0" w:space="0" w:color="auto"/>
      </w:divBdr>
    </w:div>
    <w:div w:id="2039087256">
      <w:bodyDiv w:val="1"/>
      <w:marLeft w:val="0"/>
      <w:marRight w:val="0"/>
      <w:marTop w:val="0"/>
      <w:marBottom w:val="0"/>
      <w:divBdr>
        <w:top w:val="none" w:sz="0" w:space="0" w:color="auto"/>
        <w:left w:val="none" w:sz="0" w:space="0" w:color="auto"/>
        <w:bottom w:val="none" w:sz="0" w:space="0" w:color="auto"/>
        <w:right w:val="none" w:sz="0" w:space="0" w:color="auto"/>
      </w:divBdr>
    </w:div>
    <w:div w:id="2074573860">
      <w:bodyDiv w:val="1"/>
      <w:marLeft w:val="0"/>
      <w:marRight w:val="0"/>
      <w:marTop w:val="0"/>
      <w:marBottom w:val="0"/>
      <w:divBdr>
        <w:top w:val="none" w:sz="0" w:space="0" w:color="auto"/>
        <w:left w:val="none" w:sz="0" w:space="0" w:color="auto"/>
        <w:bottom w:val="none" w:sz="0" w:space="0" w:color="auto"/>
        <w:right w:val="none" w:sz="0" w:space="0" w:color="auto"/>
      </w:divBdr>
    </w:div>
    <w:div w:id="2079285060">
      <w:bodyDiv w:val="1"/>
      <w:marLeft w:val="0"/>
      <w:marRight w:val="0"/>
      <w:marTop w:val="0"/>
      <w:marBottom w:val="0"/>
      <w:divBdr>
        <w:top w:val="none" w:sz="0" w:space="0" w:color="auto"/>
        <w:left w:val="none" w:sz="0" w:space="0" w:color="auto"/>
        <w:bottom w:val="none" w:sz="0" w:space="0" w:color="auto"/>
        <w:right w:val="none" w:sz="0" w:space="0" w:color="auto"/>
      </w:divBdr>
    </w:div>
    <w:div w:id="2134862904">
      <w:bodyDiv w:val="1"/>
      <w:marLeft w:val="0"/>
      <w:marRight w:val="0"/>
      <w:marTop w:val="0"/>
      <w:marBottom w:val="0"/>
      <w:divBdr>
        <w:top w:val="none" w:sz="0" w:space="0" w:color="auto"/>
        <w:left w:val="none" w:sz="0" w:space="0" w:color="auto"/>
        <w:bottom w:val="none" w:sz="0" w:space="0" w:color="auto"/>
        <w:right w:val="none" w:sz="0" w:space="0" w:color="auto"/>
      </w:divBdr>
    </w:div>
    <w:div w:id="2144079742">
      <w:bodyDiv w:val="1"/>
      <w:marLeft w:val="0"/>
      <w:marRight w:val="0"/>
      <w:marTop w:val="0"/>
      <w:marBottom w:val="0"/>
      <w:divBdr>
        <w:top w:val="none" w:sz="0" w:space="0" w:color="auto"/>
        <w:left w:val="none" w:sz="0" w:space="0" w:color="auto"/>
        <w:bottom w:val="none" w:sz="0" w:space="0" w:color="auto"/>
        <w:right w:val="none" w:sz="0" w:space="0" w:color="auto"/>
      </w:divBdr>
      <w:divsChild>
        <w:div w:id="837228122">
          <w:marLeft w:val="0"/>
          <w:marRight w:val="0"/>
          <w:marTop w:val="0"/>
          <w:marBottom w:val="0"/>
          <w:divBdr>
            <w:top w:val="none" w:sz="0" w:space="0" w:color="auto"/>
            <w:left w:val="none" w:sz="0" w:space="0" w:color="auto"/>
            <w:bottom w:val="none" w:sz="0" w:space="0" w:color="auto"/>
            <w:right w:val="none" w:sz="0" w:space="0" w:color="auto"/>
          </w:divBdr>
          <w:divsChild>
            <w:div w:id="1950424991">
              <w:marLeft w:val="0"/>
              <w:marRight w:val="0"/>
              <w:marTop w:val="0"/>
              <w:marBottom w:val="0"/>
              <w:divBdr>
                <w:top w:val="none" w:sz="0" w:space="0" w:color="auto"/>
                <w:left w:val="none" w:sz="0" w:space="0" w:color="auto"/>
                <w:bottom w:val="none" w:sz="0" w:space="0" w:color="auto"/>
                <w:right w:val="none" w:sz="0" w:space="0" w:color="auto"/>
              </w:divBdr>
              <w:divsChild>
                <w:div w:id="705637382">
                  <w:marLeft w:val="0"/>
                  <w:marRight w:val="0"/>
                  <w:marTop w:val="0"/>
                  <w:marBottom w:val="0"/>
                  <w:divBdr>
                    <w:top w:val="none" w:sz="0" w:space="0" w:color="auto"/>
                    <w:left w:val="none" w:sz="0" w:space="0" w:color="auto"/>
                    <w:bottom w:val="none" w:sz="0" w:space="0" w:color="auto"/>
                    <w:right w:val="none" w:sz="0" w:space="0" w:color="auto"/>
                  </w:divBdr>
                  <w:divsChild>
                    <w:div w:id="521557766">
                      <w:marLeft w:val="0"/>
                      <w:marRight w:val="0"/>
                      <w:marTop w:val="0"/>
                      <w:marBottom w:val="0"/>
                      <w:divBdr>
                        <w:top w:val="none" w:sz="0" w:space="0" w:color="auto"/>
                        <w:left w:val="none" w:sz="0" w:space="0" w:color="auto"/>
                        <w:bottom w:val="none" w:sz="0" w:space="0" w:color="auto"/>
                        <w:right w:val="none" w:sz="0" w:space="0" w:color="auto"/>
                      </w:divBdr>
                      <w:divsChild>
                        <w:div w:id="1180043055">
                          <w:marLeft w:val="0"/>
                          <w:marRight w:val="0"/>
                          <w:marTop w:val="0"/>
                          <w:marBottom w:val="0"/>
                          <w:divBdr>
                            <w:top w:val="none" w:sz="0" w:space="0" w:color="auto"/>
                            <w:left w:val="none" w:sz="0" w:space="0" w:color="auto"/>
                            <w:bottom w:val="none" w:sz="0" w:space="0" w:color="auto"/>
                            <w:right w:val="none" w:sz="0" w:space="0" w:color="auto"/>
                          </w:divBdr>
                          <w:divsChild>
                            <w:div w:id="942762957">
                              <w:marLeft w:val="0"/>
                              <w:marRight w:val="0"/>
                              <w:marTop w:val="0"/>
                              <w:marBottom w:val="0"/>
                              <w:divBdr>
                                <w:top w:val="none" w:sz="0" w:space="0" w:color="auto"/>
                                <w:left w:val="none" w:sz="0" w:space="0" w:color="auto"/>
                                <w:bottom w:val="none" w:sz="0" w:space="0" w:color="auto"/>
                                <w:right w:val="none" w:sz="0" w:space="0" w:color="auto"/>
                              </w:divBdr>
                              <w:divsChild>
                                <w:div w:id="12333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80/15568318.2025.2542292" TargetMode="External"/><Relationship Id="rId18" Type="http://schemas.openxmlformats.org/officeDocument/2006/relationships/hyperlink" Target="https://www.niti.gov.i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morth.nic.in" TargetMode="External"/><Relationship Id="rId7" Type="http://schemas.openxmlformats.org/officeDocument/2006/relationships/chart" Target="charts/chart1.xml"/><Relationship Id="rId12" Type="http://schemas.openxmlformats.org/officeDocument/2006/relationships/hyperlink" Target="https://doi.org/10.1007/s10668-023-03865-y" TargetMode="External"/><Relationship Id="rId17" Type="http://schemas.openxmlformats.org/officeDocument/2006/relationships/hyperlink" Target="https://heavyindustries.gov.in" TargetMode="External"/><Relationship Id="rId25" Type="http://schemas.openxmlformats.org/officeDocument/2006/relationships/hyperlink" Target="https://heavyindustries.gov.i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ndianjournalofmanagement.com/index.php/pijom/article/view/173560" TargetMode="External"/><Relationship Id="rId20" Type="http://schemas.openxmlformats.org/officeDocument/2006/relationships/hyperlink" Target="https://www.siam.in/uploads/filemanager/SIAMAnnualReport2023-24.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wevj15080375" TargetMode="External"/><Relationship Id="rId24" Type="http://schemas.openxmlformats.org/officeDocument/2006/relationships/hyperlink" Target="https://www.pib.gov.in/PressReleasePage.aspx?PRID=2102783&amp;reg=3&amp;lang=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tranpol.2024.07.018" TargetMode="External"/><Relationship Id="rId23" Type="http://schemas.openxmlformats.org/officeDocument/2006/relationships/hyperlink" Target="https://www.pib.gov.in" TargetMode="External"/><Relationship Id="rId28"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hyperlink" Target="https://www.iea.org"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07/s43621-025-00844-3" TargetMode="External"/><Relationship Id="rId22" Type="http://schemas.openxmlformats.org/officeDocument/2006/relationships/hyperlink" Target="https://www.niti.gov.in" TargetMode="External"/><Relationship Id="rId27" Type="http://schemas.openxmlformats.org/officeDocument/2006/relationships/header" Target="header2.xm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bar"/>
        <c:grouping val="clustered"/>
        <c:ser>
          <c:idx val="0"/>
          <c:order val="0"/>
          <c:tx>
            <c:strRef>
              <c:f>Sheet1!$C$3</c:f>
              <c:strCache>
                <c:ptCount val="1"/>
                <c:pt idx="0">
                  <c:v>EV Registrations (Units)</c:v>
                </c:pt>
              </c:strCache>
            </c:strRef>
          </c:tx>
          <c:cat>
            <c:strRef>
              <c:f>Sheet1!$B$4:$B$9</c:f>
              <c:strCache>
                <c:ptCount val="6"/>
                <c:pt idx="0">
                  <c:v>2019–20</c:v>
                </c:pt>
                <c:pt idx="1">
                  <c:v>2020–21</c:v>
                </c:pt>
                <c:pt idx="2">
                  <c:v>2021–22</c:v>
                </c:pt>
                <c:pt idx="3">
                  <c:v>2022–23</c:v>
                </c:pt>
                <c:pt idx="4">
                  <c:v>2023–24</c:v>
                </c:pt>
                <c:pt idx="5">
                  <c:v>2024–25</c:v>
                </c:pt>
              </c:strCache>
            </c:strRef>
          </c:cat>
          <c:val>
            <c:numRef>
              <c:f>Sheet1!$C$4:$C$9</c:f>
              <c:numCache>
                <c:formatCode>#,##0</c:formatCode>
                <c:ptCount val="6"/>
                <c:pt idx="0">
                  <c:v>167000</c:v>
                </c:pt>
                <c:pt idx="1">
                  <c:v>236000</c:v>
                </c:pt>
                <c:pt idx="2">
                  <c:v>1039000</c:v>
                </c:pt>
                <c:pt idx="3">
                  <c:v>1529000</c:v>
                </c:pt>
                <c:pt idx="4">
                  <c:v>1679000</c:v>
                </c:pt>
                <c:pt idx="5">
                  <c:v>1950000</c:v>
                </c:pt>
              </c:numCache>
            </c:numRef>
          </c:val>
        </c:ser>
        <c:axId val="76339456"/>
        <c:axId val="76520448"/>
      </c:barChart>
      <c:catAx>
        <c:axId val="76339456"/>
        <c:scaling>
          <c:orientation val="minMax"/>
        </c:scaling>
        <c:axPos val="l"/>
        <c:tickLblPos val="nextTo"/>
        <c:crossAx val="76520448"/>
        <c:crosses val="autoZero"/>
        <c:auto val="1"/>
        <c:lblAlgn val="ctr"/>
        <c:lblOffset val="100"/>
      </c:catAx>
      <c:valAx>
        <c:axId val="76520448"/>
        <c:scaling>
          <c:orientation val="minMax"/>
        </c:scaling>
        <c:axPos val="b"/>
        <c:majorGridlines/>
        <c:numFmt formatCode="#,##0" sourceLinked="1"/>
        <c:tickLblPos val="nextTo"/>
        <c:crossAx val="7633945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ndard"/>
        <c:ser>
          <c:idx val="0"/>
          <c:order val="0"/>
          <c:tx>
            <c:strRef>
              <c:f>Sheet1!$C$4</c:f>
              <c:strCache>
                <c:ptCount val="1"/>
                <c:pt idx="0">
                  <c:v>EV Market Penetration (%)</c:v>
                </c:pt>
              </c:strCache>
            </c:strRef>
          </c:tx>
          <c:marker>
            <c:symbol val="none"/>
          </c:marker>
          <c:cat>
            <c:strRef>
              <c:f>Sheet1!$B$5:$B$10</c:f>
              <c:strCache>
                <c:ptCount val="6"/>
                <c:pt idx="0">
                  <c:v>2019–20</c:v>
                </c:pt>
                <c:pt idx="1">
                  <c:v>2020–21</c:v>
                </c:pt>
                <c:pt idx="2">
                  <c:v>2021–22</c:v>
                </c:pt>
                <c:pt idx="3">
                  <c:v>2022–23</c:v>
                </c:pt>
                <c:pt idx="4">
                  <c:v>2023–24</c:v>
                </c:pt>
                <c:pt idx="5">
                  <c:v>2024–25</c:v>
                </c:pt>
              </c:strCache>
            </c:strRef>
          </c:cat>
          <c:val>
            <c:numRef>
              <c:f>Sheet1!$C$5:$C$10</c:f>
              <c:numCache>
                <c:formatCode>General</c:formatCode>
                <c:ptCount val="6"/>
                <c:pt idx="0">
                  <c:v>0.70000000000000062</c:v>
                </c:pt>
                <c:pt idx="1">
                  <c:v>1.2</c:v>
                </c:pt>
                <c:pt idx="2">
                  <c:v>2.6</c:v>
                </c:pt>
                <c:pt idx="3">
                  <c:v>4.7</c:v>
                </c:pt>
                <c:pt idx="4">
                  <c:v>6.9</c:v>
                </c:pt>
                <c:pt idx="5">
                  <c:v>7.5</c:v>
                </c:pt>
              </c:numCache>
            </c:numRef>
          </c:val>
        </c:ser>
        <c:marker val="1"/>
        <c:axId val="77002240"/>
        <c:axId val="94118656"/>
      </c:lineChart>
      <c:catAx>
        <c:axId val="77002240"/>
        <c:scaling>
          <c:orientation val="minMax"/>
        </c:scaling>
        <c:axPos val="b"/>
        <c:tickLblPos val="nextTo"/>
        <c:crossAx val="94118656"/>
        <c:crosses val="autoZero"/>
        <c:auto val="1"/>
        <c:lblAlgn val="ctr"/>
        <c:lblOffset val="100"/>
      </c:catAx>
      <c:valAx>
        <c:axId val="94118656"/>
        <c:scaling>
          <c:orientation val="minMax"/>
        </c:scaling>
        <c:axPos val="l"/>
        <c:majorGridlines/>
        <c:numFmt formatCode="General" sourceLinked="1"/>
        <c:tickLblPos val="nextTo"/>
        <c:crossAx val="7700224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dLbls>
            <c:showVal val="1"/>
            <c:showLeaderLines val="1"/>
          </c:dLbls>
          <c:cat>
            <c:strRef>
              <c:f>Sheet1!$O$38:$O$41</c:f>
              <c:strCache>
                <c:ptCount val="4"/>
                <c:pt idx="0">
                  <c:v>Electric Two-Wheelers</c:v>
                </c:pt>
                <c:pt idx="1">
                  <c:v>Electric Three-Wheelers</c:v>
                </c:pt>
                <c:pt idx="2">
                  <c:v>Electric Passenger Cars</c:v>
                </c:pt>
                <c:pt idx="3">
                  <c:v>Electric Buses</c:v>
                </c:pt>
              </c:strCache>
            </c:strRef>
          </c:cat>
          <c:val>
            <c:numRef>
              <c:f>Sheet1!$P$38:$P$41</c:f>
              <c:numCache>
                <c:formatCode>General</c:formatCode>
                <c:ptCount val="4"/>
                <c:pt idx="0">
                  <c:v>59</c:v>
                </c:pt>
                <c:pt idx="1">
                  <c:v>35</c:v>
                </c:pt>
                <c:pt idx="2">
                  <c:v>5</c:v>
                </c:pt>
                <c:pt idx="3">
                  <c:v>1</c:v>
                </c:pt>
              </c:numCache>
            </c:numRef>
          </c:val>
        </c:ser>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plotArea>
      <c:layout/>
      <c:lineChart>
        <c:grouping val="standard"/>
        <c:ser>
          <c:idx val="0"/>
          <c:order val="0"/>
          <c:tx>
            <c:strRef>
              <c:f>Sheet1!$G$93</c:f>
              <c:strCache>
                <c:ptCount val="1"/>
                <c:pt idx="0">
                  <c:v>Number of Public Charging Stations</c:v>
                </c:pt>
              </c:strCache>
            </c:strRef>
          </c:tx>
          <c:marker>
            <c:symbol val="none"/>
          </c:marker>
          <c:cat>
            <c:strRef>
              <c:f>Sheet1!$F$94:$F$99</c:f>
              <c:strCache>
                <c:ptCount val="6"/>
                <c:pt idx="0">
                  <c:v>2019-20</c:v>
                </c:pt>
                <c:pt idx="1">
                  <c:v>2020-21</c:v>
                </c:pt>
                <c:pt idx="2">
                  <c:v>2021-22</c:v>
                </c:pt>
                <c:pt idx="3">
                  <c:v>2022-23</c:v>
                </c:pt>
                <c:pt idx="4">
                  <c:v>2023-24</c:v>
                </c:pt>
                <c:pt idx="5">
                  <c:v>2024-25</c:v>
                </c:pt>
              </c:strCache>
            </c:strRef>
          </c:cat>
          <c:val>
            <c:numRef>
              <c:f>Sheet1!$G$94:$G$99</c:f>
              <c:numCache>
                <c:formatCode>#,##0</c:formatCode>
                <c:ptCount val="6"/>
                <c:pt idx="0" formatCode="General">
                  <c:v>650</c:v>
                </c:pt>
                <c:pt idx="1">
                  <c:v>1800</c:v>
                </c:pt>
                <c:pt idx="2">
                  <c:v>3500</c:v>
                </c:pt>
                <c:pt idx="3">
                  <c:v>5100</c:v>
                </c:pt>
                <c:pt idx="4">
                  <c:v>9300</c:v>
                </c:pt>
                <c:pt idx="5">
                  <c:v>12100</c:v>
                </c:pt>
              </c:numCache>
            </c:numRef>
          </c:val>
        </c:ser>
        <c:marker val="1"/>
        <c:axId val="77591680"/>
        <c:axId val="77593216"/>
      </c:lineChart>
      <c:catAx>
        <c:axId val="77591680"/>
        <c:scaling>
          <c:orientation val="minMax"/>
        </c:scaling>
        <c:axPos val="b"/>
        <c:tickLblPos val="nextTo"/>
        <c:crossAx val="77593216"/>
        <c:crosses val="autoZero"/>
        <c:auto val="1"/>
        <c:lblAlgn val="ctr"/>
        <c:lblOffset val="100"/>
      </c:catAx>
      <c:valAx>
        <c:axId val="77593216"/>
        <c:scaling>
          <c:orientation val="minMax"/>
        </c:scaling>
        <c:axPos val="l"/>
        <c:majorGridlines/>
        <c:numFmt formatCode="General" sourceLinked="1"/>
        <c:tickLblPos val="nextTo"/>
        <c:crossAx val="7759168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4531</Words>
  <Characters>25832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8</cp:revision>
  <dcterms:created xsi:type="dcterms:W3CDTF">2026-04-15T07:55:00Z</dcterms:created>
  <dcterms:modified xsi:type="dcterms:W3CDTF">2026-04-15T09:19:00Z</dcterms:modified>
</cp:coreProperties>
</file>